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4A6CC" w14:textId="7424D8AA" w:rsidR="00EA5E16" w:rsidRPr="00F54951" w:rsidRDefault="00F65F1E" w:rsidP="00302069">
      <w:pPr>
        <w:tabs>
          <w:tab w:val="left" w:pos="7560"/>
        </w:tabs>
        <w:jc w:val="center"/>
        <w:rPr>
          <w:b/>
          <w:bCs/>
        </w:rPr>
      </w:pPr>
      <w:r w:rsidRPr="00BE7CE5">
        <w:rPr>
          <w:b/>
          <w:lang w:eastAsia="lv-LV"/>
        </w:rPr>
        <w:t xml:space="preserve">Ministru kabineta instrukcijas projekta </w:t>
      </w:r>
      <w:bookmarkStart w:id="0" w:name="OLE_LINK3"/>
      <w:bookmarkStart w:id="1" w:name="OLE_LINK4"/>
      <w:r w:rsidR="00302069">
        <w:rPr>
          <w:b/>
          <w:lang w:eastAsia="lv-LV"/>
        </w:rPr>
        <w:t>"</w:t>
      </w:r>
      <w:r w:rsidR="00F54951" w:rsidRPr="009046E5">
        <w:rPr>
          <w:b/>
        </w:rPr>
        <w:t xml:space="preserve">Grozījumi Ministru kabineta </w:t>
      </w:r>
      <w:proofErr w:type="spellStart"/>
      <w:r w:rsidR="00F54951" w:rsidRPr="009046E5">
        <w:rPr>
          <w:b/>
        </w:rPr>
        <w:t>2013.gada</w:t>
      </w:r>
      <w:proofErr w:type="spellEnd"/>
      <w:r w:rsidR="00F54951" w:rsidRPr="009046E5">
        <w:rPr>
          <w:b/>
        </w:rPr>
        <w:t xml:space="preserve"> </w:t>
      </w:r>
      <w:proofErr w:type="spellStart"/>
      <w:r w:rsidR="00F54951" w:rsidRPr="009046E5">
        <w:rPr>
          <w:b/>
        </w:rPr>
        <w:t>2.jūlija</w:t>
      </w:r>
      <w:proofErr w:type="spellEnd"/>
      <w:r w:rsidR="00F54951" w:rsidRPr="009046E5">
        <w:rPr>
          <w:b/>
        </w:rPr>
        <w:t xml:space="preserve"> instrukcijā </w:t>
      </w:r>
      <w:proofErr w:type="spellStart"/>
      <w:r w:rsidR="00F54951" w:rsidRPr="009046E5">
        <w:rPr>
          <w:b/>
        </w:rPr>
        <w:t>Nr.7</w:t>
      </w:r>
      <w:proofErr w:type="spellEnd"/>
      <w:r w:rsidR="00F54951" w:rsidRPr="009046E5">
        <w:rPr>
          <w:b/>
        </w:rPr>
        <w:t xml:space="preserve"> </w:t>
      </w:r>
      <w:bookmarkEnd w:id="0"/>
      <w:bookmarkEnd w:id="1"/>
      <w:r w:rsidR="00302069">
        <w:rPr>
          <w:b/>
          <w:bCs/>
        </w:rPr>
        <w:t>"</w:t>
      </w:r>
      <w:r w:rsidR="00F54951" w:rsidRPr="009046E5">
        <w:rPr>
          <w:b/>
          <w:bCs/>
        </w:rPr>
        <w:t>Ārvalstu finanšu instrumentu finansētu civiltiesisku līgumu izstrādes un slēgšanas instrukcija valsts tiešās pārvaldes iestādēs</w:t>
      </w:r>
      <w:r w:rsidR="00302069">
        <w:rPr>
          <w:b/>
          <w:bCs/>
        </w:rPr>
        <w:t>"</w:t>
      </w:r>
      <w:r w:rsidR="00302069">
        <w:rPr>
          <w:b/>
          <w:lang w:eastAsia="lv-LV"/>
        </w:rPr>
        <w:t>"</w:t>
      </w:r>
      <w:r w:rsidRPr="00BE7CE5">
        <w:rPr>
          <w:b/>
          <w:lang w:eastAsia="lv-LV"/>
        </w:rPr>
        <w:t xml:space="preserve"> </w:t>
      </w:r>
      <w:r w:rsidR="00EA5E16" w:rsidRPr="00BE7CE5">
        <w:rPr>
          <w:b/>
          <w:lang w:eastAsia="lv-LV"/>
        </w:rPr>
        <w:t>sākotnējās ietekmes novērtējuma ziņojums (anotācija)</w:t>
      </w:r>
    </w:p>
    <w:p w14:paraId="2AC4A6CD" w14:textId="77777777" w:rsidR="00EA5E16" w:rsidRPr="00EA5E16" w:rsidRDefault="00EA5E16" w:rsidP="00302069">
      <w:pPr>
        <w:jc w:val="center"/>
        <w:rPr>
          <w:rFonts w:eastAsia="Times New Roman" w:cs="Times New Roman"/>
          <w:b/>
          <w:bCs/>
          <w:sz w:val="16"/>
          <w:szCs w:val="1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5351"/>
      </w:tblGrid>
      <w:tr w:rsidR="00EA5E16" w:rsidRPr="00520485" w14:paraId="2AC4A6CF" w14:textId="77777777" w:rsidTr="004A187E">
        <w:tc>
          <w:tcPr>
            <w:tcW w:w="9287" w:type="dxa"/>
            <w:gridSpan w:val="3"/>
          </w:tcPr>
          <w:p w14:paraId="2AC4A6CE" w14:textId="77777777" w:rsidR="00EA5E16" w:rsidRPr="00520485" w:rsidRDefault="00EA5E16" w:rsidP="003020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b/>
                <w:bCs/>
                <w:szCs w:val="24"/>
                <w:lang w:eastAsia="lv-LV"/>
              </w:rPr>
              <w:t>I. Tiesību akta projekta izstrādes nepieciešamība</w:t>
            </w:r>
          </w:p>
        </w:tc>
      </w:tr>
      <w:tr w:rsidR="00EA5E16" w:rsidRPr="00520485" w14:paraId="2AC4A6D5" w14:textId="77777777" w:rsidTr="004A187E">
        <w:trPr>
          <w:trHeight w:val="1944"/>
        </w:trPr>
        <w:tc>
          <w:tcPr>
            <w:tcW w:w="648" w:type="dxa"/>
          </w:tcPr>
          <w:p w14:paraId="2AC4A6D0" w14:textId="77777777" w:rsidR="00EA5E16" w:rsidRPr="00520485" w:rsidRDefault="00EA5E16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3288" w:type="dxa"/>
          </w:tcPr>
          <w:p w14:paraId="2AC4A6D1" w14:textId="77777777" w:rsidR="00EA5E16" w:rsidRPr="00520485" w:rsidRDefault="00EA5E16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Pamatojums</w:t>
            </w:r>
          </w:p>
        </w:tc>
        <w:tc>
          <w:tcPr>
            <w:tcW w:w="5351" w:type="dxa"/>
          </w:tcPr>
          <w:p w14:paraId="2AC4A6D2" w14:textId="5F6D1253" w:rsidR="00745E55" w:rsidRPr="00520485" w:rsidRDefault="00745E55" w:rsidP="00810E5E">
            <w:pPr>
              <w:tabs>
                <w:tab w:val="left" w:pos="354"/>
              </w:tabs>
              <w:ind w:left="33"/>
              <w:rPr>
                <w:rFonts w:eastAsia="Times New Roman" w:cs="Times New Roman"/>
                <w:iCs/>
                <w:szCs w:val="24"/>
                <w:lang w:eastAsia="lv-LV"/>
              </w:rPr>
            </w:pPr>
            <w:proofErr w:type="spellStart"/>
            <w:r w:rsidRPr="00520485">
              <w:rPr>
                <w:rFonts w:eastAsia="Times New Roman" w:cs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 ieviešanas </w:t>
            </w:r>
            <w:r w:rsidR="009B15B3"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kārtības </w:t>
            </w:r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likuma </w:t>
            </w:r>
            <w:r w:rsidR="00810E5E">
              <w:rPr>
                <w:rFonts w:eastAsia="Times New Roman" w:cs="Times New Roman"/>
                <w:iCs/>
                <w:szCs w:val="24"/>
                <w:lang w:eastAsia="lv-LV"/>
              </w:rPr>
              <w:t>(turpmāk –</w:t>
            </w:r>
            <w:r w:rsidR="009B15B3"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 </w:t>
            </w:r>
            <w:proofErr w:type="spellStart"/>
            <w:r w:rsidR="009B15B3" w:rsidRPr="00520485">
              <w:rPr>
                <w:rFonts w:eastAsia="Times New Roman" w:cs="Times New Roman"/>
                <w:iCs/>
                <w:szCs w:val="24"/>
                <w:lang w:eastAsia="lv-LV"/>
              </w:rPr>
              <w:t>EIKL</w:t>
            </w:r>
            <w:proofErr w:type="spellEnd"/>
            <w:r w:rsidR="009B15B3"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) </w:t>
            </w:r>
            <w:proofErr w:type="spellStart"/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>30.panta</w:t>
            </w:r>
            <w:proofErr w:type="spellEnd"/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 ceturtā daļa.</w:t>
            </w:r>
          </w:p>
          <w:p w14:paraId="2AC4A6D3" w14:textId="7664F15C" w:rsidR="00FD0A4C" w:rsidRPr="00520485" w:rsidRDefault="008C1B92" w:rsidP="00810E5E">
            <w:pPr>
              <w:tabs>
                <w:tab w:val="left" w:pos="354"/>
              </w:tabs>
              <w:ind w:left="33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Latvijas Nacionālo </w:t>
            </w:r>
            <w:proofErr w:type="spellStart"/>
            <w:r w:rsidRPr="00520485">
              <w:rPr>
                <w:rFonts w:eastAsia="Times New Roman" w:cs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 ieviešanas plān</w:t>
            </w:r>
            <w:r w:rsidR="004C6911" w:rsidRPr="00520485">
              <w:rPr>
                <w:rFonts w:eastAsia="Times New Roman" w:cs="Times New Roman"/>
                <w:iCs/>
                <w:szCs w:val="24"/>
                <w:lang w:eastAsia="lv-LV"/>
              </w:rPr>
              <w:t>a (</w:t>
            </w:r>
            <w:r w:rsidR="00E3214F" w:rsidRPr="00520485">
              <w:rPr>
                <w:rFonts w:eastAsia="Times New Roman" w:cs="Times New Roman"/>
                <w:iCs/>
                <w:szCs w:val="24"/>
                <w:lang w:eastAsia="lv-LV"/>
              </w:rPr>
              <w:t>Ministru kabineta 2013</w:t>
            </w:r>
            <w:r w:rsidR="004C6911" w:rsidRPr="00520485">
              <w:rPr>
                <w:rFonts w:eastAsia="Times New Roman" w:cs="Times New Roman"/>
                <w:iCs/>
                <w:szCs w:val="24"/>
                <w:lang w:eastAsia="lv-LV"/>
              </w:rPr>
              <w:t>.</w:t>
            </w:r>
            <w:r w:rsidR="00DD6FCB">
              <w:rPr>
                <w:rFonts w:eastAsia="Times New Roman" w:cs="Times New Roman"/>
                <w:iCs/>
                <w:szCs w:val="24"/>
                <w:lang w:eastAsia="lv-LV"/>
              </w:rPr>
              <w:t> </w:t>
            </w:r>
            <w:r w:rsidR="004C6911"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gada </w:t>
            </w:r>
            <w:r w:rsidR="00E3214F" w:rsidRPr="00520485">
              <w:rPr>
                <w:rFonts w:eastAsia="Times New Roman" w:cs="Times New Roman"/>
                <w:iCs/>
                <w:szCs w:val="24"/>
                <w:lang w:eastAsia="lv-LV"/>
              </w:rPr>
              <w:t>4.</w:t>
            </w:r>
            <w:r w:rsidR="00DD6FCB">
              <w:rPr>
                <w:rFonts w:eastAsia="Times New Roman" w:cs="Times New Roman"/>
                <w:iCs/>
                <w:szCs w:val="24"/>
                <w:lang w:eastAsia="lv-LV"/>
              </w:rPr>
              <w:t> </w:t>
            </w:r>
            <w:r w:rsidR="00E3214F" w:rsidRPr="00520485">
              <w:rPr>
                <w:rFonts w:eastAsia="Times New Roman" w:cs="Times New Roman"/>
                <w:iCs/>
                <w:szCs w:val="24"/>
                <w:lang w:eastAsia="lv-LV"/>
              </w:rPr>
              <w:t>aprīļa</w:t>
            </w:r>
            <w:r w:rsidR="004C6911"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 rīkojums </w:t>
            </w:r>
            <w:proofErr w:type="spellStart"/>
            <w:r w:rsidR="004C6911" w:rsidRPr="00520485">
              <w:rPr>
                <w:rFonts w:eastAsia="Times New Roman" w:cs="Times New Roman"/>
                <w:iCs/>
                <w:szCs w:val="24"/>
                <w:lang w:eastAsia="lv-LV"/>
              </w:rPr>
              <w:t>Nr.</w:t>
            </w:r>
            <w:r w:rsidR="00E3214F" w:rsidRPr="00520485">
              <w:rPr>
                <w:rFonts w:eastAsia="Times New Roman" w:cs="Times New Roman"/>
                <w:iCs/>
                <w:szCs w:val="24"/>
                <w:lang w:eastAsia="lv-LV"/>
              </w:rPr>
              <w:t>136</w:t>
            </w:r>
            <w:proofErr w:type="spellEnd"/>
            <w:r w:rsidR="004C6911" w:rsidRPr="00520485">
              <w:rPr>
                <w:rFonts w:eastAsia="Times New Roman" w:cs="Times New Roman"/>
                <w:iCs/>
                <w:szCs w:val="24"/>
                <w:lang w:eastAsia="lv-LV"/>
              </w:rPr>
              <w:t>)</w:t>
            </w:r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 </w:t>
            </w:r>
            <w:proofErr w:type="spellStart"/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>1.pielikuma</w:t>
            </w:r>
            <w:proofErr w:type="spellEnd"/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 </w:t>
            </w:r>
            <w:r w:rsidR="00302069">
              <w:rPr>
                <w:rFonts w:eastAsia="Times New Roman" w:cs="Times New Roman"/>
                <w:iCs/>
                <w:szCs w:val="24"/>
                <w:lang w:eastAsia="lv-LV"/>
              </w:rPr>
              <w:t>"</w:t>
            </w:r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>Pasākumu plāns Eiropas vienotās valūtas ieviešanai Latvijā</w:t>
            </w:r>
            <w:r w:rsidR="00302069">
              <w:rPr>
                <w:rFonts w:eastAsia="Times New Roman" w:cs="Times New Roman"/>
                <w:iCs/>
                <w:szCs w:val="24"/>
                <w:lang w:eastAsia="lv-LV"/>
              </w:rPr>
              <w:t>"</w:t>
            </w:r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 Juridisko jautājumu sadaļā </w:t>
            </w:r>
            <w:r w:rsidR="004C6911"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pasākums Nr.J2.2.2. nosaka visām ministrijām </w:t>
            </w:r>
            <w:r w:rsidR="00FD0A4C"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līdz 2013.gada 1.oktobrim </w:t>
            </w:r>
            <w:r w:rsidR="004C6911" w:rsidRPr="00520485">
              <w:rPr>
                <w:rFonts w:eastAsia="Times New Roman" w:cs="Times New Roman"/>
                <w:iCs/>
                <w:szCs w:val="24"/>
                <w:lang w:eastAsia="lv-LV"/>
              </w:rPr>
              <w:t>iesniegt Ministru kabinetā to</w:t>
            </w:r>
            <w:r w:rsidR="00A07487">
              <w:rPr>
                <w:rFonts w:eastAsia="Times New Roman" w:cs="Times New Roman"/>
                <w:iCs/>
                <w:szCs w:val="24"/>
                <w:lang w:eastAsia="lv-LV"/>
              </w:rPr>
              <w:t>s</w:t>
            </w:r>
            <w:r w:rsidR="004C6911"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 normatīvos aktus, kas ir būtiski tiesiskās noteiktības nodrošināšanai saistībā ar </w:t>
            </w:r>
            <w:proofErr w:type="spellStart"/>
            <w:r w:rsidR="004C6911" w:rsidRPr="00520485">
              <w:rPr>
                <w:rFonts w:eastAsia="Times New Roman" w:cs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="004C6911"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 ieviešanu</w:t>
            </w:r>
            <w:r w:rsidR="003A37E2" w:rsidRPr="00520485">
              <w:rPr>
                <w:rFonts w:eastAsia="Times New Roman" w:cs="Times New Roman"/>
                <w:iCs/>
                <w:szCs w:val="24"/>
                <w:lang w:eastAsia="lv-LV"/>
              </w:rPr>
              <w:t>.</w:t>
            </w:r>
          </w:p>
          <w:p w14:paraId="2AC4A6D4" w14:textId="37D5AA98" w:rsidR="00EA5E16" w:rsidRPr="00520485" w:rsidRDefault="00602435" w:rsidP="00810E5E">
            <w:pPr>
              <w:tabs>
                <w:tab w:val="left" w:pos="354"/>
              </w:tabs>
              <w:ind w:left="33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Ministru kabineta </w:t>
            </w:r>
            <w:proofErr w:type="spellStart"/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>2012.gada</w:t>
            </w:r>
            <w:proofErr w:type="spellEnd"/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 </w:t>
            </w:r>
            <w:proofErr w:type="spellStart"/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>27.jūnija</w:t>
            </w:r>
            <w:proofErr w:type="spellEnd"/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 rīkojuma </w:t>
            </w:r>
            <w:proofErr w:type="spellStart"/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>Nr.282</w:t>
            </w:r>
            <w:proofErr w:type="spellEnd"/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 </w:t>
            </w:r>
            <w:r w:rsidR="00302069">
              <w:rPr>
                <w:rFonts w:eastAsia="Times New Roman" w:cs="Times New Roman"/>
                <w:iCs/>
                <w:szCs w:val="24"/>
                <w:lang w:eastAsia="lv-LV"/>
              </w:rPr>
              <w:t>"</w:t>
            </w:r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Par </w:t>
            </w:r>
            <w:r w:rsidR="00302069">
              <w:rPr>
                <w:rFonts w:eastAsia="Times New Roman" w:cs="Times New Roman"/>
                <w:iCs/>
                <w:szCs w:val="24"/>
                <w:lang w:eastAsia="lv-LV"/>
              </w:rPr>
              <w:t>"</w:t>
            </w:r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>Koncepciju par normatīvo aktu sakārtošanu saistībā ar eiro ieviešanu Latvijā</w:t>
            </w:r>
            <w:r w:rsidR="00302069">
              <w:rPr>
                <w:rFonts w:eastAsia="Times New Roman" w:cs="Times New Roman"/>
                <w:iCs/>
                <w:szCs w:val="24"/>
                <w:lang w:eastAsia="lv-LV"/>
              </w:rPr>
              <w:t>""</w:t>
            </w:r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 </w:t>
            </w:r>
            <w:proofErr w:type="spellStart"/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>7.1.apakšpunktā</w:t>
            </w:r>
            <w:proofErr w:type="spellEnd"/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 dotais uzdevums nosaka visām ministrijām atbilstoši kompetencei sagatavot Ministru kabineta noteikumu, rīkojumu, instrukciju un ieteikumu projektus, kas ir būtiski tiesiskās noteiktības nodrošināšanai, un līdz 2013.gada 1.oktobrim iesniegt tos noteiktā kā</w:t>
            </w:r>
            <w:r w:rsidR="00810E5E">
              <w:rPr>
                <w:rFonts w:eastAsia="Times New Roman" w:cs="Times New Roman"/>
                <w:iCs/>
                <w:szCs w:val="24"/>
                <w:lang w:eastAsia="lv-LV"/>
              </w:rPr>
              <w:t>rtībā Ministru kabinetā</w:t>
            </w:r>
          </w:p>
        </w:tc>
      </w:tr>
      <w:tr w:rsidR="00EA5E16" w:rsidRPr="00520485" w14:paraId="2AC4A6DB" w14:textId="77777777" w:rsidTr="004A187E">
        <w:tc>
          <w:tcPr>
            <w:tcW w:w="648" w:type="dxa"/>
          </w:tcPr>
          <w:p w14:paraId="2AC4A6D6" w14:textId="77777777" w:rsidR="00EA5E16" w:rsidRPr="00520485" w:rsidRDefault="00EA5E16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3288" w:type="dxa"/>
          </w:tcPr>
          <w:p w14:paraId="2AC4A6D7" w14:textId="77777777" w:rsidR="00EA5E16" w:rsidRPr="00520485" w:rsidRDefault="00EA5E16" w:rsidP="003020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Pašreizējā situācija un problēmas</w:t>
            </w:r>
          </w:p>
        </w:tc>
        <w:tc>
          <w:tcPr>
            <w:tcW w:w="5351" w:type="dxa"/>
          </w:tcPr>
          <w:p w14:paraId="2AC4A6D8" w14:textId="069258C8" w:rsidR="00F54951" w:rsidRPr="00520485" w:rsidRDefault="00B12023" w:rsidP="00810E5E">
            <w:pPr>
              <w:tabs>
                <w:tab w:val="left" w:pos="459"/>
              </w:tabs>
              <w:rPr>
                <w:rFonts w:eastAsia="Times New Roman" w:cs="Times New Roman"/>
                <w:bCs/>
                <w:iCs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Šobrīd</w:t>
            </w:r>
            <w:r w:rsidR="00F54951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Ministru kabineta </w:t>
            </w:r>
            <w:proofErr w:type="spellStart"/>
            <w:r w:rsidR="00F54951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2013.gada</w:t>
            </w:r>
            <w:proofErr w:type="spellEnd"/>
            <w:r w:rsidR="00F54951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</w:t>
            </w:r>
            <w:proofErr w:type="spellStart"/>
            <w:r w:rsidR="00F54951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2.jūlija</w:t>
            </w:r>
            <w:proofErr w:type="spellEnd"/>
            <w:r w:rsidR="00F54951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instrukcijā </w:t>
            </w:r>
            <w:proofErr w:type="spellStart"/>
            <w:r w:rsidR="00F54951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Nr.7</w:t>
            </w:r>
            <w:proofErr w:type="spellEnd"/>
            <w:r w:rsidR="00F54951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</w:t>
            </w:r>
            <w:r w:rsidR="00302069">
              <w:rPr>
                <w:rFonts w:eastAsia="Times New Roman" w:cs="Times New Roman"/>
                <w:bCs/>
                <w:iCs/>
                <w:szCs w:val="24"/>
                <w:lang w:eastAsia="lv-LV"/>
              </w:rPr>
              <w:t>"</w:t>
            </w:r>
            <w:r w:rsidR="00F54951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Ārvalstu finanšu instrumentu finansētu civiltiesisku līgumu izstrādes un slēgšanas instrukcija valsts tiešās pārvaldes iestādēs</w:t>
            </w:r>
            <w:r w:rsidR="00302069">
              <w:rPr>
                <w:rFonts w:eastAsia="Times New Roman" w:cs="Times New Roman"/>
                <w:bCs/>
                <w:iCs/>
                <w:szCs w:val="24"/>
                <w:lang w:eastAsia="lv-LV"/>
              </w:rPr>
              <w:t>"</w:t>
            </w:r>
            <w:r w:rsidR="007C3FFA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</w:t>
            </w:r>
            <w:r w:rsidR="001A2919">
              <w:rPr>
                <w:rFonts w:eastAsia="Times New Roman" w:cs="Times New Roman"/>
                <w:bCs/>
                <w:iCs/>
                <w:szCs w:val="24"/>
                <w:lang w:eastAsia="lv-LV"/>
              </w:rPr>
              <w:t>(turp</w:t>
            </w:r>
            <w:r w:rsidR="001A2919">
              <w:rPr>
                <w:rFonts w:eastAsia="Times New Roman" w:cs="Times New Roman"/>
                <w:bCs/>
                <w:iCs/>
                <w:szCs w:val="24"/>
                <w:lang w:eastAsia="lv-LV"/>
              </w:rPr>
              <w:softHyphen/>
              <w:t>māk </w:t>
            </w:r>
            <w:r w:rsidR="00F54951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– instrukcija </w:t>
            </w:r>
            <w:proofErr w:type="spellStart"/>
            <w:r w:rsidR="00F54951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Nr.7</w:t>
            </w:r>
            <w:proofErr w:type="spellEnd"/>
            <w:r w:rsidR="00F54951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)</w:t>
            </w:r>
            <w:r w:rsidR="002F7D85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</w:t>
            </w:r>
            <w:r w:rsidR="007C3FFA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visas līgumcenu robežvērtības</w:t>
            </w:r>
            <w:r w:rsidR="00D25EA0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,</w:t>
            </w:r>
            <w:r w:rsidR="001A2919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izņemot </w:t>
            </w:r>
            <w:proofErr w:type="spellStart"/>
            <w:r w:rsidR="001A2919">
              <w:rPr>
                <w:rFonts w:eastAsia="Times New Roman" w:cs="Times New Roman"/>
                <w:bCs/>
                <w:iCs/>
                <w:szCs w:val="24"/>
                <w:lang w:eastAsia="lv-LV"/>
              </w:rPr>
              <w:t>98.1.</w:t>
            </w:r>
            <w:r w:rsidR="005008B6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apakšpunktu</w:t>
            </w:r>
            <w:proofErr w:type="spellEnd"/>
            <w:r w:rsidR="00D25EA0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,</w:t>
            </w:r>
            <w:r w:rsidR="007C3FFA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</w:t>
            </w:r>
            <w:r w:rsidR="002F7D85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ir </w:t>
            </w:r>
            <w:r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pielīdzinātas Publ</w:t>
            </w:r>
            <w:r w:rsidR="00550C39">
              <w:rPr>
                <w:rFonts w:eastAsia="Times New Roman" w:cs="Times New Roman"/>
                <w:bCs/>
                <w:iCs/>
                <w:szCs w:val="24"/>
                <w:lang w:eastAsia="lv-LV"/>
              </w:rPr>
              <w:t>isko iepirkumu likuma (turpmāk –</w:t>
            </w:r>
            <w:r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PIL) </w:t>
            </w:r>
            <w:proofErr w:type="spellStart"/>
            <w:r w:rsidRPr="00520485">
              <w:rPr>
                <w:rFonts w:cs="Times New Roman"/>
                <w:iCs/>
                <w:szCs w:val="24"/>
              </w:rPr>
              <w:t>8.panta</w:t>
            </w:r>
            <w:proofErr w:type="spellEnd"/>
            <w:r w:rsidRPr="00520485">
              <w:rPr>
                <w:rFonts w:cs="Times New Roman"/>
                <w:iCs/>
                <w:szCs w:val="24"/>
              </w:rPr>
              <w:t xml:space="preserve"> otrajā daļā noteiktajai līgumcenas robežvērtībai </w:t>
            </w:r>
            <w:r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un ir </w:t>
            </w:r>
            <w:r w:rsidR="002F7D85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noteiktas</w:t>
            </w:r>
            <w:r w:rsidR="007C3FFA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latos </w:t>
            </w:r>
            <w:r w:rsidR="007C3FFA" w:rsidRPr="00520485">
              <w:rPr>
                <w:rFonts w:cs="Times New Roman"/>
                <w:szCs w:val="24"/>
              </w:rPr>
              <w:t>vai satur atsauci uz latiem</w:t>
            </w:r>
            <w:r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.</w:t>
            </w:r>
          </w:p>
          <w:p w14:paraId="2AC4A6D9" w14:textId="77777777" w:rsidR="00B12023" w:rsidRPr="00520485" w:rsidRDefault="00B12023" w:rsidP="00810E5E">
            <w:pPr>
              <w:tabs>
                <w:tab w:val="left" w:pos="459"/>
              </w:tabs>
              <w:rPr>
                <w:rFonts w:eastAsia="Times New Roman" w:cs="Times New Roman"/>
                <w:bCs/>
                <w:iCs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Ņemot vērā, ka no 2013.gada 1.augusta PIL 8.panta otrajā daļā ir noteiktas jaunas līgumcenu robežvērtības (30 000 latu iepriekšējo 20 000 latu vietā), nepieciešams veikt arī attiecīgus grozījumus instrukcijā Nr.7.</w:t>
            </w:r>
          </w:p>
          <w:p w14:paraId="2AC4A6DA" w14:textId="101F61EC" w:rsidR="007C3FFA" w:rsidRPr="00520485" w:rsidRDefault="005E0F70" w:rsidP="00810E5E">
            <w:pPr>
              <w:tabs>
                <w:tab w:val="left" w:pos="459"/>
              </w:tabs>
              <w:rPr>
                <w:rFonts w:eastAsia="Times New Roman" w:cs="Times New Roman"/>
                <w:bCs/>
                <w:iCs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Ņemot vērā, ka </w:t>
            </w:r>
            <w:r w:rsidR="001404ED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Latvijas valdība ar </w:t>
            </w:r>
            <w:r w:rsidR="00810E5E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Ministru kabineta </w:t>
            </w:r>
            <w:proofErr w:type="spellStart"/>
            <w:r w:rsidR="001404ED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2012.gada</w:t>
            </w:r>
            <w:proofErr w:type="spellEnd"/>
            <w:r w:rsidR="001404ED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</w:t>
            </w:r>
            <w:proofErr w:type="spellStart"/>
            <w:r w:rsidR="001404ED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19.septembra</w:t>
            </w:r>
            <w:proofErr w:type="spellEnd"/>
            <w:r w:rsidR="001404ED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rīkojuma </w:t>
            </w:r>
            <w:proofErr w:type="spellStart"/>
            <w:r w:rsidR="001404ED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Nr.441</w:t>
            </w:r>
            <w:proofErr w:type="spellEnd"/>
            <w:r w:rsidR="001404ED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</w:t>
            </w:r>
            <w:r w:rsidR="00302069">
              <w:rPr>
                <w:rFonts w:eastAsia="Times New Roman" w:cs="Times New Roman"/>
                <w:bCs/>
                <w:iCs/>
                <w:szCs w:val="24"/>
                <w:lang w:eastAsia="lv-LV"/>
              </w:rPr>
              <w:t>"</w:t>
            </w:r>
            <w:r w:rsidR="001404ED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Par Latvijas Nacionālo </w:t>
            </w:r>
            <w:proofErr w:type="spellStart"/>
            <w:r w:rsidR="00AE64B0" w:rsidRPr="0052048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euro</w:t>
            </w:r>
            <w:proofErr w:type="spellEnd"/>
            <w:r w:rsidR="001404ED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ieviešanas plānu</w:t>
            </w:r>
            <w:r w:rsidR="00302069">
              <w:rPr>
                <w:rFonts w:eastAsia="Times New Roman" w:cs="Times New Roman"/>
                <w:bCs/>
                <w:iCs/>
                <w:szCs w:val="24"/>
                <w:lang w:eastAsia="lv-LV"/>
              </w:rPr>
              <w:t>"</w:t>
            </w:r>
            <w:r w:rsidR="001404ED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</w:t>
            </w:r>
            <w:proofErr w:type="spellStart"/>
            <w:r w:rsidR="001404ED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6.punktu</w:t>
            </w:r>
            <w:proofErr w:type="spellEnd"/>
            <w:r w:rsidR="001404ED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noteica </w:t>
            </w:r>
            <w:proofErr w:type="spellStart"/>
            <w:r w:rsidR="001404ED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2014.gada</w:t>
            </w:r>
            <w:proofErr w:type="spellEnd"/>
            <w:r w:rsidR="001404ED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</w:t>
            </w:r>
            <w:proofErr w:type="spellStart"/>
            <w:r w:rsidR="001404ED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1.janvāri</w:t>
            </w:r>
            <w:proofErr w:type="spellEnd"/>
            <w:r w:rsidR="001404ED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par </w:t>
            </w:r>
            <w:proofErr w:type="spellStart"/>
            <w:r w:rsidR="00AE64B0" w:rsidRPr="0052048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euro</w:t>
            </w:r>
            <w:proofErr w:type="spellEnd"/>
            <w:r w:rsidR="001404ED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ieviešanas mē</w:t>
            </w:r>
            <w:r w:rsidR="00810E5E">
              <w:rPr>
                <w:rFonts w:eastAsia="Times New Roman" w:cs="Times New Roman"/>
                <w:bCs/>
                <w:iCs/>
                <w:szCs w:val="24"/>
                <w:lang w:eastAsia="lv-LV"/>
              </w:rPr>
              <w:t>rķa datumu, ir nepieciešams izdarī</w:t>
            </w:r>
            <w:r w:rsidR="001404ED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t grozījumu instrukcijā </w:t>
            </w:r>
            <w:proofErr w:type="spellStart"/>
            <w:r w:rsidR="001404ED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Nr.</w:t>
            </w:r>
            <w:r w:rsidR="007C3FFA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7</w:t>
            </w:r>
            <w:proofErr w:type="spellEnd"/>
            <w:r w:rsidR="001404ED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un izteikt </w:t>
            </w:r>
            <w:r w:rsidR="007C3FFA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līgumcenu robežvērtības </w:t>
            </w:r>
            <w:proofErr w:type="spellStart"/>
            <w:r w:rsidR="00AE64B0" w:rsidRPr="0052048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euro</w:t>
            </w:r>
            <w:proofErr w:type="spellEnd"/>
            <w:r w:rsidR="001404ED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, kā arī </w:t>
            </w:r>
            <w:r w:rsidR="007C3FFA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izslēgt atsauces</w:t>
            </w:r>
            <w:r w:rsidR="00810E5E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uz latiem</w:t>
            </w:r>
            <w:r w:rsidR="007749F2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</w:t>
            </w:r>
          </w:p>
        </w:tc>
      </w:tr>
    </w:tbl>
    <w:p w14:paraId="2D1025F8" w14:textId="77777777" w:rsidR="001A2919" w:rsidRDefault="001A291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88"/>
        <w:gridCol w:w="5351"/>
      </w:tblGrid>
      <w:tr w:rsidR="00EA5E16" w:rsidRPr="00520485" w14:paraId="2AC4A6DF" w14:textId="77777777" w:rsidTr="004A187E">
        <w:tc>
          <w:tcPr>
            <w:tcW w:w="648" w:type="dxa"/>
          </w:tcPr>
          <w:p w14:paraId="2AC4A6DC" w14:textId="3764B212" w:rsidR="00EA5E16" w:rsidRPr="00520485" w:rsidRDefault="00EA5E16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3288" w:type="dxa"/>
          </w:tcPr>
          <w:p w14:paraId="2AC4A6DD" w14:textId="77777777" w:rsidR="00EA5E16" w:rsidRPr="00520485" w:rsidRDefault="00EA5E16" w:rsidP="003020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Saistītie politikas ietekmes novērtējumi un pētījumi</w:t>
            </w:r>
          </w:p>
        </w:tc>
        <w:tc>
          <w:tcPr>
            <w:tcW w:w="5351" w:type="dxa"/>
          </w:tcPr>
          <w:p w14:paraId="2AC4A6DE" w14:textId="37E80756" w:rsidR="00EA5E16" w:rsidRPr="00520485" w:rsidRDefault="00810E5E" w:rsidP="00810E5E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Projekts šo jomu neskar</w:t>
            </w:r>
          </w:p>
        </w:tc>
      </w:tr>
      <w:tr w:rsidR="00EA5E16" w:rsidRPr="00520485" w14:paraId="2AC4A6EE" w14:textId="77777777" w:rsidTr="004A187E">
        <w:tc>
          <w:tcPr>
            <w:tcW w:w="648" w:type="dxa"/>
          </w:tcPr>
          <w:p w14:paraId="2AC4A6E0" w14:textId="77777777" w:rsidR="00EA5E16" w:rsidRPr="00520485" w:rsidRDefault="00EA5E16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3288" w:type="dxa"/>
          </w:tcPr>
          <w:p w14:paraId="2AC4A6E1" w14:textId="77777777" w:rsidR="00EA5E16" w:rsidRPr="00520485" w:rsidRDefault="00EA5E16" w:rsidP="003020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Tiesiskā regulējuma mērķis un būtība</w:t>
            </w:r>
          </w:p>
        </w:tc>
        <w:tc>
          <w:tcPr>
            <w:tcW w:w="5351" w:type="dxa"/>
          </w:tcPr>
          <w:p w14:paraId="2AC4A6E2" w14:textId="1C71D353" w:rsidR="00B12023" w:rsidRPr="00520485" w:rsidRDefault="00694B81" w:rsidP="00810E5E">
            <w:pPr>
              <w:rPr>
                <w:rFonts w:eastAsia="Times New Roman" w:cs="Times New Roman"/>
                <w:bCs/>
                <w:iCs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Instrukcijas projekts paredz </w:t>
            </w:r>
            <w:r w:rsidR="00810E5E">
              <w:rPr>
                <w:rFonts w:eastAsia="Times New Roman" w:cs="Times New Roman"/>
                <w:bCs/>
                <w:iCs/>
                <w:szCs w:val="24"/>
                <w:lang w:eastAsia="lv-LV"/>
              </w:rPr>
              <w:t>izdarī</w:t>
            </w:r>
            <w:r w:rsidR="00810E5E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t </w:t>
            </w:r>
            <w:r w:rsidR="000D0F5A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grozījumus</w:t>
            </w:r>
            <w:r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, lai </w:t>
            </w:r>
            <w:r w:rsidR="00B6397F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instrukcijā </w:t>
            </w:r>
            <w:proofErr w:type="spellStart"/>
            <w:r w:rsidR="00B6397F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Nr.7</w:t>
            </w:r>
            <w:proofErr w:type="spellEnd"/>
            <w:r w:rsidR="00B6397F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. </w:t>
            </w:r>
            <w:r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nodrošinātu:</w:t>
            </w:r>
          </w:p>
          <w:p w14:paraId="2AC4A6E3" w14:textId="5171D017" w:rsidR="00694B81" w:rsidRDefault="00694B81" w:rsidP="00810E5E">
            <w:pPr>
              <w:pStyle w:val="ListParagraph"/>
              <w:numPr>
                <w:ilvl w:val="0"/>
                <w:numId w:val="7"/>
              </w:numPr>
              <w:ind w:left="459"/>
              <w:rPr>
                <w:rFonts w:eastAsia="Times New Roman" w:cs="Times New Roman"/>
                <w:bCs/>
                <w:iCs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noteikt</w:t>
            </w:r>
            <w:r w:rsidR="00B6397F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o līgumcenu robežvērtību</w:t>
            </w:r>
            <w:r w:rsidR="00810E5E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(izņemot </w:t>
            </w:r>
            <w:proofErr w:type="spellStart"/>
            <w:r w:rsidR="00810E5E">
              <w:rPr>
                <w:rFonts w:eastAsia="Times New Roman" w:cs="Times New Roman"/>
                <w:bCs/>
                <w:iCs/>
                <w:szCs w:val="24"/>
                <w:lang w:eastAsia="lv-LV"/>
              </w:rPr>
              <w:t>98.1.apakšpunktu</w:t>
            </w:r>
            <w:proofErr w:type="spellEnd"/>
            <w:r w:rsidR="00810E5E">
              <w:rPr>
                <w:rFonts w:eastAsia="Times New Roman" w:cs="Times New Roman"/>
                <w:bCs/>
                <w:iCs/>
                <w:szCs w:val="24"/>
                <w:lang w:eastAsia="lv-LV"/>
              </w:rPr>
              <w:t>)</w:t>
            </w:r>
            <w:r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atbilst</w:t>
            </w:r>
            <w:r w:rsidR="00B6397F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ību</w:t>
            </w:r>
            <w:r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PIL </w:t>
            </w:r>
            <w:proofErr w:type="spellStart"/>
            <w:r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8.panta</w:t>
            </w:r>
            <w:proofErr w:type="spellEnd"/>
            <w:r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otrajā daļā noteiktajai</w:t>
            </w:r>
            <w:r w:rsidR="00B6397F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vērtībai</w:t>
            </w:r>
            <w:proofErr w:type="gramStart"/>
            <w:r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atbilstoši </w:t>
            </w:r>
            <w:r w:rsidR="00B6397F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PIL</w:t>
            </w:r>
            <w:proofErr w:type="gramEnd"/>
            <w:r w:rsidR="00B6397F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redakcijai, kas ir spēkā no </w:t>
            </w:r>
            <w:proofErr w:type="spellStart"/>
            <w:r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2013.gada</w:t>
            </w:r>
            <w:proofErr w:type="spellEnd"/>
            <w:r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</w:t>
            </w:r>
            <w:proofErr w:type="spellStart"/>
            <w:r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1.augusta</w:t>
            </w:r>
            <w:proofErr w:type="spellEnd"/>
            <w:r w:rsidR="00B02790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, kā arī </w:t>
            </w:r>
            <w:r w:rsidR="00B02790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ņemot</w:t>
            </w:r>
            <w:r w:rsidR="00E4343C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vērā</w:t>
            </w:r>
            <w:r w:rsidR="00B02790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</w:t>
            </w:r>
            <w:r w:rsidR="00B02790">
              <w:rPr>
                <w:rFonts w:eastAsia="Times New Roman" w:cs="Times New Roman"/>
                <w:bCs/>
                <w:iCs/>
                <w:szCs w:val="24"/>
                <w:lang w:eastAsia="lv-LV"/>
              </w:rPr>
              <w:t>Eiropas Savienības Padomes noteikto valūtas maiņas kursu</w:t>
            </w:r>
            <w:r w:rsidR="00E4343C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(1 </w:t>
            </w:r>
            <w:proofErr w:type="spellStart"/>
            <w:r w:rsidR="00E4343C" w:rsidRPr="00E4343C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euro</w:t>
            </w:r>
            <w:proofErr w:type="spellEnd"/>
            <w:r w:rsidR="00810E5E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ir 0,702804 lati</w:t>
            </w:r>
            <w:r w:rsidR="00E4343C">
              <w:rPr>
                <w:rFonts w:eastAsia="Times New Roman" w:cs="Times New Roman"/>
                <w:bCs/>
                <w:iCs/>
                <w:szCs w:val="24"/>
                <w:lang w:eastAsia="lv-LV"/>
              </w:rPr>
              <w:t>)</w:t>
            </w:r>
            <w:r w:rsidR="00810E5E">
              <w:rPr>
                <w:rFonts w:eastAsia="Times New Roman" w:cs="Times New Roman"/>
                <w:bCs/>
                <w:iCs/>
                <w:szCs w:val="24"/>
                <w:lang w:eastAsia="lv-LV"/>
              </w:rPr>
              <w:t>.</w:t>
            </w:r>
          </w:p>
          <w:p w14:paraId="2AC4A6E5" w14:textId="0F70EDB8" w:rsidR="00B02790" w:rsidRPr="00432E7F" w:rsidRDefault="00810E5E" w:rsidP="00810E5E">
            <w:pPr>
              <w:pStyle w:val="ListParagraph"/>
              <w:ind w:left="459"/>
              <w:rPr>
                <w:iCs/>
                <w:szCs w:val="24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Tādēļ instrukcijas projekta </w:t>
            </w:r>
            <w:proofErr w:type="spellStart"/>
            <w:r w:rsidR="00B02790" w:rsidRPr="00B02790">
              <w:rPr>
                <w:rFonts w:eastAsia="Times New Roman" w:cs="Times New Roman"/>
                <w:bCs/>
                <w:iCs/>
                <w:szCs w:val="24"/>
                <w:lang w:eastAsia="lv-LV"/>
              </w:rPr>
              <w:t>1.punkts</w:t>
            </w:r>
            <w:proofErr w:type="spellEnd"/>
            <w:r w:rsidR="00B02790" w:rsidRPr="00B02790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paredz </w:t>
            </w:r>
            <w:r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instrukcijā noteiktās summas </w:t>
            </w:r>
            <w:r w:rsidRPr="00B02790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izteikt </w:t>
            </w:r>
            <w:proofErr w:type="spellStart"/>
            <w:r w:rsidRPr="00B02790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euro</w:t>
            </w:r>
            <w:proofErr w:type="spellEnd"/>
            <w:r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–</w:t>
            </w:r>
            <w:r w:rsidR="007D6468">
              <w:rPr>
                <w:b/>
                <w:iCs/>
                <w:szCs w:val="24"/>
              </w:rPr>
              <w:t>2</w:t>
            </w:r>
            <w:r w:rsidR="00B02790" w:rsidRPr="006C4234">
              <w:rPr>
                <w:b/>
                <w:iCs/>
                <w:szCs w:val="24"/>
              </w:rPr>
              <w:t xml:space="preserve">0 000 latu visā </w:t>
            </w:r>
            <w:r w:rsidR="00B02790">
              <w:rPr>
                <w:b/>
                <w:iCs/>
                <w:szCs w:val="24"/>
              </w:rPr>
              <w:t>instrukcijā</w:t>
            </w:r>
            <w:r w:rsidR="00B02790" w:rsidRPr="006C4234">
              <w:rPr>
                <w:b/>
                <w:iCs/>
                <w:szCs w:val="24"/>
              </w:rPr>
              <w:t xml:space="preserve"> tiek izteikti kā 42 000 </w:t>
            </w:r>
            <w:proofErr w:type="spellStart"/>
            <w:r w:rsidR="00B02790" w:rsidRPr="006C4234">
              <w:rPr>
                <w:b/>
                <w:i/>
                <w:iCs/>
                <w:szCs w:val="24"/>
              </w:rPr>
              <w:t>euro</w:t>
            </w:r>
            <w:proofErr w:type="spellEnd"/>
            <w:r w:rsidR="00B02790" w:rsidRPr="006C4234">
              <w:rPr>
                <w:b/>
                <w:iCs/>
                <w:szCs w:val="24"/>
              </w:rPr>
              <w:t xml:space="preserve"> (42 686,15 </w:t>
            </w:r>
            <w:proofErr w:type="spellStart"/>
            <w:r w:rsidR="00B02790" w:rsidRPr="006C4234">
              <w:rPr>
                <w:b/>
                <w:i/>
                <w:iCs/>
                <w:szCs w:val="24"/>
              </w:rPr>
              <w:t>euro</w:t>
            </w:r>
            <w:proofErr w:type="spellEnd"/>
            <w:r>
              <w:rPr>
                <w:b/>
                <w:iCs/>
                <w:szCs w:val="24"/>
              </w:rPr>
              <w:t>);</w:t>
            </w:r>
          </w:p>
          <w:p w14:paraId="2AC4A6E7" w14:textId="194E701F" w:rsidR="009B15B3" w:rsidRPr="001A2919" w:rsidRDefault="00B6397F" w:rsidP="001A2919">
            <w:pPr>
              <w:pStyle w:val="ListParagraph"/>
              <w:numPr>
                <w:ilvl w:val="0"/>
                <w:numId w:val="7"/>
              </w:numPr>
              <w:ind w:left="459"/>
              <w:rPr>
                <w:rFonts w:eastAsia="Times New Roman" w:cs="Times New Roman"/>
                <w:bCs/>
                <w:iCs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atsauču uz latiem aizstāšanu ar atsaucēm uz </w:t>
            </w:r>
            <w:proofErr w:type="spellStart"/>
            <w:r w:rsidRPr="0052048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euro</w:t>
            </w:r>
            <w:proofErr w:type="spellEnd"/>
            <w:r w:rsidR="00E4343C">
              <w:rPr>
                <w:rFonts w:eastAsia="Times New Roman" w:cs="Times New Roman"/>
                <w:bCs/>
                <w:iCs/>
                <w:szCs w:val="24"/>
                <w:lang w:eastAsia="lv-LV"/>
              </w:rPr>
              <w:t>.</w:t>
            </w:r>
          </w:p>
          <w:p w14:paraId="2AC4A6E8" w14:textId="003BC5E5" w:rsidR="00432E7F" w:rsidRDefault="001A2919" w:rsidP="00810E5E">
            <w:pPr>
              <w:rPr>
                <w:rFonts w:eastAsia="Times New Roman" w:cs="Times New Roman"/>
                <w:bCs/>
                <w:i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lv-LV"/>
              </w:rPr>
              <w:t>Vienlaikus</w:t>
            </w:r>
            <w:r w:rsidR="003D03DE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in</w:t>
            </w:r>
            <w:r w:rsidR="00810E5E">
              <w:rPr>
                <w:rFonts w:eastAsia="Times New Roman" w:cs="Times New Roman"/>
                <w:bCs/>
                <w:iCs/>
                <w:szCs w:val="24"/>
                <w:lang w:eastAsia="lv-LV"/>
              </w:rPr>
              <w:t>strukcijas projekts paredz izdarī</w:t>
            </w:r>
            <w:r w:rsidR="00810E5E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t</w:t>
            </w:r>
            <w:r w:rsidR="003D03DE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grozījumu</w:t>
            </w:r>
            <w:r w:rsidR="00810E5E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s, lai instrukcijas Nr.7. </w:t>
            </w:r>
            <w:proofErr w:type="spellStart"/>
            <w:r w:rsidR="00810E5E">
              <w:rPr>
                <w:rFonts w:eastAsia="Times New Roman" w:cs="Times New Roman"/>
                <w:bCs/>
                <w:iCs/>
                <w:szCs w:val="24"/>
                <w:lang w:eastAsia="lv-LV"/>
              </w:rPr>
              <w:t>98.1.</w:t>
            </w:r>
            <w:r w:rsidR="003D03DE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apakšpunkt</w:t>
            </w:r>
            <w:r w:rsidR="009B15B3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ā</w:t>
            </w:r>
            <w:proofErr w:type="spellEnd"/>
            <w:r w:rsidR="003D03DE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atsauci uz latiem </w:t>
            </w:r>
            <w:r w:rsidR="009B15B3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aizstātu ar atsauci uz </w:t>
            </w:r>
            <w:proofErr w:type="spellStart"/>
            <w:r w:rsidR="005008B6" w:rsidRPr="0052048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euro</w:t>
            </w:r>
            <w:proofErr w:type="spellEnd"/>
            <w:r w:rsidR="009B15B3" w:rsidRPr="0052048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 xml:space="preserve"> </w:t>
            </w:r>
            <w:r w:rsidR="009B15B3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un līgumcenu sliekšņa vērtību</w:t>
            </w:r>
            <w:r w:rsidR="005008B6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, kas šobrīd ir noteikt</w:t>
            </w:r>
            <w:r w:rsidR="009B15B3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>a</w:t>
            </w:r>
            <w:r w:rsidR="005008B6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latos</w:t>
            </w:r>
            <w:r w:rsidR="00810E5E">
              <w:rPr>
                <w:rFonts w:eastAsia="Times New Roman" w:cs="Times New Roman"/>
                <w:bCs/>
                <w:iCs/>
                <w:szCs w:val="24"/>
                <w:lang w:eastAsia="lv-LV"/>
              </w:rPr>
              <w:t>,</w:t>
            </w:r>
            <w:r w:rsidR="009B15B3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izteikt </w:t>
            </w:r>
            <w:proofErr w:type="spellStart"/>
            <w:r w:rsidR="009B15B3" w:rsidRPr="00520485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euro</w:t>
            </w:r>
            <w:proofErr w:type="spellEnd"/>
            <w:r w:rsidR="005008B6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, ņemot </w:t>
            </w:r>
            <w:r w:rsidR="00E4343C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vērā </w:t>
            </w:r>
            <w:r w:rsidR="00D203EF">
              <w:rPr>
                <w:rFonts w:eastAsia="Times New Roman" w:cs="Times New Roman"/>
                <w:bCs/>
                <w:iCs/>
                <w:szCs w:val="24"/>
                <w:lang w:eastAsia="lv-LV"/>
              </w:rPr>
              <w:t>Eiropas Savienības Padomes noteikto valūtas m</w:t>
            </w:r>
            <w:r w:rsidR="00B02790">
              <w:rPr>
                <w:rFonts w:eastAsia="Times New Roman" w:cs="Times New Roman"/>
                <w:bCs/>
                <w:iCs/>
                <w:szCs w:val="24"/>
                <w:lang w:eastAsia="lv-LV"/>
              </w:rPr>
              <w:t>a</w:t>
            </w:r>
            <w:r w:rsidR="00D203EF">
              <w:rPr>
                <w:rFonts w:eastAsia="Times New Roman" w:cs="Times New Roman"/>
                <w:bCs/>
                <w:iCs/>
                <w:szCs w:val="24"/>
                <w:lang w:eastAsia="lv-LV"/>
              </w:rPr>
              <w:t>iņas kursu</w:t>
            </w:r>
            <w:r w:rsidR="00E4343C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(1 </w:t>
            </w:r>
            <w:proofErr w:type="spellStart"/>
            <w:r w:rsidR="00E4343C" w:rsidRPr="00E4343C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euro</w:t>
            </w:r>
            <w:proofErr w:type="spellEnd"/>
            <w:r w:rsidR="00810E5E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ir 0,702804 lati</w:t>
            </w:r>
            <w:r w:rsidR="00E4343C">
              <w:rPr>
                <w:rFonts w:eastAsia="Times New Roman" w:cs="Times New Roman"/>
                <w:bCs/>
                <w:iCs/>
                <w:szCs w:val="24"/>
                <w:lang w:eastAsia="lv-LV"/>
              </w:rPr>
              <w:t>)</w:t>
            </w:r>
            <w:r w:rsidR="005008B6" w:rsidRPr="00520485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. </w:t>
            </w:r>
          </w:p>
          <w:p w14:paraId="2AC4A6EA" w14:textId="1023A435" w:rsidR="00432E7F" w:rsidRPr="00432E7F" w:rsidRDefault="00810E5E" w:rsidP="00810E5E">
            <w:pPr>
              <w:pStyle w:val="ListParagraph"/>
              <w:ind w:left="459"/>
              <w:rPr>
                <w:b/>
                <w:iCs/>
                <w:szCs w:val="24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Tādēļ instrukcijas projekta </w:t>
            </w:r>
            <w:proofErr w:type="spellStart"/>
            <w:r w:rsidR="00432E7F">
              <w:rPr>
                <w:rFonts w:eastAsia="Times New Roman" w:cs="Times New Roman"/>
                <w:bCs/>
                <w:iCs/>
                <w:szCs w:val="24"/>
                <w:lang w:eastAsia="lv-LV"/>
              </w:rPr>
              <w:t>3</w:t>
            </w:r>
            <w:r w:rsidR="00432E7F" w:rsidRPr="00B02790">
              <w:rPr>
                <w:rFonts w:eastAsia="Times New Roman" w:cs="Times New Roman"/>
                <w:bCs/>
                <w:iCs/>
                <w:szCs w:val="24"/>
                <w:lang w:eastAsia="lv-LV"/>
              </w:rPr>
              <w:t>.punkts</w:t>
            </w:r>
            <w:proofErr w:type="spellEnd"/>
            <w:r w:rsidR="00432E7F" w:rsidRPr="00B02790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paredz instrukcijā noteiktās summas</w:t>
            </w:r>
            <w:r w:rsidRPr="00B02790"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izteikt </w:t>
            </w:r>
            <w:proofErr w:type="spellStart"/>
            <w:r w:rsidRPr="008A4613">
              <w:rPr>
                <w:rFonts w:eastAsia="Times New Roman" w:cs="Times New Roman"/>
                <w:bCs/>
                <w:i/>
                <w:iCs/>
                <w:szCs w:val="24"/>
                <w:lang w:eastAsia="lv-LV"/>
              </w:rPr>
              <w:t>euro</w:t>
            </w:r>
            <w:proofErr w:type="spellEnd"/>
            <w:r>
              <w:rPr>
                <w:rFonts w:eastAsia="Times New Roman" w:cs="Times New Roman"/>
                <w:bCs/>
                <w:iCs/>
                <w:szCs w:val="24"/>
                <w:lang w:eastAsia="lv-LV"/>
              </w:rPr>
              <w:t xml:space="preserve"> –</w:t>
            </w:r>
            <w:r w:rsidR="00432E7F">
              <w:rPr>
                <w:b/>
                <w:iCs/>
                <w:szCs w:val="24"/>
              </w:rPr>
              <w:t>1</w:t>
            </w:r>
            <w:r w:rsidR="00432E7F" w:rsidRPr="006C4234">
              <w:rPr>
                <w:b/>
                <w:iCs/>
                <w:szCs w:val="24"/>
              </w:rPr>
              <w:t xml:space="preserve">0 000 </w:t>
            </w:r>
            <w:r w:rsidR="00432E7F">
              <w:rPr>
                <w:b/>
                <w:iCs/>
                <w:szCs w:val="24"/>
              </w:rPr>
              <w:t xml:space="preserve">latu </w:t>
            </w:r>
            <w:r w:rsidR="00432E7F" w:rsidRPr="006C4234">
              <w:rPr>
                <w:b/>
                <w:iCs/>
                <w:szCs w:val="24"/>
              </w:rPr>
              <w:t xml:space="preserve">tiek izteikti kā </w:t>
            </w:r>
            <w:r w:rsidR="00432E7F">
              <w:rPr>
                <w:b/>
                <w:iCs/>
                <w:szCs w:val="24"/>
              </w:rPr>
              <w:t>1</w:t>
            </w:r>
            <w:r w:rsidR="00432E7F" w:rsidRPr="006C4234">
              <w:rPr>
                <w:b/>
                <w:iCs/>
                <w:szCs w:val="24"/>
              </w:rPr>
              <w:t xml:space="preserve">4 000 </w:t>
            </w:r>
            <w:proofErr w:type="spellStart"/>
            <w:r w:rsidR="00432E7F" w:rsidRPr="00432E7F">
              <w:rPr>
                <w:b/>
                <w:i/>
                <w:iCs/>
                <w:szCs w:val="24"/>
              </w:rPr>
              <w:t>euro</w:t>
            </w:r>
            <w:proofErr w:type="spellEnd"/>
            <w:r w:rsidR="00432E7F" w:rsidRPr="006C4234">
              <w:rPr>
                <w:b/>
                <w:iCs/>
                <w:szCs w:val="24"/>
              </w:rPr>
              <w:t xml:space="preserve"> (</w:t>
            </w:r>
            <w:r w:rsidR="00432E7F" w:rsidRPr="00F74C18">
              <w:rPr>
                <w:b/>
                <w:iCs/>
                <w:szCs w:val="24"/>
              </w:rPr>
              <w:t>14 228,72</w:t>
            </w:r>
            <w:r w:rsidR="00432E7F">
              <w:rPr>
                <w:b/>
                <w:iCs/>
                <w:szCs w:val="24"/>
              </w:rPr>
              <w:t> </w:t>
            </w:r>
            <w:proofErr w:type="spellStart"/>
            <w:r w:rsidR="00432E7F" w:rsidRPr="00F74C18">
              <w:rPr>
                <w:b/>
                <w:i/>
                <w:iCs/>
                <w:szCs w:val="24"/>
              </w:rPr>
              <w:t>euro</w:t>
            </w:r>
            <w:proofErr w:type="spellEnd"/>
            <w:r w:rsidR="00432E7F" w:rsidRPr="006C4234">
              <w:rPr>
                <w:b/>
                <w:iCs/>
                <w:szCs w:val="24"/>
              </w:rPr>
              <w:t>).</w:t>
            </w:r>
          </w:p>
          <w:p w14:paraId="2AC4A6EB" w14:textId="77777777" w:rsidR="00E4343C" w:rsidRDefault="00E4343C" w:rsidP="00302069">
            <w:pPr>
              <w:pStyle w:val="Nobeigums"/>
              <w:ind w:right="81"/>
              <w:jc w:val="both"/>
              <w:rPr>
                <w:iCs/>
                <w:szCs w:val="24"/>
                <w:lang w:val="lv-LV"/>
              </w:rPr>
            </w:pPr>
          </w:p>
          <w:p w14:paraId="2AC4A6EC" w14:textId="509B0A64" w:rsidR="00CB0E59" w:rsidRPr="00357B50" w:rsidRDefault="00810E5E" w:rsidP="00810E5E">
            <w:pPr>
              <w:pStyle w:val="Nobeigums"/>
              <w:ind w:right="81"/>
              <w:rPr>
                <w:iCs/>
                <w:szCs w:val="24"/>
                <w:lang w:val="lv-LV"/>
              </w:rPr>
            </w:pPr>
            <w:r>
              <w:rPr>
                <w:iCs/>
                <w:szCs w:val="24"/>
                <w:lang w:val="lv-LV"/>
              </w:rPr>
              <w:t>Instrukcijā</w:t>
            </w:r>
            <w:r w:rsidR="00CB0E59" w:rsidRPr="00357B50">
              <w:rPr>
                <w:iCs/>
                <w:szCs w:val="24"/>
                <w:lang w:val="lv-LV"/>
              </w:rPr>
              <w:t xml:space="preserve"> </w:t>
            </w:r>
            <w:proofErr w:type="spellStart"/>
            <w:r w:rsidR="00CB0E59" w:rsidRPr="00357B50">
              <w:rPr>
                <w:iCs/>
                <w:szCs w:val="24"/>
                <w:lang w:val="lv-LV"/>
              </w:rPr>
              <w:t>Nr.7</w:t>
            </w:r>
            <w:proofErr w:type="spellEnd"/>
            <w:r w:rsidR="00CB0E59" w:rsidRPr="00357B50">
              <w:rPr>
                <w:iCs/>
                <w:szCs w:val="24"/>
                <w:lang w:val="lv-LV"/>
              </w:rPr>
              <w:t xml:space="preserve"> iepriekš minēto summu aprēķins anotācijā ir parādīts atbilstoši</w:t>
            </w:r>
            <w:r w:rsidR="00550C39">
              <w:rPr>
                <w:iCs/>
                <w:szCs w:val="24"/>
                <w:lang w:val="lv-LV"/>
              </w:rPr>
              <w:t xml:space="preserve"> </w:t>
            </w:r>
            <w:proofErr w:type="spellStart"/>
            <w:r w:rsidR="00550C39">
              <w:rPr>
                <w:iCs/>
                <w:szCs w:val="24"/>
                <w:lang w:val="lv-LV"/>
              </w:rPr>
              <w:t>EIKL</w:t>
            </w:r>
            <w:proofErr w:type="spellEnd"/>
            <w:r w:rsidR="00550C39">
              <w:rPr>
                <w:iCs/>
                <w:szCs w:val="24"/>
                <w:lang w:val="lv-LV"/>
              </w:rPr>
              <w:t xml:space="preserve"> </w:t>
            </w:r>
            <w:proofErr w:type="spellStart"/>
            <w:r w:rsidR="00550C39">
              <w:rPr>
                <w:iCs/>
                <w:szCs w:val="24"/>
                <w:lang w:val="lv-LV"/>
              </w:rPr>
              <w:t>6.</w:t>
            </w:r>
            <w:r w:rsidR="00CB0E59" w:rsidRPr="00357B50">
              <w:rPr>
                <w:iCs/>
                <w:szCs w:val="24"/>
                <w:lang w:val="lv-LV"/>
              </w:rPr>
              <w:t>pantam</w:t>
            </w:r>
            <w:proofErr w:type="spellEnd"/>
            <w:r w:rsidR="00CB0E59" w:rsidRPr="00357B50">
              <w:rPr>
                <w:iCs/>
                <w:szCs w:val="24"/>
                <w:lang w:val="lv-LV"/>
              </w:rPr>
              <w:t xml:space="preserve">, taču noapaļošana veikta atbilstoši likumprojektā </w:t>
            </w:r>
            <w:r w:rsidR="00302069">
              <w:rPr>
                <w:iCs/>
                <w:szCs w:val="24"/>
                <w:lang w:val="lv-LV"/>
              </w:rPr>
              <w:t>"</w:t>
            </w:r>
            <w:r w:rsidR="00CB0E59" w:rsidRPr="00357B50">
              <w:rPr>
                <w:iCs/>
                <w:szCs w:val="24"/>
                <w:lang w:val="lv-LV"/>
              </w:rPr>
              <w:t>Grozījumi Publisko iepirkumu likumā</w:t>
            </w:r>
            <w:r w:rsidR="00302069">
              <w:rPr>
                <w:iCs/>
                <w:szCs w:val="24"/>
                <w:lang w:val="lv-LV"/>
              </w:rPr>
              <w:t>"</w:t>
            </w:r>
            <w:r>
              <w:rPr>
                <w:iCs/>
                <w:szCs w:val="24"/>
                <w:lang w:val="lv-LV"/>
              </w:rPr>
              <w:t xml:space="preserve"> (pieņemts</w:t>
            </w:r>
            <w:r w:rsidR="001A2919">
              <w:rPr>
                <w:iCs/>
                <w:szCs w:val="24"/>
                <w:lang w:val="lv-LV"/>
              </w:rPr>
              <w:t xml:space="preserve"> Saeimā </w:t>
            </w:r>
            <w:proofErr w:type="spellStart"/>
            <w:r w:rsidR="001A2919">
              <w:rPr>
                <w:iCs/>
                <w:szCs w:val="24"/>
                <w:lang w:val="lv-LV"/>
              </w:rPr>
              <w:t>2013.gada</w:t>
            </w:r>
            <w:proofErr w:type="spellEnd"/>
            <w:r w:rsidR="001A2919">
              <w:rPr>
                <w:iCs/>
                <w:szCs w:val="24"/>
                <w:lang w:val="lv-LV"/>
              </w:rPr>
              <w:t> </w:t>
            </w:r>
            <w:proofErr w:type="spellStart"/>
            <w:r w:rsidR="001A2919">
              <w:rPr>
                <w:iCs/>
                <w:szCs w:val="24"/>
                <w:lang w:val="lv-LV"/>
              </w:rPr>
              <w:t>19.</w:t>
            </w:r>
            <w:r w:rsidR="00CB0E59" w:rsidRPr="00357B50">
              <w:rPr>
                <w:iCs/>
                <w:szCs w:val="24"/>
                <w:lang w:val="lv-LV"/>
              </w:rPr>
              <w:t>septembrī</w:t>
            </w:r>
            <w:proofErr w:type="spellEnd"/>
            <w:r>
              <w:rPr>
                <w:iCs/>
                <w:szCs w:val="24"/>
                <w:lang w:val="lv-LV"/>
              </w:rPr>
              <w:t>)</w:t>
            </w:r>
            <w:r w:rsidR="00CB0E59" w:rsidRPr="00357B50">
              <w:rPr>
                <w:iCs/>
                <w:szCs w:val="24"/>
                <w:lang w:val="lv-LV"/>
              </w:rPr>
              <w:t xml:space="preserve"> norādītajām summām.</w:t>
            </w:r>
          </w:p>
          <w:p w14:paraId="2AC4A6ED" w14:textId="5AF6151C" w:rsidR="00D203EF" w:rsidRPr="00D203EF" w:rsidRDefault="00810E5E" w:rsidP="00810E5E">
            <w:pPr>
              <w:rPr>
                <w:szCs w:val="23"/>
                <w:lang w:eastAsia="ru-RU"/>
              </w:rPr>
            </w:pPr>
            <w:r>
              <w:rPr>
                <w:szCs w:val="23"/>
                <w:lang w:eastAsia="ru-RU"/>
              </w:rPr>
              <w:t>I</w:t>
            </w:r>
            <w:r w:rsidR="00D203EF">
              <w:rPr>
                <w:szCs w:val="23"/>
                <w:lang w:eastAsia="ru-RU"/>
              </w:rPr>
              <w:t xml:space="preserve">nstrukcijas </w:t>
            </w:r>
            <w:r w:rsidR="00D203EF" w:rsidRPr="00343FFB">
              <w:rPr>
                <w:szCs w:val="23"/>
                <w:lang w:eastAsia="ru-RU"/>
              </w:rPr>
              <w:t>projekta punkt</w:t>
            </w:r>
            <w:r w:rsidR="00D203EF">
              <w:rPr>
                <w:szCs w:val="23"/>
                <w:lang w:eastAsia="ru-RU"/>
              </w:rPr>
              <w:t>i</w:t>
            </w:r>
            <w:r w:rsidR="00D203EF" w:rsidRPr="00343FFB">
              <w:rPr>
                <w:szCs w:val="23"/>
                <w:lang w:eastAsia="ru-RU"/>
              </w:rPr>
              <w:t>, kur</w:t>
            </w:r>
            <w:r w:rsidR="00D203EF">
              <w:rPr>
                <w:szCs w:val="23"/>
                <w:lang w:eastAsia="ru-RU"/>
              </w:rPr>
              <w:t>os</w:t>
            </w:r>
            <w:r w:rsidR="00D203EF" w:rsidRPr="00343FFB">
              <w:rPr>
                <w:szCs w:val="23"/>
                <w:lang w:eastAsia="ru-RU"/>
              </w:rPr>
              <w:t xml:space="preserve"> skaitliskā vērtība tiek izteikta </w:t>
            </w:r>
            <w:proofErr w:type="spellStart"/>
            <w:r w:rsidR="00D203EF" w:rsidRPr="00343FFB">
              <w:rPr>
                <w:i/>
                <w:szCs w:val="23"/>
                <w:lang w:eastAsia="ru-RU"/>
              </w:rPr>
              <w:t>euro</w:t>
            </w:r>
            <w:proofErr w:type="spellEnd"/>
            <w:r w:rsidR="00D203EF" w:rsidRPr="00343FFB">
              <w:rPr>
                <w:szCs w:val="23"/>
                <w:lang w:eastAsia="ru-RU"/>
              </w:rPr>
              <w:t>, nav personai nelabvēlīgāk</w:t>
            </w:r>
            <w:r w:rsidR="009C5B70">
              <w:rPr>
                <w:szCs w:val="23"/>
                <w:lang w:eastAsia="ru-RU"/>
              </w:rPr>
              <w:t>i</w:t>
            </w:r>
            <w:r w:rsidR="00D203EF" w:rsidRPr="00343FFB">
              <w:rPr>
                <w:szCs w:val="23"/>
                <w:lang w:eastAsia="ru-RU"/>
              </w:rPr>
              <w:t xml:space="preserve"> par sākotnējo tiesību normu, kurā skaitl</w:t>
            </w:r>
            <w:r>
              <w:rPr>
                <w:szCs w:val="23"/>
                <w:lang w:eastAsia="ru-RU"/>
              </w:rPr>
              <w:t>iskā vērtība ir izteikta latos</w:t>
            </w:r>
          </w:p>
        </w:tc>
      </w:tr>
      <w:tr w:rsidR="00EA5E16" w:rsidRPr="00520485" w14:paraId="2AC4A6F2" w14:textId="77777777" w:rsidTr="004A187E">
        <w:tc>
          <w:tcPr>
            <w:tcW w:w="648" w:type="dxa"/>
          </w:tcPr>
          <w:p w14:paraId="2AC4A6EF" w14:textId="77777777" w:rsidR="00EA5E16" w:rsidRPr="00520485" w:rsidRDefault="00EA5E16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5.</w:t>
            </w:r>
          </w:p>
        </w:tc>
        <w:tc>
          <w:tcPr>
            <w:tcW w:w="3288" w:type="dxa"/>
          </w:tcPr>
          <w:p w14:paraId="2AC4A6F0" w14:textId="77777777" w:rsidR="00EA5E16" w:rsidRPr="00520485" w:rsidRDefault="00EA5E16" w:rsidP="003020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5351" w:type="dxa"/>
          </w:tcPr>
          <w:p w14:paraId="2AC4A6F1" w14:textId="4C4498F7" w:rsidR="00EA5E16" w:rsidRPr="00520485" w:rsidRDefault="001A2919" w:rsidP="00810E5E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Projekts šo jomu neskar</w:t>
            </w:r>
          </w:p>
        </w:tc>
      </w:tr>
      <w:tr w:rsidR="00EA5E16" w:rsidRPr="00520485" w14:paraId="2AC4A6F7" w14:textId="77777777" w:rsidTr="004A187E">
        <w:tc>
          <w:tcPr>
            <w:tcW w:w="648" w:type="dxa"/>
          </w:tcPr>
          <w:p w14:paraId="2AC4A6F3" w14:textId="77777777" w:rsidR="00EA5E16" w:rsidRPr="00520485" w:rsidRDefault="00EA5E16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6.</w:t>
            </w:r>
          </w:p>
        </w:tc>
        <w:tc>
          <w:tcPr>
            <w:tcW w:w="3288" w:type="dxa"/>
          </w:tcPr>
          <w:p w14:paraId="2AC4A6F4" w14:textId="77777777" w:rsidR="00EA5E16" w:rsidRPr="00520485" w:rsidRDefault="00EA5E16" w:rsidP="0030206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Iemesli, kādēļ netika nodrošināta sabiedrības līdzdalība</w:t>
            </w:r>
          </w:p>
        </w:tc>
        <w:tc>
          <w:tcPr>
            <w:tcW w:w="5351" w:type="dxa"/>
          </w:tcPr>
          <w:p w14:paraId="2AC4A6F5" w14:textId="2D94CC08" w:rsidR="002F5E0E" w:rsidRPr="00520485" w:rsidRDefault="002F5E0E" w:rsidP="00810E5E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Sabiedrības līdzdalība </w:t>
            </w:r>
            <w:r w:rsidR="001B16C6" w:rsidRPr="00520485">
              <w:rPr>
                <w:rFonts w:eastAsia="Times New Roman" w:cs="Times New Roman"/>
                <w:iCs/>
                <w:szCs w:val="24"/>
                <w:lang w:eastAsia="lv-LV"/>
              </w:rPr>
              <w:t>instrukcijas</w:t>
            </w:r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 projekta izstrādes gaitā nebija nepieciešama, jo</w:t>
            </w:r>
            <w:r w:rsidR="005A79F5"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 </w:t>
            </w:r>
            <w:r w:rsidR="0033693B"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pamatā tie ir tehniski grozījumi un </w:t>
            </w:r>
            <w:r w:rsidR="005A79F5"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latu konvertācijā uz </w:t>
            </w:r>
            <w:proofErr w:type="spellStart"/>
            <w:r w:rsidR="00AE64B0" w:rsidRPr="00520485">
              <w:rPr>
                <w:rFonts w:eastAsia="Times New Roman" w:cs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="005A79F5"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 tiek piemērotas </w:t>
            </w:r>
            <w:proofErr w:type="spellStart"/>
            <w:r w:rsidR="009B15B3" w:rsidRPr="00520485">
              <w:rPr>
                <w:rFonts w:eastAsia="Times New Roman" w:cs="Times New Roman"/>
                <w:iCs/>
                <w:szCs w:val="24"/>
                <w:lang w:eastAsia="lv-LV"/>
              </w:rPr>
              <w:t>EIKL</w:t>
            </w:r>
            <w:proofErr w:type="spellEnd"/>
            <w:r w:rsidR="0063654E"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 noteiktie noapaļošanas principi un nosacījumi grozījumiem tiesību aktos, kas saistīti ar </w:t>
            </w:r>
            <w:proofErr w:type="spellStart"/>
            <w:r w:rsidR="00AE64B0" w:rsidRPr="00520485">
              <w:rPr>
                <w:rFonts w:eastAsia="Times New Roman" w:cs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="0063654E"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 ieviešanu</w:t>
            </w:r>
            <w:r w:rsidR="005A79F5"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.   </w:t>
            </w:r>
          </w:p>
          <w:p w14:paraId="2AC4A6F6" w14:textId="7421A89A" w:rsidR="00EA5E16" w:rsidRPr="00520485" w:rsidRDefault="002F5E0E" w:rsidP="00810E5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iCs/>
                <w:szCs w:val="24"/>
                <w:lang w:eastAsia="lv-LV"/>
              </w:rPr>
              <w:t xml:space="preserve">Turklāt </w:t>
            </w:r>
            <w:r w:rsidRPr="00520485">
              <w:rPr>
                <w:rFonts w:eastAsia="Times New Roman" w:cs="Times New Roman"/>
                <w:szCs w:val="24"/>
                <w:lang w:eastAsia="lv-LV"/>
              </w:rPr>
              <w:t>instrukcijas projekts attiecas uz ministrij</w:t>
            </w:r>
            <w:r w:rsidR="00FF52AD" w:rsidRPr="00520485">
              <w:rPr>
                <w:rFonts w:eastAsia="Times New Roman" w:cs="Times New Roman"/>
                <w:szCs w:val="24"/>
                <w:lang w:eastAsia="lv-LV"/>
              </w:rPr>
              <w:t>ām</w:t>
            </w:r>
            <w:r w:rsidR="00255B41" w:rsidRPr="00520485"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  <w:r w:rsidRPr="00520485">
              <w:rPr>
                <w:rFonts w:eastAsia="Times New Roman" w:cs="Times New Roman"/>
                <w:szCs w:val="24"/>
                <w:lang w:eastAsia="lv-LV"/>
              </w:rPr>
              <w:t>cit</w:t>
            </w:r>
            <w:r w:rsidR="00FF52AD" w:rsidRPr="00520485">
              <w:rPr>
                <w:rFonts w:eastAsia="Times New Roman" w:cs="Times New Roman"/>
                <w:szCs w:val="24"/>
                <w:lang w:eastAsia="lv-LV"/>
              </w:rPr>
              <w:t>ām</w:t>
            </w:r>
            <w:r w:rsidRPr="00520485">
              <w:rPr>
                <w:rFonts w:eastAsia="Times New Roman" w:cs="Times New Roman"/>
                <w:szCs w:val="24"/>
                <w:lang w:eastAsia="lv-LV"/>
              </w:rPr>
              <w:t xml:space="preserve"> centrāl</w:t>
            </w:r>
            <w:r w:rsidR="00FF52AD" w:rsidRPr="00520485">
              <w:rPr>
                <w:rFonts w:eastAsia="Times New Roman" w:cs="Times New Roman"/>
                <w:szCs w:val="24"/>
                <w:lang w:eastAsia="lv-LV"/>
              </w:rPr>
              <w:t>ajām</w:t>
            </w:r>
            <w:r w:rsidRPr="00520485">
              <w:rPr>
                <w:rFonts w:eastAsia="Times New Roman" w:cs="Times New Roman"/>
                <w:szCs w:val="24"/>
                <w:lang w:eastAsia="lv-LV"/>
              </w:rPr>
              <w:t xml:space="preserve"> valsts iestā</w:t>
            </w:r>
            <w:r w:rsidR="00FF52AD" w:rsidRPr="00520485">
              <w:rPr>
                <w:rFonts w:eastAsia="Times New Roman" w:cs="Times New Roman"/>
                <w:szCs w:val="24"/>
                <w:lang w:eastAsia="lv-LV"/>
              </w:rPr>
              <w:t>dēm</w:t>
            </w:r>
            <w:r w:rsidR="00255B41" w:rsidRPr="00520485">
              <w:rPr>
                <w:rFonts w:eastAsia="Times New Roman" w:cs="Times New Roman"/>
                <w:szCs w:val="24"/>
                <w:lang w:eastAsia="lv-LV"/>
              </w:rPr>
              <w:t xml:space="preserve"> un to padotībā esošām iestādēm</w:t>
            </w:r>
          </w:p>
        </w:tc>
      </w:tr>
      <w:tr w:rsidR="00EA5E16" w:rsidRPr="00520485" w14:paraId="2AC4A6FB" w14:textId="77777777" w:rsidTr="004A187E">
        <w:tc>
          <w:tcPr>
            <w:tcW w:w="648" w:type="dxa"/>
          </w:tcPr>
          <w:p w14:paraId="2AC4A6F8" w14:textId="77777777" w:rsidR="00EA5E16" w:rsidRPr="00520485" w:rsidRDefault="00EA5E16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lastRenderedPageBreak/>
              <w:t>7.</w:t>
            </w:r>
          </w:p>
        </w:tc>
        <w:tc>
          <w:tcPr>
            <w:tcW w:w="3288" w:type="dxa"/>
          </w:tcPr>
          <w:p w14:paraId="2AC4A6F9" w14:textId="77777777" w:rsidR="00EA5E16" w:rsidRPr="00520485" w:rsidRDefault="00EA5E16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5351" w:type="dxa"/>
          </w:tcPr>
          <w:p w14:paraId="2AC4A6FA" w14:textId="2F788820" w:rsidR="00EA5E16" w:rsidRPr="00520485" w:rsidRDefault="00F46166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810E5E">
              <w:rPr>
                <w:rFonts w:eastAsia="Times New Roman" w:cs="Times New Roman"/>
                <w:szCs w:val="24"/>
                <w:lang w:eastAsia="lv-LV"/>
              </w:rPr>
              <w:t>av</w:t>
            </w:r>
          </w:p>
        </w:tc>
      </w:tr>
    </w:tbl>
    <w:p w14:paraId="2AC4A6FC" w14:textId="77777777" w:rsidR="009F302C" w:rsidRPr="00520485" w:rsidRDefault="009F302C" w:rsidP="00302069">
      <w:pPr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3417"/>
        <w:gridCol w:w="5351"/>
      </w:tblGrid>
      <w:tr w:rsidR="009F302C" w:rsidRPr="00520485" w14:paraId="2AC4A6FE" w14:textId="77777777" w:rsidTr="004A187E">
        <w:tc>
          <w:tcPr>
            <w:tcW w:w="9287" w:type="dxa"/>
            <w:gridSpan w:val="3"/>
          </w:tcPr>
          <w:p w14:paraId="2AC4A6FD" w14:textId="77777777" w:rsidR="009F302C" w:rsidRPr="00520485" w:rsidRDefault="009F302C" w:rsidP="0030206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b/>
                <w:bCs/>
                <w:szCs w:val="24"/>
                <w:lang w:eastAsia="lv-LV"/>
              </w:rPr>
              <w:t>II. Tiesību akta projekta ietekme uz sabiedrību</w:t>
            </w:r>
          </w:p>
        </w:tc>
      </w:tr>
      <w:tr w:rsidR="009F302C" w:rsidRPr="00520485" w14:paraId="2AC4A702" w14:textId="77777777" w:rsidTr="00DB6441">
        <w:tc>
          <w:tcPr>
            <w:tcW w:w="519" w:type="dxa"/>
          </w:tcPr>
          <w:p w14:paraId="2AC4A6FF" w14:textId="77777777" w:rsidR="009F302C" w:rsidRPr="00520485" w:rsidRDefault="009F302C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3417" w:type="dxa"/>
          </w:tcPr>
          <w:p w14:paraId="2AC4A700" w14:textId="77777777" w:rsidR="009F302C" w:rsidRPr="00520485" w:rsidRDefault="009F302C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Sabiedrības mērķgrupa</w:t>
            </w:r>
          </w:p>
        </w:tc>
        <w:tc>
          <w:tcPr>
            <w:tcW w:w="5351" w:type="dxa"/>
          </w:tcPr>
          <w:p w14:paraId="2AC4A701" w14:textId="6E8E3B08" w:rsidR="009F302C" w:rsidRPr="00520485" w:rsidRDefault="00784048" w:rsidP="00810E5E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 xml:space="preserve">Valsts tiešās pārvaldes iestādes, kuras izstrādā un slēdz civiltiesiskus līgumus, kuru izpildi finansē </w:t>
            </w:r>
            <w:r w:rsidR="00810E5E" w:rsidRPr="00520485">
              <w:rPr>
                <w:rFonts w:eastAsia="Times New Roman" w:cs="Times New Roman"/>
                <w:szCs w:val="24"/>
                <w:lang w:eastAsia="lv-LV"/>
              </w:rPr>
              <w:t xml:space="preserve">instrukcijas </w:t>
            </w:r>
            <w:proofErr w:type="spellStart"/>
            <w:r w:rsidR="00810E5E" w:rsidRPr="00520485">
              <w:rPr>
                <w:rFonts w:eastAsia="Times New Roman" w:cs="Times New Roman"/>
                <w:szCs w:val="24"/>
                <w:lang w:eastAsia="lv-LV"/>
              </w:rPr>
              <w:t>1.punktā</w:t>
            </w:r>
            <w:proofErr w:type="spellEnd"/>
            <w:r w:rsidR="00810E5E" w:rsidRPr="00520485">
              <w:rPr>
                <w:rFonts w:eastAsia="Times New Roman" w:cs="Times New Roman"/>
                <w:szCs w:val="24"/>
                <w:lang w:eastAsia="lv-LV"/>
              </w:rPr>
              <w:t xml:space="preserve"> minēti</w:t>
            </w:r>
            <w:r w:rsidR="00810E5E">
              <w:rPr>
                <w:rFonts w:eastAsia="Times New Roman" w:cs="Times New Roman"/>
                <w:szCs w:val="24"/>
                <w:lang w:eastAsia="lv-LV"/>
              </w:rPr>
              <w:t>e</w:t>
            </w:r>
            <w:r w:rsidR="00810E5E" w:rsidRPr="00520485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520485">
              <w:rPr>
                <w:rFonts w:eastAsia="Times New Roman" w:cs="Times New Roman"/>
                <w:szCs w:val="24"/>
                <w:lang w:eastAsia="lv-LV"/>
              </w:rPr>
              <w:t>ā</w:t>
            </w:r>
            <w:r w:rsidR="00810E5E">
              <w:rPr>
                <w:rFonts w:eastAsia="Times New Roman" w:cs="Times New Roman"/>
                <w:szCs w:val="24"/>
                <w:lang w:eastAsia="lv-LV"/>
              </w:rPr>
              <w:t>rvalstu finanšu instrumenti</w:t>
            </w:r>
          </w:p>
        </w:tc>
      </w:tr>
      <w:tr w:rsidR="009F302C" w:rsidRPr="00520485" w14:paraId="2AC4A706" w14:textId="77777777" w:rsidTr="00DB6441">
        <w:tc>
          <w:tcPr>
            <w:tcW w:w="519" w:type="dxa"/>
          </w:tcPr>
          <w:p w14:paraId="2AC4A703" w14:textId="77777777" w:rsidR="009F302C" w:rsidRPr="00520485" w:rsidRDefault="009F302C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3417" w:type="dxa"/>
          </w:tcPr>
          <w:p w14:paraId="2AC4A704" w14:textId="77777777" w:rsidR="009F302C" w:rsidRPr="00520485" w:rsidRDefault="009F302C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Citas sabiedrības grupas (bez mērķgrupas), kuras tiesiskais regulējums arī ietekmē vai varētu ietekmēt</w:t>
            </w:r>
          </w:p>
        </w:tc>
        <w:tc>
          <w:tcPr>
            <w:tcW w:w="5351" w:type="dxa"/>
          </w:tcPr>
          <w:p w14:paraId="2AC4A705" w14:textId="2B57C007" w:rsidR="009F302C" w:rsidRPr="00520485" w:rsidRDefault="007A2D8A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P</w:t>
            </w:r>
            <w:r w:rsidR="00810E5E">
              <w:rPr>
                <w:rFonts w:eastAsia="Times New Roman" w:cs="Times New Roman"/>
                <w:szCs w:val="24"/>
                <w:lang w:eastAsia="lv-LV"/>
              </w:rPr>
              <w:t>iegādātāji, ar kuriem</w:t>
            </w:r>
            <w:r w:rsidR="00A34A1E" w:rsidRPr="00520485">
              <w:rPr>
                <w:rFonts w:eastAsia="Times New Roman" w:cs="Times New Roman"/>
                <w:szCs w:val="24"/>
                <w:lang w:eastAsia="lv-LV"/>
              </w:rPr>
              <w:t xml:space="preserve"> valsts tiešās pārvaldes iestādes slēdz civiltiesiskus līgumus, kuru izpildi finansē</w:t>
            </w:r>
            <w:r w:rsidR="00810E5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="00810E5E" w:rsidRPr="00520485">
              <w:rPr>
                <w:rFonts w:eastAsia="Times New Roman" w:cs="Times New Roman"/>
                <w:szCs w:val="24"/>
                <w:lang w:eastAsia="lv-LV"/>
              </w:rPr>
              <w:t xml:space="preserve">instrukcijas </w:t>
            </w:r>
            <w:proofErr w:type="spellStart"/>
            <w:r w:rsidR="00810E5E" w:rsidRPr="00520485">
              <w:rPr>
                <w:rFonts w:eastAsia="Times New Roman" w:cs="Times New Roman"/>
                <w:szCs w:val="24"/>
                <w:lang w:eastAsia="lv-LV"/>
              </w:rPr>
              <w:t>1.punktā</w:t>
            </w:r>
            <w:proofErr w:type="spellEnd"/>
            <w:r w:rsidR="00810E5E" w:rsidRPr="00520485">
              <w:rPr>
                <w:rFonts w:eastAsia="Times New Roman" w:cs="Times New Roman"/>
                <w:szCs w:val="24"/>
                <w:lang w:eastAsia="lv-LV"/>
              </w:rPr>
              <w:t xml:space="preserve"> minēti</w:t>
            </w:r>
            <w:r w:rsidR="00810E5E">
              <w:rPr>
                <w:rFonts w:eastAsia="Times New Roman" w:cs="Times New Roman"/>
                <w:szCs w:val="24"/>
                <w:lang w:eastAsia="lv-LV"/>
              </w:rPr>
              <w:t>e</w:t>
            </w:r>
            <w:r w:rsidR="00A34A1E" w:rsidRPr="00520485">
              <w:rPr>
                <w:rFonts w:eastAsia="Times New Roman" w:cs="Times New Roman"/>
                <w:szCs w:val="24"/>
                <w:lang w:eastAsia="lv-LV"/>
              </w:rPr>
              <w:t xml:space="preserve"> ārvalstu finanšu </w:t>
            </w:r>
            <w:r w:rsidR="00810E5E">
              <w:rPr>
                <w:rFonts w:eastAsia="Times New Roman" w:cs="Times New Roman"/>
                <w:szCs w:val="24"/>
                <w:lang w:eastAsia="lv-LV"/>
              </w:rPr>
              <w:t>instrumenti</w:t>
            </w:r>
            <w:r w:rsidRPr="00520485">
              <w:rPr>
                <w:rFonts w:eastAsia="Times New Roman" w:cs="Times New Roman"/>
                <w:szCs w:val="24"/>
                <w:lang w:eastAsia="lv-LV"/>
              </w:rPr>
              <w:t xml:space="preserve">. </w:t>
            </w:r>
            <w:r w:rsidRPr="00520485">
              <w:rPr>
                <w:rFonts w:eastAsia="EUAlbertina_Bold" w:cs="Times New Roman"/>
                <w:szCs w:val="24"/>
              </w:rPr>
              <w:t>To aptuvenais skaits nav zināms, jo par piegādātāju var būt gan fiziskas, gan juridiskas personas, ta</w:t>
            </w:r>
            <w:r w:rsidR="00810E5E">
              <w:rPr>
                <w:rFonts w:eastAsia="EUAlbertina_Bold" w:cs="Times New Roman"/>
                <w:szCs w:val="24"/>
              </w:rPr>
              <w:t>jā skaitā personas no ārvalstīm</w:t>
            </w:r>
          </w:p>
        </w:tc>
      </w:tr>
      <w:tr w:rsidR="009F302C" w:rsidRPr="00520485" w14:paraId="2AC4A70A" w14:textId="77777777" w:rsidTr="00DB6441">
        <w:tc>
          <w:tcPr>
            <w:tcW w:w="519" w:type="dxa"/>
          </w:tcPr>
          <w:p w14:paraId="2AC4A707" w14:textId="77777777" w:rsidR="009F302C" w:rsidRPr="00520485" w:rsidRDefault="009F302C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3417" w:type="dxa"/>
          </w:tcPr>
          <w:p w14:paraId="2AC4A708" w14:textId="77777777" w:rsidR="009F302C" w:rsidRPr="00520485" w:rsidRDefault="009F302C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Tiesiskā regulējuma finansiālā ietekme</w:t>
            </w:r>
          </w:p>
        </w:tc>
        <w:tc>
          <w:tcPr>
            <w:tcW w:w="5351" w:type="dxa"/>
          </w:tcPr>
          <w:p w14:paraId="2AC4A709" w14:textId="0F4B16C7" w:rsidR="009F302C" w:rsidRPr="00520485" w:rsidRDefault="00810E5E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Projekts šo jomu neskar</w:t>
            </w:r>
          </w:p>
        </w:tc>
      </w:tr>
      <w:tr w:rsidR="009F302C" w:rsidRPr="00520485" w14:paraId="2AC4A70E" w14:textId="77777777" w:rsidTr="00DB6441">
        <w:tc>
          <w:tcPr>
            <w:tcW w:w="519" w:type="dxa"/>
          </w:tcPr>
          <w:p w14:paraId="2AC4A70B" w14:textId="77777777" w:rsidR="009F302C" w:rsidRPr="00520485" w:rsidRDefault="009F302C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3417" w:type="dxa"/>
          </w:tcPr>
          <w:p w14:paraId="2AC4A70C" w14:textId="77777777" w:rsidR="009F302C" w:rsidRPr="00520485" w:rsidRDefault="009F302C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Tiesiskā regulējuma nefinansiālā ietekme</w:t>
            </w:r>
          </w:p>
        </w:tc>
        <w:tc>
          <w:tcPr>
            <w:tcW w:w="5351" w:type="dxa"/>
          </w:tcPr>
          <w:p w14:paraId="2AC4A70D" w14:textId="4EB58C29" w:rsidR="009F302C" w:rsidRPr="00520485" w:rsidRDefault="00D51B9D" w:rsidP="00810E5E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Projekts šo jomu neskar</w:t>
            </w:r>
          </w:p>
        </w:tc>
      </w:tr>
      <w:tr w:rsidR="009F302C" w:rsidRPr="00520485" w14:paraId="2AC4A712" w14:textId="77777777" w:rsidTr="00DB6441">
        <w:tc>
          <w:tcPr>
            <w:tcW w:w="519" w:type="dxa"/>
          </w:tcPr>
          <w:p w14:paraId="2AC4A70F" w14:textId="77777777" w:rsidR="009F302C" w:rsidRPr="00520485" w:rsidRDefault="009F302C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5.</w:t>
            </w:r>
          </w:p>
        </w:tc>
        <w:tc>
          <w:tcPr>
            <w:tcW w:w="3417" w:type="dxa"/>
          </w:tcPr>
          <w:p w14:paraId="2AC4A710" w14:textId="77777777" w:rsidR="009F302C" w:rsidRPr="00520485" w:rsidRDefault="009F302C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Administratīvās procedūras raksturojums</w:t>
            </w:r>
          </w:p>
        </w:tc>
        <w:tc>
          <w:tcPr>
            <w:tcW w:w="5351" w:type="dxa"/>
          </w:tcPr>
          <w:p w14:paraId="2AC4A711" w14:textId="0C6AC74F" w:rsidR="009F302C" w:rsidRPr="00520485" w:rsidRDefault="00810E5E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</w:rPr>
              <w:t>Projekts šo jomu neskar</w:t>
            </w:r>
          </w:p>
        </w:tc>
      </w:tr>
      <w:tr w:rsidR="009F302C" w:rsidRPr="00520485" w14:paraId="2AC4A716" w14:textId="77777777" w:rsidTr="00DB6441">
        <w:tc>
          <w:tcPr>
            <w:tcW w:w="519" w:type="dxa"/>
          </w:tcPr>
          <w:p w14:paraId="2AC4A713" w14:textId="77777777" w:rsidR="009F302C" w:rsidRPr="00520485" w:rsidRDefault="009F302C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6.</w:t>
            </w:r>
          </w:p>
        </w:tc>
        <w:tc>
          <w:tcPr>
            <w:tcW w:w="3417" w:type="dxa"/>
          </w:tcPr>
          <w:p w14:paraId="2AC4A714" w14:textId="77777777" w:rsidR="009F302C" w:rsidRPr="00520485" w:rsidRDefault="009F302C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5351" w:type="dxa"/>
          </w:tcPr>
          <w:p w14:paraId="2AC4A715" w14:textId="24075EDC" w:rsidR="009F302C" w:rsidRPr="00520485" w:rsidRDefault="00810E5E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Projekts šo jomu neskar</w:t>
            </w:r>
          </w:p>
        </w:tc>
      </w:tr>
      <w:tr w:rsidR="009F302C" w:rsidRPr="00520485" w14:paraId="2AC4A71A" w14:textId="77777777" w:rsidTr="00DB6441">
        <w:tc>
          <w:tcPr>
            <w:tcW w:w="519" w:type="dxa"/>
          </w:tcPr>
          <w:p w14:paraId="2AC4A717" w14:textId="77777777" w:rsidR="009F302C" w:rsidRPr="00520485" w:rsidRDefault="009F302C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7.</w:t>
            </w:r>
          </w:p>
        </w:tc>
        <w:tc>
          <w:tcPr>
            <w:tcW w:w="3417" w:type="dxa"/>
          </w:tcPr>
          <w:p w14:paraId="2AC4A718" w14:textId="77777777" w:rsidR="009F302C" w:rsidRPr="00520485" w:rsidRDefault="009F302C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520485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5351" w:type="dxa"/>
          </w:tcPr>
          <w:p w14:paraId="2AC4A719" w14:textId="210CE7A8" w:rsidR="009F302C" w:rsidRPr="00520485" w:rsidRDefault="00810E5E" w:rsidP="00302069">
            <w:pPr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</w:t>
            </w:r>
          </w:p>
        </w:tc>
      </w:tr>
    </w:tbl>
    <w:p w14:paraId="2AC4A71B" w14:textId="77777777" w:rsidR="009F302C" w:rsidRPr="00520485" w:rsidRDefault="009F302C" w:rsidP="00302069">
      <w:pPr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444"/>
        <w:gridCol w:w="5344"/>
      </w:tblGrid>
      <w:tr w:rsidR="007A2D8A" w:rsidRPr="00520485" w14:paraId="2AC4A71D" w14:textId="77777777" w:rsidTr="00631B53">
        <w:tc>
          <w:tcPr>
            <w:tcW w:w="9356" w:type="dxa"/>
            <w:gridSpan w:val="3"/>
          </w:tcPr>
          <w:p w14:paraId="2AC4A71C" w14:textId="77777777" w:rsidR="007A2D8A" w:rsidRPr="00520485" w:rsidRDefault="007A2D8A" w:rsidP="00302069">
            <w:pPr>
              <w:rPr>
                <w:rFonts w:cs="Times New Roman"/>
                <w:b/>
                <w:szCs w:val="24"/>
              </w:rPr>
            </w:pPr>
            <w:r w:rsidRPr="00520485">
              <w:rPr>
                <w:rFonts w:cs="Times New Roman"/>
                <w:b/>
                <w:szCs w:val="24"/>
              </w:rPr>
              <w:t xml:space="preserve">VII.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520485">
                <w:rPr>
                  <w:rFonts w:cs="Times New Roman"/>
                  <w:b/>
                  <w:szCs w:val="24"/>
                </w:rPr>
                <w:t>akta</w:t>
              </w:r>
            </w:smartTag>
            <w:r w:rsidRPr="00520485">
              <w:rPr>
                <w:rFonts w:cs="Times New Roman"/>
                <w:b/>
                <w:szCs w:val="24"/>
              </w:rPr>
              <w:t xml:space="preserve"> projekta izpildes nodrošināšana un ietekme uz institūcijām</w:t>
            </w:r>
          </w:p>
        </w:tc>
      </w:tr>
      <w:tr w:rsidR="007A2D8A" w:rsidRPr="00520485" w14:paraId="2AC4A721" w14:textId="77777777" w:rsidTr="00631B53">
        <w:tc>
          <w:tcPr>
            <w:tcW w:w="568" w:type="dxa"/>
          </w:tcPr>
          <w:p w14:paraId="2AC4A71E" w14:textId="77777777" w:rsidR="007A2D8A" w:rsidRPr="00520485" w:rsidRDefault="007A2D8A" w:rsidP="00302069">
            <w:pPr>
              <w:rPr>
                <w:rFonts w:cs="Times New Roman"/>
                <w:szCs w:val="24"/>
              </w:rPr>
            </w:pPr>
            <w:r w:rsidRPr="00520485">
              <w:rPr>
                <w:rFonts w:cs="Times New Roman"/>
                <w:szCs w:val="24"/>
              </w:rPr>
              <w:t xml:space="preserve">1. </w:t>
            </w:r>
          </w:p>
        </w:tc>
        <w:tc>
          <w:tcPr>
            <w:tcW w:w="3444" w:type="dxa"/>
          </w:tcPr>
          <w:p w14:paraId="2AC4A71F" w14:textId="77777777" w:rsidR="007A2D8A" w:rsidRPr="00520485" w:rsidRDefault="007A2D8A" w:rsidP="00302069">
            <w:pPr>
              <w:rPr>
                <w:rFonts w:cs="Times New Roman"/>
                <w:szCs w:val="24"/>
              </w:rPr>
            </w:pPr>
            <w:r w:rsidRPr="00520485">
              <w:rPr>
                <w:rFonts w:cs="Times New Roman"/>
                <w:szCs w:val="24"/>
              </w:rPr>
              <w:t>Projekta izpildē iesaistītās institūcijas</w:t>
            </w:r>
          </w:p>
        </w:tc>
        <w:tc>
          <w:tcPr>
            <w:tcW w:w="5344" w:type="dxa"/>
          </w:tcPr>
          <w:p w14:paraId="2AC4A720" w14:textId="7D270FA0" w:rsidR="007A2D8A" w:rsidRPr="00520485" w:rsidRDefault="007A2D8A" w:rsidP="00302069">
            <w:pPr>
              <w:jc w:val="both"/>
              <w:rPr>
                <w:rFonts w:cs="Times New Roman"/>
                <w:szCs w:val="24"/>
              </w:rPr>
            </w:pPr>
            <w:r w:rsidRPr="00520485">
              <w:rPr>
                <w:rFonts w:cs="Times New Roman"/>
                <w:szCs w:val="24"/>
              </w:rPr>
              <w:t>Valsts tiešās pārvaldes iestādes, kuras izstrādā un slēdz civiltiesiskus līgumus, kuru izpildi finansē</w:t>
            </w:r>
            <w:r w:rsidR="00D5728B">
              <w:rPr>
                <w:rFonts w:cs="Times New Roman"/>
                <w:szCs w:val="24"/>
              </w:rPr>
              <w:t xml:space="preserve"> </w:t>
            </w:r>
            <w:r w:rsidR="00D5728B" w:rsidRPr="00520485">
              <w:rPr>
                <w:rFonts w:eastAsia="Times New Roman" w:cs="Times New Roman"/>
                <w:szCs w:val="24"/>
                <w:lang w:eastAsia="lv-LV"/>
              </w:rPr>
              <w:t xml:space="preserve">instrukcijas </w:t>
            </w:r>
            <w:proofErr w:type="spellStart"/>
            <w:r w:rsidR="00D5728B" w:rsidRPr="00520485">
              <w:rPr>
                <w:rFonts w:eastAsia="Times New Roman" w:cs="Times New Roman"/>
                <w:szCs w:val="24"/>
                <w:lang w:eastAsia="lv-LV"/>
              </w:rPr>
              <w:t>1.punktā</w:t>
            </w:r>
            <w:proofErr w:type="spellEnd"/>
            <w:r w:rsidR="00D5728B" w:rsidRPr="00520485">
              <w:rPr>
                <w:rFonts w:eastAsia="Times New Roman" w:cs="Times New Roman"/>
                <w:szCs w:val="24"/>
                <w:lang w:eastAsia="lv-LV"/>
              </w:rPr>
              <w:t xml:space="preserve"> minēti</w:t>
            </w:r>
            <w:r w:rsidR="00D5728B">
              <w:rPr>
                <w:rFonts w:eastAsia="Times New Roman" w:cs="Times New Roman"/>
                <w:szCs w:val="24"/>
                <w:lang w:eastAsia="lv-LV"/>
              </w:rPr>
              <w:t>e</w:t>
            </w:r>
            <w:r w:rsidRPr="00520485">
              <w:rPr>
                <w:rFonts w:cs="Times New Roman"/>
                <w:szCs w:val="24"/>
              </w:rPr>
              <w:t xml:space="preserve"> ārvalstu </w:t>
            </w:r>
            <w:r w:rsidR="00D5728B">
              <w:rPr>
                <w:rFonts w:cs="Times New Roman"/>
                <w:szCs w:val="24"/>
              </w:rPr>
              <w:t>finanšu instrumenti</w:t>
            </w:r>
          </w:p>
        </w:tc>
      </w:tr>
      <w:tr w:rsidR="007A2D8A" w:rsidRPr="00520485" w14:paraId="2AC4A725" w14:textId="77777777" w:rsidTr="00631B53">
        <w:tc>
          <w:tcPr>
            <w:tcW w:w="568" w:type="dxa"/>
          </w:tcPr>
          <w:p w14:paraId="2AC4A722" w14:textId="77777777" w:rsidR="007A2D8A" w:rsidRPr="00520485" w:rsidRDefault="007A2D8A" w:rsidP="00302069">
            <w:pPr>
              <w:rPr>
                <w:rFonts w:cs="Times New Roman"/>
                <w:szCs w:val="24"/>
              </w:rPr>
            </w:pPr>
            <w:r w:rsidRPr="00520485">
              <w:rPr>
                <w:rFonts w:cs="Times New Roman"/>
                <w:szCs w:val="24"/>
              </w:rPr>
              <w:t>2.</w:t>
            </w:r>
          </w:p>
        </w:tc>
        <w:tc>
          <w:tcPr>
            <w:tcW w:w="3444" w:type="dxa"/>
          </w:tcPr>
          <w:p w14:paraId="2AC4A723" w14:textId="77777777" w:rsidR="007A2D8A" w:rsidRPr="00520485" w:rsidRDefault="007A2D8A" w:rsidP="00302069">
            <w:pPr>
              <w:rPr>
                <w:rFonts w:cs="Times New Roman"/>
                <w:szCs w:val="24"/>
              </w:rPr>
            </w:pPr>
            <w:r w:rsidRPr="00520485">
              <w:rPr>
                <w:rFonts w:cs="Times New Roman"/>
                <w:szCs w:val="24"/>
              </w:rPr>
              <w:t>Projekta izpildes ietekme uz pārvaldes funkcijām</w:t>
            </w:r>
          </w:p>
        </w:tc>
        <w:tc>
          <w:tcPr>
            <w:tcW w:w="5344" w:type="dxa"/>
          </w:tcPr>
          <w:p w14:paraId="2AC4A724" w14:textId="77777777" w:rsidR="007A2D8A" w:rsidRPr="00520485" w:rsidRDefault="007A2D8A" w:rsidP="00302069">
            <w:pPr>
              <w:rPr>
                <w:rFonts w:cs="Times New Roman"/>
                <w:szCs w:val="24"/>
              </w:rPr>
            </w:pPr>
            <w:r w:rsidRPr="00520485">
              <w:rPr>
                <w:rFonts w:cs="Times New Roman"/>
                <w:szCs w:val="24"/>
              </w:rPr>
              <w:t>Izpilde tiks nodrošināta esošo funkciju ietvaros</w:t>
            </w:r>
          </w:p>
        </w:tc>
      </w:tr>
      <w:tr w:rsidR="007A2D8A" w:rsidRPr="00520485" w14:paraId="2AC4A729" w14:textId="77777777" w:rsidTr="00631B53">
        <w:tc>
          <w:tcPr>
            <w:tcW w:w="568" w:type="dxa"/>
          </w:tcPr>
          <w:p w14:paraId="2AC4A726" w14:textId="77777777" w:rsidR="007A2D8A" w:rsidRPr="00520485" w:rsidRDefault="007A2D8A" w:rsidP="00302069">
            <w:pPr>
              <w:rPr>
                <w:rFonts w:cs="Times New Roman"/>
                <w:szCs w:val="24"/>
              </w:rPr>
            </w:pPr>
            <w:r w:rsidRPr="00520485">
              <w:rPr>
                <w:rFonts w:cs="Times New Roman"/>
                <w:szCs w:val="24"/>
              </w:rPr>
              <w:t>3.</w:t>
            </w:r>
          </w:p>
        </w:tc>
        <w:tc>
          <w:tcPr>
            <w:tcW w:w="3444" w:type="dxa"/>
          </w:tcPr>
          <w:p w14:paraId="2AC4A727" w14:textId="77777777" w:rsidR="007A2D8A" w:rsidRPr="00520485" w:rsidRDefault="007A2D8A" w:rsidP="00302069">
            <w:pPr>
              <w:rPr>
                <w:rFonts w:cs="Times New Roman"/>
                <w:szCs w:val="24"/>
              </w:rPr>
            </w:pPr>
            <w:r w:rsidRPr="00520485">
              <w:rPr>
                <w:rFonts w:cs="Times New Roman"/>
                <w:szCs w:val="24"/>
              </w:rPr>
              <w:t>Projekta izpildes ietekme uz pārvaldes institucionālo struktūru</w:t>
            </w:r>
          </w:p>
        </w:tc>
        <w:tc>
          <w:tcPr>
            <w:tcW w:w="5344" w:type="dxa"/>
          </w:tcPr>
          <w:p w14:paraId="2AC4A728" w14:textId="77777777" w:rsidR="007A2D8A" w:rsidRPr="00520485" w:rsidRDefault="007A2D8A" w:rsidP="00302069">
            <w:pPr>
              <w:rPr>
                <w:rFonts w:cs="Times New Roman"/>
                <w:szCs w:val="24"/>
              </w:rPr>
            </w:pPr>
            <w:r w:rsidRPr="00520485">
              <w:rPr>
                <w:rFonts w:cs="Times New Roman"/>
                <w:szCs w:val="24"/>
              </w:rPr>
              <w:t>Jaunu institūciju izveide nav nepieciešama</w:t>
            </w:r>
          </w:p>
        </w:tc>
      </w:tr>
      <w:tr w:rsidR="007A2D8A" w:rsidRPr="00520485" w14:paraId="2AC4A72D" w14:textId="77777777" w:rsidTr="00631B53">
        <w:tc>
          <w:tcPr>
            <w:tcW w:w="568" w:type="dxa"/>
          </w:tcPr>
          <w:p w14:paraId="2AC4A72A" w14:textId="77777777" w:rsidR="007A2D8A" w:rsidRPr="00520485" w:rsidRDefault="007A2D8A" w:rsidP="00302069">
            <w:pPr>
              <w:rPr>
                <w:rFonts w:cs="Times New Roman"/>
                <w:szCs w:val="24"/>
              </w:rPr>
            </w:pPr>
            <w:r w:rsidRPr="00520485">
              <w:rPr>
                <w:rFonts w:cs="Times New Roman"/>
                <w:szCs w:val="24"/>
              </w:rPr>
              <w:t>4.</w:t>
            </w:r>
          </w:p>
        </w:tc>
        <w:tc>
          <w:tcPr>
            <w:tcW w:w="3444" w:type="dxa"/>
          </w:tcPr>
          <w:p w14:paraId="2AC4A72B" w14:textId="77777777" w:rsidR="007A2D8A" w:rsidRPr="00520485" w:rsidRDefault="007A2D8A" w:rsidP="00302069">
            <w:pPr>
              <w:rPr>
                <w:rFonts w:cs="Times New Roman"/>
                <w:szCs w:val="24"/>
              </w:rPr>
            </w:pPr>
            <w:r w:rsidRPr="00520485">
              <w:rPr>
                <w:rFonts w:cs="Times New Roman"/>
                <w:szCs w:val="24"/>
              </w:rPr>
              <w:t>Projekta izpildes ietekme uz pārvaldes institucionālo struktūru</w:t>
            </w:r>
          </w:p>
        </w:tc>
        <w:tc>
          <w:tcPr>
            <w:tcW w:w="5344" w:type="dxa"/>
          </w:tcPr>
          <w:p w14:paraId="2AC4A72C" w14:textId="77777777" w:rsidR="007A2D8A" w:rsidRPr="00520485" w:rsidRDefault="007A2D8A" w:rsidP="00302069">
            <w:pPr>
              <w:rPr>
                <w:rFonts w:cs="Times New Roman"/>
                <w:szCs w:val="24"/>
              </w:rPr>
            </w:pPr>
            <w:r w:rsidRPr="00520485">
              <w:rPr>
                <w:rFonts w:cs="Times New Roman"/>
                <w:szCs w:val="24"/>
              </w:rPr>
              <w:t>Esošu institūciju likvidācija nav paredzēta</w:t>
            </w:r>
          </w:p>
        </w:tc>
      </w:tr>
      <w:tr w:rsidR="007A2D8A" w:rsidRPr="00520485" w14:paraId="2AC4A731" w14:textId="77777777" w:rsidTr="00631B53">
        <w:tc>
          <w:tcPr>
            <w:tcW w:w="568" w:type="dxa"/>
          </w:tcPr>
          <w:p w14:paraId="2AC4A72E" w14:textId="77777777" w:rsidR="007A2D8A" w:rsidRPr="00520485" w:rsidRDefault="007A2D8A" w:rsidP="00302069">
            <w:pPr>
              <w:rPr>
                <w:rFonts w:cs="Times New Roman"/>
                <w:szCs w:val="24"/>
              </w:rPr>
            </w:pPr>
            <w:r w:rsidRPr="00520485">
              <w:rPr>
                <w:rFonts w:cs="Times New Roman"/>
                <w:szCs w:val="24"/>
              </w:rPr>
              <w:t>5.</w:t>
            </w:r>
          </w:p>
        </w:tc>
        <w:tc>
          <w:tcPr>
            <w:tcW w:w="3444" w:type="dxa"/>
          </w:tcPr>
          <w:p w14:paraId="2AC4A72F" w14:textId="77777777" w:rsidR="007A2D8A" w:rsidRPr="00520485" w:rsidRDefault="007A2D8A" w:rsidP="00302069">
            <w:pPr>
              <w:rPr>
                <w:rFonts w:cs="Times New Roman"/>
                <w:szCs w:val="24"/>
              </w:rPr>
            </w:pPr>
            <w:r w:rsidRPr="00520485">
              <w:rPr>
                <w:rFonts w:cs="Times New Roman"/>
                <w:szCs w:val="24"/>
              </w:rPr>
              <w:t>Projekta izpildes ietekme uz pārvaldes institucionālo struktūru</w:t>
            </w:r>
          </w:p>
        </w:tc>
        <w:tc>
          <w:tcPr>
            <w:tcW w:w="5344" w:type="dxa"/>
          </w:tcPr>
          <w:p w14:paraId="2AC4A730" w14:textId="77777777" w:rsidR="007A2D8A" w:rsidRPr="00520485" w:rsidRDefault="007A2D8A" w:rsidP="00302069">
            <w:pPr>
              <w:rPr>
                <w:rFonts w:cs="Times New Roman"/>
                <w:szCs w:val="24"/>
              </w:rPr>
            </w:pPr>
            <w:r w:rsidRPr="00520485">
              <w:rPr>
                <w:rFonts w:cs="Times New Roman"/>
                <w:szCs w:val="24"/>
              </w:rPr>
              <w:t>Instrukcijas projekts šo jomu neskar</w:t>
            </w:r>
          </w:p>
        </w:tc>
      </w:tr>
      <w:tr w:rsidR="007A2D8A" w:rsidRPr="00520485" w14:paraId="2AC4A735" w14:textId="77777777" w:rsidTr="00631B53">
        <w:tc>
          <w:tcPr>
            <w:tcW w:w="568" w:type="dxa"/>
          </w:tcPr>
          <w:p w14:paraId="2AC4A732" w14:textId="77777777" w:rsidR="007A2D8A" w:rsidRPr="00520485" w:rsidRDefault="007A2D8A" w:rsidP="00302069">
            <w:pPr>
              <w:rPr>
                <w:rFonts w:cs="Times New Roman"/>
                <w:szCs w:val="24"/>
              </w:rPr>
            </w:pPr>
            <w:r w:rsidRPr="00520485">
              <w:rPr>
                <w:rFonts w:cs="Times New Roman"/>
                <w:szCs w:val="24"/>
              </w:rPr>
              <w:t>6.</w:t>
            </w:r>
          </w:p>
        </w:tc>
        <w:tc>
          <w:tcPr>
            <w:tcW w:w="3444" w:type="dxa"/>
          </w:tcPr>
          <w:p w14:paraId="2AC4A733" w14:textId="77777777" w:rsidR="007A2D8A" w:rsidRPr="00520485" w:rsidRDefault="007A2D8A" w:rsidP="00302069">
            <w:pPr>
              <w:rPr>
                <w:rFonts w:cs="Times New Roman"/>
                <w:szCs w:val="24"/>
              </w:rPr>
            </w:pPr>
            <w:r w:rsidRPr="00520485">
              <w:rPr>
                <w:rFonts w:cs="Times New Roman"/>
                <w:szCs w:val="24"/>
              </w:rPr>
              <w:t>Cita informācija</w:t>
            </w:r>
          </w:p>
        </w:tc>
        <w:tc>
          <w:tcPr>
            <w:tcW w:w="5344" w:type="dxa"/>
          </w:tcPr>
          <w:p w14:paraId="2AC4A734" w14:textId="77777777" w:rsidR="007A2D8A" w:rsidRPr="00520485" w:rsidRDefault="007A2D8A" w:rsidP="00302069">
            <w:pPr>
              <w:rPr>
                <w:rFonts w:cs="Times New Roman"/>
                <w:szCs w:val="24"/>
              </w:rPr>
            </w:pPr>
            <w:r w:rsidRPr="00520485">
              <w:rPr>
                <w:rFonts w:cs="Times New Roman"/>
                <w:szCs w:val="24"/>
              </w:rPr>
              <w:t>Nav</w:t>
            </w:r>
          </w:p>
        </w:tc>
      </w:tr>
    </w:tbl>
    <w:p w14:paraId="2AC4A736" w14:textId="77777777" w:rsidR="007A2D8A" w:rsidRPr="00520485" w:rsidRDefault="007A2D8A" w:rsidP="00302069">
      <w:pPr>
        <w:pStyle w:val="NormalWeb"/>
        <w:ind w:firstLine="567"/>
      </w:pPr>
      <w:r w:rsidRPr="00520485">
        <w:t>Projekts neskar a</w:t>
      </w:r>
      <w:r w:rsidR="00E323BF" w:rsidRPr="00520485">
        <w:t>notācijas III</w:t>
      </w:r>
      <w:r w:rsidR="000148C2">
        <w:t xml:space="preserve">, IV, V </w:t>
      </w:r>
      <w:r w:rsidR="00E323BF" w:rsidRPr="00520485">
        <w:t xml:space="preserve">un </w:t>
      </w:r>
      <w:r w:rsidRPr="00520485">
        <w:t>V</w:t>
      </w:r>
      <w:r w:rsidR="000148C2">
        <w:t>I</w:t>
      </w:r>
      <w:r w:rsidRPr="00520485">
        <w:t xml:space="preserve"> sadaļā minētās jomas.</w:t>
      </w:r>
    </w:p>
    <w:p w14:paraId="1CF6831E" w14:textId="77777777" w:rsidR="00302069" w:rsidRDefault="00302069" w:rsidP="00302069">
      <w:pPr>
        <w:pStyle w:val="NormalWeb"/>
      </w:pPr>
    </w:p>
    <w:p w14:paraId="3810CE18" w14:textId="77777777" w:rsidR="00302069" w:rsidRPr="00520485" w:rsidRDefault="00302069" w:rsidP="00302069">
      <w:pPr>
        <w:pStyle w:val="NormalWeb"/>
      </w:pPr>
    </w:p>
    <w:p w14:paraId="2AC4A738" w14:textId="77777777" w:rsidR="007A2D8A" w:rsidRPr="00520485" w:rsidRDefault="007A2D8A" w:rsidP="00302069">
      <w:pPr>
        <w:pStyle w:val="NormalWeb"/>
        <w:tabs>
          <w:tab w:val="left" w:pos="6663"/>
        </w:tabs>
        <w:ind w:firstLine="709"/>
      </w:pPr>
      <w:r w:rsidRPr="00520485">
        <w:t>Ministru prezidents</w:t>
      </w:r>
      <w:r w:rsidRPr="00520485">
        <w:tab/>
        <w:t>Valdis Dombrovskis</w:t>
      </w:r>
    </w:p>
    <w:p w14:paraId="2AC4A739" w14:textId="77777777" w:rsidR="007A2D8A" w:rsidRPr="00520485" w:rsidRDefault="007A2D8A" w:rsidP="00302069">
      <w:pPr>
        <w:pStyle w:val="BodyTextIndent3"/>
        <w:tabs>
          <w:tab w:val="left" w:pos="1440"/>
        </w:tabs>
        <w:spacing w:after="0"/>
        <w:ind w:left="0" w:firstLine="567"/>
        <w:rPr>
          <w:sz w:val="24"/>
          <w:szCs w:val="24"/>
          <w:lang w:val="lv-LV"/>
        </w:rPr>
      </w:pPr>
    </w:p>
    <w:p w14:paraId="2AC4A73A" w14:textId="77777777" w:rsidR="007A2D8A" w:rsidRPr="00520485" w:rsidRDefault="007A2D8A" w:rsidP="00302069">
      <w:pPr>
        <w:pStyle w:val="NormalWeb"/>
        <w:tabs>
          <w:tab w:val="left" w:pos="6663"/>
        </w:tabs>
        <w:ind w:firstLine="709"/>
      </w:pPr>
    </w:p>
    <w:p w14:paraId="2AC4A73B" w14:textId="77777777" w:rsidR="007A2D8A" w:rsidRPr="00520485" w:rsidRDefault="007A2D8A" w:rsidP="00302069">
      <w:pPr>
        <w:pStyle w:val="NormalWeb"/>
        <w:tabs>
          <w:tab w:val="left" w:pos="6663"/>
        </w:tabs>
        <w:ind w:firstLine="709"/>
      </w:pPr>
      <w:r w:rsidRPr="00520485">
        <w:t>Vizē:</w:t>
      </w:r>
    </w:p>
    <w:p w14:paraId="2AC4A73C" w14:textId="55BBE740" w:rsidR="00E26451" w:rsidRPr="00E26451" w:rsidRDefault="00E26451" w:rsidP="00302069">
      <w:pPr>
        <w:pStyle w:val="NormalWeb"/>
        <w:tabs>
          <w:tab w:val="left" w:pos="6663"/>
        </w:tabs>
        <w:ind w:firstLine="709"/>
      </w:pPr>
      <w:r w:rsidRPr="00E26451">
        <w:t>Valsts kancelejas direktore</w:t>
      </w:r>
      <w:r w:rsidRPr="00302069">
        <w:rPr>
          <w:u w:val="single"/>
        </w:rPr>
        <w:tab/>
      </w:r>
      <w:r w:rsidRPr="00E26451">
        <w:t>E</w:t>
      </w:r>
      <w:r w:rsidR="00302069">
        <w:t xml:space="preserve">lita </w:t>
      </w:r>
      <w:r w:rsidRPr="00E26451">
        <w:t>Dreimane</w:t>
      </w:r>
    </w:p>
    <w:p w14:paraId="2AC4A73D" w14:textId="77777777" w:rsidR="007A2D8A" w:rsidRPr="002C0AA4" w:rsidRDefault="007A2D8A" w:rsidP="00302069">
      <w:pPr>
        <w:tabs>
          <w:tab w:val="left" w:leader="underscore" w:pos="6840"/>
        </w:tabs>
        <w:ind w:firstLine="567"/>
        <w:jc w:val="both"/>
        <w:rPr>
          <w:sz w:val="28"/>
          <w:szCs w:val="28"/>
        </w:rPr>
      </w:pPr>
    </w:p>
    <w:p w14:paraId="2AC4A73E" w14:textId="77777777" w:rsidR="00BB2495" w:rsidRPr="00E26451" w:rsidRDefault="00BB2495" w:rsidP="00302069">
      <w:pPr>
        <w:tabs>
          <w:tab w:val="center" w:pos="4153"/>
          <w:tab w:val="right" w:pos="8306"/>
        </w:tabs>
        <w:rPr>
          <w:sz w:val="18"/>
          <w:szCs w:val="20"/>
        </w:rPr>
      </w:pPr>
      <w:r w:rsidRPr="00E26451">
        <w:rPr>
          <w:sz w:val="18"/>
          <w:szCs w:val="20"/>
        </w:rPr>
        <w:t>2013.</w:t>
      </w:r>
      <w:r w:rsidR="00DD6FCB">
        <w:rPr>
          <w:sz w:val="18"/>
          <w:szCs w:val="20"/>
        </w:rPr>
        <w:t>10</w:t>
      </w:r>
      <w:r w:rsidRPr="00E26451">
        <w:rPr>
          <w:sz w:val="18"/>
          <w:szCs w:val="20"/>
        </w:rPr>
        <w:t>.</w:t>
      </w:r>
      <w:r w:rsidR="00A335CB">
        <w:rPr>
          <w:sz w:val="18"/>
          <w:szCs w:val="20"/>
        </w:rPr>
        <w:t>28</w:t>
      </w:r>
      <w:r w:rsidRPr="00E26451">
        <w:rPr>
          <w:sz w:val="18"/>
          <w:szCs w:val="20"/>
        </w:rPr>
        <w:t xml:space="preserve">. </w:t>
      </w:r>
      <w:r w:rsidR="00A335CB">
        <w:rPr>
          <w:sz w:val="18"/>
          <w:szCs w:val="20"/>
        </w:rPr>
        <w:t>15:</w:t>
      </w:r>
      <w:r w:rsidRPr="00E26451">
        <w:rPr>
          <w:sz w:val="18"/>
          <w:szCs w:val="20"/>
        </w:rPr>
        <w:t>2</w:t>
      </w:r>
      <w:r w:rsidR="00E26451">
        <w:rPr>
          <w:sz w:val="18"/>
          <w:szCs w:val="20"/>
        </w:rPr>
        <w:t>4</w:t>
      </w:r>
    </w:p>
    <w:p w14:paraId="2AC4A73F" w14:textId="224AF618" w:rsidR="00BB2495" w:rsidRPr="00E26451" w:rsidRDefault="001A2919" w:rsidP="00302069">
      <w:pPr>
        <w:tabs>
          <w:tab w:val="center" w:pos="4153"/>
          <w:tab w:val="right" w:pos="8306"/>
        </w:tabs>
        <w:rPr>
          <w:sz w:val="18"/>
          <w:szCs w:val="20"/>
        </w:rPr>
      </w:pPr>
      <w:r>
        <w:rPr>
          <w:sz w:val="18"/>
          <w:szCs w:val="20"/>
        </w:rPr>
        <w:t>795</w:t>
      </w:r>
      <w:bookmarkStart w:id="2" w:name="_GoBack"/>
      <w:bookmarkEnd w:id="2"/>
    </w:p>
    <w:p w14:paraId="2AC4A740" w14:textId="406D5529" w:rsidR="00BB2495" w:rsidRPr="00E26451" w:rsidRDefault="00D5728B" w:rsidP="00302069">
      <w:pPr>
        <w:tabs>
          <w:tab w:val="center" w:pos="4153"/>
          <w:tab w:val="right" w:pos="8306"/>
        </w:tabs>
        <w:rPr>
          <w:sz w:val="18"/>
          <w:szCs w:val="20"/>
        </w:rPr>
      </w:pPr>
      <w:r>
        <w:rPr>
          <w:sz w:val="18"/>
          <w:szCs w:val="20"/>
        </w:rPr>
        <w:t xml:space="preserve">Edgars </w:t>
      </w:r>
      <w:proofErr w:type="spellStart"/>
      <w:r>
        <w:rPr>
          <w:sz w:val="18"/>
          <w:szCs w:val="20"/>
        </w:rPr>
        <w:t>Rezebergs</w:t>
      </w:r>
      <w:proofErr w:type="spellEnd"/>
      <w:r w:rsidR="00BB2495" w:rsidRPr="00E26451">
        <w:rPr>
          <w:sz w:val="18"/>
          <w:szCs w:val="20"/>
        </w:rPr>
        <w:t xml:space="preserve"> 67082913</w:t>
      </w:r>
    </w:p>
    <w:p w14:paraId="2AC4A741" w14:textId="1756D811" w:rsidR="00231E12" w:rsidRPr="00E26451" w:rsidRDefault="00BB2495" w:rsidP="00302069">
      <w:pPr>
        <w:tabs>
          <w:tab w:val="center" w:pos="4153"/>
          <w:tab w:val="right" w:pos="8306"/>
        </w:tabs>
        <w:rPr>
          <w:rFonts w:eastAsia="Times New Roman" w:cs="Times New Roman"/>
          <w:color w:val="000000"/>
          <w:sz w:val="16"/>
          <w:szCs w:val="18"/>
          <w:lang w:eastAsia="lv-LV"/>
        </w:rPr>
      </w:pPr>
      <w:proofErr w:type="spellStart"/>
      <w:r w:rsidRPr="00E26451">
        <w:rPr>
          <w:sz w:val="18"/>
          <w:szCs w:val="20"/>
        </w:rPr>
        <w:t>edgars.rezebergs@mk.gov.lv</w:t>
      </w:r>
      <w:proofErr w:type="spellEnd"/>
    </w:p>
    <w:sectPr w:rsidR="00231E12" w:rsidRPr="00E26451" w:rsidSect="00715B16">
      <w:headerReference w:type="default" r:id="rId9"/>
      <w:footerReference w:type="default" r:id="rId10"/>
      <w:footerReference w:type="first" r:id="rId11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4A744" w14:textId="77777777" w:rsidR="00F760CC" w:rsidRDefault="00F760CC">
      <w:r>
        <w:separator/>
      </w:r>
    </w:p>
  </w:endnote>
  <w:endnote w:type="continuationSeparator" w:id="0">
    <w:p w14:paraId="2AC4A745" w14:textId="77777777" w:rsidR="00F760CC" w:rsidRDefault="00F7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_Bold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6B218" w14:textId="1A116D67" w:rsidR="00C22177" w:rsidRPr="00BE00A5" w:rsidRDefault="00C22177" w:rsidP="00C22177">
    <w:pPr>
      <w:jc w:val="both"/>
      <w:rPr>
        <w:bCs/>
        <w:sz w:val="16"/>
        <w:szCs w:val="16"/>
      </w:rPr>
    </w:pPr>
    <w:r w:rsidRPr="00BE00A5">
      <w:rPr>
        <w:sz w:val="16"/>
        <w:szCs w:val="16"/>
      </w:rPr>
      <w:fldChar w:fldCharType="begin"/>
    </w:r>
    <w:r w:rsidRPr="00BE00A5">
      <w:rPr>
        <w:sz w:val="16"/>
        <w:szCs w:val="16"/>
      </w:rPr>
      <w:instrText xml:space="preserve"> FILENAME   \* MERGEFORMAT </w:instrText>
    </w:r>
    <w:r w:rsidRPr="00BE00A5">
      <w:rPr>
        <w:sz w:val="16"/>
        <w:szCs w:val="16"/>
      </w:rPr>
      <w:fldChar w:fldCharType="separate"/>
    </w:r>
    <w:r w:rsidR="001A2919">
      <w:rPr>
        <w:noProof/>
        <w:sz w:val="16"/>
        <w:szCs w:val="16"/>
      </w:rPr>
      <w:t>MKinstr_Nr7_anot_2810201320131111110337</w:t>
    </w:r>
    <w:r w:rsidRPr="00BE00A5">
      <w:rPr>
        <w:sz w:val="16"/>
        <w:szCs w:val="16"/>
      </w:rPr>
      <w:fldChar w:fldCharType="end"/>
    </w:r>
    <w:r w:rsidRPr="00BE00A5">
      <w:rPr>
        <w:sz w:val="16"/>
        <w:szCs w:val="16"/>
      </w:rPr>
      <w:t xml:space="preserve">; Ministru kabineta instrukcijas projekta </w:t>
    </w:r>
    <w:r>
      <w:rPr>
        <w:sz w:val="16"/>
        <w:szCs w:val="16"/>
      </w:rPr>
      <w:t>"</w:t>
    </w:r>
    <w:r w:rsidRPr="00BE00A5">
      <w:rPr>
        <w:sz w:val="16"/>
        <w:szCs w:val="16"/>
      </w:rPr>
      <w:t xml:space="preserve">Grozījumi Ministru kabineta </w:t>
    </w:r>
    <w:proofErr w:type="spellStart"/>
    <w:r w:rsidRPr="00BE00A5">
      <w:rPr>
        <w:sz w:val="16"/>
        <w:szCs w:val="16"/>
      </w:rPr>
      <w:t>2013.gada</w:t>
    </w:r>
    <w:proofErr w:type="spellEnd"/>
    <w:r w:rsidRPr="00BE00A5">
      <w:rPr>
        <w:sz w:val="16"/>
        <w:szCs w:val="16"/>
      </w:rPr>
      <w:t xml:space="preserve"> </w:t>
    </w:r>
    <w:proofErr w:type="spellStart"/>
    <w:r w:rsidRPr="00BE00A5">
      <w:rPr>
        <w:sz w:val="16"/>
        <w:szCs w:val="16"/>
      </w:rPr>
      <w:t>2.jūlija</w:t>
    </w:r>
    <w:proofErr w:type="spellEnd"/>
    <w:r w:rsidRPr="00BE00A5">
      <w:rPr>
        <w:sz w:val="16"/>
        <w:szCs w:val="16"/>
      </w:rPr>
      <w:t xml:space="preserve"> instrukcijā </w:t>
    </w:r>
    <w:proofErr w:type="spellStart"/>
    <w:r w:rsidRPr="00BE00A5">
      <w:rPr>
        <w:sz w:val="16"/>
        <w:szCs w:val="16"/>
      </w:rPr>
      <w:t>Nr.7</w:t>
    </w:r>
    <w:proofErr w:type="spellEnd"/>
    <w:r w:rsidRPr="00BE00A5">
      <w:rPr>
        <w:sz w:val="16"/>
        <w:szCs w:val="16"/>
      </w:rPr>
      <w:t xml:space="preserve"> </w:t>
    </w:r>
    <w:r>
      <w:rPr>
        <w:sz w:val="16"/>
        <w:szCs w:val="16"/>
      </w:rPr>
      <w:t>"</w:t>
    </w:r>
    <w:r w:rsidRPr="00BE00A5">
      <w:rPr>
        <w:sz w:val="16"/>
        <w:szCs w:val="16"/>
      </w:rPr>
      <w:t>Ārvalstu finanšu instrumentu finansētu civiltiesisku līgumu izstrādes un slēgšanas instrukcija valsts tiešās pārvaldes iestādēs</w:t>
    </w:r>
    <w:r>
      <w:rPr>
        <w:sz w:val="16"/>
        <w:szCs w:val="16"/>
      </w:rPr>
      <w:t>""</w:t>
    </w:r>
    <w:r w:rsidRPr="00BE00A5">
      <w:rPr>
        <w:sz w:val="16"/>
        <w:szCs w:val="16"/>
      </w:rPr>
      <w:t xml:space="preserve"> sākotnējās ietekmes novērtējuma ziņojums (anotācija)</w:t>
    </w:r>
    <w:r>
      <w:rPr>
        <w:sz w:val="16"/>
        <w:szCs w:val="16"/>
      </w:rPr>
      <w:t xml:space="preserve"> (71974)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4A748" w14:textId="13FB9A32" w:rsidR="004A187E" w:rsidRPr="00BE00A5" w:rsidRDefault="00EA5E16" w:rsidP="004A187E">
    <w:pPr>
      <w:jc w:val="both"/>
      <w:rPr>
        <w:bCs/>
        <w:sz w:val="16"/>
        <w:szCs w:val="16"/>
      </w:rPr>
    </w:pPr>
    <w:r w:rsidRPr="00BE00A5">
      <w:rPr>
        <w:sz w:val="16"/>
        <w:szCs w:val="16"/>
      </w:rPr>
      <w:fldChar w:fldCharType="begin"/>
    </w:r>
    <w:r w:rsidRPr="00BE00A5">
      <w:rPr>
        <w:sz w:val="16"/>
        <w:szCs w:val="16"/>
      </w:rPr>
      <w:instrText xml:space="preserve"> FILENAME   \* MERGEFORMAT </w:instrText>
    </w:r>
    <w:r w:rsidRPr="00BE00A5">
      <w:rPr>
        <w:sz w:val="16"/>
        <w:szCs w:val="16"/>
      </w:rPr>
      <w:fldChar w:fldCharType="separate"/>
    </w:r>
    <w:r w:rsidR="001A2919">
      <w:rPr>
        <w:noProof/>
        <w:sz w:val="16"/>
        <w:szCs w:val="16"/>
      </w:rPr>
      <w:t>MKinstr_Nr7_anot_2810201320131111110337</w:t>
    </w:r>
    <w:r w:rsidRPr="00BE00A5">
      <w:rPr>
        <w:sz w:val="16"/>
        <w:szCs w:val="16"/>
      </w:rPr>
      <w:fldChar w:fldCharType="end"/>
    </w:r>
    <w:r w:rsidRPr="00BE00A5">
      <w:rPr>
        <w:sz w:val="16"/>
        <w:szCs w:val="16"/>
      </w:rPr>
      <w:t xml:space="preserve">; </w:t>
    </w:r>
    <w:r w:rsidR="00BE00A5" w:rsidRPr="00BE00A5">
      <w:rPr>
        <w:sz w:val="16"/>
        <w:szCs w:val="16"/>
      </w:rPr>
      <w:t xml:space="preserve">Ministru kabineta instrukcijas projekta </w:t>
    </w:r>
    <w:r w:rsidR="000148C2">
      <w:rPr>
        <w:sz w:val="16"/>
        <w:szCs w:val="16"/>
      </w:rPr>
      <w:t>„</w:t>
    </w:r>
    <w:r w:rsidR="00BE00A5" w:rsidRPr="00BE00A5">
      <w:rPr>
        <w:sz w:val="16"/>
        <w:szCs w:val="16"/>
      </w:rPr>
      <w:t>Grozījumi Ministru kabineta 2013.gada 2.jūlija instrukcijā Nr.7 „Ārvalstu finanšu instrumentu finansētu civiltiesisku līgumu izstrādes un slēgšanas instrukcija valsts tiešās pārvaldes iestādēs”” sākotnējās ietekmes novērtējuma ziņojums (anotācija)</w:t>
    </w:r>
    <w:r w:rsidR="00C22177">
      <w:rPr>
        <w:sz w:val="16"/>
        <w:szCs w:val="16"/>
      </w:rPr>
      <w:t xml:space="preserve"> (71974)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4A742" w14:textId="77777777" w:rsidR="00F760CC" w:rsidRDefault="00F760CC">
      <w:r>
        <w:separator/>
      </w:r>
    </w:p>
  </w:footnote>
  <w:footnote w:type="continuationSeparator" w:id="0">
    <w:p w14:paraId="2AC4A743" w14:textId="77777777" w:rsidR="00F760CC" w:rsidRDefault="00F76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4A746" w14:textId="77777777" w:rsidR="004A187E" w:rsidRDefault="00EA5E16" w:rsidP="004A187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2919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1C"/>
    <w:multiLevelType w:val="hybridMultilevel"/>
    <w:tmpl w:val="48F41D28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F2702"/>
    <w:multiLevelType w:val="hybridMultilevel"/>
    <w:tmpl w:val="4642DD5C"/>
    <w:lvl w:ilvl="0" w:tplc="0426000F">
      <w:start w:val="1"/>
      <w:numFmt w:val="decimal"/>
      <w:lvlText w:val="%1.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2E9378B4"/>
    <w:multiLevelType w:val="hybridMultilevel"/>
    <w:tmpl w:val="75303BA0"/>
    <w:lvl w:ilvl="0" w:tplc="556C709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F6743A"/>
    <w:multiLevelType w:val="multilevel"/>
    <w:tmpl w:val="9C3C2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5865A89"/>
    <w:multiLevelType w:val="hybridMultilevel"/>
    <w:tmpl w:val="C95ED88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A81ADD"/>
    <w:multiLevelType w:val="hybridMultilevel"/>
    <w:tmpl w:val="0E6CAA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C3E4E"/>
    <w:multiLevelType w:val="hybridMultilevel"/>
    <w:tmpl w:val="606EB4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D7A71"/>
    <w:multiLevelType w:val="hybridMultilevel"/>
    <w:tmpl w:val="7EEA7BF4"/>
    <w:lvl w:ilvl="0" w:tplc="26C6BE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16"/>
    <w:rsid w:val="00007999"/>
    <w:rsid w:val="00010D86"/>
    <w:rsid w:val="000148C2"/>
    <w:rsid w:val="000164FB"/>
    <w:rsid w:val="00021BE3"/>
    <w:rsid w:val="00025849"/>
    <w:rsid w:val="00035696"/>
    <w:rsid w:val="000369DD"/>
    <w:rsid w:val="000406A1"/>
    <w:rsid w:val="00041DEE"/>
    <w:rsid w:val="000437A2"/>
    <w:rsid w:val="000463EB"/>
    <w:rsid w:val="00052675"/>
    <w:rsid w:val="000678EE"/>
    <w:rsid w:val="000756E1"/>
    <w:rsid w:val="00083613"/>
    <w:rsid w:val="000A36F5"/>
    <w:rsid w:val="000B05F6"/>
    <w:rsid w:val="000B2718"/>
    <w:rsid w:val="000B6199"/>
    <w:rsid w:val="000D0F5A"/>
    <w:rsid w:val="000F1718"/>
    <w:rsid w:val="000F685A"/>
    <w:rsid w:val="000F6B9F"/>
    <w:rsid w:val="00100344"/>
    <w:rsid w:val="00110A2B"/>
    <w:rsid w:val="001122F1"/>
    <w:rsid w:val="00127343"/>
    <w:rsid w:val="0013355A"/>
    <w:rsid w:val="001404ED"/>
    <w:rsid w:val="00141851"/>
    <w:rsid w:val="00161A29"/>
    <w:rsid w:val="00163276"/>
    <w:rsid w:val="00163891"/>
    <w:rsid w:val="00164507"/>
    <w:rsid w:val="0017108B"/>
    <w:rsid w:val="00172CA8"/>
    <w:rsid w:val="0018018E"/>
    <w:rsid w:val="00191AB6"/>
    <w:rsid w:val="001A2919"/>
    <w:rsid w:val="001A49DD"/>
    <w:rsid w:val="001A5FD9"/>
    <w:rsid w:val="001B16C6"/>
    <w:rsid w:val="001B400C"/>
    <w:rsid w:val="001B5851"/>
    <w:rsid w:val="001B678B"/>
    <w:rsid w:val="001B7820"/>
    <w:rsid w:val="001C023A"/>
    <w:rsid w:val="001C351D"/>
    <w:rsid w:val="001C3CA9"/>
    <w:rsid w:val="001C6325"/>
    <w:rsid w:val="001C65D6"/>
    <w:rsid w:val="001D093D"/>
    <w:rsid w:val="001D1EA4"/>
    <w:rsid w:val="001D20C9"/>
    <w:rsid w:val="001D40CF"/>
    <w:rsid w:val="001D48A5"/>
    <w:rsid w:val="001E67BC"/>
    <w:rsid w:val="001F0DD5"/>
    <w:rsid w:val="001F4FD1"/>
    <w:rsid w:val="001F504A"/>
    <w:rsid w:val="001F66A7"/>
    <w:rsid w:val="002129A8"/>
    <w:rsid w:val="002167E6"/>
    <w:rsid w:val="00216953"/>
    <w:rsid w:val="00226422"/>
    <w:rsid w:val="00231E12"/>
    <w:rsid w:val="002429C8"/>
    <w:rsid w:val="00245597"/>
    <w:rsid w:val="002523B2"/>
    <w:rsid w:val="00252C35"/>
    <w:rsid w:val="00254A26"/>
    <w:rsid w:val="00255B41"/>
    <w:rsid w:val="00260744"/>
    <w:rsid w:val="0027188F"/>
    <w:rsid w:val="002729C6"/>
    <w:rsid w:val="00296361"/>
    <w:rsid w:val="002A0093"/>
    <w:rsid w:val="002A1BE9"/>
    <w:rsid w:val="002A4CDC"/>
    <w:rsid w:val="002A7404"/>
    <w:rsid w:val="002B47D3"/>
    <w:rsid w:val="002C4AD1"/>
    <w:rsid w:val="002D0009"/>
    <w:rsid w:val="002D1738"/>
    <w:rsid w:val="002D22EF"/>
    <w:rsid w:val="002E12CA"/>
    <w:rsid w:val="002E226E"/>
    <w:rsid w:val="002E3E2E"/>
    <w:rsid w:val="002E5EDD"/>
    <w:rsid w:val="002E70F6"/>
    <w:rsid w:val="002F031A"/>
    <w:rsid w:val="002F5E0E"/>
    <w:rsid w:val="002F66C0"/>
    <w:rsid w:val="002F7D85"/>
    <w:rsid w:val="00301939"/>
    <w:rsid w:val="00302069"/>
    <w:rsid w:val="003064E1"/>
    <w:rsid w:val="00317D48"/>
    <w:rsid w:val="00321C6C"/>
    <w:rsid w:val="003222FB"/>
    <w:rsid w:val="0032567F"/>
    <w:rsid w:val="0032585E"/>
    <w:rsid w:val="00331D35"/>
    <w:rsid w:val="00334C53"/>
    <w:rsid w:val="0033532A"/>
    <w:rsid w:val="0033693B"/>
    <w:rsid w:val="00346594"/>
    <w:rsid w:val="00357674"/>
    <w:rsid w:val="00357B50"/>
    <w:rsid w:val="003601CD"/>
    <w:rsid w:val="00365793"/>
    <w:rsid w:val="00366F6C"/>
    <w:rsid w:val="00376D22"/>
    <w:rsid w:val="00381CCB"/>
    <w:rsid w:val="00382AD0"/>
    <w:rsid w:val="0038798E"/>
    <w:rsid w:val="00390458"/>
    <w:rsid w:val="003A37E2"/>
    <w:rsid w:val="003A3F9D"/>
    <w:rsid w:val="003B09DF"/>
    <w:rsid w:val="003B1D4B"/>
    <w:rsid w:val="003B46B5"/>
    <w:rsid w:val="003B5386"/>
    <w:rsid w:val="003B70B1"/>
    <w:rsid w:val="003B7153"/>
    <w:rsid w:val="003C20A2"/>
    <w:rsid w:val="003C783D"/>
    <w:rsid w:val="003D03DE"/>
    <w:rsid w:val="003D370D"/>
    <w:rsid w:val="003D4B2E"/>
    <w:rsid w:val="003E0678"/>
    <w:rsid w:val="003E144D"/>
    <w:rsid w:val="003E1C30"/>
    <w:rsid w:val="003E240E"/>
    <w:rsid w:val="003E3211"/>
    <w:rsid w:val="003E3776"/>
    <w:rsid w:val="003E7ED6"/>
    <w:rsid w:val="0040216B"/>
    <w:rsid w:val="00413634"/>
    <w:rsid w:val="0041460D"/>
    <w:rsid w:val="00415800"/>
    <w:rsid w:val="00415A68"/>
    <w:rsid w:val="00417898"/>
    <w:rsid w:val="00420D2F"/>
    <w:rsid w:val="00425C43"/>
    <w:rsid w:val="004308E8"/>
    <w:rsid w:val="00432E7F"/>
    <w:rsid w:val="00434A44"/>
    <w:rsid w:val="00446450"/>
    <w:rsid w:val="004536D4"/>
    <w:rsid w:val="00457B8F"/>
    <w:rsid w:val="0046394E"/>
    <w:rsid w:val="0046484D"/>
    <w:rsid w:val="00467859"/>
    <w:rsid w:val="0048108B"/>
    <w:rsid w:val="00484458"/>
    <w:rsid w:val="00493426"/>
    <w:rsid w:val="00493FA8"/>
    <w:rsid w:val="00493FC2"/>
    <w:rsid w:val="004A187E"/>
    <w:rsid w:val="004B0B79"/>
    <w:rsid w:val="004B0C84"/>
    <w:rsid w:val="004B3E78"/>
    <w:rsid w:val="004B477A"/>
    <w:rsid w:val="004C184D"/>
    <w:rsid w:val="004C1E9D"/>
    <w:rsid w:val="004C3813"/>
    <w:rsid w:val="004C5504"/>
    <w:rsid w:val="004C62AB"/>
    <w:rsid w:val="004C6911"/>
    <w:rsid w:val="004D262A"/>
    <w:rsid w:val="004D4016"/>
    <w:rsid w:val="004D40DE"/>
    <w:rsid w:val="004D5C1B"/>
    <w:rsid w:val="004F17A9"/>
    <w:rsid w:val="004F41E9"/>
    <w:rsid w:val="005008B6"/>
    <w:rsid w:val="00503798"/>
    <w:rsid w:val="0050495C"/>
    <w:rsid w:val="00511610"/>
    <w:rsid w:val="00512911"/>
    <w:rsid w:val="00520485"/>
    <w:rsid w:val="00525191"/>
    <w:rsid w:val="005305AA"/>
    <w:rsid w:val="005318C1"/>
    <w:rsid w:val="00533F4F"/>
    <w:rsid w:val="00542BED"/>
    <w:rsid w:val="005432EB"/>
    <w:rsid w:val="00550AFC"/>
    <w:rsid w:val="00550C39"/>
    <w:rsid w:val="00550CA2"/>
    <w:rsid w:val="0055429B"/>
    <w:rsid w:val="005653BD"/>
    <w:rsid w:val="005815AD"/>
    <w:rsid w:val="005836E4"/>
    <w:rsid w:val="00590FDF"/>
    <w:rsid w:val="00597005"/>
    <w:rsid w:val="00597978"/>
    <w:rsid w:val="005A03D1"/>
    <w:rsid w:val="005A102B"/>
    <w:rsid w:val="005A13A8"/>
    <w:rsid w:val="005A79F5"/>
    <w:rsid w:val="005B0BEC"/>
    <w:rsid w:val="005B2851"/>
    <w:rsid w:val="005B624D"/>
    <w:rsid w:val="005B7184"/>
    <w:rsid w:val="005C3FF0"/>
    <w:rsid w:val="005C7132"/>
    <w:rsid w:val="005D3250"/>
    <w:rsid w:val="005E0F70"/>
    <w:rsid w:val="005E6DB8"/>
    <w:rsid w:val="00600459"/>
    <w:rsid w:val="00602435"/>
    <w:rsid w:val="00627FD8"/>
    <w:rsid w:val="00631B53"/>
    <w:rsid w:val="006329E3"/>
    <w:rsid w:val="0063441C"/>
    <w:rsid w:val="0063654E"/>
    <w:rsid w:val="00637F34"/>
    <w:rsid w:val="006443B8"/>
    <w:rsid w:val="00650105"/>
    <w:rsid w:val="00652A13"/>
    <w:rsid w:val="0065377B"/>
    <w:rsid w:val="00654BCB"/>
    <w:rsid w:val="00664161"/>
    <w:rsid w:val="006645E0"/>
    <w:rsid w:val="006649A1"/>
    <w:rsid w:val="00671616"/>
    <w:rsid w:val="006728DF"/>
    <w:rsid w:val="006804D9"/>
    <w:rsid w:val="00683DC9"/>
    <w:rsid w:val="0068602E"/>
    <w:rsid w:val="00687346"/>
    <w:rsid w:val="00691C52"/>
    <w:rsid w:val="00694B81"/>
    <w:rsid w:val="006A6045"/>
    <w:rsid w:val="006B260B"/>
    <w:rsid w:val="006B5607"/>
    <w:rsid w:val="006B5A76"/>
    <w:rsid w:val="006B7E5B"/>
    <w:rsid w:val="006C174E"/>
    <w:rsid w:val="006C46DA"/>
    <w:rsid w:val="006D576B"/>
    <w:rsid w:val="006D670E"/>
    <w:rsid w:val="006D6BA7"/>
    <w:rsid w:val="006E6B17"/>
    <w:rsid w:val="006F62E8"/>
    <w:rsid w:val="00700FFA"/>
    <w:rsid w:val="00710AC0"/>
    <w:rsid w:val="00715B16"/>
    <w:rsid w:val="0072479F"/>
    <w:rsid w:val="0073079A"/>
    <w:rsid w:val="00733DC2"/>
    <w:rsid w:val="00745E55"/>
    <w:rsid w:val="0074712F"/>
    <w:rsid w:val="007578E7"/>
    <w:rsid w:val="00762754"/>
    <w:rsid w:val="007627C0"/>
    <w:rsid w:val="007749F2"/>
    <w:rsid w:val="00776D40"/>
    <w:rsid w:val="00783595"/>
    <w:rsid w:val="00784048"/>
    <w:rsid w:val="00785CEA"/>
    <w:rsid w:val="00791416"/>
    <w:rsid w:val="00792380"/>
    <w:rsid w:val="007977FF"/>
    <w:rsid w:val="007A03F7"/>
    <w:rsid w:val="007A2C09"/>
    <w:rsid w:val="007A2D8A"/>
    <w:rsid w:val="007B6AD0"/>
    <w:rsid w:val="007B7616"/>
    <w:rsid w:val="007C0F29"/>
    <w:rsid w:val="007C3FFA"/>
    <w:rsid w:val="007C7264"/>
    <w:rsid w:val="007D6468"/>
    <w:rsid w:val="007E108A"/>
    <w:rsid w:val="007E5020"/>
    <w:rsid w:val="007E5A1A"/>
    <w:rsid w:val="007E64FF"/>
    <w:rsid w:val="0080142C"/>
    <w:rsid w:val="00802917"/>
    <w:rsid w:val="00810E5E"/>
    <w:rsid w:val="00811D9A"/>
    <w:rsid w:val="00815A80"/>
    <w:rsid w:val="00824C73"/>
    <w:rsid w:val="00831D08"/>
    <w:rsid w:val="00844343"/>
    <w:rsid w:val="00860229"/>
    <w:rsid w:val="00875869"/>
    <w:rsid w:val="008773D5"/>
    <w:rsid w:val="008826B6"/>
    <w:rsid w:val="00882F90"/>
    <w:rsid w:val="00883B06"/>
    <w:rsid w:val="00895148"/>
    <w:rsid w:val="008A459D"/>
    <w:rsid w:val="008A4613"/>
    <w:rsid w:val="008B1821"/>
    <w:rsid w:val="008B1D7C"/>
    <w:rsid w:val="008B2DE0"/>
    <w:rsid w:val="008C1B92"/>
    <w:rsid w:val="008C2A7B"/>
    <w:rsid w:val="008C5BC8"/>
    <w:rsid w:val="008C74EF"/>
    <w:rsid w:val="008D03E3"/>
    <w:rsid w:val="008D7DA0"/>
    <w:rsid w:val="008E0887"/>
    <w:rsid w:val="008E0A88"/>
    <w:rsid w:val="008E2446"/>
    <w:rsid w:val="008F0A0F"/>
    <w:rsid w:val="008F3517"/>
    <w:rsid w:val="008F4B19"/>
    <w:rsid w:val="00901A63"/>
    <w:rsid w:val="00902B59"/>
    <w:rsid w:val="00910783"/>
    <w:rsid w:val="00913088"/>
    <w:rsid w:val="009179D3"/>
    <w:rsid w:val="009221A4"/>
    <w:rsid w:val="009275FF"/>
    <w:rsid w:val="009306DA"/>
    <w:rsid w:val="00931587"/>
    <w:rsid w:val="0093466E"/>
    <w:rsid w:val="00934CE9"/>
    <w:rsid w:val="009375F7"/>
    <w:rsid w:val="00937E45"/>
    <w:rsid w:val="009414D5"/>
    <w:rsid w:val="00943895"/>
    <w:rsid w:val="00954AE5"/>
    <w:rsid w:val="00960417"/>
    <w:rsid w:val="009665CB"/>
    <w:rsid w:val="0097117B"/>
    <w:rsid w:val="00974E9A"/>
    <w:rsid w:val="00976909"/>
    <w:rsid w:val="009771B7"/>
    <w:rsid w:val="00984432"/>
    <w:rsid w:val="00984DC2"/>
    <w:rsid w:val="00985DD0"/>
    <w:rsid w:val="00986F85"/>
    <w:rsid w:val="00997FDD"/>
    <w:rsid w:val="009A52A7"/>
    <w:rsid w:val="009B15B3"/>
    <w:rsid w:val="009B25D3"/>
    <w:rsid w:val="009B2F51"/>
    <w:rsid w:val="009B59E9"/>
    <w:rsid w:val="009C40F2"/>
    <w:rsid w:val="009C5B70"/>
    <w:rsid w:val="009C5DEE"/>
    <w:rsid w:val="009D4217"/>
    <w:rsid w:val="009D4D02"/>
    <w:rsid w:val="009F1903"/>
    <w:rsid w:val="009F302C"/>
    <w:rsid w:val="00A06051"/>
    <w:rsid w:val="00A07487"/>
    <w:rsid w:val="00A1144D"/>
    <w:rsid w:val="00A11AE2"/>
    <w:rsid w:val="00A17093"/>
    <w:rsid w:val="00A2128C"/>
    <w:rsid w:val="00A21760"/>
    <w:rsid w:val="00A23E30"/>
    <w:rsid w:val="00A26DE3"/>
    <w:rsid w:val="00A313E9"/>
    <w:rsid w:val="00A335CB"/>
    <w:rsid w:val="00A34A1E"/>
    <w:rsid w:val="00A404C0"/>
    <w:rsid w:val="00A42AFC"/>
    <w:rsid w:val="00A463AA"/>
    <w:rsid w:val="00A56351"/>
    <w:rsid w:val="00A72252"/>
    <w:rsid w:val="00A7285D"/>
    <w:rsid w:val="00A82528"/>
    <w:rsid w:val="00A839E4"/>
    <w:rsid w:val="00A93E45"/>
    <w:rsid w:val="00A96168"/>
    <w:rsid w:val="00AA59EA"/>
    <w:rsid w:val="00AB37EA"/>
    <w:rsid w:val="00AC1CB2"/>
    <w:rsid w:val="00AE64B0"/>
    <w:rsid w:val="00AF2378"/>
    <w:rsid w:val="00AF2B3A"/>
    <w:rsid w:val="00B02248"/>
    <w:rsid w:val="00B02790"/>
    <w:rsid w:val="00B12023"/>
    <w:rsid w:val="00B121FC"/>
    <w:rsid w:val="00B12851"/>
    <w:rsid w:val="00B14DB5"/>
    <w:rsid w:val="00B20B06"/>
    <w:rsid w:val="00B22212"/>
    <w:rsid w:val="00B262BC"/>
    <w:rsid w:val="00B522F1"/>
    <w:rsid w:val="00B55577"/>
    <w:rsid w:val="00B6397F"/>
    <w:rsid w:val="00B63E2C"/>
    <w:rsid w:val="00B7116B"/>
    <w:rsid w:val="00B740B1"/>
    <w:rsid w:val="00B81E0E"/>
    <w:rsid w:val="00B86F1D"/>
    <w:rsid w:val="00B92722"/>
    <w:rsid w:val="00B93B3F"/>
    <w:rsid w:val="00B950BC"/>
    <w:rsid w:val="00B96E3B"/>
    <w:rsid w:val="00BA44DE"/>
    <w:rsid w:val="00BA5363"/>
    <w:rsid w:val="00BB0879"/>
    <w:rsid w:val="00BB2495"/>
    <w:rsid w:val="00BC2298"/>
    <w:rsid w:val="00BC7BEC"/>
    <w:rsid w:val="00BD11F6"/>
    <w:rsid w:val="00BD493D"/>
    <w:rsid w:val="00BD68FE"/>
    <w:rsid w:val="00BE00A5"/>
    <w:rsid w:val="00BE017A"/>
    <w:rsid w:val="00BE0B7B"/>
    <w:rsid w:val="00BE7CE5"/>
    <w:rsid w:val="00BE7F78"/>
    <w:rsid w:val="00BF0602"/>
    <w:rsid w:val="00C020F5"/>
    <w:rsid w:val="00C0231E"/>
    <w:rsid w:val="00C06C40"/>
    <w:rsid w:val="00C15FC1"/>
    <w:rsid w:val="00C16D04"/>
    <w:rsid w:val="00C2046E"/>
    <w:rsid w:val="00C22177"/>
    <w:rsid w:val="00C238F2"/>
    <w:rsid w:val="00C40E57"/>
    <w:rsid w:val="00C51EED"/>
    <w:rsid w:val="00C61B8A"/>
    <w:rsid w:val="00C7527A"/>
    <w:rsid w:val="00C921CA"/>
    <w:rsid w:val="00C923B5"/>
    <w:rsid w:val="00C92D39"/>
    <w:rsid w:val="00C93418"/>
    <w:rsid w:val="00C937A7"/>
    <w:rsid w:val="00C938DD"/>
    <w:rsid w:val="00C96C2B"/>
    <w:rsid w:val="00CB0E59"/>
    <w:rsid w:val="00CB25C0"/>
    <w:rsid w:val="00CB57B0"/>
    <w:rsid w:val="00CC0107"/>
    <w:rsid w:val="00CC05C9"/>
    <w:rsid w:val="00CC55CC"/>
    <w:rsid w:val="00CD13B8"/>
    <w:rsid w:val="00CD295F"/>
    <w:rsid w:val="00CE0504"/>
    <w:rsid w:val="00CF0B15"/>
    <w:rsid w:val="00CF27A1"/>
    <w:rsid w:val="00CF6736"/>
    <w:rsid w:val="00CF76C2"/>
    <w:rsid w:val="00D00794"/>
    <w:rsid w:val="00D009A6"/>
    <w:rsid w:val="00D01E05"/>
    <w:rsid w:val="00D04947"/>
    <w:rsid w:val="00D16C1A"/>
    <w:rsid w:val="00D17578"/>
    <w:rsid w:val="00D203EF"/>
    <w:rsid w:val="00D212CF"/>
    <w:rsid w:val="00D22384"/>
    <w:rsid w:val="00D25EA0"/>
    <w:rsid w:val="00D42C80"/>
    <w:rsid w:val="00D4466E"/>
    <w:rsid w:val="00D44D16"/>
    <w:rsid w:val="00D46160"/>
    <w:rsid w:val="00D47871"/>
    <w:rsid w:val="00D51B9D"/>
    <w:rsid w:val="00D52581"/>
    <w:rsid w:val="00D528B1"/>
    <w:rsid w:val="00D529CE"/>
    <w:rsid w:val="00D536E7"/>
    <w:rsid w:val="00D5728B"/>
    <w:rsid w:val="00D61D12"/>
    <w:rsid w:val="00D72353"/>
    <w:rsid w:val="00D73652"/>
    <w:rsid w:val="00D92916"/>
    <w:rsid w:val="00D93141"/>
    <w:rsid w:val="00D95256"/>
    <w:rsid w:val="00D960C0"/>
    <w:rsid w:val="00DA0881"/>
    <w:rsid w:val="00DA1B02"/>
    <w:rsid w:val="00DA1BBC"/>
    <w:rsid w:val="00DA501C"/>
    <w:rsid w:val="00DA57F3"/>
    <w:rsid w:val="00DB2CAD"/>
    <w:rsid w:val="00DB4543"/>
    <w:rsid w:val="00DB6441"/>
    <w:rsid w:val="00DC1C3F"/>
    <w:rsid w:val="00DC2804"/>
    <w:rsid w:val="00DD01AA"/>
    <w:rsid w:val="00DD08D9"/>
    <w:rsid w:val="00DD0C76"/>
    <w:rsid w:val="00DD6FCB"/>
    <w:rsid w:val="00DE2051"/>
    <w:rsid w:val="00DF1523"/>
    <w:rsid w:val="00E02284"/>
    <w:rsid w:val="00E140E9"/>
    <w:rsid w:val="00E17996"/>
    <w:rsid w:val="00E20F04"/>
    <w:rsid w:val="00E24EB3"/>
    <w:rsid w:val="00E26451"/>
    <w:rsid w:val="00E315D2"/>
    <w:rsid w:val="00E3214F"/>
    <w:rsid w:val="00E323BF"/>
    <w:rsid w:val="00E422EB"/>
    <w:rsid w:val="00E4343C"/>
    <w:rsid w:val="00E44253"/>
    <w:rsid w:val="00E57F64"/>
    <w:rsid w:val="00E63D9E"/>
    <w:rsid w:val="00E66763"/>
    <w:rsid w:val="00E67951"/>
    <w:rsid w:val="00E716C6"/>
    <w:rsid w:val="00E72AA8"/>
    <w:rsid w:val="00E81140"/>
    <w:rsid w:val="00E82CD8"/>
    <w:rsid w:val="00EA45C0"/>
    <w:rsid w:val="00EA5E16"/>
    <w:rsid w:val="00EA7E25"/>
    <w:rsid w:val="00EB6A01"/>
    <w:rsid w:val="00EC0850"/>
    <w:rsid w:val="00EC17C2"/>
    <w:rsid w:val="00ED1AA0"/>
    <w:rsid w:val="00ED3624"/>
    <w:rsid w:val="00EE0136"/>
    <w:rsid w:val="00F11DB5"/>
    <w:rsid w:val="00F11FAA"/>
    <w:rsid w:val="00F20A7C"/>
    <w:rsid w:val="00F252AF"/>
    <w:rsid w:val="00F30A74"/>
    <w:rsid w:val="00F33AB3"/>
    <w:rsid w:val="00F44B7D"/>
    <w:rsid w:val="00F46166"/>
    <w:rsid w:val="00F46446"/>
    <w:rsid w:val="00F54951"/>
    <w:rsid w:val="00F65F1E"/>
    <w:rsid w:val="00F70963"/>
    <w:rsid w:val="00F7103F"/>
    <w:rsid w:val="00F728AB"/>
    <w:rsid w:val="00F760CC"/>
    <w:rsid w:val="00F86645"/>
    <w:rsid w:val="00F91AFC"/>
    <w:rsid w:val="00F929A4"/>
    <w:rsid w:val="00FA6E8B"/>
    <w:rsid w:val="00FB11C4"/>
    <w:rsid w:val="00FB4517"/>
    <w:rsid w:val="00FB7179"/>
    <w:rsid w:val="00FC73A6"/>
    <w:rsid w:val="00FD0A4C"/>
    <w:rsid w:val="00FF29B9"/>
    <w:rsid w:val="00FF4A4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AC4A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5E16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EA5E16"/>
    <w:rPr>
      <w:rFonts w:eastAsia="Times New Roman" w:cs="Times New Roman"/>
      <w:szCs w:val="24"/>
      <w:lang w:eastAsia="lv-LV"/>
    </w:rPr>
  </w:style>
  <w:style w:type="character" w:styleId="PageNumber">
    <w:name w:val="page number"/>
    <w:basedOn w:val="DefaultParagraphFont"/>
    <w:rsid w:val="00EA5E16"/>
  </w:style>
  <w:style w:type="paragraph" w:styleId="ListParagraph">
    <w:name w:val="List Paragraph"/>
    <w:basedOn w:val="Normal"/>
    <w:uiPriority w:val="34"/>
    <w:qFormat/>
    <w:rsid w:val="009107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29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911"/>
  </w:style>
  <w:style w:type="character" w:styleId="CommentReference">
    <w:name w:val="annotation reference"/>
    <w:basedOn w:val="DefaultParagraphFont"/>
    <w:uiPriority w:val="99"/>
    <w:semiHidden/>
    <w:unhideWhenUsed/>
    <w:rsid w:val="00F46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4F41E9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C05C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0142C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0142C"/>
    <w:rPr>
      <w:rFonts w:eastAsia="Times New Roman" w:cs="Times New Roman"/>
      <w:szCs w:val="24"/>
      <w:lang w:val="x-none" w:eastAsia="x-none"/>
    </w:rPr>
  </w:style>
  <w:style w:type="paragraph" w:customStyle="1" w:styleId="naisnod">
    <w:name w:val="naisnod"/>
    <w:basedOn w:val="Normal"/>
    <w:rsid w:val="007A2D8A"/>
    <w:pPr>
      <w:spacing w:before="150" w:after="150"/>
      <w:jc w:val="center"/>
    </w:pPr>
    <w:rPr>
      <w:rFonts w:eastAsia="Times New Roman" w:cs="Times New Roman"/>
      <w:b/>
      <w:bCs/>
      <w:szCs w:val="24"/>
      <w:lang w:eastAsia="lv-LV"/>
    </w:rPr>
  </w:style>
  <w:style w:type="paragraph" w:styleId="BodyTextIndent3">
    <w:name w:val="Body Text Indent 3"/>
    <w:basedOn w:val="Normal"/>
    <w:link w:val="BodyTextIndent3Char"/>
    <w:rsid w:val="007A2D8A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A2D8A"/>
    <w:rPr>
      <w:rFonts w:eastAsia="Times New Roman" w:cs="Times New Roman"/>
      <w:sz w:val="16"/>
      <w:szCs w:val="16"/>
      <w:lang w:val="x-none" w:eastAsia="x-none"/>
    </w:rPr>
  </w:style>
  <w:style w:type="paragraph" w:customStyle="1" w:styleId="naislab">
    <w:name w:val="naislab"/>
    <w:basedOn w:val="Normal"/>
    <w:rsid w:val="007A2D8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Nobeigums">
    <w:name w:val="Nobeigums"/>
    <w:basedOn w:val="Normal"/>
    <w:rsid w:val="00B02790"/>
    <w:rPr>
      <w:rFonts w:eastAsia="Times New Roman" w:cs="Times New Roman"/>
      <w:szCs w:val="20"/>
      <w:lang w:val="en-US"/>
    </w:rPr>
  </w:style>
  <w:style w:type="paragraph" w:customStyle="1" w:styleId="naiskr">
    <w:name w:val="naiskr"/>
    <w:basedOn w:val="Normal"/>
    <w:rsid w:val="00CB0E59"/>
    <w:pPr>
      <w:spacing w:before="75" w:after="75"/>
    </w:pPr>
    <w:rPr>
      <w:rFonts w:eastAsia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5E16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EA5E16"/>
    <w:rPr>
      <w:rFonts w:eastAsia="Times New Roman" w:cs="Times New Roman"/>
      <w:szCs w:val="24"/>
      <w:lang w:eastAsia="lv-LV"/>
    </w:rPr>
  </w:style>
  <w:style w:type="character" w:styleId="PageNumber">
    <w:name w:val="page number"/>
    <w:basedOn w:val="DefaultParagraphFont"/>
    <w:rsid w:val="00EA5E16"/>
  </w:style>
  <w:style w:type="paragraph" w:styleId="ListParagraph">
    <w:name w:val="List Paragraph"/>
    <w:basedOn w:val="Normal"/>
    <w:uiPriority w:val="34"/>
    <w:qFormat/>
    <w:rsid w:val="009107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29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911"/>
  </w:style>
  <w:style w:type="character" w:styleId="CommentReference">
    <w:name w:val="annotation reference"/>
    <w:basedOn w:val="DefaultParagraphFont"/>
    <w:uiPriority w:val="99"/>
    <w:semiHidden/>
    <w:unhideWhenUsed/>
    <w:rsid w:val="00F46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4F41E9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C05C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0142C"/>
    <w:pPr>
      <w:spacing w:after="120"/>
    </w:pPr>
    <w:rPr>
      <w:rFonts w:eastAsia="Times New Roman" w:cs="Times New Roman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0142C"/>
    <w:rPr>
      <w:rFonts w:eastAsia="Times New Roman" w:cs="Times New Roman"/>
      <w:szCs w:val="24"/>
      <w:lang w:val="x-none" w:eastAsia="x-none"/>
    </w:rPr>
  </w:style>
  <w:style w:type="paragraph" w:customStyle="1" w:styleId="naisnod">
    <w:name w:val="naisnod"/>
    <w:basedOn w:val="Normal"/>
    <w:rsid w:val="007A2D8A"/>
    <w:pPr>
      <w:spacing w:before="150" w:after="150"/>
      <w:jc w:val="center"/>
    </w:pPr>
    <w:rPr>
      <w:rFonts w:eastAsia="Times New Roman" w:cs="Times New Roman"/>
      <w:b/>
      <w:bCs/>
      <w:szCs w:val="24"/>
      <w:lang w:eastAsia="lv-LV"/>
    </w:rPr>
  </w:style>
  <w:style w:type="paragraph" w:styleId="BodyTextIndent3">
    <w:name w:val="Body Text Indent 3"/>
    <w:basedOn w:val="Normal"/>
    <w:link w:val="BodyTextIndent3Char"/>
    <w:rsid w:val="007A2D8A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A2D8A"/>
    <w:rPr>
      <w:rFonts w:eastAsia="Times New Roman" w:cs="Times New Roman"/>
      <w:sz w:val="16"/>
      <w:szCs w:val="16"/>
      <w:lang w:val="x-none" w:eastAsia="x-none"/>
    </w:rPr>
  </w:style>
  <w:style w:type="paragraph" w:customStyle="1" w:styleId="naislab">
    <w:name w:val="naislab"/>
    <w:basedOn w:val="Normal"/>
    <w:rsid w:val="007A2D8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Nobeigums">
    <w:name w:val="Nobeigums"/>
    <w:basedOn w:val="Normal"/>
    <w:rsid w:val="00B02790"/>
    <w:rPr>
      <w:rFonts w:eastAsia="Times New Roman" w:cs="Times New Roman"/>
      <w:szCs w:val="20"/>
      <w:lang w:val="en-US"/>
    </w:rPr>
  </w:style>
  <w:style w:type="paragraph" w:customStyle="1" w:styleId="naiskr">
    <w:name w:val="naiskr"/>
    <w:basedOn w:val="Normal"/>
    <w:rsid w:val="00CB0E59"/>
    <w:pPr>
      <w:spacing w:before="75" w:after="75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15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53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006D-EAFA-4C9D-B660-8A8045BE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4046</Words>
  <Characters>2307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instrukcijas projekta „Grozījumi Ministru kabineta 2012.gada 2.oktobra instrukcijā Nr.12 „Dienesta vieglo automobiļu iegādes un nomas kārtība””</vt:lpstr>
    </vt:vector>
  </TitlesOfParts>
  <Company>Finanšu ministrija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projekta „Grozījumi Ministru kabineta 2012.gada 2.oktobra instrukcijā Nr.12 „Dienesta vieglo automobiļu iegādes un nomas kārtība””</dc:title>
  <dc:subject>Anotācija</dc:subject>
  <dc:creator>K.Mužica</dc:creator>
  <dc:description>Kristine.Muzica@fm.gov.lv_x000d_
Tel.:67095439</dc:description>
  <cp:lastModifiedBy>Emīlija Spundzāne</cp:lastModifiedBy>
  <cp:revision>9</cp:revision>
  <cp:lastPrinted>2013-11-20T13:14:00Z</cp:lastPrinted>
  <dcterms:created xsi:type="dcterms:W3CDTF">2013-10-28T11:31:00Z</dcterms:created>
  <dcterms:modified xsi:type="dcterms:W3CDTF">2013-11-20T13:15:00Z</dcterms:modified>
</cp:coreProperties>
</file>