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0F" w:rsidRPr="006E4467" w:rsidRDefault="00A7430F" w:rsidP="004A3D69">
      <w:pPr>
        <w:jc w:val="center"/>
        <w:rPr>
          <w:sz w:val="28"/>
          <w:szCs w:val="28"/>
        </w:rPr>
      </w:pPr>
      <w:r w:rsidRPr="006E4467">
        <w:rPr>
          <w:b/>
          <w:sz w:val="28"/>
          <w:szCs w:val="28"/>
        </w:rPr>
        <w:t xml:space="preserve">Ministru kabineta instrukcijas </w:t>
      </w:r>
      <w:r>
        <w:rPr>
          <w:b/>
          <w:sz w:val="28"/>
          <w:szCs w:val="28"/>
        </w:rPr>
        <w:t>"</w:t>
      </w:r>
      <w:r w:rsidRPr="006E4467">
        <w:rPr>
          <w:b/>
          <w:bCs/>
          <w:sz w:val="28"/>
          <w:szCs w:val="28"/>
        </w:rPr>
        <w:t xml:space="preserve">Grozījumi Ministru kabineta </w:t>
      </w:r>
      <w:r w:rsidRPr="006E4467">
        <w:rPr>
          <w:b/>
          <w:sz w:val="28"/>
          <w:szCs w:val="28"/>
        </w:rPr>
        <w:t xml:space="preserve">2010.gada 23.marta instrukcijā Nr.2 </w:t>
      </w:r>
      <w:r>
        <w:rPr>
          <w:b/>
          <w:sz w:val="28"/>
          <w:szCs w:val="28"/>
        </w:rPr>
        <w:t>"</w:t>
      </w:r>
      <w:r w:rsidRPr="006E4467">
        <w:rPr>
          <w:b/>
          <w:bCs/>
          <w:sz w:val="28"/>
          <w:szCs w:val="28"/>
        </w:rPr>
        <w:t>Kārtība, kādā ministrija sagatavo, noformē un izplata sabiedrībai informāciju par Valsts sekretāru sanāksmē, Ministru kabineta komitejā un Ministru kabineta sēdē izskatāmajiem projektiem un pieņemtajiem lēmumiem</w:t>
      </w:r>
      <w:r>
        <w:rPr>
          <w:b/>
          <w:bCs/>
          <w:sz w:val="28"/>
          <w:szCs w:val="28"/>
        </w:rPr>
        <w:t>""</w:t>
      </w:r>
      <w:r w:rsidRPr="006E4467">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6E4467">
          <w:rPr>
            <w:b/>
            <w:sz w:val="28"/>
            <w:szCs w:val="28"/>
          </w:rPr>
          <w:t>ziņojums</w:t>
        </w:r>
      </w:smartTag>
      <w:r w:rsidRPr="006E4467">
        <w:rPr>
          <w:b/>
          <w:sz w:val="28"/>
          <w:szCs w:val="28"/>
        </w:rPr>
        <w:t xml:space="preserve"> (anotācija)</w:t>
      </w:r>
    </w:p>
    <w:p w:rsidR="00A7430F" w:rsidRPr="00D6328D" w:rsidRDefault="00A7430F" w:rsidP="004A3D69">
      <w:pPr>
        <w:rPr>
          <w:b/>
        </w:rPr>
      </w:pPr>
    </w:p>
    <w:tbl>
      <w:tblPr>
        <w:tblW w:w="8462" w:type="dxa"/>
        <w:tblInd w:w="15" w:type="dxa"/>
        <w:tblBorders>
          <w:insideV w:val="single" w:sz="4" w:space="0" w:color="000000"/>
        </w:tblBorders>
        <w:tblCellMar>
          <w:left w:w="0" w:type="dxa"/>
          <w:right w:w="0" w:type="dxa"/>
        </w:tblCellMar>
        <w:tblLook w:val="0000"/>
      </w:tblPr>
      <w:tblGrid>
        <w:gridCol w:w="336"/>
        <w:gridCol w:w="1644"/>
        <w:gridCol w:w="6482"/>
      </w:tblGrid>
      <w:tr w:rsidR="00A7430F" w:rsidTr="00B84E56">
        <w:tc>
          <w:tcPr>
            <w:tcW w:w="8462" w:type="dxa"/>
            <w:gridSpan w:val="3"/>
            <w:tcBorders>
              <w:top w:val="single" w:sz="2" w:space="0" w:color="000000"/>
              <w:left w:val="single" w:sz="2" w:space="0" w:color="000000"/>
              <w:bottom w:val="single" w:sz="2" w:space="0" w:color="000000"/>
              <w:right w:val="single" w:sz="2" w:space="0" w:color="000000"/>
            </w:tcBorders>
            <w:vAlign w:val="center"/>
          </w:tcPr>
          <w:p w:rsidR="00A7430F" w:rsidRDefault="00A7430F" w:rsidP="00D676C6">
            <w:pPr>
              <w:pStyle w:val="naisc"/>
            </w:pPr>
            <w:r>
              <w:rPr>
                <w:b/>
                <w:bCs/>
              </w:rPr>
              <w:t> I. Tiesību akta projekta izstrādes nepieciešamība</w:t>
            </w:r>
          </w:p>
        </w:tc>
      </w:tr>
      <w:tr w:rsidR="00A7430F" w:rsidTr="00B84E56">
        <w:trPr>
          <w:trHeight w:val="1614"/>
        </w:trPr>
        <w:tc>
          <w:tcPr>
            <w:tcW w:w="336" w:type="dxa"/>
            <w:tcBorders>
              <w:top w:val="single" w:sz="2" w:space="0" w:color="000000"/>
              <w:left w:val="single" w:sz="2" w:space="0" w:color="000000"/>
              <w:bottom w:val="single" w:sz="2" w:space="0" w:color="000000"/>
              <w:right w:val="single" w:sz="2" w:space="0" w:color="000000"/>
            </w:tcBorders>
          </w:tcPr>
          <w:p w:rsidR="00A7430F" w:rsidRDefault="00A7430F" w:rsidP="00D676C6">
            <w:pPr>
              <w:pStyle w:val="naiskr"/>
            </w:pPr>
            <w:r>
              <w:t> 1.</w:t>
            </w:r>
          </w:p>
        </w:tc>
        <w:tc>
          <w:tcPr>
            <w:tcW w:w="1644"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lab"/>
              <w:ind w:left="192"/>
            </w:pPr>
            <w:r>
              <w:t> Pamatojums</w:t>
            </w:r>
          </w:p>
        </w:tc>
        <w:tc>
          <w:tcPr>
            <w:tcW w:w="6482"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kr"/>
              <w:spacing w:before="0" w:beforeAutospacing="0" w:after="0" w:afterAutospacing="0"/>
              <w:ind w:left="168"/>
              <w:jc w:val="both"/>
            </w:pPr>
            <w:r w:rsidRPr="009713F1">
              <w:t xml:space="preserve">Tiesību akta projekts </w:t>
            </w:r>
            <w:r>
              <w:t>izstrādāts saskaņā ar Valdības deklarācijas 2.1.punktu</w:t>
            </w:r>
            <w:r w:rsidRPr="009713F1">
              <w:t xml:space="preserve"> </w:t>
            </w:r>
            <w:r>
              <w:t>"</w:t>
            </w:r>
            <w:r w:rsidRPr="009713F1">
              <w:t>Nodrošināt pilnu un skaidru informāciju par Ministru kabineta darbu un situāciju tautsaimniecībā. [..]</w:t>
            </w:r>
            <w:r>
              <w:t>"</w:t>
            </w:r>
            <w:r w:rsidRPr="009713F1">
              <w:t>. Papild</w:t>
            </w:r>
            <w:r>
              <w:t>us</w:t>
            </w:r>
            <w:r w:rsidRPr="009713F1">
              <w:t xml:space="preserve"> Valdības</w:t>
            </w:r>
            <w:r>
              <w:t xml:space="preserve"> deklarācijas un Rīcības plāna pasākumiem</w:t>
            </w:r>
            <w:r w:rsidRPr="009713F1">
              <w:t xml:space="preserve"> Valsts kanceleja iekšējos dokumentos noteikusi prioritāti uzlabot </w:t>
            </w:r>
            <w:r>
              <w:t>tās</w:t>
            </w:r>
            <w:r w:rsidRPr="009713F1">
              <w:t xml:space="preserve"> informācijas kvalitāti</w:t>
            </w:r>
            <w:r>
              <w:t>, ko institūcijas sniedz plašsaziņas līdzekļiem</w:t>
            </w:r>
          </w:p>
        </w:tc>
      </w:tr>
      <w:tr w:rsidR="00A7430F" w:rsidTr="00B84E56">
        <w:trPr>
          <w:trHeight w:val="472"/>
        </w:trPr>
        <w:tc>
          <w:tcPr>
            <w:tcW w:w="336" w:type="dxa"/>
            <w:tcBorders>
              <w:top w:val="single" w:sz="2" w:space="0" w:color="000000"/>
              <w:left w:val="single" w:sz="2" w:space="0" w:color="000000"/>
              <w:bottom w:val="single" w:sz="2" w:space="0" w:color="000000"/>
              <w:right w:val="single" w:sz="2" w:space="0" w:color="000000"/>
            </w:tcBorders>
          </w:tcPr>
          <w:p w:rsidR="00A7430F" w:rsidRDefault="00A7430F" w:rsidP="00D676C6">
            <w:pPr>
              <w:pStyle w:val="naiskr"/>
            </w:pPr>
            <w:r>
              <w:t> 2.</w:t>
            </w:r>
          </w:p>
        </w:tc>
        <w:tc>
          <w:tcPr>
            <w:tcW w:w="1644"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kr"/>
              <w:ind w:left="192"/>
            </w:pPr>
            <w:r>
              <w:t>Pašreizējā situācija un problēmas</w:t>
            </w:r>
          </w:p>
        </w:tc>
        <w:tc>
          <w:tcPr>
            <w:tcW w:w="6482"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kr"/>
              <w:spacing w:before="0" w:beforeAutospacing="0" w:after="0" w:afterAutospacing="0"/>
              <w:ind w:left="168"/>
              <w:jc w:val="both"/>
            </w:pPr>
            <w:r>
              <w:t>Esošā instrukcijas redakcija nosaka plašu informācijas sagatavošanas apjomu par jautājumiem, kas ir Valsts sekretāru sanāksmes, Ministru kabineta komitejas un Ministru kabineta sēdes darba kārtībā. Šobrīd plašsaziņas līdzekļiem ir piekļuve valdības dokumentu elektroniskajai aprites sistēmai ePortfelis. Tāpat visi publiski pieejamie dokumentu projekti tiek ievietoti Ministru kabineta tīmekļa vietnē, un tas garantē iespējas ikvienam interesentam iepazīties ar valdības darba kārtībā esošajiem jautājumiem. Tāpēc pastāv objektīva nepieciešamība jau sākotnēji, pirms informācijas publiskošanas, sagatavot ikvienam indivīdam saprotamu un vienkārši uztveramu informāciju par jautājumiem, kas tiek virzīti izskatīšanai un pieņemšanai Ministru kabinetā.</w:t>
            </w:r>
          </w:p>
          <w:p w:rsidR="00A7430F" w:rsidRDefault="00A7430F" w:rsidP="000A3245">
            <w:pPr>
              <w:pStyle w:val="naiskr"/>
              <w:spacing w:before="0" w:beforeAutospacing="0" w:after="0" w:afterAutospacing="0"/>
              <w:ind w:left="168"/>
              <w:jc w:val="both"/>
            </w:pPr>
            <w:r>
              <w:t>Ministru kabineta 2009.gada 15.decembra instrukcija Nr.19 "Tiesību akta projekta sākotnējās ietekmes izvērtēšanas kārtība" paredz, ka ministrija, sagatavojot izskatīšanai valdībā tiesību aktu projektus, pievieno ietekmes novērtējuma ziņojumu – anotāciju, kurā tiek sniegta informācija par projekta izdošanas mērķi. Taču praksē nākas secināt, ka nereti skaidrojums par projekta izdošanas mērķi un būtību ir sagatavots juridiski sarežģītā valodā un sabiedrībai nesaprotamā veidā.</w:t>
            </w:r>
          </w:p>
          <w:p w:rsidR="00A7430F" w:rsidRDefault="00A7430F" w:rsidP="000A3245">
            <w:pPr>
              <w:pStyle w:val="naiskr"/>
              <w:spacing w:before="0" w:beforeAutospacing="0" w:after="0" w:afterAutospacing="0"/>
              <w:ind w:left="168"/>
              <w:jc w:val="both"/>
            </w:pPr>
            <w:r>
              <w:t xml:space="preserve">Tāpēc institūcijām jau projekta anotācijas sagatavošanas laikā (ja nepieciešams) vajadzētu iesaistīt ministriju sabiedrisko attiecību speciālistus anotācijas I sadaļas 4.punkta </w:t>
            </w:r>
            <w:r w:rsidRPr="000A3245">
              <w:t>"Tiesiskā regulējuma mērķis un būtība"</w:t>
            </w:r>
            <w:r>
              <w:t xml:space="preserve"> aizpildīšanā, lai skaidrojums būtu vienkāršs, saprotams, pilnīgs un objektīvs.</w:t>
            </w:r>
          </w:p>
          <w:p w:rsidR="00A7430F" w:rsidRDefault="00A7430F" w:rsidP="000A3245">
            <w:pPr>
              <w:pStyle w:val="naiskr"/>
              <w:spacing w:before="0" w:beforeAutospacing="0" w:after="0" w:afterAutospacing="0"/>
              <w:ind w:left="168"/>
              <w:jc w:val="both"/>
            </w:pPr>
            <w:r w:rsidRPr="00AE5ACA">
              <w:rPr>
                <w:bCs/>
              </w:rPr>
              <w:t>Nepieciešams precizēt atbildīgo iestādi par sabiedrības informēšanu saistībā ar Ministru kabineta sēdes darba kārtībā papildus iekļautajiem jautājumiem. Pašlaik spēkā esošā redakcija nosaka, ka par šādiem jautājumiem informāciju sagatavo Valsts kanceleja sadarbībā ar atbildīgo ministriju. Taču šis regulējums neatbilst praksei, proti, ministrijas pašas sagatavo informāciju plašsa</w:t>
            </w:r>
            <w:r>
              <w:rPr>
                <w:bCs/>
              </w:rPr>
              <w:t>ziņas līdzekļiem un sabiedrībai</w:t>
            </w:r>
          </w:p>
        </w:tc>
      </w:tr>
      <w:tr w:rsidR="00A7430F" w:rsidTr="00B84E56">
        <w:trPr>
          <w:trHeight w:val="1071"/>
        </w:trPr>
        <w:tc>
          <w:tcPr>
            <w:tcW w:w="336" w:type="dxa"/>
            <w:tcBorders>
              <w:top w:val="single" w:sz="2" w:space="0" w:color="000000"/>
              <w:left w:val="single" w:sz="2" w:space="0" w:color="000000"/>
              <w:bottom w:val="single" w:sz="2" w:space="0" w:color="000000"/>
              <w:right w:val="single" w:sz="2" w:space="0" w:color="000000"/>
            </w:tcBorders>
          </w:tcPr>
          <w:p w:rsidR="00A7430F" w:rsidRDefault="00A7430F" w:rsidP="00D676C6">
            <w:pPr>
              <w:pStyle w:val="naiskr"/>
            </w:pPr>
            <w:r>
              <w:t> 3.</w:t>
            </w:r>
          </w:p>
        </w:tc>
        <w:tc>
          <w:tcPr>
            <w:tcW w:w="1644"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kr"/>
              <w:ind w:left="192"/>
            </w:pPr>
            <w:r>
              <w:t>Saistītie politikas ietekmes novērtējumi un pētījumi</w:t>
            </w:r>
          </w:p>
        </w:tc>
        <w:tc>
          <w:tcPr>
            <w:tcW w:w="6482"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kr"/>
              <w:ind w:left="168"/>
            </w:pPr>
            <w:r>
              <w:t>Projekts šo jomu neskar</w:t>
            </w:r>
          </w:p>
        </w:tc>
      </w:tr>
      <w:tr w:rsidR="00A7430F" w:rsidTr="00B84E56">
        <w:trPr>
          <w:trHeight w:val="384"/>
        </w:trPr>
        <w:tc>
          <w:tcPr>
            <w:tcW w:w="336" w:type="dxa"/>
            <w:tcBorders>
              <w:top w:val="single" w:sz="2" w:space="0" w:color="000000"/>
              <w:left w:val="single" w:sz="2" w:space="0" w:color="000000"/>
              <w:bottom w:val="single" w:sz="2" w:space="0" w:color="000000"/>
              <w:right w:val="single" w:sz="2" w:space="0" w:color="000000"/>
            </w:tcBorders>
          </w:tcPr>
          <w:p w:rsidR="00A7430F" w:rsidRDefault="00A7430F" w:rsidP="00D676C6">
            <w:pPr>
              <w:pStyle w:val="naiskr"/>
            </w:pPr>
            <w:r>
              <w:t> 4.</w:t>
            </w:r>
          </w:p>
        </w:tc>
        <w:tc>
          <w:tcPr>
            <w:tcW w:w="1644"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kr"/>
              <w:ind w:left="192"/>
            </w:pPr>
            <w:r>
              <w:t>Tiesiskā regulējuma mērķis un būtība</w:t>
            </w:r>
          </w:p>
        </w:tc>
        <w:tc>
          <w:tcPr>
            <w:tcW w:w="6482" w:type="dxa"/>
            <w:tcBorders>
              <w:top w:val="single" w:sz="2" w:space="0" w:color="000000"/>
              <w:left w:val="single" w:sz="2" w:space="0" w:color="000000"/>
              <w:bottom w:val="single" w:sz="2" w:space="0" w:color="000000"/>
              <w:right w:val="single" w:sz="2" w:space="0" w:color="000000"/>
            </w:tcBorders>
          </w:tcPr>
          <w:p w:rsidR="00A7430F" w:rsidRPr="00BF0A67" w:rsidRDefault="00A7430F" w:rsidP="000A3245">
            <w:pPr>
              <w:pStyle w:val="naiskr"/>
              <w:spacing w:before="0" w:beforeAutospacing="0" w:after="0" w:afterAutospacing="0"/>
              <w:ind w:left="168"/>
              <w:jc w:val="both"/>
              <w:rPr>
                <w:color w:val="000000"/>
              </w:rPr>
            </w:pPr>
            <w:r>
              <w:rPr>
                <w:color w:val="000000"/>
              </w:rPr>
              <w:t>Projekts p</w:t>
            </w:r>
            <w:r w:rsidRPr="004A3D69">
              <w:rPr>
                <w:color w:val="000000"/>
              </w:rPr>
              <w:t xml:space="preserve">recizē </w:t>
            </w:r>
            <w:r w:rsidRPr="004A3D69">
              <w:rPr>
                <w:bCs/>
              </w:rPr>
              <w:t xml:space="preserve">Ministru kabineta </w:t>
            </w:r>
            <w:r w:rsidRPr="004A3D69">
              <w:t xml:space="preserve">2010.gada 23.marta instrukcijā Nr.2 </w:t>
            </w:r>
            <w:r>
              <w:t>"</w:t>
            </w:r>
            <w:r w:rsidRPr="004A3D69">
              <w:rPr>
                <w:bCs/>
              </w:rPr>
              <w:t>Kārtība, kādā ministrija sagatavo, noformē un izplata sabiedrībai informāciju par Valsts sekretāru sanāksmē, Ministru kabineta komitejā un Ministru kabineta sēdē izskatāmajiem projektiem un pieņemtajiem lēmumiem</w:t>
            </w:r>
            <w:r>
              <w:rPr>
                <w:bCs/>
              </w:rPr>
              <w:t>"</w:t>
            </w:r>
            <w:r w:rsidRPr="004A3D69">
              <w:rPr>
                <w:bCs/>
              </w:rPr>
              <w:t xml:space="preserve"> </w:t>
            </w:r>
            <w:r w:rsidRPr="004A3D69">
              <w:t>noteikto kā</w:t>
            </w:r>
            <w:r>
              <w:t>rtību un saturu, kādā ministriju</w:t>
            </w:r>
            <w:r w:rsidRPr="004A3D69">
              <w:t xml:space="preserve"> sabiedrisko attiecību speciālisti sagatavo informāciju </w:t>
            </w:r>
            <w:r>
              <w:t xml:space="preserve">par Valsts sekretāru sanāksmē pieteiktajiem tiesību aktu projektiem, kā arī Ministru kabineta komitejā un Ministru kabinetā izskatītajiem un pieņemtajiem lēmumiem. Paredzēts, ka ministrija </w:t>
            </w:r>
            <w:r w:rsidRPr="00AB3E8B">
              <w:rPr>
                <w:color w:val="000000"/>
              </w:rPr>
              <w:t>izvērtē un</w:t>
            </w:r>
            <w:r>
              <w:rPr>
                <w:color w:val="000000"/>
              </w:rPr>
              <w:t>,</w:t>
            </w:r>
            <w:r w:rsidRPr="00AB3E8B">
              <w:rPr>
                <w:color w:val="000000"/>
              </w:rPr>
              <w:t xml:space="preserve"> </w:t>
            </w:r>
            <w:r>
              <w:rPr>
                <w:color w:val="000000"/>
              </w:rPr>
              <w:t>ja nepieciešams,</w:t>
            </w:r>
            <w:r w:rsidRPr="00AB3E8B">
              <w:rPr>
                <w:color w:val="000000"/>
              </w:rPr>
              <w:t xml:space="preserve"> sagatavo aprakstošu </w:t>
            </w:r>
            <w:r>
              <w:rPr>
                <w:color w:val="000000"/>
              </w:rPr>
              <w:t xml:space="preserve">un sabiedrībai saprotamu </w:t>
            </w:r>
            <w:r w:rsidRPr="00AB3E8B">
              <w:rPr>
                <w:color w:val="000000"/>
              </w:rPr>
              <w:t xml:space="preserve">informāciju par projekta izdošanas mērķi un </w:t>
            </w:r>
            <w:r>
              <w:rPr>
                <w:color w:val="000000"/>
              </w:rPr>
              <w:t xml:space="preserve">būtību (kādas problēmas risinās), </w:t>
            </w:r>
            <w:r w:rsidRPr="00BF0A67">
              <w:rPr>
                <w:color w:val="000000"/>
              </w:rPr>
              <w:t>necitējot proje</w:t>
            </w:r>
            <w:r>
              <w:rPr>
                <w:color w:val="000000"/>
              </w:rPr>
              <w:t>ktā ietvertās juridiskās normas</w:t>
            </w:r>
            <w:r w:rsidRPr="00BF0A67">
              <w:rPr>
                <w:color w:val="000000"/>
              </w:rPr>
              <w:t xml:space="preserve"> </w:t>
            </w:r>
          </w:p>
          <w:p w:rsidR="00A7430F" w:rsidRPr="0009277E" w:rsidRDefault="00A7430F" w:rsidP="00290CE0">
            <w:pPr>
              <w:pStyle w:val="naiskr"/>
              <w:spacing w:before="0" w:beforeAutospacing="0" w:after="0" w:afterAutospacing="0"/>
              <w:rPr>
                <w:color w:val="000000"/>
              </w:rPr>
            </w:pPr>
          </w:p>
        </w:tc>
      </w:tr>
      <w:tr w:rsidR="00A7430F" w:rsidTr="00B84E56">
        <w:trPr>
          <w:trHeight w:val="476"/>
        </w:trPr>
        <w:tc>
          <w:tcPr>
            <w:tcW w:w="336" w:type="dxa"/>
            <w:tcBorders>
              <w:top w:val="single" w:sz="2" w:space="0" w:color="000000"/>
              <w:left w:val="single" w:sz="2" w:space="0" w:color="000000"/>
              <w:bottom w:val="single" w:sz="2" w:space="0" w:color="000000"/>
              <w:right w:val="single" w:sz="2" w:space="0" w:color="000000"/>
            </w:tcBorders>
          </w:tcPr>
          <w:p w:rsidR="00A7430F" w:rsidRDefault="00A7430F" w:rsidP="00D676C6">
            <w:pPr>
              <w:pStyle w:val="naiskr"/>
            </w:pPr>
            <w:r>
              <w:t> 5.</w:t>
            </w:r>
          </w:p>
        </w:tc>
        <w:tc>
          <w:tcPr>
            <w:tcW w:w="1644"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kr"/>
              <w:ind w:left="192"/>
            </w:pPr>
            <w:r>
              <w:t>Projekta izstrādē iesaistītās institūcijas</w:t>
            </w:r>
          </w:p>
        </w:tc>
        <w:tc>
          <w:tcPr>
            <w:tcW w:w="6482"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kr"/>
              <w:ind w:left="168"/>
            </w:pPr>
            <w:r>
              <w:t>Projekts šo jomu neskar</w:t>
            </w:r>
          </w:p>
        </w:tc>
      </w:tr>
      <w:tr w:rsidR="00A7430F" w:rsidTr="00B84E56">
        <w:trPr>
          <w:trHeight w:val="642"/>
        </w:trPr>
        <w:tc>
          <w:tcPr>
            <w:tcW w:w="336" w:type="dxa"/>
            <w:tcBorders>
              <w:top w:val="single" w:sz="2" w:space="0" w:color="000000"/>
              <w:left w:val="single" w:sz="2" w:space="0" w:color="000000"/>
              <w:bottom w:val="single" w:sz="2" w:space="0" w:color="000000"/>
              <w:right w:val="single" w:sz="2" w:space="0" w:color="000000"/>
            </w:tcBorders>
          </w:tcPr>
          <w:p w:rsidR="00A7430F" w:rsidRDefault="00A7430F" w:rsidP="00D676C6">
            <w:pPr>
              <w:spacing w:before="100" w:beforeAutospacing="1" w:after="100" w:afterAutospacing="1"/>
              <w:rPr>
                <w:lang w:eastAsia="en-US"/>
              </w:rPr>
            </w:pPr>
            <w:r>
              <w:rPr>
                <w:lang w:eastAsia="en-US"/>
              </w:rPr>
              <w:t> 6.</w:t>
            </w:r>
          </w:p>
        </w:tc>
        <w:tc>
          <w:tcPr>
            <w:tcW w:w="1644" w:type="dxa"/>
            <w:tcBorders>
              <w:top w:val="single" w:sz="2" w:space="0" w:color="000000"/>
              <w:left w:val="single" w:sz="2" w:space="0" w:color="000000"/>
              <w:bottom w:val="single" w:sz="2" w:space="0" w:color="000000"/>
              <w:right w:val="single" w:sz="2" w:space="0" w:color="000000"/>
            </w:tcBorders>
          </w:tcPr>
          <w:p w:rsidR="00A7430F" w:rsidRDefault="00A7430F" w:rsidP="000A3245">
            <w:pPr>
              <w:spacing w:before="100" w:beforeAutospacing="1" w:after="100" w:afterAutospacing="1"/>
              <w:ind w:left="192"/>
              <w:rPr>
                <w:lang w:eastAsia="en-US"/>
              </w:rPr>
            </w:pPr>
            <w:r>
              <w:rPr>
                <w:lang w:eastAsia="en-US"/>
              </w:rPr>
              <w:t>Iemesli, kādēļ netika nodrošināta sabiedrības līdzdalība</w:t>
            </w:r>
          </w:p>
        </w:tc>
        <w:tc>
          <w:tcPr>
            <w:tcW w:w="6482"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kr"/>
              <w:ind w:left="168"/>
            </w:pPr>
            <w:r>
              <w:t>P</w:t>
            </w:r>
            <w:r w:rsidRPr="009713F1">
              <w:t>rojekts paredz izmaiņas valsts pārvaldes institūc</w:t>
            </w:r>
            <w:r>
              <w:t>iju iekšējā darba organizācijā. Sabiedrības iesaiste un līdzdalība tiks nodrošināta Ministru kabineta 2009.gada 7.aprīļa noteikumos Nr.300 "</w:t>
            </w:r>
            <w:r w:rsidRPr="00E649FD">
              <w:t>Ministru kabineta kārtības rullis</w:t>
            </w:r>
            <w:r>
              <w:t>" minēto procedūru ietvaros pēc projekta pieteikšanas Valsts sekretāru sanāksmē</w:t>
            </w:r>
            <w:r w:rsidRPr="009713F1">
              <w:rPr>
                <w:rFonts w:ascii="Calibri" w:hAnsi="Calibri"/>
                <w:color w:val="1F497D"/>
                <w:sz w:val="22"/>
                <w:szCs w:val="22"/>
              </w:rPr>
              <w:t xml:space="preserve"> </w:t>
            </w:r>
          </w:p>
        </w:tc>
      </w:tr>
      <w:tr w:rsidR="00A7430F" w:rsidTr="00B84E56">
        <w:tc>
          <w:tcPr>
            <w:tcW w:w="336" w:type="dxa"/>
            <w:tcBorders>
              <w:top w:val="single" w:sz="2" w:space="0" w:color="000000"/>
              <w:left w:val="single" w:sz="2" w:space="0" w:color="000000"/>
              <w:bottom w:val="single" w:sz="2" w:space="0" w:color="000000"/>
              <w:right w:val="single" w:sz="2" w:space="0" w:color="000000"/>
            </w:tcBorders>
          </w:tcPr>
          <w:p w:rsidR="00A7430F" w:rsidRDefault="00A7430F" w:rsidP="00D676C6">
            <w:pPr>
              <w:pStyle w:val="naiskr"/>
            </w:pPr>
            <w:r>
              <w:t> 7.</w:t>
            </w:r>
          </w:p>
        </w:tc>
        <w:tc>
          <w:tcPr>
            <w:tcW w:w="1644"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kr"/>
              <w:ind w:left="192"/>
            </w:pPr>
            <w:r>
              <w:t> Cita informācija</w:t>
            </w:r>
          </w:p>
        </w:tc>
        <w:tc>
          <w:tcPr>
            <w:tcW w:w="6482" w:type="dxa"/>
            <w:tcBorders>
              <w:top w:val="single" w:sz="2" w:space="0" w:color="000000"/>
              <w:left w:val="single" w:sz="2" w:space="0" w:color="000000"/>
              <w:bottom w:val="single" w:sz="2" w:space="0" w:color="000000"/>
              <w:right w:val="single" w:sz="2" w:space="0" w:color="000000"/>
            </w:tcBorders>
          </w:tcPr>
          <w:p w:rsidR="00A7430F" w:rsidRDefault="00A7430F" w:rsidP="000A3245">
            <w:pPr>
              <w:pStyle w:val="naiskr"/>
              <w:ind w:left="168"/>
            </w:pPr>
            <w:r>
              <w:t>Nav</w:t>
            </w:r>
          </w:p>
        </w:tc>
      </w:tr>
    </w:tbl>
    <w:p w:rsidR="00A7430F" w:rsidRDefault="00A7430F" w:rsidP="004A3D69"/>
    <w:p w:rsidR="00A7430F" w:rsidRPr="00C54174" w:rsidRDefault="00A7430F" w:rsidP="004A3D69">
      <w:pPr>
        <w:jc w:val="both"/>
        <w:rPr>
          <w:rFonts w:ascii="Times" w:hAnsi="Times"/>
        </w:rPr>
      </w:pPr>
      <w:r>
        <w:rPr>
          <w:rFonts w:ascii="Times" w:hAnsi="Times"/>
        </w:rPr>
        <w:t>II, III, IV, V un VI sadaļa</w:t>
      </w:r>
      <w:r w:rsidRPr="00C54174">
        <w:rPr>
          <w:rFonts w:ascii="Times" w:hAnsi="Times"/>
        </w:rPr>
        <w:t xml:space="preserve"> – projekts šīs jomas neskar.</w:t>
      </w:r>
    </w:p>
    <w:p w:rsidR="00A7430F" w:rsidRDefault="00A7430F" w:rsidP="004A3D69">
      <w:pPr>
        <w:jc w:val="both"/>
        <w:rPr>
          <w:rFonts w:ascii="Times" w:hAnsi="Times"/>
          <w:sz w:val="28"/>
          <w:szCs w:val="28"/>
        </w:rPr>
      </w:pPr>
    </w:p>
    <w:tbl>
      <w:tblPr>
        <w:tblW w:w="0" w:type="auto"/>
        <w:tblInd w:w="10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A0"/>
      </w:tblPr>
      <w:tblGrid>
        <w:gridCol w:w="396"/>
        <w:gridCol w:w="3823"/>
        <w:gridCol w:w="4286"/>
      </w:tblGrid>
      <w:tr w:rsidR="00A7430F" w:rsidTr="006E4467">
        <w:tc>
          <w:tcPr>
            <w:tcW w:w="8505" w:type="dxa"/>
            <w:gridSpan w:val="3"/>
            <w:tcBorders>
              <w:top w:val="single" w:sz="4" w:space="0" w:color="auto"/>
              <w:left w:val="single" w:sz="4" w:space="0" w:color="auto"/>
              <w:bottom w:val="single" w:sz="4" w:space="0" w:color="auto"/>
              <w:right w:val="single" w:sz="4" w:space="0" w:color="auto"/>
            </w:tcBorders>
          </w:tcPr>
          <w:p w:rsidR="00A7430F" w:rsidRPr="00E103ED" w:rsidRDefault="00A7430F" w:rsidP="00C51D17">
            <w:pPr>
              <w:jc w:val="center"/>
              <w:rPr>
                <w:b/>
              </w:rPr>
            </w:pPr>
            <w:r w:rsidRPr="00E103ED">
              <w:rPr>
                <w:b/>
                <w:sz w:val="22"/>
                <w:szCs w:val="22"/>
              </w:rPr>
              <w:t>VII. Tiesību akta projekta izpildes nodrošināšana un tās ietekme uz institūcijām</w:t>
            </w:r>
          </w:p>
        </w:tc>
      </w:tr>
      <w:tr w:rsidR="00A7430F" w:rsidTr="00C01BB4">
        <w:tc>
          <w:tcPr>
            <w:tcW w:w="396" w:type="dxa"/>
            <w:tcBorders>
              <w:top w:val="single" w:sz="4" w:space="0" w:color="auto"/>
              <w:left w:val="single" w:sz="4" w:space="0" w:color="auto"/>
              <w:bottom w:val="single" w:sz="4" w:space="0" w:color="auto"/>
              <w:right w:val="single" w:sz="4" w:space="0" w:color="auto"/>
            </w:tcBorders>
          </w:tcPr>
          <w:p w:rsidR="00A7430F" w:rsidRDefault="00A7430F" w:rsidP="00C01BB4">
            <w:r>
              <w:t>1.</w:t>
            </w:r>
          </w:p>
        </w:tc>
        <w:tc>
          <w:tcPr>
            <w:tcW w:w="3823" w:type="dxa"/>
            <w:tcBorders>
              <w:top w:val="single" w:sz="4" w:space="0" w:color="auto"/>
              <w:left w:val="single" w:sz="4" w:space="0" w:color="auto"/>
              <w:bottom w:val="single" w:sz="4" w:space="0" w:color="auto"/>
              <w:right w:val="single" w:sz="4" w:space="0" w:color="auto"/>
            </w:tcBorders>
          </w:tcPr>
          <w:p w:rsidR="00A7430F" w:rsidRPr="00E103ED" w:rsidRDefault="00A7430F" w:rsidP="000A3245">
            <w:pPr>
              <w:jc w:val="both"/>
            </w:pPr>
            <w:r w:rsidRPr="00E103ED">
              <w:rPr>
                <w:sz w:val="22"/>
                <w:szCs w:val="22"/>
              </w:rPr>
              <w:t>Projekta izpildē iesaistītās institūcijas</w:t>
            </w:r>
          </w:p>
        </w:tc>
        <w:tc>
          <w:tcPr>
            <w:tcW w:w="4286" w:type="dxa"/>
            <w:tcBorders>
              <w:top w:val="single" w:sz="4" w:space="0" w:color="auto"/>
              <w:left w:val="single" w:sz="4" w:space="0" w:color="auto"/>
              <w:bottom w:val="single" w:sz="4" w:space="0" w:color="auto"/>
              <w:right w:val="single" w:sz="4" w:space="0" w:color="auto"/>
            </w:tcBorders>
          </w:tcPr>
          <w:p w:rsidR="00A7430F" w:rsidRDefault="00A7430F" w:rsidP="00E36743">
            <w:pPr>
              <w:jc w:val="both"/>
            </w:pPr>
            <w:r>
              <w:t>Ministrijas, Valsts kanceleja, Korupcijas novēršanas un apkarošanas birojs</w:t>
            </w:r>
          </w:p>
        </w:tc>
      </w:tr>
      <w:tr w:rsidR="00A7430F" w:rsidTr="00C01BB4">
        <w:tc>
          <w:tcPr>
            <w:tcW w:w="396" w:type="dxa"/>
            <w:tcBorders>
              <w:top w:val="single" w:sz="4" w:space="0" w:color="auto"/>
              <w:left w:val="single" w:sz="4" w:space="0" w:color="auto"/>
              <w:bottom w:val="single" w:sz="4" w:space="0" w:color="auto"/>
              <w:right w:val="single" w:sz="4" w:space="0" w:color="auto"/>
            </w:tcBorders>
          </w:tcPr>
          <w:p w:rsidR="00A7430F" w:rsidRDefault="00A7430F" w:rsidP="00C01BB4">
            <w:r>
              <w:t>2.</w:t>
            </w:r>
          </w:p>
        </w:tc>
        <w:tc>
          <w:tcPr>
            <w:tcW w:w="3823" w:type="dxa"/>
            <w:tcBorders>
              <w:top w:val="single" w:sz="4" w:space="0" w:color="auto"/>
              <w:left w:val="single" w:sz="4" w:space="0" w:color="auto"/>
              <w:bottom w:val="single" w:sz="4" w:space="0" w:color="auto"/>
              <w:right w:val="single" w:sz="4" w:space="0" w:color="auto"/>
            </w:tcBorders>
          </w:tcPr>
          <w:p w:rsidR="00A7430F" w:rsidRPr="00E103ED" w:rsidRDefault="00A7430F" w:rsidP="00C51D17">
            <w:pPr>
              <w:jc w:val="both"/>
            </w:pPr>
            <w:r w:rsidRPr="00E103ED">
              <w:rPr>
                <w:sz w:val="22"/>
                <w:szCs w:val="22"/>
              </w:rPr>
              <w:t>Projekta izpildes ietekme uz pārvaldes funkcijām</w:t>
            </w:r>
          </w:p>
        </w:tc>
        <w:tc>
          <w:tcPr>
            <w:tcW w:w="4286" w:type="dxa"/>
            <w:tcBorders>
              <w:top w:val="single" w:sz="4" w:space="0" w:color="auto"/>
              <w:left w:val="single" w:sz="4" w:space="0" w:color="auto"/>
              <w:bottom w:val="single" w:sz="4" w:space="0" w:color="auto"/>
              <w:right w:val="single" w:sz="4" w:space="0" w:color="auto"/>
            </w:tcBorders>
          </w:tcPr>
          <w:p w:rsidR="00A7430F" w:rsidRDefault="00A7430F" w:rsidP="00C51D17">
            <w:pPr>
              <w:jc w:val="both"/>
            </w:pPr>
            <w:r>
              <w:t>Nav attiecināms, grozījumi īstenojami atbilstoši esošajām funkcijām</w:t>
            </w:r>
          </w:p>
        </w:tc>
      </w:tr>
      <w:tr w:rsidR="00A7430F" w:rsidTr="00C01BB4">
        <w:tc>
          <w:tcPr>
            <w:tcW w:w="396" w:type="dxa"/>
            <w:tcBorders>
              <w:top w:val="single" w:sz="4" w:space="0" w:color="auto"/>
              <w:left w:val="single" w:sz="4" w:space="0" w:color="auto"/>
              <w:bottom w:val="single" w:sz="4" w:space="0" w:color="auto"/>
              <w:right w:val="single" w:sz="4" w:space="0" w:color="auto"/>
            </w:tcBorders>
          </w:tcPr>
          <w:p w:rsidR="00A7430F" w:rsidRDefault="00A7430F" w:rsidP="00C01BB4">
            <w:r>
              <w:t>3.</w:t>
            </w:r>
          </w:p>
        </w:tc>
        <w:tc>
          <w:tcPr>
            <w:tcW w:w="3823" w:type="dxa"/>
            <w:tcBorders>
              <w:top w:val="single" w:sz="4" w:space="0" w:color="auto"/>
              <w:left w:val="single" w:sz="4" w:space="0" w:color="auto"/>
              <w:bottom w:val="single" w:sz="4" w:space="0" w:color="auto"/>
              <w:right w:val="single" w:sz="4" w:space="0" w:color="auto"/>
            </w:tcBorders>
          </w:tcPr>
          <w:p w:rsidR="00A7430F" w:rsidRPr="00E103ED" w:rsidRDefault="00A7430F" w:rsidP="00C51D17">
            <w:pPr>
              <w:jc w:val="both"/>
            </w:pPr>
            <w:r w:rsidRPr="00E103ED">
              <w:rPr>
                <w:sz w:val="22"/>
                <w:szCs w:val="22"/>
              </w:rPr>
              <w:t>Projekta izpildes ietekme uz pārvaldes institucionālo struktūru.</w:t>
            </w:r>
          </w:p>
          <w:p w:rsidR="00A7430F" w:rsidRPr="00E103ED" w:rsidRDefault="00A7430F" w:rsidP="00C51D17">
            <w:pPr>
              <w:jc w:val="both"/>
            </w:pPr>
            <w:r w:rsidRPr="00E103ED">
              <w:rPr>
                <w:sz w:val="22"/>
                <w:szCs w:val="22"/>
              </w:rPr>
              <w:t>Jaunu institūciju izveide</w:t>
            </w:r>
          </w:p>
        </w:tc>
        <w:tc>
          <w:tcPr>
            <w:tcW w:w="4286" w:type="dxa"/>
            <w:tcBorders>
              <w:top w:val="single" w:sz="4" w:space="0" w:color="auto"/>
              <w:left w:val="single" w:sz="4" w:space="0" w:color="auto"/>
              <w:bottom w:val="single" w:sz="4" w:space="0" w:color="auto"/>
              <w:right w:val="single" w:sz="4" w:space="0" w:color="auto"/>
            </w:tcBorders>
          </w:tcPr>
          <w:p w:rsidR="00A7430F" w:rsidRDefault="00A7430F" w:rsidP="00C51D17">
            <w:pPr>
              <w:jc w:val="both"/>
            </w:pPr>
            <w:r w:rsidRPr="00A74905">
              <w:t>Jaunas institūcijas netiek veidotas</w:t>
            </w:r>
          </w:p>
        </w:tc>
      </w:tr>
      <w:tr w:rsidR="00A7430F" w:rsidTr="00C01BB4">
        <w:tc>
          <w:tcPr>
            <w:tcW w:w="396" w:type="dxa"/>
            <w:tcBorders>
              <w:top w:val="single" w:sz="4" w:space="0" w:color="auto"/>
              <w:left w:val="single" w:sz="4" w:space="0" w:color="auto"/>
              <w:bottom w:val="single" w:sz="4" w:space="0" w:color="auto"/>
              <w:right w:val="single" w:sz="4" w:space="0" w:color="auto"/>
            </w:tcBorders>
          </w:tcPr>
          <w:p w:rsidR="00A7430F" w:rsidRDefault="00A7430F" w:rsidP="00C01BB4">
            <w:r>
              <w:t>4.</w:t>
            </w:r>
          </w:p>
        </w:tc>
        <w:tc>
          <w:tcPr>
            <w:tcW w:w="3823" w:type="dxa"/>
            <w:tcBorders>
              <w:top w:val="single" w:sz="4" w:space="0" w:color="auto"/>
              <w:left w:val="single" w:sz="4" w:space="0" w:color="auto"/>
              <w:bottom w:val="single" w:sz="4" w:space="0" w:color="auto"/>
              <w:right w:val="single" w:sz="4" w:space="0" w:color="auto"/>
            </w:tcBorders>
          </w:tcPr>
          <w:p w:rsidR="00A7430F" w:rsidRPr="00E103ED" w:rsidRDefault="00A7430F" w:rsidP="00C51D17">
            <w:pPr>
              <w:jc w:val="both"/>
            </w:pPr>
            <w:r w:rsidRPr="00E103ED">
              <w:rPr>
                <w:sz w:val="22"/>
                <w:szCs w:val="22"/>
              </w:rPr>
              <w:t>Projekta izpildes ietekme uz pārvaldes institucionālo struktūru.</w:t>
            </w:r>
          </w:p>
          <w:p w:rsidR="00A7430F" w:rsidRPr="00E103ED" w:rsidRDefault="00A7430F" w:rsidP="00C51D17">
            <w:pPr>
              <w:jc w:val="both"/>
            </w:pPr>
            <w:r w:rsidRPr="00E103ED">
              <w:rPr>
                <w:sz w:val="22"/>
                <w:szCs w:val="22"/>
              </w:rPr>
              <w:t>Esošo institūciju likvidācija</w:t>
            </w:r>
          </w:p>
        </w:tc>
        <w:tc>
          <w:tcPr>
            <w:tcW w:w="4286" w:type="dxa"/>
            <w:tcBorders>
              <w:top w:val="single" w:sz="4" w:space="0" w:color="auto"/>
              <w:left w:val="single" w:sz="4" w:space="0" w:color="auto"/>
              <w:bottom w:val="single" w:sz="4" w:space="0" w:color="auto"/>
              <w:right w:val="single" w:sz="4" w:space="0" w:color="auto"/>
            </w:tcBorders>
          </w:tcPr>
          <w:p w:rsidR="00A7430F" w:rsidRDefault="00A7430F" w:rsidP="00C51D17">
            <w:pPr>
              <w:jc w:val="both"/>
            </w:pPr>
            <w:r>
              <w:t>Esošās institūcijas netiek likvidētas</w:t>
            </w:r>
          </w:p>
        </w:tc>
      </w:tr>
      <w:tr w:rsidR="00A7430F" w:rsidTr="00C01BB4">
        <w:tc>
          <w:tcPr>
            <w:tcW w:w="396" w:type="dxa"/>
            <w:tcBorders>
              <w:top w:val="single" w:sz="4" w:space="0" w:color="auto"/>
              <w:left w:val="single" w:sz="4" w:space="0" w:color="auto"/>
              <w:bottom w:val="single" w:sz="4" w:space="0" w:color="auto"/>
              <w:right w:val="single" w:sz="4" w:space="0" w:color="auto"/>
            </w:tcBorders>
          </w:tcPr>
          <w:p w:rsidR="00A7430F" w:rsidRDefault="00A7430F" w:rsidP="00C01BB4">
            <w:r>
              <w:t>5.</w:t>
            </w:r>
          </w:p>
        </w:tc>
        <w:tc>
          <w:tcPr>
            <w:tcW w:w="3823" w:type="dxa"/>
            <w:tcBorders>
              <w:top w:val="single" w:sz="4" w:space="0" w:color="auto"/>
              <w:left w:val="single" w:sz="4" w:space="0" w:color="auto"/>
              <w:bottom w:val="single" w:sz="4" w:space="0" w:color="auto"/>
              <w:right w:val="single" w:sz="4" w:space="0" w:color="auto"/>
            </w:tcBorders>
          </w:tcPr>
          <w:p w:rsidR="00A7430F" w:rsidRPr="00E103ED" w:rsidRDefault="00A7430F" w:rsidP="00C51D17">
            <w:pPr>
              <w:jc w:val="both"/>
            </w:pPr>
            <w:r w:rsidRPr="00E103ED">
              <w:rPr>
                <w:sz w:val="22"/>
                <w:szCs w:val="22"/>
              </w:rPr>
              <w:t>Projekta izpildes ietekme uz pārvaldes institucionālo struktūru.</w:t>
            </w:r>
          </w:p>
          <w:p w:rsidR="00A7430F" w:rsidRPr="00E103ED" w:rsidRDefault="00A7430F" w:rsidP="00C51D17">
            <w:pPr>
              <w:jc w:val="both"/>
            </w:pPr>
            <w:r w:rsidRPr="00E103ED">
              <w:rPr>
                <w:sz w:val="22"/>
                <w:szCs w:val="22"/>
              </w:rPr>
              <w:t>Esošo institūciju reorganizācija</w:t>
            </w:r>
          </w:p>
        </w:tc>
        <w:tc>
          <w:tcPr>
            <w:tcW w:w="4286" w:type="dxa"/>
            <w:tcBorders>
              <w:top w:val="single" w:sz="4" w:space="0" w:color="auto"/>
              <w:left w:val="single" w:sz="4" w:space="0" w:color="auto"/>
              <w:bottom w:val="single" w:sz="4" w:space="0" w:color="auto"/>
              <w:right w:val="single" w:sz="4" w:space="0" w:color="auto"/>
            </w:tcBorders>
          </w:tcPr>
          <w:p w:rsidR="00A7430F" w:rsidRDefault="00A7430F" w:rsidP="00C51D17">
            <w:pPr>
              <w:jc w:val="both"/>
            </w:pPr>
            <w:r>
              <w:t>Esošās institūcijas netiek reorganizētas</w:t>
            </w:r>
          </w:p>
        </w:tc>
      </w:tr>
      <w:tr w:rsidR="00A7430F" w:rsidTr="00C01BB4">
        <w:tc>
          <w:tcPr>
            <w:tcW w:w="396" w:type="dxa"/>
            <w:tcBorders>
              <w:top w:val="single" w:sz="4" w:space="0" w:color="auto"/>
              <w:left w:val="single" w:sz="4" w:space="0" w:color="auto"/>
              <w:bottom w:val="single" w:sz="4" w:space="0" w:color="auto"/>
              <w:right w:val="single" w:sz="4" w:space="0" w:color="auto"/>
            </w:tcBorders>
          </w:tcPr>
          <w:p w:rsidR="00A7430F" w:rsidRDefault="00A7430F" w:rsidP="00C01BB4">
            <w:r>
              <w:t>6.</w:t>
            </w:r>
          </w:p>
        </w:tc>
        <w:tc>
          <w:tcPr>
            <w:tcW w:w="3823" w:type="dxa"/>
            <w:tcBorders>
              <w:top w:val="single" w:sz="4" w:space="0" w:color="auto"/>
              <w:left w:val="single" w:sz="4" w:space="0" w:color="auto"/>
              <w:bottom w:val="single" w:sz="4" w:space="0" w:color="auto"/>
              <w:right w:val="single" w:sz="4" w:space="0" w:color="auto"/>
            </w:tcBorders>
          </w:tcPr>
          <w:p w:rsidR="00A7430F" w:rsidRDefault="00A7430F" w:rsidP="00C51D17">
            <w:pPr>
              <w:jc w:val="both"/>
            </w:pPr>
            <w:r>
              <w:t>Cita informācija</w:t>
            </w:r>
          </w:p>
        </w:tc>
        <w:tc>
          <w:tcPr>
            <w:tcW w:w="4286" w:type="dxa"/>
            <w:tcBorders>
              <w:top w:val="single" w:sz="4" w:space="0" w:color="auto"/>
              <w:left w:val="single" w:sz="4" w:space="0" w:color="auto"/>
              <w:bottom w:val="single" w:sz="4" w:space="0" w:color="auto"/>
              <w:right w:val="single" w:sz="4" w:space="0" w:color="auto"/>
            </w:tcBorders>
          </w:tcPr>
          <w:p w:rsidR="00A7430F" w:rsidRDefault="00A7430F" w:rsidP="00C51D17">
            <w:pPr>
              <w:jc w:val="both"/>
            </w:pPr>
            <w:r>
              <w:t>Nav</w:t>
            </w:r>
          </w:p>
        </w:tc>
      </w:tr>
    </w:tbl>
    <w:p w:rsidR="00A7430F" w:rsidRPr="006E4467" w:rsidRDefault="00A7430F" w:rsidP="004A3D69">
      <w:pPr>
        <w:jc w:val="both"/>
        <w:rPr>
          <w:rFonts w:ascii="Times" w:hAnsi="Times"/>
          <w:sz w:val="28"/>
          <w:szCs w:val="28"/>
        </w:rPr>
      </w:pPr>
    </w:p>
    <w:p w:rsidR="00A7430F" w:rsidRPr="006E4467" w:rsidRDefault="00A7430F" w:rsidP="004A3D69">
      <w:pPr>
        <w:jc w:val="both"/>
        <w:rPr>
          <w:rFonts w:ascii="Times" w:hAnsi="Times"/>
          <w:sz w:val="28"/>
          <w:szCs w:val="28"/>
        </w:rPr>
      </w:pPr>
    </w:p>
    <w:p w:rsidR="00A7430F" w:rsidRPr="006E4467" w:rsidRDefault="00A7430F" w:rsidP="00B84E56">
      <w:pPr>
        <w:tabs>
          <w:tab w:val="left" w:pos="6840"/>
        </w:tabs>
        <w:ind w:firstLine="720"/>
        <w:jc w:val="both"/>
        <w:rPr>
          <w:sz w:val="28"/>
          <w:szCs w:val="28"/>
        </w:rPr>
      </w:pPr>
      <w:r w:rsidRPr="006E4467">
        <w:rPr>
          <w:sz w:val="28"/>
          <w:szCs w:val="28"/>
        </w:rPr>
        <w:t xml:space="preserve">Ministru prezidents </w:t>
      </w:r>
      <w:r w:rsidRPr="006E4467">
        <w:rPr>
          <w:sz w:val="28"/>
          <w:szCs w:val="28"/>
        </w:rPr>
        <w:tab/>
        <w:t xml:space="preserve">V.Dombrovskis </w:t>
      </w:r>
    </w:p>
    <w:p w:rsidR="00A7430F" w:rsidRPr="006E4467" w:rsidRDefault="00A7430F" w:rsidP="00B84E56">
      <w:pPr>
        <w:tabs>
          <w:tab w:val="left" w:pos="6840"/>
        </w:tabs>
        <w:ind w:firstLine="720"/>
        <w:jc w:val="both"/>
        <w:rPr>
          <w:sz w:val="28"/>
          <w:szCs w:val="28"/>
        </w:rPr>
      </w:pPr>
      <w:r w:rsidRPr="006E4467">
        <w:rPr>
          <w:sz w:val="28"/>
          <w:szCs w:val="28"/>
        </w:rPr>
        <w:t>V</w:t>
      </w:r>
      <w:r>
        <w:rPr>
          <w:sz w:val="28"/>
          <w:szCs w:val="28"/>
        </w:rPr>
        <w:t>izē</w:t>
      </w:r>
      <w:r w:rsidRPr="006E4467">
        <w:rPr>
          <w:sz w:val="28"/>
          <w:szCs w:val="28"/>
        </w:rPr>
        <w:t>:</w:t>
      </w:r>
    </w:p>
    <w:p w:rsidR="00A7430F" w:rsidRPr="006E4467" w:rsidRDefault="00A7430F" w:rsidP="00B84E56">
      <w:pPr>
        <w:tabs>
          <w:tab w:val="left" w:pos="6840"/>
        </w:tabs>
        <w:ind w:firstLine="720"/>
        <w:jc w:val="both"/>
        <w:rPr>
          <w:sz w:val="28"/>
          <w:szCs w:val="28"/>
        </w:rPr>
      </w:pPr>
      <w:r w:rsidRPr="006E4467">
        <w:rPr>
          <w:sz w:val="28"/>
          <w:szCs w:val="28"/>
        </w:rPr>
        <w:t>Valsts kancelejas direktore</w:t>
      </w:r>
      <w:r w:rsidRPr="006E4467">
        <w:rPr>
          <w:sz w:val="28"/>
          <w:szCs w:val="28"/>
          <w:u w:val="single"/>
        </w:rPr>
        <w:tab/>
      </w:r>
      <w:r w:rsidRPr="006E4467">
        <w:rPr>
          <w:sz w:val="28"/>
          <w:szCs w:val="28"/>
        </w:rPr>
        <w:t>E.Dreimane</w:t>
      </w:r>
    </w:p>
    <w:p w:rsidR="00A7430F" w:rsidRPr="00B84E56" w:rsidRDefault="00A7430F" w:rsidP="004A3D69">
      <w:pPr>
        <w:jc w:val="both"/>
        <w:rPr>
          <w:sz w:val="28"/>
          <w:szCs w:val="28"/>
        </w:rPr>
      </w:pPr>
    </w:p>
    <w:p w:rsidR="00A7430F" w:rsidRPr="00B84E56" w:rsidRDefault="00A7430F" w:rsidP="004A3D69">
      <w:pPr>
        <w:ind w:firstLine="720"/>
        <w:jc w:val="both"/>
        <w:rPr>
          <w:sz w:val="28"/>
          <w:szCs w:val="28"/>
        </w:rPr>
      </w:pPr>
    </w:p>
    <w:p w:rsidR="00A7430F" w:rsidRPr="00B84E56" w:rsidRDefault="00A7430F" w:rsidP="004A3D69">
      <w:pPr>
        <w:ind w:firstLine="720"/>
        <w:jc w:val="both"/>
        <w:rPr>
          <w:sz w:val="28"/>
          <w:szCs w:val="28"/>
        </w:rPr>
      </w:pPr>
    </w:p>
    <w:p w:rsidR="00A7430F" w:rsidRDefault="00A7430F" w:rsidP="00B84E56">
      <w:pPr>
        <w:ind w:firstLine="720"/>
        <w:rPr>
          <w:sz w:val="20"/>
          <w:szCs w:val="20"/>
        </w:rPr>
      </w:pPr>
      <w:r>
        <w:rPr>
          <w:sz w:val="20"/>
          <w:szCs w:val="20"/>
        </w:rPr>
        <w:t>19.09.2011.</w:t>
      </w:r>
    </w:p>
    <w:p w:rsidR="00A7430F" w:rsidRPr="00F72714" w:rsidRDefault="00A7430F" w:rsidP="00B84E56">
      <w:pPr>
        <w:ind w:firstLine="720"/>
        <w:rPr>
          <w:sz w:val="20"/>
          <w:szCs w:val="20"/>
        </w:rPr>
      </w:pPr>
      <w:r>
        <w:rPr>
          <w:sz w:val="20"/>
          <w:szCs w:val="20"/>
        </w:rPr>
        <w:t>595</w:t>
      </w:r>
    </w:p>
    <w:p w:rsidR="00A7430F" w:rsidRPr="00F72714" w:rsidRDefault="00A7430F" w:rsidP="00B84E56">
      <w:pPr>
        <w:ind w:firstLine="720"/>
        <w:jc w:val="both"/>
        <w:rPr>
          <w:sz w:val="20"/>
          <w:szCs w:val="20"/>
        </w:rPr>
      </w:pPr>
      <w:r>
        <w:rPr>
          <w:sz w:val="20"/>
          <w:szCs w:val="20"/>
        </w:rPr>
        <w:t xml:space="preserve">I.Eida, 67082902, </w:t>
      </w:r>
      <w:hyperlink r:id="rId6" w:history="1">
        <w:r w:rsidRPr="001C7879">
          <w:rPr>
            <w:rStyle w:val="Hyperlink"/>
            <w:sz w:val="20"/>
            <w:szCs w:val="20"/>
          </w:rPr>
          <w:t>ilze.eida@mk.gov.lv</w:t>
        </w:r>
      </w:hyperlink>
      <w:r>
        <w:rPr>
          <w:sz w:val="20"/>
          <w:szCs w:val="20"/>
        </w:rPr>
        <w:t xml:space="preserve"> </w:t>
      </w:r>
    </w:p>
    <w:sectPr w:rsidR="00A7430F" w:rsidRPr="00F72714" w:rsidSect="00D676C6">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0F" w:rsidRDefault="00A7430F">
      <w:r>
        <w:separator/>
      </w:r>
    </w:p>
  </w:endnote>
  <w:endnote w:type="continuationSeparator" w:id="0">
    <w:p w:rsidR="00A7430F" w:rsidRDefault="00A74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0F" w:rsidRPr="006E4467" w:rsidRDefault="00A7430F" w:rsidP="006E4467">
    <w:pPr>
      <w:pStyle w:val="Footer"/>
      <w:rPr>
        <w:sz w:val="16"/>
        <w:szCs w:val="16"/>
      </w:rPr>
    </w:pPr>
    <w:r w:rsidRPr="006E4467">
      <w:rPr>
        <w:sz w:val="16"/>
        <w:szCs w:val="16"/>
      </w:rPr>
      <w:t xml:space="preserve">MKInstranot_120411_Relīžuinstrukcija; Grozījumi </w:t>
    </w:r>
    <w:r w:rsidRPr="006E4467">
      <w:rPr>
        <w:bCs/>
        <w:sz w:val="16"/>
        <w:szCs w:val="16"/>
      </w:rPr>
      <w:t xml:space="preserve">Ministru kabineta </w:t>
    </w:r>
    <w:r w:rsidRPr="006E4467">
      <w:rPr>
        <w:sz w:val="16"/>
        <w:szCs w:val="16"/>
      </w:rPr>
      <w:t>2010.gada 23.marta instrukcijā Nr.2 „</w:t>
    </w:r>
    <w:r w:rsidRPr="006E4467">
      <w:rPr>
        <w:bCs/>
        <w:sz w:val="16"/>
        <w:szCs w:val="16"/>
      </w:rPr>
      <w:t>Kārtība, kādā ministrija sagatavo, noformē un izplata sabiedrībai informāciju par Valsts sekretāru sanāksmē, Ministru kabineta komitejā un Ministru kabineta sēdē izskatāmajiem projektiem un pieņemtajiem lēmumiem” (49199)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0F" w:rsidRPr="006E4467" w:rsidRDefault="00A7430F" w:rsidP="004A3D69">
    <w:pPr>
      <w:pStyle w:val="Footer"/>
      <w:rPr>
        <w:sz w:val="16"/>
        <w:szCs w:val="16"/>
      </w:rPr>
    </w:pPr>
    <w:r w:rsidRPr="006E4467">
      <w:rPr>
        <w:sz w:val="16"/>
        <w:szCs w:val="16"/>
      </w:rPr>
      <w:t xml:space="preserve">MKInstranot_120411_Relīžuinstrukcija; Grozījumi </w:t>
    </w:r>
    <w:r w:rsidRPr="006E4467">
      <w:rPr>
        <w:bCs/>
        <w:sz w:val="16"/>
        <w:szCs w:val="16"/>
      </w:rPr>
      <w:t xml:space="preserve">Ministru kabineta </w:t>
    </w:r>
    <w:r w:rsidRPr="006E4467">
      <w:rPr>
        <w:sz w:val="16"/>
        <w:szCs w:val="16"/>
      </w:rPr>
      <w:t>2010.gada 23.marta instrukcijā Nr.2 „</w:t>
    </w:r>
    <w:r w:rsidRPr="006E4467">
      <w:rPr>
        <w:bCs/>
        <w:sz w:val="16"/>
        <w:szCs w:val="16"/>
      </w:rPr>
      <w:t>Kārtība, kādā ministrija sagatavo, noformē un izplata sabiedrībai informāciju par Valsts sekretāru sanāksmē, Ministru kabineta komitejā un Ministru kabineta sēdē izskatāmajiem projektiem un pieņemtajiem lēmumiem” (49199)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0F" w:rsidRDefault="00A7430F">
      <w:r>
        <w:separator/>
      </w:r>
    </w:p>
  </w:footnote>
  <w:footnote w:type="continuationSeparator" w:id="0">
    <w:p w:rsidR="00A7430F" w:rsidRDefault="00A74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0F" w:rsidRDefault="00A7430F" w:rsidP="00D676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430F" w:rsidRDefault="00A743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0F" w:rsidRDefault="00A7430F" w:rsidP="00D676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430F" w:rsidRDefault="00A743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D69"/>
    <w:rsid w:val="00052EFA"/>
    <w:rsid w:val="00070905"/>
    <w:rsid w:val="00085E83"/>
    <w:rsid w:val="0009277E"/>
    <w:rsid w:val="000A3245"/>
    <w:rsid w:val="000C27C9"/>
    <w:rsid w:val="000D4541"/>
    <w:rsid w:val="00155445"/>
    <w:rsid w:val="00160A1E"/>
    <w:rsid w:val="001B4762"/>
    <w:rsid w:val="001C7879"/>
    <w:rsid w:val="00240286"/>
    <w:rsid w:val="00257C64"/>
    <w:rsid w:val="00290CE0"/>
    <w:rsid w:val="00305132"/>
    <w:rsid w:val="003A760B"/>
    <w:rsid w:val="003B15EC"/>
    <w:rsid w:val="00430FB1"/>
    <w:rsid w:val="00433425"/>
    <w:rsid w:val="004502B4"/>
    <w:rsid w:val="004560AC"/>
    <w:rsid w:val="00484BFD"/>
    <w:rsid w:val="004A3D69"/>
    <w:rsid w:val="004C24ED"/>
    <w:rsid w:val="00561FA1"/>
    <w:rsid w:val="00577D56"/>
    <w:rsid w:val="0058561B"/>
    <w:rsid w:val="00600881"/>
    <w:rsid w:val="00613BFD"/>
    <w:rsid w:val="00615B79"/>
    <w:rsid w:val="0069482F"/>
    <w:rsid w:val="006B10F6"/>
    <w:rsid w:val="006E4467"/>
    <w:rsid w:val="006F1F5A"/>
    <w:rsid w:val="006F6410"/>
    <w:rsid w:val="00710795"/>
    <w:rsid w:val="0074691B"/>
    <w:rsid w:val="00754994"/>
    <w:rsid w:val="007716B4"/>
    <w:rsid w:val="007C44C5"/>
    <w:rsid w:val="00825493"/>
    <w:rsid w:val="00867A4D"/>
    <w:rsid w:val="00896B95"/>
    <w:rsid w:val="009713F1"/>
    <w:rsid w:val="00A44149"/>
    <w:rsid w:val="00A7430F"/>
    <w:rsid w:val="00A74905"/>
    <w:rsid w:val="00AB3E8B"/>
    <w:rsid w:val="00AD34C7"/>
    <w:rsid w:val="00AE3D18"/>
    <w:rsid w:val="00AE5ACA"/>
    <w:rsid w:val="00B2102F"/>
    <w:rsid w:val="00B57E7D"/>
    <w:rsid w:val="00B744E6"/>
    <w:rsid w:val="00B84E56"/>
    <w:rsid w:val="00BF0A67"/>
    <w:rsid w:val="00C01BB4"/>
    <w:rsid w:val="00C51D17"/>
    <w:rsid w:val="00C54174"/>
    <w:rsid w:val="00CE16FA"/>
    <w:rsid w:val="00D6328D"/>
    <w:rsid w:val="00D676C6"/>
    <w:rsid w:val="00D76547"/>
    <w:rsid w:val="00D85442"/>
    <w:rsid w:val="00DD55A8"/>
    <w:rsid w:val="00DD6352"/>
    <w:rsid w:val="00E103ED"/>
    <w:rsid w:val="00E36743"/>
    <w:rsid w:val="00E40009"/>
    <w:rsid w:val="00E649FD"/>
    <w:rsid w:val="00EF67D6"/>
    <w:rsid w:val="00F228FE"/>
    <w:rsid w:val="00F2303B"/>
    <w:rsid w:val="00F72714"/>
    <w:rsid w:val="00FB7901"/>
    <w:rsid w:val="00FC4A9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6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4A3D69"/>
    <w:pPr>
      <w:spacing w:before="100" w:beforeAutospacing="1" w:after="100" w:afterAutospacing="1"/>
    </w:pPr>
  </w:style>
  <w:style w:type="paragraph" w:customStyle="1" w:styleId="naiskr">
    <w:name w:val="naiskr"/>
    <w:basedOn w:val="Normal"/>
    <w:uiPriority w:val="99"/>
    <w:rsid w:val="004A3D69"/>
    <w:pPr>
      <w:spacing w:before="100" w:beforeAutospacing="1" w:after="100" w:afterAutospacing="1"/>
    </w:pPr>
  </w:style>
  <w:style w:type="paragraph" w:customStyle="1" w:styleId="naislab">
    <w:name w:val="naislab"/>
    <w:basedOn w:val="Normal"/>
    <w:uiPriority w:val="99"/>
    <w:rsid w:val="004A3D69"/>
    <w:pPr>
      <w:spacing w:before="100" w:beforeAutospacing="1" w:after="100" w:afterAutospacing="1"/>
    </w:pPr>
  </w:style>
  <w:style w:type="paragraph" w:styleId="Header">
    <w:name w:val="header"/>
    <w:basedOn w:val="Normal"/>
    <w:link w:val="HeaderChar"/>
    <w:uiPriority w:val="99"/>
    <w:rsid w:val="004A3D69"/>
    <w:pPr>
      <w:tabs>
        <w:tab w:val="center" w:pos="4320"/>
        <w:tab w:val="right" w:pos="8640"/>
      </w:tabs>
    </w:pPr>
  </w:style>
  <w:style w:type="character" w:customStyle="1" w:styleId="HeaderChar">
    <w:name w:val="Header Char"/>
    <w:basedOn w:val="DefaultParagraphFont"/>
    <w:link w:val="Header"/>
    <w:uiPriority w:val="99"/>
    <w:locked/>
    <w:rsid w:val="004A3D69"/>
    <w:rPr>
      <w:rFonts w:cs="Times New Roman"/>
      <w:sz w:val="24"/>
      <w:szCs w:val="24"/>
      <w:lang w:val="lv-LV" w:eastAsia="lv-LV" w:bidi="ar-SA"/>
    </w:rPr>
  </w:style>
  <w:style w:type="paragraph" w:styleId="Footer">
    <w:name w:val="footer"/>
    <w:basedOn w:val="Normal"/>
    <w:link w:val="FooterChar"/>
    <w:uiPriority w:val="99"/>
    <w:rsid w:val="004A3D69"/>
    <w:pPr>
      <w:tabs>
        <w:tab w:val="center" w:pos="4320"/>
        <w:tab w:val="right" w:pos="8640"/>
      </w:tabs>
    </w:pPr>
  </w:style>
  <w:style w:type="character" w:customStyle="1" w:styleId="FooterChar">
    <w:name w:val="Footer Char"/>
    <w:basedOn w:val="DefaultParagraphFont"/>
    <w:link w:val="Footer"/>
    <w:uiPriority w:val="99"/>
    <w:locked/>
    <w:rsid w:val="004A3D69"/>
    <w:rPr>
      <w:rFonts w:cs="Times New Roman"/>
      <w:sz w:val="24"/>
      <w:szCs w:val="24"/>
      <w:lang w:val="lv-LV" w:eastAsia="lv-LV" w:bidi="ar-SA"/>
    </w:rPr>
  </w:style>
  <w:style w:type="character" w:styleId="Hyperlink">
    <w:name w:val="Hyperlink"/>
    <w:basedOn w:val="DefaultParagraphFont"/>
    <w:uiPriority w:val="99"/>
    <w:rsid w:val="004A3D69"/>
    <w:rPr>
      <w:rFonts w:cs="Times New Roman"/>
      <w:color w:val="0000FF"/>
      <w:u w:val="single"/>
    </w:rPr>
  </w:style>
  <w:style w:type="character" w:styleId="PageNumber">
    <w:name w:val="page number"/>
    <w:basedOn w:val="DefaultParagraphFont"/>
    <w:uiPriority w:val="99"/>
    <w:rsid w:val="004A3D69"/>
    <w:rPr>
      <w:rFonts w:cs="Times New Roman"/>
    </w:rPr>
  </w:style>
  <w:style w:type="character" w:styleId="CommentReference">
    <w:name w:val="annotation reference"/>
    <w:basedOn w:val="DefaultParagraphFont"/>
    <w:uiPriority w:val="99"/>
    <w:rsid w:val="00600881"/>
    <w:rPr>
      <w:rFonts w:cs="Times New Roman"/>
      <w:sz w:val="16"/>
      <w:szCs w:val="16"/>
    </w:rPr>
  </w:style>
  <w:style w:type="paragraph" w:styleId="CommentText">
    <w:name w:val="annotation text"/>
    <w:basedOn w:val="Normal"/>
    <w:link w:val="CommentTextChar"/>
    <w:uiPriority w:val="99"/>
    <w:rsid w:val="00600881"/>
    <w:rPr>
      <w:sz w:val="20"/>
      <w:szCs w:val="20"/>
    </w:rPr>
  </w:style>
  <w:style w:type="character" w:customStyle="1" w:styleId="CommentTextChar">
    <w:name w:val="Comment Text Char"/>
    <w:basedOn w:val="DefaultParagraphFont"/>
    <w:link w:val="CommentText"/>
    <w:uiPriority w:val="99"/>
    <w:locked/>
    <w:rsid w:val="00600881"/>
    <w:rPr>
      <w:rFonts w:cs="Times New Roman"/>
    </w:rPr>
  </w:style>
  <w:style w:type="paragraph" w:styleId="CommentSubject">
    <w:name w:val="annotation subject"/>
    <w:basedOn w:val="CommentText"/>
    <w:next w:val="CommentText"/>
    <w:link w:val="CommentSubjectChar"/>
    <w:uiPriority w:val="99"/>
    <w:rsid w:val="00600881"/>
    <w:rPr>
      <w:b/>
      <w:bCs/>
    </w:rPr>
  </w:style>
  <w:style w:type="character" w:customStyle="1" w:styleId="CommentSubjectChar">
    <w:name w:val="Comment Subject Char"/>
    <w:basedOn w:val="CommentTextChar"/>
    <w:link w:val="CommentSubject"/>
    <w:uiPriority w:val="99"/>
    <w:locked/>
    <w:rsid w:val="00600881"/>
    <w:rPr>
      <w:b/>
      <w:bCs/>
    </w:rPr>
  </w:style>
  <w:style w:type="paragraph" w:styleId="BalloonText">
    <w:name w:val="Balloon Text"/>
    <w:basedOn w:val="Normal"/>
    <w:link w:val="BalloonTextChar"/>
    <w:uiPriority w:val="99"/>
    <w:rsid w:val="00600881"/>
    <w:rPr>
      <w:rFonts w:ascii="Tahoma" w:hAnsi="Tahoma" w:cs="Tahoma"/>
      <w:sz w:val="16"/>
      <w:szCs w:val="16"/>
    </w:rPr>
  </w:style>
  <w:style w:type="character" w:customStyle="1" w:styleId="BalloonTextChar">
    <w:name w:val="Balloon Text Char"/>
    <w:basedOn w:val="DefaultParagraphFont"/>
    <w:link w:val="BalloonText"/>
    <w:uiPriority w:val="99"/>
    <w:locked/>
    <w:rsid w:val="00600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574938">
      <w:marLeft w:val="375"/>
      <w:marRight w:val="0"/>
      <w:marTop w:val="375"/>
      <w:marBottom w:val="0"/>
      <w:divBdr>
        <w:top w:val="none" w:sz="0" w:space="0" w:color="auto"/>
        <w:left w:val="none" w:sz="0" w:space="0" w:color="auto"/>
        <w:bottom w:val="none" w:sz="0" w:space="0" w:color="auto"/>
        <w:right w:val="none" w:sz="0" w:space="0" w:color="auto"/>
      </w:divBdr>
    </w:div>
    <w:div w:id="1749574939">
      <w:marLeft w:val="375"/>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ze.eida@mk.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3</Pages>
  <Words>623</Words>
  <Characters>4533</Characters>
  <Application>Microsoft Office Outlook</Application>
  <DocSecurity>0</DocSecurity>
  <Lines>0</Lines>
  <Paragraphs>0</Paragraphs>
  <ScaleCrop>false</ScaleCrop>
  <Company>vk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„Grozījumi Ministru kabineta 2010</dc:title>
  <dc:subject/>
  <dc:creator>Ieva Aile</dc:creator>
  <cp:keywords/>
  <dc:description/>
  <cp:lastModifiedBy>Aija Antenišķe</cp:lastModifiedBy>
  <cp:revision>18</cp:revision>
  <cp:lastPrinted>2011-10-06T10:27:00Z</cp:lastPrinted>
  <dcterms:created xsi:type="dcterms:W3CDTF">2011-08-18T10:28:00Z</dcterms:created>
  <dcterms:modified xsi:type="dcterms:W3CDTF">2011-10-06T10:28:00Z</dcterms:modified>
</cp:coreProperties>
</file>