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CA" w:rsidRPr="00F5458C" w:rsidRDefault="008F1FCA" w:rsidP="008F1FCA">
      <w:pPr>
        <w:tabs>
          <w:tab w:val="left" w:pos="6663"/>
        </w:tabs>
        <w:spacing w:after="0" w:line="240" w:lineRule="auto"/>
        <w:rPr>
          <w:sz w:val="28"/>
          <w:szCs w:val="28"/>
        </w:rPr>
      </w:pPr>
    </w:p>
    <w:p w:rsidR="008F1FCA" w:rsidRPr="00F5458C" w:rsidRDefault="008F1FCA" w:rsidP="008F1FCA">
      <w:pPr>
        <w:tabs>
          <w:tab w:val="left" w:pos="6663"/>
        </w:tabs>
        <w:spacing w:after="0" w:line="240" w:lineRule="auto"/>
        <w:rPr>
          <w:sz w:val="28"/>
          <w:szCs w:val="28"/>
        </w:rPr>
      </w:pPr>
    </w:p>
    <w:p w:rsidR="008F1FCA" w:rsidRPr="00F5458C" w:rsidRDefault="008F1FCA" w:rsidP="008F1FCA">
      <w:pPr>
        <w:tabs>
          <w:tab w:val="left" w:pos="6663"/>
        </w:tabs>
        <w:spacing w:after="0" w:line="240" w:lineRule="auto"/>
        <w:rPr>
          <w:sz w:val="28"/>
          <w:szCs w:val="28"/>
        </w:rPr>
      </w:pPr>
    </w:p>
    <w:p w:rsidR="008F1FCA" w:rsidRPr="00F5458C" w:rsidRDefault="008F1FCA" w:rsidP="008F1FCA">
      <w:pPr>
        <w:tabs>
          <w:tab w:val="left" w:pos="6663"/>
        </w:tabs>
        <w:spacing w:after="0" w:line="240" w:lineRule="auto"/>
        <w:rPr>
          <w:sz w:val="28"/>
          <w:szCs w:val="28"/>
        </w:rPr>
      </w:pPr>
    </w:p>
    <w:p w:rsidR="008F1FCA" w:rsidRPr="00F5458C" w:rsidRDefault="008F1FCA" w:rsidP="008F1FCA">
      <w:pPr>
        <w:tabs>
          <w:tab w:val="left" w:pos="6663"/>
        </w:tabs>
        <w:spacing w:after="0" w:line="240" w:lineRule="auto"/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 w:rsidR="001109EE">
        <w:rPr>
          <w:sz w:val="28"/>
          <w:szCs w:val="28"/>
        </w:rPr>
        <w:t>3</w:t>
      </w:r>
      <w:r w:rsidRPr="00F5458C">
        <w:rPr>
          <w:sz w:val="28"/>
          <w:szCs w:val="28"/>
        </w:rPr>
        <w:t>.gada</w:t>
      </w:r>
      <w:r w:rsidR="00A048FC">
        <w:rPr>
          <w:sz w:val="28"/>
          <w:szCs w:val="28"/>
        </w:rPr>
        <w:t xml:space="preserve"> </w:t>
      </w:r>
      <w:r w:rsidR="001109EE">
        <w:rPr>
          <w:sz w:val="28"/>
          <w:szCs w:val="28"/>
        </w:rPr>
        <w:t xml:space="preserve">      </w:t>
      </w:r>
      <w:r w:rsidR="00A048FC">
        <w:rPr>
          <w:sz w:val="28"/>
          <w:szCs w:val="28"/>
        </w:rPr>
        <w:t>.</w:t>
      </w:r>
      <w:r w:rsidR="001109EE">
        <w:rPr>
          <w:sz w:val="28"/>
          <w:szCs w:val="28"/>
        </w:rPr>
        <w:t>janvāra</w:t>
      </w:r>
      <w:r w:rsidRPr="00F5458C">
        <w:rPr>
          <w:sz w:val="28"/>
          <w:szCs w:val="28"/>
        </w:rPr>
        <w:tab/>
        <w:t>Noteikumi Nr.</w:t>
      </w:r>
      <w:r w:rsidR="001109EE">
        <w:rPr>
          <w:sz w:val="28"/>
          <w:szCs w:val="28"/>
        </w:rPr>
        <w:t xml:space="preserve"> </w:t>
      </w:r>
    </w:p>
    <w:p w:rsidR="008F1FCA" w:rsidRPr="00F5458C" w:rsidRDefault="008F1FCA" w:rsidP="008F1FCA">
      <w:pPr>
        <w:tabs>
          <w:tab w:val="left" w:pos="6663"/>
        </w:tabs>
        <w:spacing w:after="0" w:line="240" w:lineRule="auto"/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bookmarkStart w:id="0" w:name="_GoBack"/>
      <w:bookmarkEnd w:id="0"/>
      <w:r w:rsidR="001109EE">
        <w:rPr>
          <w:sz w:val="28"/>
          <w:szCs w:val="28"/>
        </w:rPr>
        <w:t xml:space="preserve">       </w:t>
      </w:r>
      <w:r w:rsidRPr="00F5458C">
        <w:rPr>
          <w:sz w:val="28"/>
          <w:szCs w:val="28"/>
        </w:rPr>
        <w:t>.§)</w:t>
      </w:r>
    </w:p>
    <w:p w:rsidR="000970BC" w:rsidRDefault="000970BC" w:rsidP="008F1FCA">
      <w:pPr>
        <w:spacing w:after="0" w:line="240" w:lineRule="auto"/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</w:p>
    <w:p w:rsidR="006D1817" w:rsidRDefault="006D1817" w:rsidP="008F1FCA">
      <w:pPr>
        <w:spacing w:after="0" w:line="240" w:lineRule="auto"/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  <w:r w:rsidRPr="00847E24">
        <w:rPr>
          <w:rFonts w:eastAsia="Times New Roman"/>
          <w:b/>
          <w:bCs/>
          <w:sz w:val="28"/>
          <w:szCs w:val="28"/>
          <w:lang w:eastAsia="lv-LV"/>
        </w:rPr>
        <w:t xml:space="preserve">Grozījumi Ministru kabineta 2010.gada 30.marta noteikumos Nr.311 </w:t>
      </w:r>
      <w:r w:rsidR="008F1FCA">
        <w:rPr>
          <w:rFonts w:eastAsia="Times New Roman"/>
          <w:b/>
          <w:bCs/>
          <w:sz w:val="28"/>
          <w:szCs w:val="28"/>
          <w:lang w:eastAsia="lv-LV"/>
        </w:rPr>
        <w:t>"</w:t>
      </w:r>
      <w:r w:rsidRPr="00847E24">
        <w:rPr>
          <w:rFonts w:eastAsia="Times New Roman"/>
          <w:b/>
          <w:bCs/>
          <w:sz w:val="28"/>
          <w:szCs w:val="28"/>
          <w:lang w:eastAsia="lv-LV"/>
        </w:rPr>
        <w:t>Noteikumi par valsts vai pašvaldību kapitālsabiedrību valdes locekļu skaitu, padomes un valdes locekļa, pašvaldības kapitāla daļu turētāja pārstāvja un atbildīgā darbinieka atlīdzību</w:t>
      </w:r>
      <w:r w:rsidR="008F1FCA">
        <w:rPr>
          <w:rFonts w:eastAsia="Times New Roman"/>
          <w:b/>
          <w:bCs/>
          <w:sz w:val="28"/>
          <w:szCs w:val="28"/>
          <w:lang w:eastAsia="lv-LV"/>
        </w:rPr>
        <w:t>"</w:t>
      </w:r>
    </w:p>
    <w:p w:rsidR="008F1FCA" w:rsidRDefault="008F1FCA" w:rsidP="008F1FCA">
      <w:pPr>
        <w:spacing w:after="0" w:line="240" w:lineRule="auto"/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</w:p>
    <w:p w:rsidR="006D1817" w:rsidRDefault="006D1817" w:rsidP="008F1FCA">
      <w:pPr>
        <w:spacing w:after="0" w:line="240" w:lineRule="auto"/>
        <w:ind w:left="3420"/>
        <w:jc w:val="right"/>
        <w:rPr>
          <w:rFonts w:eastAsia="Times New Roman"/>
          <w:iCs/>
          <w:sz w:val="28"/>
          <w:szCs w:val="28"/>
          <w:lang w:eastAsia="lv-LV"/>
        </w:rPr>
      </w:pPr>
      <w:r w:rsidRPr="00AD3502">
        <w:rPr>
          <w:rFonts w:eastAsia="Times New Roman"/>
          <w:iCs/>
          <w:sz w:val="28"/>
          <w:szCs w:val="28"/>
          <w:lang w:eastAsia="lv-LV"/>
        </w:rPr>
        <w:t xml:space="preserve">Izdoti saskaņā ar likuma </w:t>
      </w:r>
      <w:r w:rsidR="008F1FCA">
        <w:rPr>
          <w:rFonts w:eastAsia="Times New Roman"/>
          <w:iCs/>
          <w:sz w:val="28"/>
          <w:szCs w:val="28"/>
          <w:lang w:eastAsia="lv-LV"/>
        </w:rPr>
        <w:t>"</w:t>
      </w:r>
      <w:r w:rsidRPr="00AD3502">
        <w:rPr>
          <w:rFonts w:eastAsia="Times New Roman"/>
          <w:iCs/>
          <w:sz w:val="28"/>
          <w:szCs w:val="28"/>
          <w:lang w:eastAsia="lv-LV"/>
        </w:rPr>
        <w:t>Par valsts un pašvaldību kapitāla daļām un kapitālsabiedrībām</w:t>
      </w:r>
      <w:r w:rsidR="008F1FCA">
        <w:rPr>
          <w:rFonts w:eastAsia="Times New Roman"/>
          <w:iCs/>
          <w:sz w:val="28"/>
          <w:szCs w:val="28"/>
          <w:lang w:eastAsia="lv-LV"/>
        </w:rPr>
        <w:t>"</w:t>
      </w:r>
      <w:r w:rsidRPr="00AD3502">
        <w:rPr>
          <w:rFonts w:eastAsia="Times New Roman"/>
          <w:iCs/>
          <w:sz w:val="28"/>
          <w:szCs w:val="28"/>
          <w:lang w:eastAsia="lv-LV"/>
        </w:rPr>
        <w:br/>
        <w:t>14.panta sesto daļu, 36.</w:t>
      </w:r>
      <w:r w:rsidRPr="00AD3502">
        <w:rPr>
          <w:rFonts w:eastAsia="Times New Roman"/>
          <w:iCs/>
          <w:sz w:val="28"/>
          <w:szCs w:val="28"/>
          <w:vertAlign w:val="superscript"/>
          <w:lang w:eastAsia="lv-LV"/>
        </w:rPr>
        <w:t>1</w:t>
      </w:r>
      <w:r w:rsidRPr="00AD3502">
        <w:rPr>
          <w:rFonts w:eastAsia="Times New Roman"/>
          <w:iCs/>
          <w:sz w:val="28"/>
          <w:szCs w:val="28"/>
          <w:lang w:eastAsia="lv-LV"/>
        </w:rPr>
        <w:t xml:space="preserve"> panta otro daļu, 61.panta pirmo un trešo daļu,</w:t>
      </w:r>
      <w:r w:rsidRPr="00AD3502">
        <w:rPr>
          <w:rFonts w:eastAsia="Times New Roman"/>
          <w:iCs/>
          <w:sz w:val="28"/>
          <w:szCs w:val="28"/>
          <w:lang w:eastAsia="lv-LV"/>
        </w:rPr>
        <w:br/>
        <w:t xml:space="preserve">94.panta pirmo daļu, 96.panta otro daļu, </w:t>
      </w:r>
      <w:r w:rsidR="008F6DA2">
        <w:rPr>
          <w:rFonts w:eastAsia="Times New Roman"/>
          <w:iCs/>
          <w:sz w:val="28"/>
          <w:szCs w:val="28"/>
          <w:lang w:eastAsia="lv-LV"/>
        </w:rPr>
        <w:br/>
      </w:r>
      <w:r w:rsidRPr="00AD3502">
        <w:rPr>
          <w:rFonts w:eastAsia="Times New Roman"/>
          <w:iCs/>
          <w:sz w:val="28"/>
          <w:szCs w:val="28"/>
          <w:lang w:eastAsia="lv-LV"/>
        </w:rPr>
        <w:t>98.</w:t>
      </w:r>
      <w:r w:rsidRPr="00AD3502">
        <w:rPr>
          <w:rFonts w:eastAsia="Times New Roman"/>
          <w:iCs/>
          <w:sz w:val="28"/>
          <w:szCs w:val="28"/>
          <w:vertAlign w:val="superscript"/>
          <w:lang w:eastAsia="lv-LV"/>
        </w:rPr>
        <w:t>21</w:t>
      </w:r>
      <w:r w:rsidRPr="00AD3502">
        <w:rPr>
          <w:rFonts w:eastAsia="Times New Roman"/>
          <w:iCs/>
          <w:sz w:val="28"/>
          <w:szCs w:val="28"/>
          <w:lang w:eastAsia="lv-LV"/>
        </w:rPr>
        <w:t xml:space="preserve"> panta otro daļu</w:t>
      </w:r>
      <w:r w:rsidRPr="00AD3502">
        <w:rPr>
          <w:rFonts w:eastAsia="Times New Roman"/>
          <w:iCs/>
          <w:sz w:val="28"/>
          <w:szCs w:val="28"/>
          <w:lang w:eastAsia="lv-LV"/>
        </w:rPr>
        <w:br/>
        <w:t>un pārejas noteikumu 45., 46. un 47.punktu</w:t>
      </w:r>
    </w:p>
    <w:p w:rsidR="008F1FCA" w:rsidRPr="00AD3502" w:rsidRDefault="008F1FCA" w:rsidP="008F1FCA">
      <w:pPr>
        <w:spacing w:after="0" w:line="240" w:lineRule="auto"/>
        <w:ind w:left="3420"/>
        <w:jc w:val="right"/>
        <w:rPr>
          <w:rFonts w:eastAsia="Times New Roman"/>
          <w:iCs/>
          <w:sz w:val="28"/>
          <w:szCs w:val="28"/>
          <w:lang w:eastAsia="lv-LV"/>
        </w:rPr>
      </w:pPr>
    </w:p>
    <w:p w:rsidR="006D1817" w:rsidRDefault="006D1817" w:rsidP="008F1FCA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847E24">
        <w:rPr>
          <w:rFonts w:eastAsia="Times New Roman"/>
          <w:sz w:val="28"/>
          <w:szCs w:val="28"/>
          <w:lang w:eastAsia="lv-LV"/>
        </w:rPr>
        <w:t xml:space="preserve">Izdarīt Ministru kabineta 2010.gada 30.marta noteikumos Nr.311 </w:t>
      </w:r>
      <w:r w:rsidR="008F1FCA">
        <w:rPr>
          <w:rFonts w:eastAsia="Times New Roman"/>
          <w:sz w:val="28"/>
          <w:szCs w:val="28"/>
          <w:lang w:eastAsia="lv-LV"/>
        </w:rPr>
        <w:t>"</w:t>
      </w:r>
      <w:r w:rsidRPr="00847E24">
        <w:rPr>
          <w:rFonts w:eastAsia="Times New Roman"/>
          <w:sz w:val="28"/>
          <w:szCs w:val="28"/>
          <w:lang w:eastAsia="lv-LV"/>
        </w:rPr>
        <w:t>Noteikumi par valsts vai pašvaldību kapitālsabiedrību valdes locekļu skaitu, padomes un valdes locekļa, pašvaldības kapitāla daļu turētāja pārstāvja un atbildīgā darbinieka atlīdzību</w:t>
      </w:r>
      <w:r w:rsidR="008F1FCA">
        <w:rPr>
          <w:rFonts w:eastAsia="Times New Roman"/>
          <w:sz w:val="28"/>
          <w:szCs w:val="28"/>
          <w:lang w:eastAsia="lv-LV"/>
        </w:rPr>
        <w:t>"</w:t>
      </w:r>
      <w:r w:rsidRPr="00847E24">
        <w:rPr>
          <w:rFonts w:eastAsia="Times New Roman"/>
          <w:sz w:val="28"/>
          <w:szCs w:val="28"/>
          <w:lang w:eastAsia="lv-LV"/>
        </w:rPr>
        <w:t xml:space="preserve"> (</w:t>
      </w:r>
      <w:r w:rsidR="000970BC">
        <w:rPr>
          <w:rFonts w:eastAsia="Times New Roman"/>
          <w:sz w:val="28"/>
          <w:szCs w:val="28"/>
          <w:lang w:eastAsia="lv-LV"/>
        </w:rPr>
        <w:t xml:space="preserve">Latvijas Vēstnesis, 2010, 53., </w:t>
      </w:r>
      <w:r>
        <w:rPr>
          <w:rFonts w:eastAsia="Times New Roman"/>
          <w:sz w:val="28"/>
          <w:szCs w:val="28"/>
          <w:lang w:eastAsia="lv-LV"/>
        </w:rPr>
        <w:t>71.nr.</w:t>
      </w:r>
      <w:r w:rsidR="001109EE">
        <w:rPr>
          <w:rFonts w:eastAsia="Times New Roman"/>
          <w:sz w:val="28"/>
          <w:szCs w:val="28"/>
          <w:lang w:eastAsia="lv-LV"/>
        </w:rPr>
        <w:t>, 2012., nr.814</w:t>
      </w:r>
      <w:r w:rsidRPr="00847E24">
        <w:rPr>
          <w:rFonts w:eastAsia="Times New Roman"/>
          <w:sz w:val="28"/>
          <w:szCs w:val="28"/>
          <w:lang w:eastAsia="lv-LV"/>
        </w:rPr>
        <w:t>) šādus grozījumus</w:t>
      </w:r>
      <w:r>
        <w:rPr>
          <w:rFonts w:eastAsia="Times New Roman"/>
          <w:sz w:val="28"/>
          <w:szCs w:val="28"/>
          <w:lang w:eastAsia="lv-LV"/>
        </w:rPr>
        <w:t>:</w:t>
      </w:r>
    </w:p>
    <w:p w:rsidR="000970BC" w:rsidRDefault="000970BC" w:rsidP="008F1FCA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:rsidR="0065690C" w:rsidRPr="0065690C" w:rsidRDefault="001109EE" w:rsidP="006569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lv-LV"/>
        </w:rPr>
      </w:pPr>
      <w:r w:rsidRPr="0065690C">
        <w:rPr>
          <w:rFonts w:eastAsia="Times New Roman"/>
          <w:sz w:val="28"/>
          <w:szCs w:val="28"/>
          <w:lang w:eastAsia="lv-LV"/>
        </w:rPr>
        <w:t xml:space="preserve">Papildināt noteikumus ar </w:t>
      </w:r>
      <w:r w:rsidR="00395EC6" w:rsidRPr="0065690C">
        <w:rPr>
          <w:rFonts w:eastAsia="Times New Roman"/>
          <w:sz w:val="28"/>
          <w:szCs w:val="28"/>
          <w:lang w:eastAsia="lv-LV"/>
        </w:rPr>
        <w:t xml:space="preserve"> </w:t>
      </w:r>
      <w:r w:rsidR="008F6DA2" w:rsidRPr="0065690C">
        <w:rPr>
          <w:rFonts w:eastAsia="Times New Roman"/>
          <w:sz w:val="28"/>
          <w:szCs w:val="28"/>
          <w:lang w:eastAsia="lv-LV"/>
        </w:rPr>
        <w:t>6</w:t>
      </w:r>
      <w:r w:rsidRPr="0065690C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="008F6DA2" w:rsidRPr="0065690C">
        <w:rPr>
          <w:rFonts w:eastAsia="Times New Roman"/>
          <w:sz w:val="28"/>
          <w:szCs w:val="28"/>
          <w:lang w:eastAsia="lv-LV"/>
        </w:rPr>
        <w:t xml:space="preserve">. </w:t>
      </w:r>
      <w:r w:rsidR="0033623E">
        <w:rPr>
          <w:rFonts w:eastAsia="Times New Roman"/>
          <w:sz w:val="28"/>
          <w:szCs w:val="28"/>
          <w:lang w:eastAsia="lv-LV"/>
        </w:rPr>
        <w:t>p</w:t>
      </w:r>
      <w:r w:rsidR="006D1817" w:rsidRPr="0065690C">
        <w:rPr>
          <w:rFonts w:eastAsia="Times New Roman"/>
          <w:sz w:val="28"/>
          <w:szCs w:val="28"/>
          <w:lang w:eastAsia="lv-LV"/>
        </w:rPr>
        <w:t>unktu</w:t>
      </w:r>
      <w:r w:rsidR="0065690C" w:rsidRPr="0065690C">
        <w:rPr>
          <w:rFonts w:eastAsia="Times New Roman"/>
          <w:sz w:val="28"/>
          <w:szCs w:val="28"/>
          <w:lang w:eastAsia="lv-LV"/>
        </w:rPr>
        <w:t xml:space="preserve"> </w:t>
      </w:r>
      <w:r w:rsidR="0065690C">
        <w:rPr>
          <w:rFonts w:eastAsia="Times New Roman"/>
          <w:sz w:val="28"/>
          <w:szCs w:val="28"/>
          <w:lang w:eastAsia="lv-LV"/>
        </w:rPr>
        <w:t>š</w:t>
      </w:r>
      <w:r w:rsidR="0065690C" w:rsidRPr="0065690C">
        <w:rPr>
          <w:rFonts w:eastAsia="Times New Roman"/>
          <w:sz w:val="28"/>
          <w:szCs w:val="28"/>
          <w:lang w:eastAsia="lv-LV"/>
        </w:rPr>
        <w:t>ādā redakcijā:</w:t>
      </w:r>
    </w:p>
    <w:p w:rsidR="00BC7026" w:rsidRDefault="00BC7026" w:rsidP="0065690C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lv-LV"/>
        </w:rPr>
      </w:pPr>
    </w:p>
    <w:p w:rsidR="00D56591" w:rsidRDefault="00BC7026" w:rsidP="00D56591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„</w:t>
      </w:r>
      <w:r w:rsidR="0065690C">
        <w:rPr>
          <w:rFonts w:eastAsia="Times New Roman"/>
          <w:sz w:val="28"/>
          <w:szCs w:val="28"/>
          <w:lang w:eastAsia="lv-LV"/>
        </w:rPr>
        <w:t>6</w:t>
      </w:r>
      <w:r w:rsidR="0065690C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="0065690C" w:rsidRPr="002B2C40">
        <w:rPr>
          <w:rFonts w:eastAsia="Times New Roman"/>
          <w:sz w:val="28"/>
          <w:szCs w:val="28"/>
          <w:lang w:eastAsia="lv-LV"/>
        </w:rPr>
        <w:t>.</w:t>
      </w:r>
      <w:r w:rsidR="0065690C">
        <w:rPr>
          <w:rFonts w:eastAsia="Times New Roman"/>
          <w:sz w:val="28"/>
          <w:szCs w:val="28"/>
          <w:lang w:eastAsia="lv-LV"/>
        </w:rPr>
        <w:t xml:space="preserve"> Ja saskaņā ar šo noteikumu 6.punktu</w:t>
      </w:r>
      <w:r w:rsidR="0065690C" w:rsidRPr="0065690C">
        <w:rPr>
          <w:sz w:val="28"/>
          <w:szCs w:val="28"/>
        </w:rPr>
        <w:t xml:space="preserve"> </w:t>
      </w:r>
      <w:r w:rsidR="0080435E" w:rsidRPr="0065690C">
        <w:rPr>
          <w:sz w:val="28"/>
          <w:szCs w:val="28"/>
        </w:rPr>
        <w:t xml:space="preserve">kapitālsabiedrības, kuras iepriekšējā gada neto apgrozījums pārsniedz 40 miljonus latu, </w:t>
      </w:r>
      <w:r w:rsidR="00934C70">
        <w:rPr>
          <w:sz w:val="28"/>
          <w:szCs w:val="28"/>
        </w:rPr>
        <w:t xml:space="preserve">vai </w:t>
      </w:r>
      <w:r w:rsidR="00934C70" w:rsidRPr="00934C70">
        <w:rPr>
          <w:sz w:val="28"/>
          <w:szCs w:val="28"/>
        </w:rPr>
        <w:t>kura darbojas atbilstoši Finanšu instrumentu tirgus likumam</w:t>
      </w:r>
      <w:r w:rsidR="00934C70">
        <w:rPr>
          <w:sz w:val="28"/>
          <w:szCs w:val="28"/>
        </w:rPr>
        <w:t>,</w:t>
      </w:r>
      <w:r w:rsidR="00934C70" w:rsidRPr="0065690C">
        <w:rPr>
          <w:rFonts w:eastAsia="Times New Roman"/>
          <w:sz w:val="28"/>
          <w:szCs w:val="28"/>
          <w:lang w:eastAsia="lv-LV"/>
        </w:rPr>
        <w:t xml:space="preserve"> </w:t>
      </w:r>
      <w:r w:rsidR="0080435E" w:rsidRPr="0065690C">
        <w:rPr>
          <w:rFonts w:eastAsia="Times New Roman"/>
          <w:sz w:val="28"/>
          <w:szCs w:val="28"/>
          <w:lang w:eastAsia="lv-LV"/>
        </w:rPr>
        <w:t>valdes priekšsēdētājs saņem arī mēnešalgu</w:t>
      </w:r>
      <w:r w:rsidR="0080435E" w:rsidRPr="0065690C">
        <w:rPr>
          <w:sz w:val="28"/>
          <w:szCs w:val="28"/>
        </w:rPr>
        <w:t xml:space="preserve"> par </w:t>
      </w:r>
      <w:r w:rsidR="0065690C" w:rsidRPr="0065690C">
        <w:rPr>
          <w:rFonts w:eastAsia="Times New Roman"/>
          <w:sz w:val="28"/>
          <w:szCs w:val="28"/>
          <w:lang w:eastAsia="lv-LV"/>
        </w:rPr>
        <w:t>papildus</w:t>
      </w:r>
      <w:r w:rsidR="0065690C" w:rsidRPr="0065690C">
        <w:rPr>
          <w:sz w:val="28"/>
          <w:szCs w:val="28"/>
        </w:rPr>
        <w:t xml:space="preserve"> </w:t>
      </w:r>
      <w:r w:rsidR="0080435E" w:rsidRPr="0065690C">
        <w:rPr>
          <w:sz w:val="28"/>
          <w:szCs w:val="28"/>
        </w:rPr>
        <w:t>amata pienākumu izpildi kapitālsabiedrībā</w:t>
      </w:r>
      <w:r w:rsidR="0065690C">
        <w:rPr>
          <w:sz w:val="28"/>
          <w:szCs w:val="28"/>
        </w:rPr>
        <w:t>, kopējais atlīdzības apmērs nedrīkst pārsniegt</w:t>
      </w:r>
      <w:r>
        <w:rPr>
          <w:sz w:val="28"/>
          <w:szCs w:val="28"/>
        </w:rPr>
        <w:t xml:space="preserve"> </w:t>
      </w:r>
      <w:r>
        <w:rPr>
          <w:sz w:val="28"/>
          <w:szCs w:val="22"/>
        </w:rPr>
        <w:t>Centrālās statistikas pārvaldes oficiālajā statistikas paziņojumā publicētajam valstī strādājošo iepriekšējā gada mēneša vidējās darba samaksas apmēru, kas noapaļots pilnos latos un kam piemērots koeficients, kas nav lielāks par 10</w:t>
      </w:r>
      <w:r w:rsidR="00A405AD">
        <w:rPr>
          <w:sz w:val="28"/>
          <w:szCs w:val="22"/>
        </w:rPr>
        <w:t xml:space="preserve"> </w:t>
      </w:r>
      <w:r w:rsidR="00A405AD" w:rsidRPr="00A405AD">
        <w:rPr>
          <w:sz w:val="28"/>
          <w:szCs w:val="28"/>
        </w:rPr>
        <w:t xml:space="preserve">un atalgojuma īpatsvars </w:t>
      </w:r>
      <w:r w:rsidR="00A405AD">
        <w:rPr>
          <w:sz w:val="28"/>
          <w:szCs w:val="28"/>
        </w:rPr>
        <w:t xml:space="preserve">par </w:t>
      </w:r>
      <w:r w:rsidR="00A405AD" w:rsidRPr="00A405AD">
        <w:rPr>
          <w:sz w:val="28"/>
          <w:szCs w:val="28"/>
        </w:rPr>
        <w:t xml:space="preserve">valdes </w:t>
      </w:r>
      <w:r w:rsidR="00A405AD" w:rsidRPr="00A405AD">
        <w:rPr>
          <w:sz w:val="28"/>
          <w:szCs w:val="28"/>
        </w:rPr>
        <w:lastRenderedPageBreak/>
        <w:t xml:space="preserve">priekšsēdētāja </w:t>
      </w:r>
      <w:r w:rsidR="00A405AD">
        <w:rPr>
          <w:sz w:val="28"/>
          <w:szCs w:val="28"/>
        </w:rPr>
        <w:t xml:space="preserve">amata pienākumu izpildi </w:t>
      </w:r>
      <w:r w:rsidR="00A405AD" w:rsidRPr="00A405AD">
        <w:rPr>
          <w:sz w:val="28"/>
          <w:szCs w:val="28"/>
        </w:rPr>
        <w:t xml:space="preserve">kopējā atlīdzībā nav mazāks par 60% no kopējās atlīdzības </w:t>
      </w:r>
      <w:r w:rsidRPr="00A405AD">
        <w:rPr>
          <w:sz w:val="28"/>
          <w:szCs w:val="28"/>
        </w:rPr>
        <w:t>.”</w:t>
      </w:r>
    </w:p>
    <w:p w:rsidR="00D56591" w:rsidRDefault="00D56591" w:rsidP="00D56591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lv-LV"/>
        </w:rPr>
      </w:pPr>
    </w:p>
    <w:p w:rsidR="0033623E" w:rsidRDefault="00D56591" w:rsidP="00D56591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2. </w:t>
      </w:r>
      <w:r w:rsidR="0033623E" w:rsidRPr="0065690C">
        <w:rPr>
          <w:rFonts w:eastAsia="Times New Roman"/>
          <w:sz w:val="28"/>
          <w:szCs w:val="28"/>
          <w:lang w:eastAsia="lv-LV"/>
        </w:rPr>
        <w:t>Papildināt noteikumus ar  6</w:t>
      </w:r>
      <w:r w:rsidR="0033623E">
        <w:rPr>
          <w:rFonts w:eastAsia="Times New Roman"/>
          <w:sz w:val="28"/>
          <w:szCs w:val="28"/>
          <w:vertAlign w:val="superscript"/>
          <w:lang w:eastAsia="lv-LV"/>
        </w:rPr>
        <w:t>2</w:t>
      </w:r>
      <w:r w:rsidR="0033623E" w:rsidRPr="0065690C">
        <w:rPr>
          <w:rFonts w:eastAsia="Times New Roman"/>
          <w:sz w:val="28"/>
          <w:szCs w:val="28"/>
          <w:lang w:eastAsia="lv-LV"/>
        </w:rPr>
        <w:t xml:space="preserve">. </w:t>
      </w:r>
      <w:r w:rsidR="0033623E">
        <w:rPr>
          <w:rFonts w:eastAsia="Times New Roman"/>
          <w:sz w:val="28"/>
          <w:szCs w:val="28"/>
          <w:lang w:eastAsia="lv-LV"/>
        </w:rPr>
        <w:t>p</w:t>
      </w:r>
      <w:r w:rsidR="0033623E" w:rsidRPr="0065690C">
        <w:rPr>
          <w:rFonts w:eastAsia="Times New Roman"/>
          <w:sz w:val="28"/>
          <w:szCs w:val="28"/>
          <w:lang w:eastAsia="lv-LV"/>
        </w:rPr>
        <w:t xml:space="preserve">unktu </w:t>
      </w:r>
      <w:r w:rsidR="0033623E">
        <w:rPr>
          <w:rFonts w:eastAsia="Times New Roman"/>
          <w:sz w:val="28"/>
          <w:szCs w:val="28"/>
          <w:lang w:eastAsia="lv-LV"/>
        </w:rPr>
        <w:t>š</w:t>
      </w:r>
      <w:r w:rsidR="0033623E" w:rsidRPr="0065690C">
        <w:rPr>
          <w:rFonts w:eastAsia="Times New Roman"/>
          <w:sz w:val="28"/>
          <w:szCs w:val="28"/>
          <w:lang w:eastAsia="lv-LV"/>
        </w:rPr>
        <w:t>ādā redakcijā</w:t>
      </w:r>
    </w:p>
    <w:p w:rsidR="0033623E" w:rsidRDefault="0033623E" w:rsidP="00D56591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lv-LV"/>
        </w:rPr>
      </w:pPr>
    </w:p>
    <w:p w:rsidR="00D56591" w:rsidRDefault="0033623E" w:rsidP="00D56591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lv-LV"/>
        </w:rPr>
      </w:pPr>
      <w:r w:rsidRPr="0065690C">
        <w:rPr>
          <w:rFonts w:eastAsia="Times New Roman"/>
          <w:sz w:val="28"/>
          <w:szCs w:val="28"/>
          <w:lang w:eastAsia="lv-LV"/>
        </w:rPr>
        <w:t>6</w:t>
      </w:r>
      <w:r>
        <w:rPr>
          <w:rFonts w:eastAsia="Times New Roman"/>
          <w:sz w:val="28"/>
          <w:szCs w:val="28"/>
          <w:vertAlign w:val="superscript"/>
          <w:lang w:eastAsia="lv-LV"/>
        </w:rPr>
        <w:t>2</w:t>
      </w:r>
      <w:r w:rsidRPr="0065690C">
        <w:rPr>
          <w:rFonts w:eastAsia="Times New Roman"/>
          <w:sz w:val="28"/>
          <w:szCs w:val="28"/>
          <w:lang w:eastAsia="lv-LV"/>
        </w:rPr>
        <w:t xml:space="preserve">. </w:t>
      </w:r>
      <w:r w:rsidR="00D56591" w:rsidRPr="00D56591">
        <w:rPr>
          <w:rFonts w:eastAsia="Times New Roman"/>
          <w:sz w:val="28"/>
          <w:szCs w:val="28"/>
          <w:lang w:eastAsia="lv-LV"/>
        </w:rPr>
        <w:t>Noteikumu 6</w:t>
      </w:r>
      <w:r w:rsidR="00D56591" w:rsidRPr="00D56591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="00D56591" w:rsidRPr="00D56591">
        <w:rPr>
          <w:rFonts w:eastAsia="Times New Roman"/>
          <w:sz w:val="28"/>
          <w:szCs w:val="28"/>
          <w:lang w:eastAsia="lv-LV"/>
        </w:rPr>
        <w:t>.punktā minētā koeficenta noteikšanā ņem vērā šādus kritērijus:</w:t>
      </w:r>
    </w:p>
    <w:p w:rsidR="0033623E" w:rsidRDefault="0033623E" w:rsidP="00D56591">
      <w:pPr>
        <w:spacing w:after="0" w:line="240" w:lineRule="auto"/>
        <w:ind w:firstLine="56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6</w:t>
      </w:r>
      <w:r w:rsidRPr="0033623E">
        <w:rPr>
          <w:sz w:val="28"/>
          <w:szCs w:val="28"/>
          <w:vertAlign w:val="superscript"/>
          <w:lang w:val="de-DE"/>
        </w:rPr>
        <w:t>2</w:t>
      </w:r>
      <w:r>
        <w:rPr>
          <w:sz w:val="28"/>
          <w:szCs w:val="28"/>
          <w:lang w:val="de-DE"/>
        </w:rPr>
        <w:t xml:space="preserve">.1. </w:t>
      </w:r>
      <w:r w:rsidRPr="00630C7F">
        <w:rPr>
          <w:sz w:val="28"/>
          <w:szCs w:val="28"/>
          <w:lang w:val="de-DE"/>
        </w:rPr>
        <w:t>vidēj</w:t>
      </w:r>
      <w:r>
        <w:rPr>
          <w:sz w:val="28"/>
          <w:szCs w:val="28"/>
          <w:lang w:val="de-DE"/>
        </w:rPr>
        <w:t>ais</w:t>
      </w:r>
      <w:r w:rsidRPr="00630C7F">
        <w:rPr>
          <w:sz w:val="28"/>
          <w:szCs w:val="28"/>
          <w:lang w:val="de-DE"/>
        </w:rPr>
        <w:t xml:space="preserve"> atalgojum</w:t>
      </w:r>
      <w:r>
        <w:rPr>
          <w:sz w:val="28"/>
          <w:szCs w:val="28"/>
          <w:lang w:val="de-DE"/>
        </w:rPr>
        <w:t>s</w:t>
      </w:r>
      <w:r w:rsidRPr="00630C7F">
        <w:rPr>
          <w:sz w:val="28"/>
          <w:szCs w:val="28"/>
          <w:lang w:val="de-DE"/>
        </w:rPr>
        <w:t xml:space="preserve"> nozarē un līdzīga izmēra (neto apgrozījums, </w:t>
      </w:r>
      <w:r w:rsidRPr="00630C7F">
        <w:rPr>
          <w:snapToGrid w:val="0"/>
          <w:sz w:val="28"/>
          <w:szCs w:val="28"/>
          <w:lang w:val="de-DE"/>
        </w:rPr>
        <w:t xml:space="preserve">bilances kopsumma, </w:t>
      </w:r>
      <w:r w:rsidRPr="00630C7F">
        <w:rPr>
          <w:sz w:val="28"/>
          <w:szCs w:val="28"/>
          <w:lang w:val="de-DE"/>
        </w:rPr>
        <w:t>darbinieku skaits) kapitālsabiedrību valdes locekļu vidēj</w:t>
      </w:r>
      <w:r>
        <w:rPr>
          <w:sz w:val="28"/>
          <w:szCs w:val="28"/>
          <w:lang w:val="de-DE"/>
        </w:rPr>
        <w:t>ais</w:t>
      </w:r>
      <w:r w:rsidRPr="00630C7F">
        <w:rPr>
          <w:sz w:val="28"/>
          <w:szCs w:val="28"/>
          <w:lang w:val="de-DE"/>
        </w:rPr>
        <w:t xml:space="preserve"> atalgojum</w:t>
      </w:r>
      <w:r>
        <w:rPr>
          <w:sz w:val="28"/>
          <w:szCs w:val="28"/>
          <w:lang w:val="de-DE"/>
        </w:rPr>
        <w:t>a līmenis;</w:t>
      </w:r>
    </w:p>
    <w:p w:rsidR="0033623E" w:rsidRDefault="0033623E" w:rsidP="0033623E">
      <w:pPr>
        <w:spacing w:after="0" w:line="240" w:lineRule="auto"/>
        <w:ind w:firstLine="56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6</w:t>
      </w:r>
      <w:r w:rsidRPr="0033623E">
        <w:rPr>
          <w:sz w:val="28"/>
          <w:szCs w:val="28"/>
          <w:vertAlign w:val="superscript"/>
          <w:lang w:val="de-DE"/>
        </w:rPr>
        <w:t>2</w:t>
      </w:r>
      <w:r>
        <w:rPr>
          <w:sz w:val="28"/>
          <w:szCs w:val="28"/>
          <w:lang w:val="de-DE"/>
        </w:rPr>
        <w:t>.2.</w:t>
      </w:r>
      <w:r>
        <w:rPr>
          <w:rFonts w:eastAsia="Times New Roman"/>
          <w:sz w:val="28"/>
          <w:szCs w:val="28"/>
          <w:lang w:val="de-DE" w:eastAsia="lv-LV"/>
        </w:rPr>
        <w:t xml:space="preserve"> kapitālsabiedrības </w:t>
      </w:r>
      <w:r w:rsidRPr="00630C7F">
        <w:rPr>
          <w:sz w:val="28"/>
          <w:szCs w:val="28"/>
          <w:lang w:val="de-DE"/>
        </w:rPr>
        <w:t>darbības rezultāti</w:t>
      </w:r>
      <w:r>
        <w:rPr>
          <w:sz w:val="28"/>
          <w:szCs w:val="28"/>
          <w:lang w:val="de-DE"/>
        </w:rPr>
        <w:t xml:space="preserve"> iepriekšējā pārskata gadā;</w:t>
      </w:r>
    </w:p>
    <w:p w:rsidR="00D56591" w:rsidRPr="00D56591" w:rsidRDefault="0033623E" w:rsidP="003362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lv-LV"/>
        </w:rPr>
      </w:pPr>
      <w:r>
        <w:rPr>
          <w:sz w:val="28"/>
          <w:szCs w:val="28"/>
          <w:lang w:val="de-DE"/>
        </w:rPr>
        <w:t>6</w:t>
      </w:r>
      <w:r w:rsidRPr="0033623E">
        <w:rPr>
          <w:sz w:val="28"/>
          <w:szCs w:val="28"/>
          <w:vertAlign w:val="superscript"/>
          <w:lang w:val="de-DE"/>
        </w:rPr>
        <w:t>2</w:t>
      </w:r>
      <w:r>
        <w:rPr>
          <w:sz w:val="28"/>
          <w:szCs w:val="28"/>
          <w:lang w:val="de-DE"/>
        </w:rPr>
        <w:t>.3.</w:t>
      </w:r>
      <w:r>
        <w:rPr>
          <w:rFonts w:eastAsia="Times New Roman"/>
          <w:sz w:val="28"/>
          <w:szCs w:val="28"/>
          <w:lang w:val="de-DE" w:eastAsia="lv-LV"/>
        </w:rPr>
        <w:t xml:space="preserve"> </w:t>
      </w:r>
      <w:r w:rsidRPr="00630C7F">
        <w:rPr>
          <w:sz w:val="28"/>
          <w:szCs w:val="28"/>
          <w:lang w:val="de-DE"/>
        </w:rPr>
        <w:t>vidēja termiņa darbības stratēģijas izpild</w:t>
      </w:r>
      <w:r w:rsidR="00190AB9">
        <w:rPr>
          <w:sz w:val="28"/>
          <w:szCs w:val="28"/>
          <w:lang w:val="de-DE"/>
        </w:rPr>
        <w:t>e</w:t>
      </w:r>
      <w:r w:rsidRPr="00630C7F">
        <w:rPr>
          <w:snapToGrid w:val="0"/>
          <w:sz w:val="28"/>
          <w:szCs w:val="28"/>
          <w:lang w:val="de-DE"/>
        </w:rPr>
        <w:t xml:space="preserve"> un</w:t>
      </w:r>
      <w:r w:rsidR="00190AB9">
        <w:rPr>
          <w:snapToGrid w:val="0"/>
          <w:sz w:val="28"/>
          <w:szCs w:val="28"/>
          <w:lang w:val="de-DE"/>
        </w:rPr>
        <w:t xml:space="preserve"> kapitālsabiedrības darbības </w:t>
      </w:r>
      <w:r w:rsidRPr="00630C7F">
        <w:rPr>
          <w:snapToGrid w:val="0"/>
          <w:sz w:val="28"/>
          <w:szCs w:val="28"/>
          <w:lang w:val="de-DE"/>
        </w:rPr>
        <w:t xml:space="preserve"> rezultāti</w:t>
      </w:r>
      <w:r w:rsidR="00190AB9">
        <w:rPr>
          <w:snapToGrid w:val="0"/>
          <w:sz w:val="28"/>
          <w:szCs w:val="28"/>
          <w:lang w:val="de-DE"/>
        </w:rPr>
        <w:t xml:space="preserve"> </w:t>
      </w:r>
      <w:r w:rsidRPr="00630C7F">
        <w:rPr>
          <w:snapToGrid w:val="0"/>
          <w:sz w:val="28"/>
          <w:szCs w:val="28"/>
          <w:lang w:val="de-DE"/>
        </w:rPr>
        <w:t xml:space="preserve">saskaņā ar definētajiem ekonomiskajiem un </w:t>
      </w:r>
      <w:r w:rsidRPr="00630C7F">
        <w:rPr>
          <w:snapToGrid w:val="0"/>
          <w:color w:val="000000"/>
          <w:sz w:val="28"/>
          <w:szCs w:val="28"/>
          <w:lang w:val="de-DE"/>
        </w:rPr>
        <w:t xml:space="preserve">specifiskajiem (nozares politikas) </w:t>
      </w:r>
      <w:r w:rsidRPr="00630C7F">
        <w:rPr>
          <w:snapToGrid w:val="0"/>
          <w:sz w:val="28"/>
          <w:szCs w:val="28"/>
          <w:lang w:val="de-DE"/>
        </w:rPr>
        <w:t> mērķiem</w:t>
      </w:r>
      <w:r w:rsidRPr="00630C7F">
        <w:rPr>
          <w:sz w:val="28"/>
          <w:szCs w:val="28"/>
          <w:lang w:val="de-DE"/>
        </w:rPr>
        <w:t>.</w:t>
      </w:r>
    </w:p>
    <w:p w:rsidR="00D56591" w:rsidRDefault="00D56591" w:rsidP="00D56591">
      <w:pPr>
        <w:pStyle w:val="ListParagraph"/>
        <w:spacing w:after="0" w:line="240" w:lineRule="auto"/>
        <w:ind w:left="1080"/>
        <w:jc w:val="both"/>
        <w:rPr>
          <w:rFonts w:eastAsia="Times New Roman"/>
          <w:sz w:val="28"/>
          <w:szCs w:val="28"/>
          <w:lang w:eastAsia="lv-LV"/>
        </w:rPr>
      </w:pPr>
    </w:p>
    <w:p w:rsidR="00052074" w:rsidRPr="00190AB9" w:rsidRDefault="00052074" w:rsidP="00190A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  <w:lang w:eastAsia="lv-LV"/>
        </w:rPr>
      </w:pPr>
      <w:r w:rsidRPr="00190AB9">
        <w:rPr>
          <w:rFonts w:eastAsia="Times New Roman"/>
          <w:sz w:val="28"/>
          <w:szCs w:val="28"/>
          <w:lang w:eastAsia="lv-LV"/>
        </w:rPr>
        <w:t>Papildināt noteikumus ar  7</w:t>
      </w:r>
      <w:r w:rsidRPr="00190AB9">
        <w:rPr>
          <w:rFonts w:eastAsia="Times New Roman"/>
          <w:sz w:val="28"/>
          <w:szCs w:val="28"/>
          <w:vertAlign w:val="superscript"/>
          <w:lang w:eastAsia="lv-LV"/>
        </w:rPr>
        <w:t>2</w:t>
      </w:r>
      <w:r w:rsidRPr="00190AB9">
        <w:rPr>
          <w:rFonts w:eastAsia="Times New Roman"/>
          <w:sz w:val="28"/>
          <w:szCs w:val="28"/>
          <w:lang w:eastAsia="lv-LV"/>
        </w:rPr>
        <w:t>.</w:t>
      </w:r>
      <w:r w:rsidR="004B4F27">
        <w:rPr>
          <w:rFonts w:eastAsia="Times New Roman"/>
          <w:sz w:val="28"/>
          <w:szCs w:val="28"/>
          <w:lang w:eastAsia="lv-LV"/>
        </w:rPr>
        <w:t xml:space="preserve"> un 7.</w:t>
      </w:r>
      <w:r w:rsidR="004B4F27" w:rsidRPr="004B4F27">
        <w:rPr>
          <w:rFonts w:eastAsia="Times New Roman"/>
          <w:sz w:val="28"/>
          <w:szCs w:val="28"/>
          <w:vertAlign w:val="superscript"/>
          <w:lang w:eastAsia="lv-LV"/>
        </w:rPr>
        <w:t>3</w:t>
      </w:r>
      <w:r w:rsidR="004B4F27">
        <w:rPr>
          <w:rFonts w:eastAsia="Times New Roman"/>
          <w:sz w:val="28"/>
          <w:szCs w:val="28"/>
          <w:lang w:eastAsia="lv-LV"/>
        </w:rPr>
        <w:t>.</w:t>
      </w:r>
      <w:r w:rsidRPr="00190AB9">
        <w:rPr>
          <w:rFonts w:eastAsia="Times New Roman"/>
          <w:sz w:val="28"/>
          <w:szCs w:val="28"/>
          <w:lang w:eastAsia="lv-LV"/>
        </w:rPr>
        <w:t xml:space="preserve"> punktu šādā redakcijā:</w:t>
      </w:r>
    </w:p>
    <w:p w:rsidR="00D1384C" w:rsidRPr="00A405AD" w:rsidRDefault="008F1FCA" w:rsidP="00D1384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405AD">
        <w:rPr>
          <w:rFonts w:eastAsia="Times New Roman"/>
          <w:sz w:val="28"/>
          <w:szCs w:val="28"/>
          <w:lang w:eastAsia="lv-LV"/>
        </w:rPr>
        <w:t>"</w:t>
      </w:r>
      <w:r w:rsidR="00BC7026" w:rsidRPr="00A405AD">
        <w:rPr>
          <w:rFonts w:eastAsia="Times New Roman"/>
          <w:sz w:val="28"/>
          <w:szCs w:val="28"/>
          <w:lang w:eastAsia="lv-LV"/>
        </w:rPr>
        <w:t>7</w:t>
      </w:r>
      <w:r w:rsidR="00052074" w:rsidRPr="00A405AD">
        <w:rPr>
          <w:rFonts w:eastAsia="Times New Roman"/>
          <w:sz w:val="28"/>
          <w:szCs w:val="28"/>
          <w:vertAlign w:val="superscript"/>
          <w:lang w:eastAsia="lv-LV"/>
        </w:rPr>
        <w:t>2</w:t>
      </w:r>
      <w:r w:rsidR="006D1817" w:rsidRPr="00A405AD">
        <w:rPr>
          <w:rFonts w:eastAsia="Times New Roman"/>
          <w:sz w:val="28"/>
          <w:szCs w:val="28"/>
          <w:lang w:eastAsia="lv-LV"/>
        </w:rPr>
        <w:t>.</w:t>
      </w:r>
      <w:r w:rsidR="00DC1831" w:rsidRPr="00A405AD">
        <w:rPr>
          <w:rFonts w:eastAsia="Times New Roman"/>
          <w:sz w:val="28"/>
          <w:szCs w:val="28"/>
          <w:lang w:eastAsia="lv-LV"/>
        </w:rPr>
        <w:t xml:space="preserve"> </w:t>
      </w:r>
      <w:r w:rsidR="0080435E" w:rsidRPr="00A405AD">
        <w:rPr>
          <w:rFonts w:eastAsia="Times New Roman"/>
          <w:sz w:val="28"/>
          <w:szCs w:val="28"/>
          <w:lang w:eastAsia="lv-LV"/>
        </w:rPr>
        <w:t xml:space="preserve">Ja </w:t>
      </w:r>
      <w:r w:rsidR="00BC7026" w:rsidRPr="00A405AD">
        <w:rPr>
          <w:rFonts w:eastAsia="Times New Roman"/>
          <w:sz w:val="28"/>
          <w:szCs w:val="28"/>
          <w:lang w:eastAsia="lv-LV"/>
        </w:rPr>
        <w:t>uz kapitālsabiedrības</w:t>
      </w:r>
      <w:r w:rsidR="00EB7B68" w:rsidRPr="00A405AD">
        <w:rPr>
          <w:rFonts w:eastAsia="Times New Roman"/>
          <w:sz w:val="28"/>
          <w:szCs w:val="28"/>
          <w:lang w:eastAsia="lv-LV"/>
        </w:rPr>
        <w:t xml:space="preserve"> </w:t>
      </w:r>
      <w:r w:rsidR="00BC7026" w:rsidRPr="00A405AD">
        <w:rPr>
          <w:rFonts w:eastAsia="Times New Roman"/>
          <w:sz w:val="28"/>
          <w:szCs w:val="28"/>
          <w:lang w:eastAsia="lv-LV"/>
        </w:rPr>
        <w:t>valdes locekli attiecas šo noteikumu 6.punktā minētie izņēmumi</w:t>
      </w:r>
      <w:r w:rsidR="00052074" w:rsidRPr="00A405AD">
        <w:rPr>
          <w:rFonts w:eastAsia="Times New Roman"/>
          <w:sz w:val="28"/>
          <w:szCs w:val="28"/>
          <w:lang w:eastAsia="lv-LV"/>
        </w:rPr>
        <w:t>, k</w:t>
      </w:r>
      <w:r w:rsidR="00EC2088" w:rsidRPr="00A405AD">
        <w:rPr>
          <w:rFonts w:eastAsia="Times New Roman"/>
          <w:sz w:val="28"/>
          <w:szCs w:val="28"/>
          <w:lang w:eastAsia="lv-LV"/>
        </w:rPr>
        <w:t>apitālsabiedrības valdes loceklim</w:t>
      </w:r>
      <w:r w:rsidR="00EB7B68" w:rsidRPr="00A405AD">
        <w:rPr>
          <w:rFonts w:eastAsia="Times New Roman"/>
          <w:sz w:val="28"/>
          <w:szCs w:val="28"/>
          <w:lang w:eastAsia="lv-LV"/>
        </w:rPr>
        <w:t>, kurš saņem arī mēnešalgu</w:t>
      </w:r>
      <w:r w:rsidR="00EB7B68" w:rsidRPr="00A405AD">
        <w:rPr>
          <w:sz w:val="28"/>
          <w:szCs w:val="28"/>
        </w:rPr>
        <w:t xml:space="preserve"> par </w:t>
      </w:r>
      <w:r w:rsidR="00EB7B68" w:rsidRPr="00A405AD">
        <w:rPr>
          <w:rFonts w:eastAsia="Times New Roman"/>
          <w:sz w:val="28"/>
          <w:szCs w:val="28"/>
          <w:lang w:eastAsia="lv-LV"/>
        </w:rPr>
        <w:t>papildus</w:t>
      </w:r>
      <w:r w:rsidR="00EB7B68" w:rsidRPr="00A405AD">
        <w:rPr>
          <w:sz w:val="28"/>
          <w:szCs w:val="28"/>
        </w:rPr>
        <w:t xml:space="preserve"> amata pienākumu izpildi kapitālsabiedrībā,  kopējā atlīdzība </w:t>
      </w:r>
      <w:r w:rsidR="00EC2088" w:rsidRPr="00A405AD">
        <w:rPr>
          <w:rFonts w:eastAsia="Times New Roman"/>
          <w:sz w:val="28"/>
          <w:szCs w:val="28"/>
          <w:lang w:eastAsia="lv-LV"/>
        </w:rPr>
        <w:t xml:space="preserve"> </w:t>
      </w:r>
      <w:r w:rsidR="00EB7B68" w:rsidRPr="00A405AD">
        <w:rPr>
          <w:rFonts w:eastAsia="Times New Roman"/>
          <w:sz w:val="28"/>
          <w:szCs w:val="28"/>
          <w:lang w:eastAsia="lv-LV"/>
        </w:rPr>
        <w:t xml:space="preserve">nedrīkst pārsniegt </w:t>
      </w:r>
      <w:r w:rsidR="00EC2088" w:rsidRPr="00A405AD">
        <w:rPr>
          <w:rFonts w:eastAsia="Times New Roman"/>
          <w:sz w:val="28"/>
          <w:szCs w:val="28"/>
          <w:lang w:eastAsia="lv-LV"/>
        </w:rPr>
        <w:t>90 pro</w:t>
      </w:r>
      <w:r w:rsidR="008F6DA2" w:rsidRPr="00A405AD">
        <w:rPr>
          <w:rFonts w:eastAsia="Times New Roman"/>
          <w:sz w:val="28"/>
          <w:szCs w:val="28"/>
          <w:lang w:eastAsia="lv-LV"/>
        </w:rPr>
        <w:softHyphen/>
      </w:r>
      <w:r w:rsidR="00EC2088" w:rsidRPr="00A405AD">
        <w:rPr>
          <w:rFonts w:eastAsia="Times New Roman"/>
          <w:sz w:val="28"/>
          <w:szCs w:val="28"/>
          <w:lang w:eastAsia="lv-LV"/>
        </w:rPr>
        <w:t>cent</w:t>
      </w:r>
      <w:r w:rsidR="00EB7B68" w:rsidRPr="00A405AD">
        <w:rPr>
          <w:rFonts w:eastAsia="Times New Roman"/>
          <w:sz w:val="28"/>
          <w:szCs w:val="28"/>
          <w:lang w:eastAsia="lv-LV"/>
        </w:rPr>
        <w:t xml:space="preserve">us </w:t>
      </w:r>
      <w:r w:rsidR="00EC2088" w:rsidRPr="00A405AD">
        <w:rPr>
          <w:rFonts w:eastAsia="Times New Roman"/>
          <w:sz w:val="28"/>
          <w:szCs w:val="28"/>
          <w:lang w:eastAsia="lv-LV"/>
        </w:rPr>
        <w:t xml:space="preserve">no valdes priekšsēdētāja </w:t>
      </w:r>
      <w:r w:rsidR="00EB7B68" w:rsidRPr="00A405AD">
        <w:rPr>
          <w:rFonts w:eastAsia="Times New Roman"/>
          <w:sz w:val="28"/>
          <w:szCs w:val="28"/>
          <w:lang w:eastAsia="lv-LV"/>
        </w:rPr>
        <w:t>kopējās atlīdzības</w:t>
      </w:r>
      <w:r w:rsidR="00052074" w:rsidRPr="00A405AD">
        <w:rPr>
          <w:rFonts w:eastAsia="Times New Roman"/>
          <w:sz w:val="28"/>
          <w:szCs w:val="28"/>
          <w:lang w:eastAsia="lv-LV"/>
        </w:rPr>
        <w:t xml:space="preserve">, kas noteikta saskaņā </w:t>
      </w:r>
      <w:r w:rsidR="00DC1831" w:rsidRPr="00A405AD">
        <w:rPr>
          <w:rFonts w:eastAsia="Times New Roman"/>
          <w:sz w:val="28"/>
          <w:szCs w:val="28"/>
          <w:lang w:eastAsia="lv-LV"/>
        </w:rPr>
        <w:t xml:space="preserve"> </w:t>
      </w:r>
      <w:r w:rsidR="00052074" w:rsidRPr="00A405AD">
        <w:rPr>
          <w:rFonts w:eastAsia="Times New Roman"/>
          <w:sz w:val="28"/>
          <w:szCs w:val="28"/>
          <w:lang w:eastAsia="lv-LV"/>
        </w:rPr>
        <w:t>ar šo noteikumu 6</w:t>
      </w:r>
      <w:r w:rsidR="00052074" w:rsidRPr="00A405AD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="00052074" w:rsidRPr="00A405AD">
        <w:rPr>
          <w:rFonts w:eastAsia="Times New Roman"/>
          <w:sz w:val="28"/>
          <w:szCs w:val="28"/>
          <w:lang w:eastAsia="lv-LV"/>
        </w:rPr>
        <w:t>.punktu</w:t>
      </w:r>
      <w:r w:rsidR="00A405AD" w:rsidRPr="00A405AD">
        <w:rPr>
          <w:sz w:val="28"/>
          <w:szCs w:val="28"/>
        </w:rPr>
        <w:t xml:space="preserve"> un  atalgojuma īpatsvars par valdes locekļa amata pienākuma izpildi kopējā atlīdzībā nav mazāks par 60% no kopējās atlīdzības</w:t>
      </w:r>
      <w:r w:rsidR="00052074" w:rsidRPr="00A405AD">
        <w:rPr>
          <w:rFonts w:eastAsia="Times New Roman"/>
          <w:sz w:val="28"/>
          <w:szCs w:val="28"/>
          <w:lang w:eastAsia="lv-LV"/>
        </w:rPr>
        <w:t>.”</w:t>
      </w:r>
    </w:p>
    <w:p w:rsidR="00D1384C" w:rsidRDefault="00D1384C" w:rsidP="00D1384C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:rsidR="000970BC" w:rsidRPr="00DC1831" w:rsidRDefault="00DA4ADE" w:rsidP="008F1FCA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7.</w:t>
      </w:r>
      <w:r w:rsidRPr="004B4F27">
        <w:rPr>
          <w:rFonts w:eastAsia="Times New Roman"/>
          <w:sz w:val="28"/>
          <w:szCs w:val="28"/>
          <w:vertAlign w:val="superscript"/>
          <w:lang w:eastAsia="lv-LV"/>
        </w:rPr>
        <w:t>3</w:t>
      </w:r>
      <w:r>
        <w:rPr>
          <w:rFonts w:eastAsia="Times New Roman"/>
          <w:sz w:val="28"/>
          <w:szCs w:val="28"/>
          <w:lang w:eastAsia="lv-LV"/>
        </w:rPr>
        <w:t xml:space="preserve"> </w:t>
      </w:r>
      <w:r w:rsidR="00D1384C" w:rsidRPr="00D1384C">
        <w:rPr>
          <w:rFonts w:eastAsia="Times New Roman"/>
          <w:sz w:val="28"/>
          <w:szCs w:val="28"/>
          <w:lang w:eastAsia="lv-LV"/>
        </w:rPr>
        <w:t>Noteikumu 7</w:t>
      </w:r>
      <w:r w:rsidR="00D1384C" w:rsidRPr="00D1384C">
        <w:rPr>
          <w:rFonts w:eastAsia="Times New Roman"/>
          <w:sz w:val="28"/>
          <w:szCs w:val="28"/>
          <w:vertAlign w:val="superscript"/>
          <w:lang w:eastAsia="lv-LV"/>
        </w:rPr>
        <w:t>2</w:t>
      </w:r>
      <w:r w:rsidR="00D1384C" w:rsidRPr="00D1384C">
        <w:rPr>
          <w:rFonts w:eastAsia="Times New Roman"/>
          <w:sz w:val="28"/>
          <w:szCs w:val="28"/>
          <w:lang w:eastAsia="lv-LV"/>
        </w:rPr>
        <w:t>.punktā minētā procentuālā apmēra  noteikšanā ņem vērā attiecīgā valdes locekļa ieguldījumu</w:t>
      </w:r>
      <w:r w:rsidR="00D1384C">
        <w:rPr>
          <w:rFonts w:eastAsia="Times New Roman"/>
          <w:sz w:val="28"/>
          <w:szCs w:val="28"/>
          <w:lang w:eastAsia="lv-LV"/>
        </w:rPr>
        <w:t xml:space="preserve"> šo noteikumu </w:t>
      </w:r>
      <w:r w:rsidR="00D1384C" w:rsidRPr="00D1384C">
        <w:rPr>
          <w:rFonts w:eastAsia="Times New Roman"/>
          <w:sz w:val="28"/>
          <w:szCs w:val="28"/>
          <w:lang w:eastAsia="lv-LV"/>
        </w:rPr>
        <w:t xml:space="preserve"> </w:t>
      </w:r>
      <w:r w:rsidR="00D1384C" w:rsidRPr="0065690C">
        <w:rPr>
          <w:rFonts w:eastAsia="Times New Roman"/>
          <w:sz w:val="28"/>
          <w:szCs w:val="28"/>
          <w:lang w:eastAsia="lv-LV"/>
        </w:rPr>
        <w:t>6</w:t>
      </w:r>
      <w:r w:rsidR="00D1384C">
        <w:rPr>
          <w:rFonts w:eastAsia="Times New Roman"/>
          <w:sz w:val="28"/>
          <w:szCs w:val="28"/>
          <w:vertAlign w:val="superscript"/>
          <w:lang w:eastAsia="lv-LV"/>
        </w:rPr>
        <w:t>2</w:t>
      </w:r>
      <w:r w:rsidR="00D1384C">
        <w:rPr>
          <w:rFonts w:eastAsia="Times New Roman"/>
          <w:sz w:val="28"/>
          <w:szCs w:val="28"/>
          <w:lang w:eastAsia="lv-LV"/>
        </w:rPr>
        <w:t>.punktā minēto kritēriju izpildē.</w:t>
      </w:r>
      <w:r>
        <w:rPr>
          <w:rFonts w:eastAsia="Times New Roman"/>
          <w:sz w:val="28"/>
          <w:szCs w:val="28"/>
          <w:lang w:eastAsia="lv-LV"/>
        </w:rPr>
        <w:t>”</w:t>
      </w:r>
    </w:p>
    <w:p w:rsidR="000970BC" w:rsidRDefault="000970BC" w:rsidP="008F1FCA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:rsidR="000970BC" w:rsidRPr="00DC1831" w:rsidRDefault="000970BC" w:rsidP="008F1FCA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:rsidR="006D1817" w:rsidRPr="00847E24" w:rsidRDefault="006D1817" w:rsidP="008F1FCA">
      <w:pPr>
        <w:tabs>
          <w:tab w:val="left" w:pos="6804"/>
        </w:tabs>
        <w:spacing w:after="0" w:line="240" w:lineRule="auto"/>
        <w:ind w:firstLine="720"/>
        <w:rPr>
          <w:sz w:val="28"/>
          <w:szCs w:val="28"/>
          <w:lang w:eastAsia="lv-LV"/>
        </w:rPr>
      </w:pPr>
      <w:r w:rsidRPr="00847E24">
        <w:rPr>
          <w:sz w:val="28"/>
          <w:szCs w:val="28"/>
          <w:lang w:eastAsia="lv-LV"/>
        </w:rPr>
        <w:t>Ministru prezidents</w:t>
      </w:r>
      <w:r w:rsidRPr="00847E24">
        <w:rPr>
          <w:sz w:val="28"/>
          <w:szCs w:val="28"/>
          <w:lang w:eastAsia="lv-LV"/>
        </w:rPr>
        <w:tab/>
        <w:t>V.Dombrovskis</w:t>
      </w:r>
    </w:p>
    <w:p w:rsidR="008F1FCA" w:rsidRDefault="008F1FCA" w:rsidP="008F1FCA">
      <w:pPr>
        <w:tabs>
          <w:tab w:val="left" w:pos="4320"/>
          <w:tab w:val="left" w:pos="6804"/>
        </w:tabs>
        <w:spacing w:after="0" w:line="240" w:lineRule="auto"/>
        <w:ind w:firstLine="720"/>
        <w:rPr>
          <w:sz w:val="28"/>
          <w:szCs w:val="28"/>
          <w:lang w:eastAsia="lv-LV"/>
        </w:rPr>
      </w:pPr>
    </w:p>
    <w:p w:rsidR="008F1FCA" w:rsidRDefault="008F1FCA" w:rsidP="008F1FCA">
      <w:pPr>
        <w:tabs>
          <w:tab w:val="left" w:pos="4320"/>
          <w:tab w:val="left" w:pos="6804"/>
        </w:tabs>
        <w:spacing w:after="0" w:line="240" w:lineRule="auto"/>
        <w:ind w:firstLine="720"/>
        <w:rPr>
          <w:sz w:val="28"/>
          <w:szCs w:val="28"/>
          <w:lang w:eastAsia="lv-LV"/>
        </w:rPr>
      </w:pPr>
    </w:p>
    <w:p w:rsidR="008F1FCA" w:rsidRDefault="008F1FCA" w:rsidP="008F1FCA">
      <w:pPr>
        <w:tabs>
          <w:tab w:val="left" w:pos="4320"/>
          <w:tab w:val="left" w:pos="6804"/>
        </w:tabs>
        <w:spacing w:after="0" w:line="240" w:lineRule="auto"/>
        <w:ind w:firstLine="720"/>
        <w:rPr>
          <w:sz w:val="28"/>
          <w:szCs w:val="28"/>
          <w:lang w:eastAsia="lv-LV"/>
        </w:rPr>
      </w:pPr>
    </w:p>
    <w:p w:rsidR="00052074" w:rsidRDefault="001F1CC0" w:rsidP="00052074">
      <w:pPr>
        <w:tabs>
          <w:tab w:val="left" w:pos="4320"/>
          <w:tab w:val="left" w:pos="6804"/>
        </w:tabs>
        <w:spacing w:after="0" w:line="240" w:lineRule="auto"/>
        <w:ind w:firstLine="720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Finanšu ministr</w:t>
      </w:r>
      <w:r w:rsidR="00052074">
        <w:rPr>
          <w:sz w:val="28"/>
          <w:szCs w:val="28"/>
          <w:lang w:eastAsia="lv-LV"/>
        </w:rPr>
        <w:t>s</w:t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 w:rsidR="00052074">
        <w:rPr>
          <w:sz w:val="28"/>
          <w:szCs w:val="28"/>
          <w:lang w:eastAsia="lv-LV"/>
        </w:rPr>
        <w:t>A.Vilks</w:t>
      </w:r>
      <w:r w:rsidR="006F272A">
        <w:rPr>
          <w:sz w:val="28"/>
          <w:szCs w:val="28"/>
          <w:lang w:eastAsia="lv-LV"/>
        </w:rPr>
        <w:tab/>
      </w:r>
    </w:p>
    <w:p w:rsidR="00052074" w:rsidRDefault="00052074" w:rsidP="00052074">
      <w:pPr>
        <w:tabs>
          <w:tab w:val="left" w:pos="4320"/>
          <w:tab w:val="left" w:pos="6804"/>
        </w:tabs>
        <w:spacing w:after="0" w:line="240" w:lineRule="auto"/>
        <w:ind w:firstLine="720"/>
        <w:rPr>
          <w:sz w:val="28"/>
          <w:szCs w:val="28"/>
          <w:lang w:eastAsia="lv-LV"/>
        </w:rPr>
      </w:pPr>
    </w:p>
    <w:p w:rsidR="00052074" w:rsidRDefault="00052074" w:rsidP="00052074">
      <w:pPr>
        <w:tabs>
          <w:tab w:val="left" w:pos="4320"/>
          <w:tab w:val="left" w:pos="6804"/>
        </w:tabs>
        <w:spacing w:after="0" w:line="240" w:lineRule="auto"/>
        <w:ind w:firstLine="720"/>
        <w:rPr>
          <w:sz w:val="28"/>
          <w:szCs w:val="28"/>
          <w:lang w:eastAsia="lv-LV"/>
        </w:rPr>
      </w:pPr>
    </w:p>
    <w:p w:rsidR="00052074" w:rsidRDefault="00052074" w:rsidP="00052074">
      <w:pPr>
        <w:tabs>
          <w:tab w:val="left" w:pos="4320"/>
          <w:tab w:val="left" w:pos="6804"/>
        </w:tabs>
        <w:spacing w:after="0" w:line="240" w:lineRule="auto"/>
        <w:ind w:firstLine="720"/>
        <w:rPr>
          <w:sz w:val="28"/>
          <w:szCs w:val="28"/>
          <w:lang w:eastAsia="lv-LV"/>
        </w:rPr>
      </w:pPr>
    </w:p>
    <w:p w:rsidR="00E13AF0" w:rsidRPr="00E13AF0" w:rsidRDefault="00E13AF0" w:rsidP="00052074">
      <w:pPr>
        <w:tabs>
          <w:tab w:val="left" w:pos="4320"/>
          <w:tab w:val="left" w:pos="6804"/>
        </w:tabs>
        <w:spacing w:after="0" w:line="240" w:lineRule="auto"/>
        <w:ind w:firstLine="720"/>
        <w:rPr>
          <w:sz w:val="20"/>
          <w:szCs w:val="20"/>
          <w:lang w:eastAsia="lv-LV"/>
        </w:rPr>
      </w:pPr>
      <w:r w:rsidRPr="00E13AF0">
        <w:rPr>
          <w:sz w:val="20"/>
          <w:szCs w:val="20"/>
          <w:lang w:eastAsia="lv-LV"/>
        </w:rPr>
        <w:t>110113</w:t>
      </w:r>
    </w:p>
    <w:p w:rsidR="00E13AF0" w:rsidRPr="00E13AF0" w:rsidRDefault="00934C70" w:rsidP="00052074">
      <w:pPr>
        <w:tabs>
          <w:tab w:val="left" w:pos="4320"/>
          <w:tab w:val="left" w:pos="6804"/>
        </w:tabs>
        <w:spacing w:after="0" w:line="240" w:lineRule="auto"/>
        <w:ind w:firstLine="720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360</w:t>
      </w:r>
    </w:p>
    <w:p w:rsidR="00E13AF0" w:rsidRPr="00E13AF0" w:rsidRDefault="00E13AF0" w:rsidP="00052074">
      <w:pPr>
        <w:tabs>
          <w:tab w:val="left" w:pos="4320"/>
          <w:tab w:val="left" w:pos="6804"/>
        </w:tabs>
        <w:spacing w:after="0" w:line="240" w:lineRule="auto"/>
        <w:ind w:firstLine="720"/>
        <w:rPr>
          <w:sz w:val="20"/>
          <w:szCs w:val="20"/>
          <w:lang w:eastAsia="lv-LV"/>
        </w:rPr>
      </w:pPr>
      <w:r w:rsidRPr="00E13AF0">
        <w:rPr>
          <w:sz w:val="20"/>
          <w:szCs w:val="20"/>
          <w:lang w:eastAsia="lv-LV"/>
        </w:rPr>
        <w:t>Ģ.Blumers</w:t>
      </w:r>
    </w:p>
    <w:p w:rsidR="00E13AF0" w:rsidRPr="00E13AF0" w:rsidRDefault="00E13AF0" w:rsidP="00052074">
      <w:pPr>
        <w:tabs>
          <w:tab w:val="left" w:pos="4320"/>
          <w:tab w:val="left" w:pos="6804"/>
        </w:tabs>
        <w:spacing w:after="0" w:line="240" w:lineRule="auto"/>
        <w:ind w:firstLine="720"/>
        <w:rPr>
          <w:sz w:val="20"/>
          <w:szCs w:val="20"/>
          <w:lang w:eastAsia="lv-LV"/>
        </w:rPr>
      </w:pPr>
      <w:r w:rsidRPr="00E13AF0">
        <w:rPr>
          <w:sz w:val="20"/>
          <w:szCs w:val="20"/>
          <w:lang w:eastAsia="lv-LV"/>
        </w:rPr>
        <w:t>67082933</w:t>
      </w:r>
    </w:p>
    <w:p w:rsidR="006D1817" w:rsidRPr="00E13AF0" w:rsidRDefault="00E13AF0" w:rsidP="00052074">
      <w:pPr>
        <w:tabs>
          <w:tab w:val="left" w:pos="4320"/>
          <w:tab w:val="left" w:pos="6804"/>
        </w:tabs>
        <w:spacing w:after="0" w:line="240" w:lineRule="auto"/>
        <w:ind w:firstLine="720"/>
        <w:rPr>
          <w:sz w:val="20"/>
          <w:szCs w:val="20"/>
          <w:lang w:eastAsia="lv-LV"/>
        </w:rPr>
      </w:pPr>
      <w:r w:rsidRPr="00E13AF0">
        <w:rPr>
          <w:sz w:val="20"/>
          <w:szCs w:val="20"/>
          <w:lang w:eastAsia="lv-LV"/>
        </w:rPr>
        <w:t>Girts.Blumers@mk.gov.lv</w:t>
      </w:r>
      <w:r w:rsidR="006F272A" w:rsidRPr="00E13AF0">
        <w:rPr>
          <w:sz w:val="20"/>
          <w:szCs w:val="20"/>
          <w:lang w:eastAsia="lv-LV"/>
        </w:rPr>
        <w:tab/>
      </w:r>
    </w:p>
    <w:sectPr w:rsidR="006D1817" w:rsidRPr="00E13AF0" w:rsidSect="008F1FC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A95" w:rsidRDefault="00DB5A95" w:rsidP="008562DA">
      <w:pPr>
        <w:spacing w:after="0" w:line="240" w:lineRule="auto"/>
      </w:pPr>
      <w:r>
        <w:separator/>
      </w:r>
    </w:p>
  </w:endnote>
  <w:endnote w:type="continuationSeparator" w:id="0">
    <w:p w:rsidR="00DB5A95" w:rsidRDefault="00DB5A95" w:rsidP="0085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074" w:rsidRPr="00052074" w:rsidRDefault="00052074" w:rsidP="00052074">
    <w:pPr>
      <w:spacing w:after="0" w:line="240" w:lineRule="auto"/>
      <w:jc w:val="both"/>
      <w:outlineLvl w:val="3"/>
      <w:rPr>
        <w:rFonts w:eastAsia="Times New Roman"/>
        <w:bCs/>
        <w:sz w:val="18"/>
        <w:szCs w:val="18"/>
        <w:lang w:eastAsia="lv-LV"/>
      </w:rPr>
    </w:pPr>
    <w:r w:rsidRPr="00052074">
      <w:rPr>
        <w:sz w:val="18"/>
        <w:szCs w:val="18"/>
      </w:rPr>
      <w:t>MPnot_110113_</w:t>
    </w:r>
    <w:r w:rsidRPr="00052074">
      <w:rPr>
        <w:rFonts w:eastAsia="Times New Roman"/>
        <w:bCs/>
        <w:sz w:val="18"/>
        <w:szCs w:val="18"/>
        <w:lang w:eastAsia="lv-LV"/>
      </w:rPr>
      <w:t xml:space="preserve"> Grozījumi Ministru kabineta 2010.gada 30.marta noteikumos Nr.311 "Noteikumi par valsts vai pašvaldību kapitālsabiedrību valdes locekļu skaitu, padomes un valdes locekļa, pašvaldības kapitāla daļu turētāja pārstāvja un atbildīgā darbinieka atlīdzību"</w:t>
    </w:r>
  </w:p>
  <w:p w:rsidR="008F1FCA" w:rsidRPr="00052074" w:rsidRDefault="008F1FCA" w:rsidP="00052074">
    <w:pPr>
      <w:pStyle w:val="Footer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074" w:rsidRPr="00052074" w:rsidRDefault="00052074" w:rsidP="00052074">
    <w:pPr>
      <w:spacing w:after="0" w:line="240" w:lineRule="auto"/>
      <w:jc w:val="both"/>
      <w:outlineLvl w:val="3"/>
      <w:rPr>
        <w:rFonts w:eastAsia="Times New Roman"/>
        <w:bCs/>
        <w:sz w:val="18"/>
        <w:szCs w:val="18"/>
        <w:lang w:eastAsia="lv-LV"/>
      </w:rPr>
    </w:pPr>
    <w:r w:rsidRPr="00052074">
      <w:rPr>
        <w:sz w:val="18"/>
        <w:szCs w:val="18"/>
      </w:rPr>
      <w:t>MPnot_110113_</w:t>
    </w:r>
    <w:r w:rsidRPr="00052074">
      <w:rPr>
        <w:rFonts w:eastAsia="Times New Roman"/>
        <w:bCs/>
        <w:sz w:val="18"/>
        <w:szCs w:val="18"/>
        <w:lang w:eastAsia="lv-LV"/>
      </w:rPr>
      <w:t xml:space="preserve"> Grozījumi Ministru kabineta 2010.gada 30.marta noteikumos Nr.311 "Noteikumi par valsts vai pašvaldību kapitālsabiedrību valdes locekļu skaitu, padomes un valdes locekļa, pašvaldības kapitāla daļu turētāja pārstāvja un atbildīgā darbinieka atlīdzību"</w:t>
    </w:r>
  </w:p>
  <w:p w:rsidR="008F1FCA" w:rsidRPr="008F1FCA" w:rsidRDefault="008F1FCA" w:rsidP="008F1FCA">
    <w:pPr>
      <w:pStyle w:val="Footer"/>
      <w:spacing w:after="0" w:line="240" w:lineRule="auto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A95" w:rsidRDefault="00DB5A95" w:rsidP="008562DA">
      <w:pPr>
        <w:spacing w:after="0" w:line="240" w:lineRule="auto"/>
      </w:pPr>
      <w:r>
        <w:separator/>
      </w:r>
    </w:p>
  </w:footnote>
  <w:footnote w:type="continuationSeparator" w:id="0">
    <w:p w:rsidR="00DB5A95" w:rsidRDefault="00DB5A95" w:rsidP="0085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88" w:rsidRDefault="00733989" w:rsidP="00EE41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20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2088" w:rsidRDefault="00EC20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4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1FCA" w:rsidRDefault="00733989">
        <w:pPr>
          <w:pStyle w:val="Header"/>
          <w:jc w:val="center"/>
        </w:pPr>
        <w:r>
          <w:fldChar w:fldCharType="begin"/>
        </w:r>
        <w:r w:rsidR="008F1FCA">
          <w:instrText xml:space="preserve"> PAGE   \* MERGEFORMAT </w:instrText>
        </w:r>
        <w:r>
          <w:fldChar w:fldCharType="separate"/>
        </w:r>
        <w:r w:rsidR="00E669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1FCA" w:rsidRDefault="008F1F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6964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1FCA" w:rsidRDefault="008F1FCA">
        <w:pPr>
          <w:pStyle w:val="Header"/>
          <w:jc w:val="center"/>
        </w:pPr>
        <w:r>
          <w:rPr>
            <w:noProof/>
            <w:lang w:eastAsia="lv-LV"/>
          </w:rPr>
          <w:drawing>
            <wp:inline distT="0" distB="0" distL="0" distR="0">
              <wp:extent cx="5448300" cy="1400175"/>
              <wp:effectExtent l="0" t="0" r="0" b="9525"/>
              <wp:docPr id="2" name="Picture 2" descr="veidlapas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veidlapas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48300" cy="140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8F1FCA" w:rsidRDefault="008F1FCA" w:rsidP="008F1FC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87AEB"/>
    <w:multiLevelType w:val="hybridMultilevel"/>
    <w:tmpl w:val="3D042D44"/>
    <w:lvl w:ilvl="0" w:tplc="D3A4C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562E4B"/>
    <w:multiLevelType w:val="hybridMultilevel"/>
    <w:tmpl w:val="3D042D44"/>
    <w:lvl w:ilvl="0" w:tplc="D3A4C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10E9D"/>
    <w:multiLevelType w:val="hybridMultilevel"/>
    <w:tmpl w:val="DA5E0B16"/>
    <w:lvl w:ilvl="0" w:tplc="D3A4C0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817"/>
    <w:rsid w:val="00052074"/>
    <w:rsid w:val="000970BC"/>
    <w:rsid w:val="000D46B5"/>
    <w:rsid w:val="00103B95"/>
    <w:rsid w:val="001109EE"/>
    <w:rsid w:val="00122C7E"/>
    <w:rsid w:val="00190AB9"/>
    <w:rsid w:val="0019327A"/>
    <w:rsid w:val="001958F5"/>
    <w:rsid w:val="001F1CC0"/>
    <w:rsid w:val="002262D5"/>
    <w:rsid w:val="002B2C40"/>
    <w:rsid w:val="00330935"/>
    <w:rsid w:val="0033623E"/>
    <w:rsid w:val="00395EC6"/>
    <w:rsid w:val="004B4F27"/>
    <w:rsid w:val="005B3A89"/>
    <w:rsid w:val="005D0D52"/>
    <w:rsid w:val="005D6AC4"/>
    <w:rsid w:val="0065690C"/>
    <w:rsid w:val="006D1817"/>
    <w:rsid w:val="006F272A"/>
    <w:rsid w:val="00733989"/>
    <w:rsid w:val="00755475"/>
    <w:rsid w:val="0080435E"/>
    <w:rsid w:val="00835F26"/>
    <w:rsid w:val="008562DA"/>
    <w:rsid w:val="008F1FCA"/>
    <w:rsid w:val="008F6DA2"/>
    <w:rsid w:val="00934C70"/>
    <w:rsid w:val="009F7FBA"/>
    <w:rsid w:val="00A048FC"/>
    <w:rsid w:val="00A405AD"/>
    <w:rsid w:val="00AB4F71"/>
    <w:rsid w:val="00B108B1"/>
    <w:rsid w:val="00BC7026"/>
    <w:rsid w:val="00C4570E"/>
    <w:rsid w:val="00C74258"/>
    <w:rsid w:val="00C969F8"/>
    <w:rsid w:val="00CA2777"/>
    <w:rsid w:val="00D1384C"/>
    <w:rsid w:val="00D56591"/>
    <w:rsid w:val="00DA4ADE"/>
    <w:rsid w:val="00DB5A95"/>
    <w:rsid w:val="00DC1831"/>
    <w:rsid w:val="00DC7D03"/>
    <w:rsid w:val="00E13AF0"/>
    <w:rsid w:val="00E24653"/>
    <w:rsid w:val="00E3478A"/>
    <w:rsid w:val="00E66997"/>
    <w:rsid w:val="00E82ED9"/>
    <w:rsid w:val="00E9375B"/>
    <w:rsid w:val="00E966B8"/>
    <w:rsid w:val="00EB7B68"/>
    <w:rsid w:val="00EC2088"/>
    <w:rsid w:val="00EE4181"/>
    <w:rsid w:val="00FE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17"/>
    <w:rPr>
      <w:rFonts w:eastAsia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18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817"/>
    <w:rPr>
      <w:rFonts w:eastAsia="Calibri" w:cs="Times New Roman"/>
      <w:sz w:val="24"/>
      <w:szCs w:val="24"/>
    </w:rPr>
  </w:style>
  <w:style w:type="paragraph" w:styleId="Footer">
    <w:name w:val="footer"/>
    <w:basedOn w:val="Normal"/>
    <w:link w:val="FooterChar"/>
    <w:rsid w:val="006D18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D1817"/>
    <w:rPr>
      <w:rFonts w:eastAsia="Calibri" w:cs="Times New Roman"/>
      <w:sz w:val="24"/>
      <w:szCs w:val="24"/>
    </w:rPr>
  </w:style>
  <w:style w:type="character" w:styleId="PageNumber">
    <w:name w:val="page number"/>
    <w:basedOn w:val="DefaultParagraphFont"/>
    <w:rsid w:val="006D1817"/>
  </w:style>
  <w:style w:type="paragraph" w:styleId="BalloonText">
    <w:name w:val="Balloon Text"/>
    <w:basedOn w:val="Normal"/>
    <w:link w:val="BalloonTextChar"/>
    <w:uiPriority w:val="99"/>
    <w:semiHidden/>
    <w:unhideWhenUsed/>
    <w:rsid w:val="00DC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3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0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17"/>
    <w:rPr>
      <w:rFonts w:eastAsia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18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817"/>
    <w:rPr>
      <w:rFonts w:eastAsia="Calibri" w:cs="Times New Roman"/>
      <w:sz w:val="24"/>
      <w:szCs w:val="24"/>
    </w:rPr>
  </w:style>
  <w:style w:type="paragraph" w:styleId="Footer">
    <w:name w:val="footer"/>
    <w:basedOn w:val="Normal"/>
    <w:link w:val="FooterChar"/>
    <w:rsid w:val="006D18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D1817"/>
    <w:rPr>
      <w:rFonts w:eastAsia="Calibri" w:cs="Times New Roman"/>
      <w:sz w:val="24"/>
      <w:szCs w:val="24"/>
    </w:rPr>
  </w:style>
  <w:style w:type="character" w:styleId="PageNumber">
    <w:name w:val="page number"/>
    <w:basedOn w:val="DefaultParagraphFont"/>
    <w:rsid w:val="006D1817"/>
  </w:style>
  <w:style w:type="paragraph" w:styleId="BalloonText">
    <w:name w:val="Balloon Text"/>
    <w:basedOn w:val="Normal"/>
    <w:link w:val="BalloonTextChar"/>
    <w:uiPriority w:val="99"/>
    <w:semiHidden/>
    <w:unhideWhenUsed/>
    <w:rsid w:val="00DC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3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0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1949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30.marta noteikumos Nr.311 "Noteikumi par valsts vai pašvaldību kapitālsabiedrību valdes locekļu skaitu, padomes un valdes locekļa, pašvaldības kapitāla daļu turētāja pārstāvja un atbildīgā darbinieka atlīdzību"</vt:lpstr>
    </vt:vector>
  </TitlesOfParts>
  <Company>Satiksmes ministrija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30.marta noteikumos Nr.311 "Noteikumi par valsts vai pašvaldību kapitālsabiedrību valdes locekļu skaitu, padomes un valdes locekļa, pašvaldības kapitāla daļu turētāja pārstāvja un atbildīgā darbinieka atlīdzību"</dc:title>
  <dc:subject>MK noteikumu projekts</dc:subject>
  <dc:creator>Inguna Strautmane</dc:creator>
  <dc:description>Inguna Strautmane 67028231, inguna.strautmane@sam.gov.lv</dc:description>
  <cp:lastModifiedBy>Ģirts Blumers</cp:lastModifiedBy>
  <cp:revision>2</cp:revision>
  <cp:lastPrinted>2013-01-14T11:36:00Z</cp:lastPrinted>
  <dcterms:created xsi:type="dcterms:W3CDTF">2013-01-14T15:20:00Z</dcterms:created>
  <dcterms:modified xsi:type="dcterms:W3CDTF">2013-01-14T15:20:00Z</dcterms:modified>
</cp:coreProperties>
</file>