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D" w:rsidRPr="007C0F2C" w:rsidRDefault="00BD4172" w:rsidP="004901ED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Likumprojekta „</w:t>
      </w:r>
      <w:r w:rsidR="00942FED">
        <w:rPr>
          <w:b/>
          <w:sz w:val="28"/>
          <w:szCs w:val="28"/>
        </w:rPr>
        <w:t xml:space="preserve">Grozījumi </w:t>
      </w:r>
      <w:r w:rsidR="006E2BB6">
        <w:rPr>
          <w:b/>
          <w:sz w:val="28"/>
          <w:szCs w:val="28"/>
        </w:rPr>
        <w:t xml:space="preserve">Likumā </w:t>
      </w:r>
      <w:r w:rsidR="00287AF9">
        <w:rPr>
          <w:b/>
          <w:sz w:val="28"/>
          <w:szCs w:val="28"/>
        </w:rPr>
        <w:t>„</w:t>
      </w:r>
      <w:r w:rsidR="00867AE1">
        <w:rPr>
          <w:b/>
          <w:sz w:val="28"/>
          <w:szCs w:val="28"/>
        </w:rPr>
        <w:t>Par autoceļiem</w:t>
      </w:r>
      <w:r>
        <w:rPr>
          <w:b/>
          <w:sz w:val="28"/>
          <w:szCs w:val="28"/>
        </w:rPr>
        <w:t>”</w:t>
      </w:r>
      <w:r w:rsidR="00882D71">
        <w:rPr>
          <w:b/>
          <w:sz w:val="28"/>
          <w:szCs w:val="28"/>
        </w:rPr>
        <w:t>”</w:t>
      </w:r>
      <w:r w:rsidR="004901ED" w:rsidRPr="007C0F2C">
        <w:rPr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901ED" w:rsidRPr="007C0F2C">
          <w:rPr>
            <w:b/>
            <w:sz w:val="28"/>
            <w:szCs w:val="28"/>
          </w:rPr>
          <w:t>ziņojums</w:t>
        </w:r>
      </w:smartTag>
      <w:r w:rsidR="004901ED" w:rsidRPr="007C0F2C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581"/>
        <w:gridCol w:w="6076"/>
      </w:tblGrid>
      <w:tr w:rsidR="004901ED" w:rsidRPr="007C0F2C" w:rsidTr="006306A1">
        <w:tc>
          <w:tcPr>
            <w:tcW w:w="9141" w:type="dxa"/>
            <w:gridSpan w:val="3"/>
            <w:vAlign w:val="center"/>
          </w:tcPr>
          <w:p w:rsidR="004901ED" w:rsidRPr="004901ED" w:rsidRDefault="004901ED" w:rsidP="004901ED">
            <w:pPr>
              <w:pStyle w:val="naisnod"/>
              <w:spacing w:before="0" w:after="0"/>
              <w:jc w:val="center"/>
              <w:rPr>
                <w:b/>
              </w:rPr>
            </w:pPr>
            <w:r w:rsidRPr="004901ED">
              <w:rPr>
                <w:b/>
              </w:rPr>
              <w:t>I. Tiesību akta projekta izstrādes nepieciešamība</w:t>
            </w:r>
          </w:p>
        </w:tc>
      </w:tr>
      <w:tr w:rsidR="004901ED" w:rsidRPr="007C0F2C" w:rsidTr="006A27A1">
        <w:trPr>
          <w:trHeight w:val="630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  <w:ind w:hanging="10"/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6076" w:type="dxa"/>
          </w:tcPr>
          <w:p w:rsidR="004901ED" w:rsidRPr="004C6A04" w:rsidRDefault="004C6A04" w:rsidP="00B57FC2">
            <w:pPr>
              <w:pStyle w:val="naiskr"/>
              <w:spacing w:before="0" w:after="0"/>
              <w:ind w:firstLine="342"/>
              <w:jc w:val="both"/>
            </w:pPr>
            <w:r w:rsidRPr="004C6A04">
              <w:rPr>
                <w:sz w:val="22"/>
                <w:szCs w:val="22"/>
              </w:rPr>
              <w:t xml:space="preserve">Likumprojekts izstrādāts, pamatojoties uz Eiropas Parlamenta un Padomes </w:t>
            </w:r>
            <w:smartTag w:uri="schemas-tilde-lv/tildestengine" w:element="date">
              <w:smartTagPr>
                <w:attr w:name="Year" w:val="1999"/>
                <w:attr w:name="Month" w:val="6"/>
                <w:attr w:name="Day" w:val="17"/>
              </w:smartTagPr>
              <w:r w:rsidRPr="004C6A04">
                <w:rPr>
                  <w:sz w:val="22"/>
                  <w:szCs w:val="22"/>
                </w:rPr>
                <w:t>1999.gada 17.jūnija</w:t>
              </w:r>
            </w:smartTag>
            <w:r w:rsidRPr="004C6A04">
              <w:rPr>
                <w:sz w:val="22"/>
                <w:szCs w:val="22"/>
              </w:rPr>
              <w:t xml:space="preserve"> Direktīvu 1999/62/EK par dažu infrastruktūru lietošanas maksas noteikša</w:t>
            </w:r>
            <w:r w:rsidR="0082276E">
              <w:rPr>
                <w:sz w:val="22"/>
                <w:szCs w:val="22"/>
              </w:rPr>
              <w:t>nu kravas transportlīdzekļiem,</w:t>
            </w:r>
            <w:r w:rsidRPr="004C6A04">
              <w:rPr>
                <w:sz w:val="22"/>
                <w:szCs w:val="22"/>
              </w:rPr>
              <w:t xml:space="preserve"> Eiropas Parlamenta un Padomes </w:t>
            </w:r>
            <w:smartTag w:uri="schemas-tilde-lv/tildestengine" w:element="date">
              <w:smartTagPr>
                <w:attr w:name="Year" w:val="2006"/>
                <w:attr w:name="Month" w:val="5"/>
                <w:attr w:name="Day" w:val="17"/>
              </w:smartTagPr>
              <w:r w:rsidRPr="004C6A04">
                <w:rPr>
                  <w:sz w:val="22"/>
                  <w:szCs w:val="22"/>
                </w:rPr>
                <w:t>2006.gada 17.maija</w:t>
              </w:r>
            </w:smartTag>
            <w:r w:rsidRPr="004C6A04">
              <w:rPr>
                <w:sz w:val="22"/>
                <w:szCs w:val="22"/>
              </w:rPr>
              <w:t xml:space="preserve"> Direktīvu 2006/38/EK, ar ko groza Direktīvu 1999/62/EK par dažu infrastruktūru lietošanas maksas noteikšanu smagajiem kravas transportlīdzekļiem</w:t>
            </w:r>
            <w:r w:rsidR="0082276E">
              <w:rPr>
                <w:sz w:val="22"/>
                <w:szCs w:val="22"/>
              </w:rPr>
              <w:t xml:space="preserve"> un </w:t>
            </w:r>
            <w:r w:rsidR="0082276E">
              <w:rPr>
                <w:sz w:val="22"/>
                <w:szCs w:val="22"/>
                <w:lang w:eastAsia="en-US"/>
              </w:rPr>
              <w:t>Eiropas Parlamenta  un Padomes 2011.gada 27.septembra Direktīvas 2011/76/ES, ar ko groza Direktīvu 199/62/EK par dažu infrastruktūru lietošanas maksas noteikšanu smagajiem kravas transportlīdzekļiem</w:t>
            </w:r>
            <w:r w:rsidRPr="004C6A0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901ED" w:rsidRPr="007C0F2C" w:rsidTr="006A27A1">
        <w:trPr>
          <w:trHeight w:val="472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tabs>
                <w:tab w:val="left" w:pos="170"/>
              </w:tabs>
              <w:spacing w:before="0" w:after="0"/>
            </w:pPr>
            <w:r w:rsidRPr="007C0F2C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6076" w:type="dxa"/>
          </w:tcPr>
          <w:p w:rsidR="005D3D83" w:rsidRPr="005D3D83" w:rsidRDefault="00867AE1" w:rsidP="00B57FC2">
            <w:pPr>
              <w:ind w:firstLine="342"/>
              <w:jc w:val="both"/>
            </w:pPr>
            <w:r>
              <w:rPr>
                <w:sz w:val="22"/>
                <w:szCs w:val="22"/>
              </w:rPr>
              <w:t>Likuma „Par autoceļiem” 6.panta astotajā daļā ir noteikts, ka autoceļu lietošanas nodevu maksā par valsts galveno autoceļu</w:t>
            </w:r>
            <w:r w:rsidR="006E2BB6">
              <w:rPr>
                <w:sz w:val="22"/>
                <w:szCs w:val="22"/>
              </w:rPr>
              <w:t xml:space="preserve"> posmu</w:t>
            </w:r>
            <w:r>
              <w:rPr>
                <w:sz w:val="22"/>
                <w:szCs w:val="22"/>
              </w:rPr>
              <w:t xml:space="preserve"> lietošanu ar transportlīdzekļiem un to sastāviem, kuru pilna masa ir lielāka par 12 000 kilogramiem un kuri paredzēti tikai kravu pārvadājumiem. </w:t>
            </w:r>
          </w:p>
          <w:p w:rsidR="00BA42EA" w:rsidRPr="00236D14" w:rsidRDefault="005D3D83" w:rsidP="00236D14">
            <w:pPr>
              <w:ind w:firstLine="342"/>
              <w:jc w:val="both"/>
            </w:pPr>
            <w:r w:rsidRPr="005D3D83">
              <w:rPr>
                <w:sz w:val="22"/>
                <w:szCs w:val="22"/>
              </w:rPr>
              <w:t>Pamatojoties uz Eiropas Parlamenta un Padomes 2006.gada 17.maija Direktīvas 2006/38/EK, ar ko groza Direktīvu 1999/62/EK par dažu infrastruktūru lietošanas maksas noteikšanu smagajiem kravas transportlīdzekļiem</w:t>
            </w:r>
            <w:r w:rsidR="00882D71">
              <w:rPr>
                <w:sz w:val="22"/>
                <w:szCs w:val="22"/>
              </w:rPr>
              <w:t>,</w:t>
            </w:r>
            <w:r w:rsidRPr="005D3D83">
              <w:rPr>
                <w:sz w:val="22"/>
                <w:szCs w:val="22"/>
              </w:rPr>
              <w:t xml:space="preserve"> 1.panta pirmo daļu „transportlīdzeklis” ir mehānisks transportlīdzeklis vai sakabināti transportlīdzekļi, kas paredzēti vai tiek izmantoti </w:t>
            </w:r>
            <w:r w:rsidR="006E2BB6">
              <w:rPr>
                <w:sz w:val="22"/>
                <w:szCs w:val="22"/>
              </w:rPr>
              <w:t>kravu</w:t>
            </w:r>
            <w:r w:rsidRPr="005D3D83">
              <w:rPr>
                <w:sz w:val="22"/>
                <w:szCs w:val="22"/>
              </w:rPr>
              <w:t xml:space="preserve"> autopārvadāju</w:t>
            </w:r>
            <w:r w:rsidR="00867AE1">
              <w:rPr>
                <w:sz w:val="22"/>
                <w:szCs w:val="22"/>
              </w:rPr>
              <w:t>miem, un kura maksimāli pieļauja</w:t>
            </w:r>
            <w:r w:rsidRPr="005D3D83">
              <w:rPr>
                <w:sz w:val="22"/>
                <w:szCs w:val="22"/>
              </w:rPr>
              <w:t>mā piln</w:t>
            </w:r>
            <w:r w:rsidR="005E243C">
              <w:rPr>
                <w:sz w:val="22"/>
                <w:szCs w:val="22"/>
              </w:rPr>
              <w:t>ā</w:t>
            </w:r>
            <w:r w:rsidRPr="005D3D83">
              <w:rPr>
                <w:sz w:val="22"/>
                <w:szCs w:val="22"/>
              </w:rPr>
              <w:t xml:space="preserve"> masa pārsniedz 3,5 tonnas</w:t>
            </w:r>
            <w:r w:rsidR="006E2BB6">
              <w:rPr>
                <w:sz w:val="22"/>
                <w:szCs w:val="22"/>
              </w:rPr>
              <w:t xml:space="preserve"> un šīs direktīvas </w:t>
            </w:r>
            <w:r w:rsidR="005E243C">
              <w:rPr>
                <w:sz w:val="22"/>
                <w:szCs w:val="22"/>
              </w:rPr>
              <w:t>1.panta otrās daļas a) apakšpunktā</w:t>
            </w:r>
            <w:r w:rsidR="006E2BB6">
              <w:rPr>
                <w:sz w:val="22"/>
                <w:szCs w:val="22"/>
              </w:rPr>
              <w:t xml:space="preserve"> ir noteikts, ka autoceļu nodevu vai lietošanas maksu no 2012.gada piemēro visiem transportlīdzekļiem.</w:t>
            </w:r>
          </w:p>
        </w:tc>
      </w:tr>
      <w:tr w:rsidR="004901ED" w:rsidRPr="007C0F2C" w:rsidTr="00236D14">
        <w:trPr>
          <w:trHeight w:val="591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6076" w:type="dxa"/>
          </w:tcPr>
          <w:p w:rsidR="004901ED" w:rsidRPr="007C0F2C" w:rsidRDefault="00074555" w:rsidP="00950F16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Likump</w:t>
            </w:r>
            <w:r w:rsidR="00FE173A">
              <w:rPr>
                <w:sz w:val="22"/>
                <w:szCs w:val="22"/>
              </w:rPr>
              <w:t>rojekts šo jomu neskar.</w:t>
            </w:r>
          </w:p>
        </w:tc>
      </w:tr>
      <w:tr w:rsidR="004901ED" w:rsidRPr="007C0F2C" w:rsidTr="006A27A1">
        <w:trPr>
          <w:trHeight w:val="384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mērķis un būtība</w:t>
            </w:r>
          </w:p>
        </w:tc>
        <w:tc>
          <w:tcPr>
            <w:tcW w:w="6076" w:type="dxa"/>
          </w:tcPr>
          <w:p w:rsidR="0087590D" w:rsidRPr="00895A00" w:rsidRDefault="00895A00" w:rsidP="007E1FD6">
            <w:pPr>
              <w:pStyle w:val="naiskr"/>
              <w:spacing w:before="0" w:beforeAutospacing="0" w:after="0" w:afterAutospacing="0"/>
              <w:jc w:val="both"/>
              <w:rPr>
                <w:iCs/>
              </w:rPr>
            </w:pPr>
            <w:r w:rsidRPr="00895A00">
              <w:rPr>
                <w:color w:val="000000"/>
                <w:sz w:val="22"/>
                <w:szCs w:val="22"/>
              </w:rPr>
              <w:t xml:space="preserve">Likumprojekts paredz </w:t>
            </w:r>
            <w:r w:rsidR="00867AE1">
              <w:rPr>
                <w:color w:val="000000"/>
                <w:sz w:val="22"/>
                <w:szCs w:val="22"/>
              </w:rPr>
              <w:t>likumā „Par autoceļiem” 6.panta astotajā daļā</w:t>
            </w:r>
            <w:r w:rsidRPr="00895A00">
              <w:rPr>
                <w:color w:val="000000"/>
                <w:sz w:val="22"/>
                <w:szCs w:val="22"/>
              </w:rPr>
              <w:t xml:space="preserve"> noteikt, ka nodevas objekts ir transportlīdzekļi un to sastāvi, kuru pilna masa ir lielāka par 3 500 kilogramiem un kuri paredzēti</w:t>
            </w:r>
            <w:r w:rsidR="007E1FD6">
              <w:rPr>
                <w:color w:val="000000"/>
                <w:sz w:val="22"/>
                <w:szCs w:val="22"/>
              </w:rPr>
              <w:t xml:space="preserve"> vai tiek izmantoti</w:t>
            </w:r>
            <w:r w:rsidRPr="00895A00">
              <w:rPr>
                <w:color w:val="000000"/>
                <w:sz w:val="22"/>
                <w:szCs w:val="22"/>
              </w:rPr>
              <w:t xml:space="preserve"> kravu autopārvadājumiem</w:t>
            </w:r>
            <w:r w:rsidR="00867AE1">
              <w:rPr>
                <w:color w:val="000000"/>
                <w:sz w:val="22"/>
                <w:szCs w:val="22"/>
              </w:rPr>
              <w:t>.</w:t>
            </w:r>
            <w:r w:rsidR="007E1FD6" w:rsidRPr="007E1FD6">
              <w:rPr>
                <w:sz w:val="22"/>
                <w:szCs w:val="22"/>
              </w:rPr>
              <w:t xml:space="preserve"> </w:t>
            </w:r>
          </w:p>
        </w:tc>
      </w:tr>
      <w:tr w:rsidR="004901ED" w:rsidRPr="007C0F2C" w:rsidTr="006A27A1">
        <w:trPr>
          <w:trHeight w:val="476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6076" w:type="dxa"/>
          </w:tcPr>
          <w:p w:rsidR="004901ED" w:rsidRPr="007C0F2C" w:rsidRDefault="001D356F" w:rsidP="00BA42EA">
            <w:pPr>
              <w:pStyle w:val="naiskr"/>
              <w:jc w:val="both"/>
            </w:pPr>
            <w:r>
              <w:rPr>
                <w:iCs/>
                <w:sz w:val="22"/>
                <w:szCs w:val="22"/>
              </w:rPr>
              <w:t>Satiksmes ministrija, valsts akciju sabiedrība „Latvijas Valsts ceļi”</w:t>
            </w:r>
            <w:r w:rsidR="006E2BB6">
              <w:rPr>
                <w:iCs/>
                <w:sz w:val="22"/>
                <w:szCs w:val="22"/>
              </w:rPr>
              <w:t>, valsts akciju sabiedrība „Ceļu satiksmes drošības direkcija”.</w:t>
            </w:r>
          </w:p>
        </w:tc>
      </w:tr>
      <w:tr w:rsidR="004901ED" w:rsidRPr="007C0F2C" w:rsidTr="00236D14">
        <w:trPr>
          <w:trHeight w:val="876"/>
        </w:trPr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7C0F2C">
              <w:rPr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6076" w:type="dxa"/>
          </w:tcPr>
          <w:p w:rsidR="004901ED" w:rsidRPr="00C07637" w:rsidRDefault="00840C9E" w:rsidP="00840C9E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Saistītais likumprojekts – grozījumi „Autoceļu lietošanas nodevas likumā” tika publicēts Satiksmes ministrijas mājas lapā, tādejādi sniedzot iespēju sabiedrības līdzdalībai.</w:t>
            </w:r>
          </w:p>
        </w:tc>
      </w:tr>
      <w:tr w:rsidR="004901ED" w:rsidRPr="007C0F2C" w:rsidTr="006A27A1">
        <w:tc>
          <w:tcPr>
            <w:tcW w:w="484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258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6076" w:type="dxa"/>
          </w:tcPr>
          <w:p w:rsidR="004901ED" w:rsidRPr="007C0F2C" w:rsidRDefault="00C07637" w:rsidP="00BA42EA">
            <w:pPr>
              <w:pStyle w:val="naiskr"/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4901ED" w:rsidRPr="007C0F2C" w:rsidRDefault="004901ED" w:rsidP="004901ED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395"/>
        <w:gridCol w:w="4218"/>
      </w:tblGrid>
      <w:tr w:rsidR="004901ED" w:rsidRPr="007C0F2C" w:rsidTr="006306A1">
        <w:tc>
          <w:tcPr>
            <w:tcW w:w="9124" w:type="dxa"/>
            <w:gridSpan w:val="3"/>
            <w:vAlign w:val="center"/>
          </w:tcPr>
          <w:p w:rsidR="004901ED" w:rsidRPr="004901ED" w:rsidRDefault="004901ED" w:rsidP="004901ED">
            <w:pPr>
              <w:pStyle w:val="naisnod"/>
              <w:spacing w:before="0" w:after="0"/>
              <w:jc w:val="center"/>
              <w:rPr>
                <w:b/>
              </w:rPr>
            </w:pPr>
            <w:r w:rsidRPr="004901ED">
              <w:rPr>
                <w:b/>
              </w:rPr>
              <w:t>II. Tiesību akta projekta ietekme uz sabiedrību</w:t>
            </w:r>
          </w:p>
        </w:tc>
      </w:tr>
      <w:tr w:rsidR="004901ED" w:rsidRPr="007C0F2C" w:rsidTr="006306A1">
        <w:trPr>
          <w:trHeight w:val="467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Sabiedrības mērķgrupa</w:t>
            </w:r>
          </w:p>
        </w:tc>
        <w:tc>
          <w:tcPr>
            <w:tcW w:w="4218" w:type="dxa"/>
          </w:tcPr>
          <w:p w:rsidR="004901ED" w:rsidRPr="007C0F2C" w:rsidRDefault="004901ED" w:rsidP="00950F16">
            <w:pPr>
              <w:pStyle w:val="naiskr"/>
              <w:spacing w:before="0" w:after="0"/>
              <w:ind w:hanging="57"/>
            </w:pPr>
            <w:r w:rsidRPr="007C0F2C">
              <w:rPr>
                <w:iCs/>
                <w:sz w:val="22"/>
                <w:szCs w:val="22"/>
              </w:rPr>
              <w:t> </w:t>
            </w:r>
            <w:r w:rsidR="0054265C">
              <w:rPr>
                <w:iCs/>
                <w:sz w:val="22"/>
                <w:szCs w:val="22"/>
              </w:rPr>
              <w:t xml:space="preserve">Valsts </w:t>
            </w:r>
            <w:r w:rsidR="00FF1F09">
              <w:rPr>
                <w:iCs/>
                <w:sz w:val="22"/>
                <w:szCs w:val="22"/>
              </w:rPr>
              <w:t>galveno autoceļu posmu lietotāji, kuru transportlīdzekļiem un to sastāviem pilna masa ir lielāka par 3 500 kil</w:t>
            </w:r>
            <w:r w:rsidR="00ED5107">
              <w:rPr>
                <w:iCs/>
                <w:sz w:val="22"/>
                <w:szCs w:val="22"/>
              </w:rPr>
              <w:t>ogramiem un kuri paredzēti vai tiek izmantoti</w:t>
            </w:r>
            <w:r w:rsidR="00FF1F09">
              <w:rPr>
                <w:iCs/>
                <w:sz w:val="22"/>
                <w:szCs w:val="22"/>
              </w:rPr>
              <w:t xml:space="preserve"> kravu </w:t>
            </w:r>
            <w:r w:rsidR="0021068A">
              <w:rPr>
                <w:iCs/>
                <w:sz w:val="22"/>
                <w:szCs w:val="22"/>
              </w:rPr>
              <w:t>auto</w:t>
            </w:r>
            <w:r w:rsidR="00FF1F09">
              <w:rPr>
                <w:iCs/>
                <w:sz w:val="22"/>
                <w:szCs w:val="22"/>
              </w:rPr>
              <w:t>pārvadājumiem</w:t>
            </w:r>
            <w:r w:rsidR="00760675">
              <w:rPr>
                <w:iCs/>
                <w:sz w:val="22"/>
                <w:szCs w:val="22"/>
              </w:rPr>
              <w:t>.</w:t>
            </w:r>
          </w:p>
        </w:tc>
      </w:tr>
      <w:tr w:rsidR="004901ED" w:rsidRPr="007C0F2C" w:rsidTr="006306A1">
        <w:trPr>
          <w:trHeight w:val="523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 xml:space="preserve">Citas sabiedrības grupas (bez </w:t>
            </w:r>
            <w:proofErr w:type="spellStart"/>
            <w:r w:rsidRPr="007C0F2C">
              <w:rPr>
                <w:sz w:val="22"/>
                <w:szCs w:val="22"/>
              </w:rPr>
              <w:t>mērķgrupas</w:t>
            </w:r>
            <w:proofErr w:type="spellEnd"/>
            <w:r w:rsidRPr="007C0F2C">
              <w:rPr>
                <w:sz w:val="22"/>
                <w:szCs w:val="22"/>
              </w:rPr>
              <w:t>), kuras tiesiskais regulējums arī ietekmē vai varētu ietekmēt</w:t>
            </w:r>
          </w:p>
        </w:tc>
        <w:tc>
          <w:tcPr>
            <w:tcW w:w="4218" w:type="dxa"/>
          </w:tcPr>
          <w:p w:rsidR="0068106A" w:rsidRPr="007C0F2C" w:rsidRDefault="005E6F72" w:rsidP="005F0BBB">
            <w:pPr>
              <w:pStyle w:val="naiskr"/>
              <w:spacing w:before="0" w:after="0"/>
              <w:jc w:val="both"/>
            </w:pPr>
            <w:r>
              <w:rPr>
                <w:sz w:val="22"/>
                <w:szCs w:val="22"/>
              </w:rPr>
              <w:t>Likumprojekts šo jomu neskar</w:t>
            </w:r>
            <w:r w:rsidR="00760675">
              <w:rPr>
                <w:sz w:val="22"/>
                <w:szCs w:val="22"/>
              </w:rPr>
              <w:t>.</w:t>
            </w:r>
          </w:p>
        </w:tc>
      </w:tr>
      <w:tr w:rsidR="004901ED" w:rsidRPr="007C0F2C" w:rsidTr="006306A1">
        <w:trPr>
          <w:trHeight w:val="517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finansiālā ietekme</w:t>
            </w:r>
          </w:p>
        </w:tc>
        <w:tc>
          <w:tcPr>
            <w:tcW w:w="4218" w:type="dxa"/>
          </w:tcPr>
          <w:p w:rsidR="00751BCE" w:rsidRPr="007C0F2C" w:rsidRDefault="000875FD" w:rsidP="00840C9E">
            <w:pPr>
              <w:pStyle w:val="naiskr"/>
              <w:spacing w:before="0" w:beforeAutospacing="0" w:after="0" w:afterAutospacing="0"/>
            </w:pPr>
            <w:r>
              <w:rPr>
                <w:sz w:val="22"/>
                <w:szCs w:val="22"/>
              </w:rPr>
              <w:t>Ieviešot autoceļu lietošana</w:t>
            </w:r>
            <w:r w:rsidR="00840C9E">
              <w:rPr>
                <w:sz w:val="22"/>
                <w:szCs w:val="22"/>
              </w:rPr>
              <w:t>s nodevu uz transportlīdzekļiem, kuri paredzēti vai tiek izmantoti kravu autopārvadājumiem</w:t>
            </w:r>
            <w:r w:rsidR="00882D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ikgadējo nodokļu slogs palielināsies līdz pat 4 reizēm.</w:t>
            </w:r>
          </w:p>
        </w:tc>
      </w:tr>
      <w:tr w:rsidR="004901ED" w:rsidRPr="007C0F2C" w:rsidTr="00236D14">
        <w:trPr>
          <w:trHeight w:val="381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Tiesiskā regulējuma nefinansiālā ietekme</w:t>
            </w:r>
          </w:p>
        </w:tc>
        <w:tc>
          <w:tcPr>
            <w:tcW w:w="4218" w:type="dxa"/>
          </w:tcPr>
          <w:p w:rsidR="004901ED" w:rsidRPr="007C0F2C" w:rsidRDefault="0080072E" w:rsidP="00950F16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Likumprojekts šo jomu neskar.</w:t>
            </w:r>
          </w:p>
        </w:tc>
      </w:tr>
      <w:tr w:rsidR="004901ED" w:rsidRPr="007C0F2C" w:rsidTr="006306A1">
        <w:trPr>
          <w:trHeight w:val="531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Administratīvās procedūras raksturojums</w:t>
            </w:r>
          </w:p>
        </w:tc>
        <w:tc>
          <w:tcPr>
            <w:tcW w:w="4218" w:type="dxa"/>
          </w:tcPr>
          <w:p w:rsidR="004901ED" w:rsidRPr="007C0F2C" w:rsidRDefault="00840C9E" w:rsidP="00840C9E">
            <w:pPr>
              <w:pStyle w:val="naiskr"/>
              <w:spacing w:before="0" w:after="0"/>
              <w:jc w:val="both"/>
            </w:pPr>
            <w:r>
              <w:rPr>
                <w:iCs/>
                <w:sz w:val="22"/>
                <w:szCs w:val="22"/>
              </w:rPr>
              <w:t>Nodevas administrēšanā tiks iesaistītas vairākas institūcijas – Valsts ieņēmumu dienests, valsts akciju sabiedrība „Latvijas valsts ceļi” un valsts akciju sabiedrība „Ceļu satiksmes drošības direkcija”.</w:t>
            </w:r>
          </w:p>
        </w:tc>
      </w:tr>
      <w:tr w:rsidR="004901ED" w:rsidRPr="007C0F2C" w:rsidTr="006306A1">
        <w:trPr>
          <w:trHeight w:val="357"/>
        </w:trPr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4218" w:type="dxa"/>
          </w:tcPr>
          <w:p w:rsidR="004901ED" w:rsidRPr="007C0F2C" w:rsidRDefault="00B4094F" w:rsidP="00950F16">
            <w:pPr>
              <w:pStyle w:val="naiskr"/>
              <w:spacing w:before="0" w:after="0"/>
            </w:pPr>
            <w:r>
              <w:rPr>
                <w:iCs/>
                <w:sz w:val="22"/>
                <w:szCs w:val="22"/>
              </w:rPr>
              <w:t>Likumprojekts šo jomu neskar.</w:t>
            </w:r>
          </w:p>
        </w:tc>
      </w:tr>
      <w:tr w:rsidR="004901ED" w:rsidRPr="007C0F2C" w:rsidTr="006306A1">
        <w:tc>
          <w:tcPr>
            <w:tcW w:w="511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4901ED" w:rsidRPr="007C0F2C" w:rsidRDefault="004901ED" w:rsidP="00950F16">
            <w:pPr>
              <w:pStyle w:val="naiskr"/>
              <w:spacing w:before="0" w:after="0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4218" w:type="dxa"/>
          </w:tcPr>
          <w:p w:rsidR="004901ED" w:rsidRPr="007C0F2C" w:rsidRDefault="00751BCE" w:rsidP="00950F16">
            <w:pPr>
              <w:pStyle w:val="naiskr"/>
              <w:spacing w:before="0" w:after="0"/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4901ED" w:rsidRPr="007C0F2C" w:rsidRDefault="004901ED" w:rsidP="004901ED">
      <w:pPr>
        <w:pStyle w:val="naisf"/>
        <w:spacing w:before="0" w:after="0"/>
      </w:pPr>
    </w:p>
    <w:tbl>
      <w:tblPr>
        <w:tblW w:w="914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1328"/>
        <w:gridCol w:w="1352"/>
        <w:gridCol w:w="1352"/>
        <w:gridCol w:w="1353"/>
        <w:gridCol w:w="1072"/>
      </w:tblGrid>
      <w:tr w:rsidR="004901ED" w:rsidRPr="007C0F2C" w:rsidTr="006306A1">
        <w:trPr>
          <w:trHeight w:val="652"/>
          <w:jc w:val="center"/>
        </w:trPr>
        <w:tc>
          <w:tcPr>
            <w:tcW w:w="9145" w:type="dxa"/>
            <w:gridSpan w:val="6"/>
          </w:tcPr>
          <w:p w:rsidR="004901ED" w:rsidRPr="004901ED" w:rsidRDefault="004901ED" w:rsidP="004901ED">
            <w:pPr>
              <w:pStyle w:val="naisnod"/>
              <w:spacing w:before="0" w:after="0"/>
              <w:jc w:val="center"/>
              <w:rPr>
                <w:b/>
                <w:i/>
              </w:rPr>
            </w:pPr>
            <w:r w:rsidRPr="004901ED">
              <w:rPr>
                <w:b/>
                <w:sz w:val="22"/>
                <w:szCs w:val="22"/>
              </w:rPr>
              <w:br w:type="page"/>
            </w:r>
            <w:r w:rsidRPr="004901ED">
              <w:rPr>
                <w:b/>
              </w:rPr>
              <w:t>III. Tiesību akta projekta ietekme uz valsts budžetu un pašvaldību budžetiem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 w:val="restart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</w:rPr>
            </w:pPr>
            <w:r w:rsidRPr="007C0F2C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4901ED" w:rsidRPr="007C0F2C" w:rsidRDefault="00EB3F58" w:rsidP="00950F16">
            <w:pPr>
              <w:pStyle w:val="naisf"/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  <w:r w:rsidR="00134632">
              <w:rPr>
                <w:b/>
                <w:sz w:val="22"/>
                <w:szCs w:val="22"/>
              </w:rPr>
              <w:t xml:space="preserve">. </w:t>
            </w:r>
            <w:r w:rsidR="004901ED" w:rsidRPr="007C0F2C">
              <w:rPr>
                <w:b/>
                <w:sz w:val="22"/>
                <w:szCs w:val="22"/>
              </w:rPr>
              <w:t>gads</w:t>
            </w:r>
          </w:p>
        </w:tc>
        <w:tc>
          <w:tcPr>
            <w:tcW w:w="3762" w:type="dxa"/>
            <w:gridSpan w:val="3"/>
            <w:vAlign w:val="center"/>
          </w:tcPr>
          <w:p w:rsidR="004901ED" w:rsidRPr="007C0F2C" w:rsidRDefault="004901ED" w:rsidP="00650319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7C0F2C">
              <w:rPr>
                <w:sz w:val="22"/>
                <w:szCs w:val="22"/>
              </w:rPr>
              <w:t>Turpmākie trīs gadi (</w:t>
            </w:r>
            <w:proofErr w:type="spellStart"/>
            <w:r w:rsidR="00650319">
              <w:rPr>
                <w:sz w:val="22"/>
                <w:szCs w:val="22"/>
              </w:rPr>
              <w:t>milj</w:t>
            </w:r>
            <w:proofErr w:type="spellEnd"/>
            <w:r w:rsidR="006B0AFB">
              <w:rPr>
                <w:sz w:val="22"/>
                <w:szCs w:val="22"/>
              </w:rPr>
              <w:t xml:space="preserve">. </w:t>
            </w:r>
            <w:r w:rsidR="002A439E">
              <w:rPr>
                <w:sz w:val="22"/>
                <w:szCs w:val="22"/>
              </w:rPr>
              <w:t>latu</w:t>
            </w:r>
            <w:r w:rsidRPr="007C0F2C">
              <w:rPr>
                <w:sz w:val="22"/>
                <w:szCs w:val="22"/>
              </w:rPr>
              <w:t>)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4901ED" w:rsidRPr="007C0F2C" w:rsidRDefault="00134632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B3F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5" w:type="dxa"/>
            <w:vAlign w:val="center"/>
          </w:tcPr>
          <w:p w:rsidR="004901ED" w:rsidRPr="007C0F2C" w:rsidRDefault="00134632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B3F5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3" w:type="dxa"/>
            <w:vAlign w:val="center"/>
          </w:tcPr>
          <w:p w:rsidR="004901ED" w:rsidRPr="007C0F2C" w:rsidRDefault="00134632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B3F5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7C0F2C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7C0F2C">
              <w:rPr>
                <w:sz w:val="22"/>
                <w:szCs w:val="22"/>
              </w:rPr>
              <w:t>Izmaiņas kārtējā gadā, salīdzinot ar budžetu kārtējam gadam</w:t>
            </w:r>
          </w:p>
        </w:tc>
        <w:tc>
          <w:tcPr>
            <w:tcW w:w="1354" w:type="dxa"/>
            <w:vAlign w:val="center"/>
          </w:tcPr>
          <w:p w:rsidR="00EB3F58" w:rsidRPr="006B0AFB" w:rsidRDefault="004901ED" w:rsidP="00650319">
            <w:pPr>
              <w:pStyle w:val="naisf"/>
              <w:spacing w:before="0" w:after="0"/>
              <w:jc w:val="center"/>
            </w:pPr>
            <w:r w:rsidRPr="007C0F2C">
              <w:rPr>
                <w:sz w:val="22"/>
                <w:szCs w:val="22"/>
              </w:rPr>
              <w:t>Izmaiņas, salīdzinot ar kārtējo (n) gadu</w:t>
            </w:r>
          </w:p>
        </w:tc>
        <w:tc>
          <w:tcPr>
            <w:tcW w:w="1355" w:type="dxa"/>
            <w:vAlign w:val="center"/>
          </w:tcPr>
          <w:p w:rsidR="00EB3F58" w:rsidRPr="006B0AFB" w:rsidRDefault="004901ED" w:rsidP="00650319">
            <w:pPr>
              <w:pStyle w:val="naisf"/>
              <w:spacing w:before="0" w:after="0"/>
              <w:jc w:val="center"/>
            </w:pPr>
            <w:r w:rsidRPr="007C0F2C">
              <w:rPr>
                <w:sz w:val="22"/>
                <w:szCs w:val="22"/>
              </w:rPr>
              <w:t>Izmaiņas, salīdzinot ar kārtējo (n) gadu</w:t>
            </w:r>
          </w:p>
        </w:tc>
        <w:tc>
          <w:tcPr>
            <w:tcW w:w="1053" w:type="dxa"/>
            <w:vAlign w:val="center"/>
          </w:tcPr>
          <w:p w:rsidR="00EB3F58" w:rsidRPr="006B0AFB" w:rsidRDefault="004901ED" w:rsidP="00650319">
            <w:pPr>
              <w:pStyle w:val="naisf"/>
              <w:spacing w:before="0" w:after="0"/>
              <w:jc w:val="center"/>
            </w:pPr>
            <w:r w:rsidRPr="007C0F2C">
              <w:rPr>
                <w:sz w:val="22"/>
                <w:szCs w:val="22"/>
              </w:rPr>
              <w:t>Izmaiņas, salīdzinot ar kārtējo (n) gadu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1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5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3" w:type="dxa"/>
            <w:vAlign w:val="center"/>
          </w:tcPr>
          <w:p w:rsidR="004901ED" w:rsidRPr="007C0F2C" w:rsidRDefault="004901ED" w:rsidP="00950F16">
            <w:pPr>
              <w:pStyle w:val="naisf"/>
              <w:spacing w:before="0" w:after="0"/>
              <w:jc w:val="center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6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pStyle w:val="naisf"/>
              <w:spacing w:before="0" w:after="0"/>
              <w:rPr>
                <w:i/>
              </w:rPr>
            </w:pPr>
            <w:r w:rsidRPr="007C0F2C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  <w:tc>
          <w:tcPr>
            <w:tcW w:w="1053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2A439E">
            <w:pPr>
              <w:pStyle w:val="naisf"/>
              <w:spacing w:before="0" w:after="0"/>
              <w:rPr>
                <w:i/>
              </w:rPr>
            </w:pPr>
            <w:r w:rsidRPr="007C0F2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8</w:t>
            </w:r>
          </w:p>
        </w:tc>
        <w:tc>
          <w:tcPr>
            <w:tcW w:w="1053" w:type="dxa"/>
          </w:tcPr>
          <w:p w:rsidR="004901ED" w:rsidRPr="00134632" w:rsidRDefault="002A439E" w:rsidP="00134632">
            <w:pPr>
              <w:pStyle w:val="naisf"/>
              <w:spacing w:before="0" w:after="0"/>
              <w:jc w:val="center"/>
            </w:pPr>
            <w:r>
              <w:t>11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pStyle w:val="naisf"/>
              <w:spacing w:before="0" w:after="0"/>
              <w:rPr>
                <w:i/>
              </w:rPr>
            </w:pPr>
            <w:r w:rsidRPr="007C0F2C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pStyle w:val="naisf"/>
              <w:spacing w:before="0" w:after="0"/>
              <w:rPr>
                <w:i/>
              </w:rPr>
            </w:pPr>
            <w:r w:rsidRPr="007C0F2C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2. Budžeta izdevumi: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331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13463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331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331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331" w:type="dxa"/>
            <w:vAlign w:val="center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331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331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134632" w:rsidRDefault="009757A2" w:rsidP="00134632">
            <w:pPr>
              <w:pStyle w:val="naisf"/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331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 w:val="restart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4. Finanšu līdzekļi papildu izde</w:t>
            </w:r>
            <w:r w:rsidRPr="007C0F2C">
              <w:rPr>
                <w:sz w:val="22"/>
                <w:szCs w:val="22"/>
              </w:rPr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</w:pPr>
            <w:r w:rsidRPr="009757A2">
              <w:t>X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/>
          </w:tcPr>
          <w:p w:rsidR="004901ED" w:rsidRPr="007C0F2C" w:rsidRDefault="004901ED" w:rsidP="00950F16">
            <w:pPr>
              <w:jc w:val="both"/>
            </w:pPr>
          </w:p>
        </w:tc>
        <w:tc>
          <w:tcPr>
            <w:tcW w:w="1331" w:type="dxa"/>
            <w:vMerge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  <w:vMerge/>
          </w:tcPr>
          <w:p w:rsidR="004901ED" w:rsidRPr="007C0F2C" w:rsidRDefault="004901ED" w:rsidP="00950F16">
            <w:pPr>
              <w:jc w:val="both"/>
            </w:pPr>
          </w:p>
        </w:tc>
        <w:tc>
          <w:tcPr>
            <w:tcW w:w="1331" w:type="dxa"/>
            <w:vMerge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</w:pPr>
            <w:r w:rsidRPr="009757A2">
              <w:t>X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4901ED" w:rsidRPr="009757A2" w:rsidRDefault="004901ED" w:rsidP="00134632">
            <w:pPr>
              <w:pStyle w:val="naisf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4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355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</w:tcPr>
          <w:p w:rsidR="004901ED" w:rsidRPr="009757A2" w:rsidRDefault="009757A2" w:rsidP="00134632">
            <w:pPr>
              <w:pStyle w:val="naisf"/>
              <w:spacing w:before="0" w:after="0"/>
              <w:jc w:val="center"/>
            </w:pPr>
            <w:r w:rsidRPr="009757A2">
              <w:rPr>
                <w:sz w:val="22"/>
                <w:szCs w:val="22"/>
              </w:rPr>
              <w:t>0</w:t>
            </w:r>
          </w:p>
        </w:tc>
      </w:tr>
      <w:tr w:rsidR="004901ED" w:rsidRPr="007C0F2C" w:rsidTr="00EB3F58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 xml:space="preserve">6. Detalizēts ieņēmumu un </w:t>
            </w:r>
            <w:r w:rsidRPr="007C0F2C">
              <w:rPr>
                <w:sz w:val="22"/>
                <w:szCs w:val="22"/>
              </w:rPr>
              <w:lastRenderedPageBreak/>
              <w:t>izdevu</w:t>
            </w:r>
            <w:r w:rsidRPr="007C0F2C">
              <w:rPr>
                <w:sz w:val="22"/>
                <w:szCs w:val="22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447" w:type="dxa"/>
            <w:gridSpan w:val="5"/>
            <w:vMerge w:val="restart"/>
          </w:tcPr>
          <w:p w:rsidR="004901ED" w:rsidRPr="00650319" w:rsidRDefault="00EB3F58" w:rsidP="00650319">
            <w:pPr>
              <w:pStyle w:val="naisf"/>
              <w:spacing w:before="0" w:after="0"/>
              <w:ind w:firstLine="360"/>
              <w:jc w:val="both"/>
              <w:rPr>
                <w:b/>
                <w:sz w:val="22"/>
                <w:szCs w:val="22"/>
              </w:rPr>
            </w:pPr>
            <w:r w:rsidRPr="00650319">
              <w:rPr>
                <w:sz w:val="22"/>
                <w:szCs w:val="22"/>
                <w:lang w:eastAsia="en-US"/>
              </w:rPr>
              <w:lastRenderedPageBreak/>
              <w:t>Ieņēmumu prognozes izteiktas</w:t>
            </w:r>
            <w:r w:rsidR="00882D71">
              <w:rPr>
                <w:sz w:val="22"/>
                <w:szCs w:val="22"/>
                <w:lang w:eastAsia="en-US"/>
              </w:rPr>
              <w:t>,</w:t>
            </w:r>
            <w:r w:rsidRPr="00650319">
              <w:rPr>
                <w:sz w:val="22"/>
                <w:szCs w:val="22"/>
                <w:lang w:eastAsia="en-US"/>
              </w:rPr>
              <w:t xml:space="preserve"> izmantojot datus par Latvijā </w:t>
            </w:r>
            <w:r w:rsidRPr="00650319">
              <w:rPr>
                <w:sz w:val="22"/>
                <w:szCs w:val="22"/>
                <w:lang w:eastAsia="en-US"/>
              </w:rPr>
              <w:lastRenderedPageBreak/>
              <w:t xml:space="preserve">reģistrēto transportlīdzekļu skaitu, ārējo robežu šķērsojošo citās valstīs reģistrēto transportlīdzekļu skaitu, satiksmes intensitāti un balstoties uz pieņēmumiem par attiecīgo transportlīdzekļu atrašanos valsts </w:t>
            </w:r>
            <w:r w:rsidR="00882D71">
              <w:rPr>
                <w:sz w:val="22"/>
                <w:szCs w:val="22"/>
                <w:lang w:eastAsia="en-US"/>
              </w:rPr>
              <w:t>auto</w:t>
            </w:r>
            <w:r w:rsidRPr="00650319">
              <w:rPr>
                <w:sz w:val="22"/>
                <w:szCs w:val="22"/>
                <w:lang w:eastAsia="en-US"/>
              </w:rPr>
              <w:t xml:space="preserve">ceļu tīklā. </w:t>
            </w:r>
            <w:r w:rsidRPr="00650319">
              <w:rPr>
                <w:sz w:val="22"/>
                <w:szCs w:val="22"/>
              </w:rPr>
              <w:t xml:space="preserve">Tā </w:t>
            </w:r>
            <w:r w:rsidR="00882D71">
              <w:rPr>
                <w:sz w:val="22"/>
                <w:szCs w:val="22"/>
              </w:rPr>
              <w:t xml:space="preserve">kā </w:t>
            </w:r>
            <w:r w:rsidRPr="00650319">
              <w:rPr>
                <w:sz w:val="22"/>
                <w:szCs w:val="22"/>
              </w:rPr>
              <w:t>nodevu paredzēts ieviest ar 2014.gada 1.jūliju, tad 2014.gadā ieņēmumi plānoti par 6 m</w:t>
            </w:r>
            <w:r w:rsidR="004E70FE" w:rsidRPr="00650319">
              <w:rPr>
                <w:sz w:val="22"/>
                <w:szCs w:val="22"/>
              </w:rPr>
              <w:t xml:space="preserve">ēnešiem un ir </w:t>
            </w:r>
            <w:r w:rsidR="00650319" w:rsidRPr="00650319">
              <w:rPr>
                <w:sz w:val="22"/>
                <w:szCs w:val="22"/>
              </w:rPr>
              <w:t>3</w:t>
            </w:r>
            <w:r w:rsidR="004E70FE" w:rsidRPr="00650319">
              <w:rPr>
                <w:sz w:val="22"/>
                <w:szCs w:val="22"/>
              </w:rPr>
              <w:t xml:space="preserve"> miljoni </w:t>
            </w:r>
            <w:r w:rsidR="00650319" w:rsidRPr="00650319">
              <w:rPr>
                <w:sz w:val="22"/>
                <w:szCs w:val="22"/>
              </w:rPr>
              <w:t>latu</w:t>
            </w:r>
            <w:r w:rsidR="004E70FE" w:rsidRPr="00650319">
              <w:rPr>
                <w:sz w:val="22"/>
                <w:szCs w:val="22"/>
              </w:rPr>
              <w:t xml:space="preserve"> apmērā, 2015.gadā </w:t>
            </w:r>
            <w:r w:rsidR="00650319" w:rsidRPr="00650319">
              <w:rPr>
                <w:sz w:val="22"/>
                <w:szCs w:val="22"/>
              </w:rPr>
              <w:t>8</w:t>
            </w:r>
            <w:r w:rsidR="004E70FE" w:rsidRPr="00650319">
              <w:rPr>
                <w:sz w:val="22"/>
                <w:szCs w:val="22"/>
              </w:rPr>
              <w:t xml:space="preserve"> miljoni </w:t>
            </w:r>
            <w:r w:rsidR="00650319" w:rsidRPr="00650319">
              <w:rPr>
                <w:sz w:val="22"/>
                <w:szCs w:val="22"/>
              </w:rPr>
              <w:t>latu</w:t>
            </w:r>
            <w:r w:rsidR="004E70FE" w:rsidRPr="00650319">
              <w:rPr>
                <w:sz w:val="22"/>
                <w:szCs w:val="22"/>
              </w:rPr>
              <w:t xml:space="preserve"> apmērā un 2016.gadā 1</w:t>
            </w:r>
            <w:r w:rsidR="00650319" w:rsidRPr="00650319">
              <w:rPr>
                <w:sz w:val="22"/>
                <w:szCs w:val="22"/>
              </w:rPr>
              <w:t>1</w:t>
            </w:r>
            <w:r w:rsidR="004E70FE" w:rsidRPr="00650319">
              <w:rPr>
                <w:sz w:val="22"/>
                <w:szCs w:val="22"/>
              </w:rPr>
              <w:t xml:space="preserve"> miljoni </w:t>
            </w:r>
            <w:r w:rsidR="00650319" w:rsidRPr="00650319">
              <w:rPr>
                <w:sz w:val="22"/>
                <w:szCs w:val="22"/>
              </w:rPr>
              <w:t>latu</w:t>
            </w:r>
            <w:r w:rsidR="004E70FE" w:rsidRPr="00650319">
              <w:rPr>
                <w:sz w:val="22"/>
                <w:szCs w:val="22"/>
              </w:rPr>
              <w:t xml:space="preserve"> apmērā</w:t>
            </w:r>
            <w:r w:rsidRPr="00650319">
              <w:rPr>
                <w:sz w:val="22"/>
                <w:szCs w:val="22"/>
              </w:rPr>
              <w:t>.</w:t>
            </w: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lastRenderedPageBreak/>
              <w:t>6.1. detalizēts ieņēmumu aprēķins</w:t>
            </w:r>
          </w:p>
        </w:tc>
        <w:tc>
          <w:tcPr>
            <w:tcW w:w="6447" w:type="dxa"/>
            <w:gridSpan w:val="5"/>
            <w:vMerge/>
          </w:tcPr>
          <w:p w:rsidR="004901ED" w:rsidRPr="007C0F2C" w:rsidRDefault="004901ED" w:rsidP="00950F16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447" w:type="dxa"/>
            <w:gridSpan w:val="5"/>
            <w:vMerge/>
          </w:tcPr>
          <w:p w:rsidR="004901ED" w:rsidRPr="007C0F2C" w:rsidRDefault="004901ED" w:rsidP="00950F16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4901ED" w:rsidRPr="007C0F2C" w:rsidTr="006306A1">
        <w:trPr>
          <w:jc w:val="center"/>
        </w:trPr>
        <w:tc>
          <w:tcPr>
            <w:tcW w:w="2698" w:type="dxa"/>
          </w:tcPr>
          <w:p w:rsidR="004901ED" w:rsidRPr="007C0F2C" w:rsidRDefault="004901ED" w:rsidP="00950F16">
            <w:pPr>
              <w:jc w:val="both"/>
            </w:pPr>
            <w:r w:rsidRPr="007C0F2C">
              <w:rPr>
                <w:sz w:val="22"/>
                <w:szCs w:val="22"/>
              </w:rPr>
              <w:t>7. Cita informācija</w:t>
            </w:r>
          </w:p>
        </w:tc>
        <w:tc>
          <w:tcPr>
            <w:tcW w:w="6447" w:type="dxa"/>
            <w:gridSpan w:val="5"/>
          </w:tcPr>
          <w:p w:rsidR="004901ED" w:rsidRPr="00134632" w:rsidRDefault="00134632" w:rsidP="00950F16">
            <w:pPr>
              <w:pStyle w:val="naisf"/>
              <w:tabs>
                <w:tab w:val="left" w:pos="4644"/>
              </w:tabs>
              <w:spacing w:before="0" w:after="0"/>
            </w:pPr>
            <w:r w:rsidRPr="00134632">
              <w:rPr>
                <w:sz w:val="22"/>
                <w:szCs w:val="22"/>
              </w:rPr>
              <w:t>Nav.</w:t>
            </w:r>
          </w:p>
        </w:tc>
      </w:tr>
    </w:tbl>
    <w:p w:rsidR="004901ED" w:rsidRPr="007C0F2C" w:rsidRDefault="004901ED" w:rsidP="004901ED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W w:w="9169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395"/>
        <w:gridCol w:w="6060"/>
      </w:tblGrid>
      <w:tr w:rsidR="004901ED" w:rsidRPr="00711F59" w:rsidTr="006306A1">
        <w:trPr>
          <w:jc w:val="center"/>
        </w:trPr>
        <w:tc>
          <w:tcPr>
            <w:tcW w:w="9169" w:type="dxa"/>
            <w:gridSpan w:val="3"/>
          </w:tcPr>
          <w:p w:rsidR="004901ED" w:rsidRPr="004901ED" w:rsidRDefault="004901ED" w:rsidP="004901ED">
            <w:pPr>
              <w:pStyle w:val="naisnod"/>
              <w:spacing w:before="0" w:after="0"/>
              <w:jc w:val="center"/>
              <w:rPr>
                <w:b/>
              </w:rPr>
            </w:pPr>
            <w:r w:rsidRPr="004901ED">
              <w:rPr>
                <w:b/>
              </w:rPr>
              <w:t>IV. Tiesību akta projekta ietekme uz spēkā esošo tiesību normu sistēmu</w:t>
            </w:r>
          </w:p>
        </w:tc>
      </w:tr>
      <w:tr w:rsidR="004901ED" w:rsidRPr="00711F59" w:rsidTr="007C273A">
        <w:trPr>
          <w:jc w:val="center"/>
        </w:trPr>
        <w:tc>
          <w:tcPr>
            <w:tcW w:w="714" w:type="dxa"/>
          </w:tcPr>
          <w:p w:rsidR="004901ED" w:rsidRPr="00711F59" w:rsidRDefault="004901ED" w:rsidP="00950F1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iCs/>
              </w:rPr>
              <w:t>1.</w:t>
            </w:r>
          </w:p>
        </w:tc>
        <w:tc>
          <w:tcPr>
            <w:tcW w:w="2395" w:type="dxa"/>
          </w:tcPr>
          <w:p w:rsidR="004901ED" w:rsidRPr="00711F59" w:rsidRDefault="004901ED" w:rsidP="00950F1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6060" w:type="dxa"/>
          </w:tcPr>
          <w:p w:rsidR="00B7712F" w:rsidRPr="004D4F4D" w:rsidRDefault="004D4F4D" w:rsidP="004D4F4D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iCs/>
                <w:sz w:val="22"/>
                <w:szCs w:val="22"/>
              </w:rPr>
              <w:t>Likumprojekts šo jomu neskar.</w:t>
            </w:r>
          </w:p>
          <w:p w:rsidR="00CB4575" w:rsidRPr="009757A2" w:rsidRDefault="00CB4575" w:rsidP="0091407D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bCs/>
                <w:iCs/>
                <w:color w:val="FF0000"/>
              </w:rPr>
            </w:pPr>
          </w:p>
        </w:tc>
      </w:tr>
      <w:tr w:rsidR="004901ED" w:rsidRPr="00711F59" w:rsidTr="007C273A">
        <w:trPr>
          <w:jc w:val="center"/>
        </w:trPr>
        <w:tc>
          <w:tcPr>
            <w:tcW w:w="714" w:type="dxa"/>
          </w:tcPr>
          <w:p w:rsidR="004901ED" w:rsidRPr="00711F59" w:rsidRDefault="004901ED" w:rsidP="00950F1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iCs/>
              </w:rPr>
              <w:t>2.</w:t>
            </w:r>
          </w:p>
        </w:tc>
        <w:tc>
          <w:tcPr>
            <w:tcW w:w="2395" w:type="dxa"/>
          </w:tcPr>
          <w:p w:rsidR="004901ED" w:rsidRPr="00711F59" w:rsidRDefault="004901ED" w:rsidP="00950F1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sz w:val="22"/>
                <w:szCs w:val="22"/>
              </w:rPr>
              <w:t>Cita informācija</w:t>
            </w:r>
          </w:p>
        </w:tc>
        <w:tc>
          <w:tcPr>
            <w:tcW w:w="6060" w:type="dxa"/>
          </w:tcPr>
          <w:p w:rsidR="004901ED" w:rsidRPr="00711F59" w:rsidRDefault="007C273A" w:rsidP="00950F1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4901ED" w:rsidRDefault="004901ED" w:rsidP="004901ED">
      <w:pPr>
        <w:ind w:firstLine="720"/>
        <w:jc w:val="both"/>
        <w:rPr>
          <w:sz w:val="28"/>
          <w:szCs w:val="28"/>
        </w:rPr>
      </w:pPr>
    </w:p>
    <w:tbl>
      <w:tblPr>
        <w:tblW w:w="9099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3115"/>
        <w:gridCol w:w="5690"/>
      </w:tblGrid>
      <w:tr w:rsidR="004901ED" w:rsidRPr="00BA3C4F" w:rsidTr="006306A1">
        <w:tc>
          <w:tcPr>
            <w:tcW w:w="909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901ED" w:rsidRPr="00BA3C4F" w:rsidRDefault="004901ED" w:rsidP="00950F16">
            <w:pPr>
              <w:jc w:val="center"/>
              <w:rPr>
                <w:b/>
              </w:rPr>
            </w:pPr>
            <w:r w:rsidRPr="00BA3C4F">
              <w:rPr>
                <w:b/>
              </w:rPr>
              <w:t>V. Tiesību akta projekta atbilstība Latvijas Republikas starptautiskajām saistībām</w:t>
            </w:r>
          </w:p>
        </w:tc>
      </w:tr>
      <w:tr w:rsidR="004901ED" w:rsidRPr="00BA3C4F" w:rsidTr="006306A1"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1.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Saistības pret Eiropas Savienību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BA3C4F" w:rsidRDefault="00CE07DF" w:rsidP="00630F41">
            <w:pPr>
              <w:ind w:left="57"/>
              <w:jc w:val="both"/>
            </w:pPr>
            <w:r w:rsidRPr="004C6A04">
              <w:rPr>
                <w:sz w:val="22"/>
                <w:szCs w:val="22"/>
              </w:rPr>
              <w:t xml:space="preserve">Eiropas Parlamenta un Padomes </w:t>
            </w:r>
            <w:smartTag w:uri="schemas-tilde-lv/tildestengine" w:element="date">
              <w:smartTagPr>
                <w:attr w:name="Year" w:val="1999"/>
                <w:attr w:name="Month" w:val="6"/>
                <w:attr w:name="Day" w:val="17"/>
              </w:smartTagPr>
              <w:r w:rsidRPr="004C6A04">
                <w:rPr>
                  <w:sz w:val="22"/>
                  <w:szCs w:val="22"/>
                </w:rPr>
                <w:t>1999.gada 17.jūnija</w:t>
              </w:r>
            </w:smartTag>
            <w:r>
              <w:rPr>
                <w:sz w:val="22"/>
                <w:szCs w:val="22"/>
              </w:rPr>
              <w:t xml:space="preserve"> Direktīva</w:t>
            </w:r>
            <w:r w:rsidRPr="004C6A04">
              <w:rPr>
                <w:sz w:val="22"/>
                <w:szCs w:val="22"/>
              </w:rPr>
              <w:t xml:space="preserve"> 1999/62/EK par dažu infrastruktūru lietošanas maksas noteikša</w:t>
            </w:r>
            <w:r w:rsidR="007E1FD6">
              <w:rPr>
                <w:sz w:val="22"/>
                <w:szCs w:val="22"/>
              </w:rPr>
              <w:t>nu kravas transportlīdzekļiem,</w:t>
            </w:r>
            <w:r w:rsidRPr="004C6A04">
              <w:rPr>
                <w:sz w:val="22"/>
                <w:szCs w:val="22"/>
              </w:rPr>
              <w:t xml:space="preserve"> Eiropas Parlamenta un Padomes </w:t>
            </w:r>
            <w:smartTag w:uri="schemas-tilde-lv/tildestengine" w:element="date">
              <w:smartTagPr>
                <w:attr w:name="Year" w:val="2006"/>
                <w:attr w:name="Month" w:val="5"/>
                <w:attr w:name="Day" w:val="17"/>
              </w:smartTagPr>
              <w:r w:rsidRPr="004C6A04">
                <w:rPr>
                  <w:sz w:val="22"/>
                  <w:szCs w:val="22"/>
                </w:rPr>
                <w:t>2006.gada 17.maija</w:t>
              </w:r>
            </w:smartTag>
            <w:r w:rsidR="00760DE8">
              <w:rPr>
                <w:sz w:val="22"/>
                <w:szCs w:val="22"/>
              </w:rPr>
              <w:t xml:space="preserve"> Direktīva</w:t>
            </w:r>
            <w:r w:rsidRPr="004C6A04">
              <w:rPr>
                <w:sz w:val="22"/>
                <w:szCs w:val="22"/>
              </w:rPr>
              <w:t xml:space="preserve"> 2006/38/EK, ar ko groza Direktīvu 1999/62/EK par dažu infrastruktūru lietošanas maksas noteikšanu smagajiem kravas transportlīdzekļiem</w:t>
            </w:r>
            <w:r w:rsidR="007E1FD6">
              <w:rPr>
                <w:sz w:val="22"/>
                <w:szCs w:val="22"/>
              </w:rPr>
              <w:t xml:space="preserve"> un</w:t>
            </w:r>
            <w:r w:rsidR="007E1FD6">
              <w:rPr>
                <w:sz w:val="22"/>
                <w:szCs w:val="22"/>
                <w:lang w:eastAsia="en-US"/>
              </w:rPr>
              <w:t xml:space="preserve"> Eiropas Parlamenta un Padomes 2011.gada 27.septembra Direktīvas 2011/76/ES, ar ko groza Direktīvu 199/62/EK par dažu infrastruktūru lietošanas maksas noteikšanu smagajiem kravas transportlīdzekļiem</w:t>
            </w:r>
            <w:r w:rsidR="007E1FD6" w:rsidRPr="004C6A04">
              <w:rPr>
                <w:sz w:val="22"/>
                <w:szCs w:val="22"/>
                <w:lang w:eastAsia="en-US"/>
              </w:rPr>
              <w:t>.</w:t>
            </w:r>
            <w:r w:rsidR="007E1FD6">
              <w:rPr>
                <w:sz w:val="22"/>
                <w:szCs w:val="22"/>
              </w:rPr>
              <w:t xml:space="preserve"> </w:t>
            </w:r>
          </w:p>
        </w:tc>
      </w:tr>
      <w:tr w:rsidR="004901ED" w:rsidRPr="00BA3C4F" w:rsidTr="006306A1"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2.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Citas starptautiskās saistības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BA3C4F" w:rsidRDefault="00AD520E" w:rsidP="00950F16">
            <w:pPr>
              <w:ind w:left="57"/>
            </w:pPr>
            <w:r>
              <w:t>Likumprojekts šo jomu neskar.</w:t>
            </w:r>
          </w:p>
        </w:tc>
      </w:tr>
      <w:tr w:rsidR="004901ED" w:rsidRPr="00BA3C4F" w:rsidTr="006306A1"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3.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BA3C4F" w:rsidRDefault="004901ED" w:rsidP="00950F16">
            <w:pPr>
              <w:ind w:left="57"/>
            </w:pPr>
            <w:r w:rsidRPr="00BA3C4F">
              <w:t>Cita informācija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742" w:rsidRDefault="00B44742" w:rsidP="00236D14">
            <w:pPr>
              <w:ind w:left="57" w:firstLine="334"/>
              <w:jc w:val="both"/>
              <w:rPr>
                <w:sz w:val="22"/>
                <w:szCs w:val="22"/>
              </w:rPr>
            </w:pPr>
            <w:r w:rsidRPr="003A29CF">
              <w:rPr>
                <w:sz w:val="22"/>
                <w:szCs w:val="22"/>
              </w:rPr>
              <w:t>Eiropas Parlamenta un Padomes 1999.gada 17.jūnija Direkt</w:t>
            </w:r>
            <w:r>
              <w:rPr>
                <w:sz w:val="22"/>
                <w:szCs w:val="22"/>
              </w:rPr>
              <w:t>īvas 1999/62/EK par dažu infrastruktūru lietošanas maksas noteikšanu smagajiem kravas transportlīdzekļiem</w:t>
            </w:r>
            <w:r w:rsidR="002238CF">
              <w:rPr>
                <w:sz w:val="22"/>
                <w:szCs w:val="22"/>
              </w:rPr>
              <w:t xml:space="preserve"> prasības ir pārņemtas </w:t>
            </w:r>
            <w:r>
              <w:rPr>
                <w:sz w:val="22"/>
                <w:szCs w:val="22"/>
              </w:rPr>
              <w:t xml:space="preserve"> ar 2011.gada 1.janvāra Transportlīdzekļa ekspluatācijas nodokļa un uzņēmumu vieglo transportlīdzekļu nodokļu likumu</w:t>
            </w:r>
            <w:r w:rsidR="002238CF">
              <w:rPr>
                <w:sz w:val="22"/>
                <w:szCs w:val="22"/>
              </w:rPr>
              <w:t xml:space="preserve"> un ar 2008.gada 11.decembra Autoceļu lietošanas nodevas likumu</w:t>
            </w:r>
            <w:r w:rsidRPr="003A29CF">
              <w:rPr>
                <w:sz w:val="22"/>
                <w:szCs w:val="22"/>
              </w:rPr>
              <w:t>.</w:t>
            </w:r>
          </w:p>
          <w:p w:rsidR="002238CF" w:rsidRDefault="002238CF" w:rsidP="00236D14">
            <w:pPr>
              <w:ind w:left="57" w:firstLine="334"/>
              <w:jc w:val="both"/>
            </w:pPr>
          </w:p>
          <w:p w:rsidR="00B44742" w:rsidRDefault="00B44742" w:rsidP="00236D14">
            <w:pPr>
              <w:ind w:left="57" w:firstLine="334"/>
              <w:jc w:val="both"/>
              <w:rPr>
                <w:sz w:val="22"/>
                <w:szCs w:val="22"/>
              </w:rPr>
            </w:pPr>
            <w:r w:rsidRPr="004C6A04">
              <w:rPr>
                <w:sz w:val="22"/>
                <w:szCs w:val="22"/>
              </w:rPr>
              <w:t xml:space="preserve">Eiropas Parlamenta un Padomes </w:t>
            </w:r>
            <w:smartTag w:uri="schemas-tilde-lv/tildestengine" w:element="date">
              <w:smartTagPr>
                <w:attr w:name="Year" w:val="2006"/>
                <w:attr w:name="Month" w:val="5"/>
                <w:attr w:name="Day" w:val="17"/>
              </w:smartTagPr>
              <w:r w:rsidRPr="004C6A04">
                <w:rPr>
                  <w:sz w:val="22"/>
                  <w:szCs w:val="22"/>
                </w:rPr>
                <w:t>2006.gada 17.maija</w:t>
              </w:r>
            </w:smartTag>
            <w:r>
              <w:rPr>
                <w:sz w:val="22"/>
                <w:szCs w:val="22"/>
              </w:rPr>
              <w:t xml:space="preserve"> Direktīva</w:t>
            </w:r>
            <w:r w:rsidRPr="004C6A04">
              <w:rPr>
                <w:sz w:val="22"/>
                <w:szCs w:val="22"/>
              </w:rPr>
              <w:t xml:space="preserve"> 2006/38/EK, ar ko groza Direktīvu 1999/62/EK par dažu infrastruktūru lietošanas maksas noteikšanu smagajiem kravas transportlīdzekļiem</w:t>
            </w:r>
            <w:r>
              <w:rPr>
                <w:sz w:val="22"/>
                <w:szCs w:val="22"/>
              </w:rPr>
              <w:t xml:space="preserve"> </w:t>
            </w:r>
            <w:r w:rsidRPr="002238CF">
              <w:rPr>
                <w:sz w:val="22"/>
                <w:szCs w:val="22"/>
              </w:rPr>
              <w:t>prasības ir pārņemtas ar</w:t>
            </w:r>
            <w:r w:rsidR="002238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Autoceļu lietošanas nodevas likumu.</w:t>
            </w:r>
          </w:p>
          <w:p w:rsidR="002238CF" w:rsidRDefault="002238CF" w:rsidP="00236D14">
            <w:pPr>
              <w:ind w:left="57" w:firstLine="334"/>
              <w:jc w:val="both"/>
            </w:pPr>
          </w:p>
          <w:p w:rsidR="00B44742" w:rsidRDefault="00B44742" w:rsidP="00236D14">
            <w:pPr>
              <w:ind w:left="57" w:firstLine="3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Eiropas Parlamenta un Padomes 2011.gada 27.septembra Direktīvas 2011/76/ES, ar ko groza Direktīvu 1999/62/EK par dažu infrastruktūru lietošanas maksas noteikšanu smagajiem kravas transportlīdzekļiem</w:t>
            </w:r>
            <w:r w:rsidR="00882D7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prasības tiks pārņemtas</w:t>
            </w:r>
            <w:r w:rsidR="00882D7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izdarot grozījumus Autoceļu lietošanas nodevas likumā un izstrādājot Ministru kabineta noteikumus par autoceļu lietošanas nodevas maksāšanas, administrēšanas un kontroles kārtību.</w:t>
            </w:r>
          </w:p>
          <w:p w:rsidR="004901ED" w:rsidRPr="00BA3C4F" w:rsidRDefault="004901ED" w:rsidP="00950F16">
            <w:pPr>
              <w:ind w:left="57"/>
            </w:pPr>
          </w:p>
        </w:tc>
      </w:tr>
    </w:tbl>
    <w:p w:rsidR="004901ED" w:rsidRPr="00BA3C4F" w:rsidRDefault="004901ED" w:rsidP="004901ED"/>
    <w:p w:rsidR="004901ED" w:rsidRPr="002550F1" w:rsidRDefault="004901ED" w:rsidP="004901ED">
      <w:pPr>
        <w:rPr>
          <w:sz w:val="2"/>
          <w:szCs w:val="2"/>
        </w:rPr>
      </w:pPr>
    </w:p>
    <w:tbl>
      <w:tblPr>
        <w:tblW w:w="9113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4"/>
        <w:gridCol w:w="1852"/>
        <w:gridCol w:w="2719"/>
        <w:gridCol w:w="2718"/>
      </w:tblGrid>
      <w:tr w:rsidR="004901ED" w:rsidRPr="00BA3C4F" w:rsidTr="006306A1">
        <w:trPr>
          <w:cantSplit/>
          <w:trHeight w:val="523"/>
        </w:trPr>
        <w:tc>
          <w:tcPr>
            <w:tcW w:w="9113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901ED" w:rsidRPr="00BA3C4F" w:rsidRDefault="004901ED" w:rsidP="00950F16">
            <w:pPr>
              <w:ind w:left="57"/>
              <w:jc w:val="center"/>
              <w:rPr>
                <w:b/>
              </w:rPr>
            </w:pPr>
            <w:r w:rsidRPr="00BA3C4F">
              <w:rPr>
                <w:b/>
              </w:rPr>
              <w:lastRenderedPageBreak/>
              <w:t>1.tabula</w:t>
            </w:r>
          </w:p>
          <w:p w:rsidR="004901ED" w:rsidRPr="00BA3C4F" w:rsidRDefault="004901ED" w:rsidP="00950F16">
            <w:pPr>
              <w:ind w:left="57"/>
              <w:jc w:val="center"/>
            </w:pPr>
            <w:r w:rsidRPr="00BA3C4F">
              <w:rPr>
                <w:b/>
              </w:rPr>
              <w:t>Tiesību akta projekta atbilstība ES tiesību aktiem</w:t>
            </w:r>
          </w:p>
        </w:tc>
      </w:tr>
      <w:tr w:rsidR="004901ED" w:rsidRPr="00650319" w:rsidTr="006306A1">
        <w:trPr>
          <w:cantSplit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Attiecīgā ES tiesību akta datums, numurs un nosaukums</w:t>
            </w:r>
          </w:p>
        </w:tc>
        <w:tc>
          <w:tcPr>
            <w:tcW w:w="7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228F" w:rsidRPr="00650319" w:rsidRDefault="00760DE8" w:rsidP="00EA793D">
            <w:pPr>
              <w:jc w:val="both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 xml:space="preserve">Eiropas Parlamenta un Padomes </w:t>
            </w:r>
            <w:smartTag w:uri="schemas-tilde-lv/tildestengine" w:element="date">
              <w:smartTagPr>
                <w:attr w:name="Year" w:val="1999"/>
                <w:attr w:name="Month" w:val="6"/>
                <w:attr w:name="Day" w:val="17"/>
              </w:smartTagPr>
              <w:r w:rsidRPr="00650319">
                <w:rPr>
                  <w:sz w:val="22"/>
                  <w:szCs w:val="22"/>
                </w:rPr>
                <w:t>1999.gada 17.jūnija</w:t>
              </w:r>
            </w:smartTag>
            <w:r w:rsidRPr="00650319">
              <w:rPr>
                <w:sz w:val="22"/>
                <w:szCs w:val="22"/>
              </w:rPr>
              <w:t xml:space="preserve"> Direktīva 1999/62/EK par dažu infrastruktūru lietošanas maksas noteikša</w:t>
            </w:r>
            <w:r w:rsidR="007E1FD6" w:rsidRPr="00650319">
              <w:rPr>
                <w:sz w:val="22"/>
                <w:szCs w:val="22"/>
              </w:rPr>
              <w:t>nu kravas transportlīdzekļiem,</w:t>
            </w:r>
            <w:r w:rsidRPr="00650319">
              <w:rPr>
                <w:sz w:val="22"/>
                <w:szCs w:val="22"/>
              </w:rPr>
              <w:t xml:space="preserve"> Eiropas Parlamenta un Padomes </w:t>
            </w:r>
            <w:smartTag w:uri="schemas-tilde-lv/tildestengine" w:element="date">
              <w:smartTagPr>
                <w:attr w:name="Year" w:val="2006"/>
                <w:attr w:name="Month" w:val="5"/>
                <w:attr w:name="Day" w:val="17"/>
              </w:smartTagPr>
              <w:r w:rsidRPr="00650319">
                <w:rPr>
                  <w:sz w:val="22"/>
                  <w:szCs w:val="22"/>
                </w:rPr>
                <w:t>2006.gada 17.maija</w:t>
              </w:r>
            </w:smartTag>
            <w:r w:rsidRPr="00650319">
              <w:rPr>
                <w:sz w:val="22"/>
                <w:szCs w:val="22"/>
              </w:rPr>
              <w:t xml:space="preserve"> Direktīva 2006/38/EK, ar ko groza Direktīvu 1999/62/EK par dažu infrastruktūru lietošanas maksas noteikšanu smagajiem kravas transportlīdzekļiem</w:t>
            </w:r>
            <w:r w:rsidR="00882D71">
              <w:rPr>
                <w:sz w:val="22"/>
                <w:szCs w:val="22"/>
              </w:rPr>
              <w:t>,</w:t>
            </w:r>
            <w:r w:rsidR="007E1FD6" w:rsidRPr="00650319">
              <w:rPr>
                <w:sz w:val="22"/>
                <w:szCs w:val="22"/>
              </w:rPr>
              <w:t xml:space="preserve"> un</w:t>
            </w:r>
            <w:r w:rsidR="007E1FD6" w:rsidRPr="00650319">
              <w:rPr>
                <w:sz w:val="22"/>
                <w:szCs w:val="22"/>
                <w:lang w:eastAsia="en-US"/>
              </w:rPr>
              <w:t xml:space="preserve"> </w:t>
            </w:r>
            <w:r w:rsidR="001A1734" w:rsidRPr="00650319">
              <w:rPr>
                <w:sz w:val="22"/>
                <w:szCs w:val="22"/>
                <w:lang w:eastAsia="en-US"/>
              </w:rPr>
              <w:t xml:space="preserve">Eiropas Parlamenta </w:t>
            </w:r>
            <w:r w:rsidR="007E1FD6" w:rsidRPr="00650319">
              <w:rPr>
                <w:sz w:val="22"/>
                <w:szCs w:val="22"/>
                <w:lang w:eastAsia="en-US"/>
              </w:rPr>
              <w:t>un Padomes 2011.gada 27.septembra Direktīvas 2011/76/ES, ar ko groza Direktīvu 199/62/EK par dažu infrastruktūru lietošanas maksas noteikšanu smagajiem kravas transportlīdzekļiem.</w:t>
            </w:r>
            <w:r w:rsidR="007E1FD6" w:rsidRPr="00650319">
              <w:rPr>
                <w:sz w:val="22"/>
                <w:szCs w:val="22"/>
              </w:rPr>
              <w:t xml:space="preserve"> </w:t>
            </w:r>
          </w:p>
        </w:tc>
      </w:tr>
      <w:tr w:rsidR="004901ED" w:rsidRPr="00650319" w:rsidTr="006306A1">
        <w:trPr>
          <w:cantSplit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1ED" w:rsidRPr="00650319" w:rsidRDefault="004901ED" w:rsidP="00950F16">
            <w:pPr>
              <w:ind w:left="57"/>
              <w:jc w:val="center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A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1ED" w:rsidRPr="00650319" w:rsidRDefault="004901ED" w:rsidP="00950F16">
            <w:pPr>
              <w:ind w:left="57"/>
              <w:jc w:val="center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B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1ED" w:rsidRPr="00650319" w:rsidRDefault="004901ED" w:rsidP="00950F16">
            <w:pPr>
              <w:ind w:left="57"/>
              <w:jc w:val="center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C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01ED" w:rsidRPr="00650319" w:rsidRDefault="004901ED" w:rsidP="00950F16">
            <w:pPr>
              <w:ind w:left="57"/>
              <w:jc w:val="center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D</w:t>
            </w:r>
          </w:p>
        </w:tc>
      </w:tr>
      <w:tr w:rsidR="004901ED" w:rsidRPr="00650319" w:rsidTr="006306A1">
        <w:trPr>
          <w:cantSplit/>
          <w:trHeight w:val="4708"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spacing w:after="120"/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spacing w:after="120"/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650319">
                <w:rPr>
                  <w:spacing w:val="-3"/>
                  <w:sz w:val="22"/>
                  <w:szCs w:val="22"/>
                </w:rPr>
                <w:t>akts</w:t>
              </w:r>
            </w:smartTag>
            <w:r w:rsidRPr="00650319">
              <w:rPr>
                <w:spacing w:val="-3"/>
                <w:sz w:val="22"/>
                <w:szCs w:val="22"/>
              </w:rPr>
              <w:t>, kur attiecīgā ES tiesību akta vienība pārņemta vai ieviesta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spacing w:after="120"/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Informācija par to, vai šīs tabulas A ailē minētās ES tiesību akta vienības tiek pārņemtas vai ieviestas pilnībā vai daļēji.</w:t>
            </w:r>
          </w:p>
          <w:p w:rsidR="004901ED" w:rsidRPr="00650319" w:rsidRDefault="004901ED" w:rsidP="00950F16">
            <w:pPr>
              <w:spacing w:after="120"/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4901ED" w:rsidRPr="00650319" w:rsidRDefault="004901ED" w:rsidP="00950F16">
            <w:pPr>
              <w:spacing w:after="120"/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Norāda institūciju, kas ir atbildīga par šo saistību izpildi pilnībā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650319" w:rsidRDefault="004901ED" w:rsidP="00950F16">
            <w:pPr>
              <w:spacing w:after="120"/>
              <w:ind w:left="57"/>
              <w:rPr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 xml:space="preserve">Informācija par to, vai šīs </w:t>
            </w:r>
            <w:r w:rsidRPr="00650319">
              <w:rPr>
                <w:sz w:val="22"/>
                <w:szCs w:val="22"/>
              </w:rPr>
              <w:t>tabulas B ailē minētās projekta vienības paredz stingrākas prasības nekā šīs tabulas A ailē minētās ES tiesību akta vienības.</w:t>
            </w:r>
          </w:p>
          <w:p w:rsidR="004901ED" w:rsidRPr="00650319" w:rsidRDefault="004901ED" w:rsidP="00950F16">
            <w:pPr>
              <w:spacing w:after="120"/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650319">
                <w:rPr>
                  <w:sz w:val="22"/>
                  <w:szCs w:val="22"/>
                </w:rPr>
                <w:t>akts</w:t>
              </w:r>
            </w:smartTag>
            <w:r w:rsidRPr="00650319">
              <w:rPr>
                <w:sz w:val="22"/>
                <w:szCs w:val="22"/>
              </w:rPr>
              <w:t>, norāda pamatojumu un samērīgumu.</w:t>
            </w:r>
          </w:p>
          <w:p w:rsidR="004901ED" w:rsidRPr="00650319" w:rsidRDefault="004901ED" w:rsidP="00950F16">
            <w:pPr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Norāda iespējamās alternatīvas (t.sk. alternatīvas, kas neparedz tiesiskā regulējuma izstrādi) – kādos gadījumos būtu iespējams izvairīties no stingrāku prasību</w:t>
            </w:r>
            <w:r w:rsidRPr="00650319">
              <w:rPr>
                <w:spacing w:val="-3"/>
                <w:sz w:val="22"/>
                <w:szCs w:val="22"/>
              </w:rPr>
              <w:t xml:space="preserve"> noteikšanas, nekā paredzēts attiecīgajos ES tiesību aktos</w:t>
            </w:r>
          </w:p>
        </w:tc>
      </w:tr>
      <w:tr w:rsidR="004901ED" w:rsidRPr="00650319" w:rsidTr="006306A1">
        <w:trPr>
          <w:cantSplit/>
          <w:trHeight w:val="2068"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B44742" w:rsidP="00B44742">
            <w:pPr>
              <w:spacing w:after="120"/>
              <w:ind w:left="57"/>
              <w:rPr>
                <w:spacing w:val="-2"/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 xml:space="preserve">Direktīvas 2011/76/ES 1.panta pirmā daļa, </w:t>
            </w:r>
            <w:r w:rsidR="007A60E6" w:rsidRPr="00650319">
              <w:rPr>
                <w:sz w:val="22"/>
                <w:szCs w:val="22"/>
              </w:rPr>
              <w:t>Direktīvas 2006/38/EK 1.panta pirmā daļa</w:t>
            </w:r>
            <w:r w:rsidR="0028718B" w:rsidRPr="00650319">
              <w:rPr>
                <w:sz w:val="22"/>
                <w:szCs w:val="22"/>
              </w:rPr>
              <w:t xml:space="preserve">, </w:t>
            </w:r>
            <w:r w:rsidRPr="00650319">
              <w:rPr>
                <w:sz w:val="22"/>
                <w:szCs w:val="22"/>
              </w:rPr>
              <w:t>1.panta</w:t>
            </w:r>
            <w:r w:rsidR="0028718B" w:rsidRPr="00650319">
              <w:rPr>
                <w:sz w:val="22"/>
                <w:szCs w:val="22"/>
              </w:rPr>
              <w:t xml:space="preserve"> otrās daļas </w:t>
            </w:r>
            <w:r w:rsidRPr="00650319">
              <w:rPr>
                <w:sz w:val="22"/>
                <w:szCs w:val="22"/>
              </w:rPr>
              <w:t>a)</w:t>
            </w:r>
            <w:r w:rsidR="0028718B" w:rsidRPr="00650319">
              <w:rPr>
                <w:sz w:val="22"/>
                <w:szCs w:val="22"/>
              </w:rPr>
              <w:t xml:space="preserve"> apakšpunkts</w:t>
            </w:r>
            <w:r w:rsidR="007A60E6" w:rsidRPr="00650319">
              <w:rPr>
                <w:sz w:val="22"/>
                <w:szCs w:val="22"/>
              </w:rPr>
              <w:t xml:space="preserve"> un Direktīvas 1999/62/EK 2.pants.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C949D8" w:rsidP="00950F16">
            <w:pPr>
              <w:spacing w:after="120"/>
              <w:ind w:left="57"/>
              <w:rPr>
                <w:spacing w:val="-2"/>
                <w:sz w:val="22"/>
                <w:szCs w:val="22"/>
              </w:rPr>
            </w:pPr>
            <w:r w:rsidRPr="00650319">
              <w:rPr>
                <w:spacing w:val="-2"/>
                <w:sz w:val="22"/>
                <w:szCs w:val="22"/>
              </w:rPr>
              <w:t>6.panta astotā daļa</w:t>
            </w:r>
            <w:r w:rsidR="00A31BA4" w:rsidRPr="0065031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B44742" w:rsidP="00950F16">
            <w:pPr>
              <w:ind w:left="57"/>
              <w:rPr>
                <w:spacing w:val="-2"/>
                <w:sz w:val="22"/>
                <w:szCs w:val="22"/>
              </w:rPr>
            </w:pPr>
            <w:r w:rsidRPr="00650319">
              <w:rPr>
                <w:spacing w:val="-2"/>
                <w:sz w:val="22"/>
                <w:szCs w:val="22"/>
              </w:rPr>
              <w:t>Pārņemts pilnībā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650319" w:rsidRDefault="00B44742" w:rsidP="00950F16">
            <w:pPr>
              <w:ind w:left="57"/>
              <w:rPr>
                <w:spacing w:val="-2"/>
                <w:sz w:val="22"/>
                <w:szCs w:val="22"/>
              </w:rPr>
            </w:pPr>
            <w:r w:rsidRPr="00650319">
              <w:rPr>
                <w:spacing w:val="-2"/>
                <w:sz w:val="22"/>
                <w:szCs w:val="22"/>
              </w:rPr>
              <w:t>Stingrākas prasības neparedz</w:t>
            </w:r>
          </w:p>
        </w:tc>
      </w:tr>
      <w:tr w:rsidR="004901ED" w:rsidRPr="00650319" w:rsidTr="006306A1">
        <w:trPr>
          <w:cantSplit/>
          <w:trHeight w:val="281"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Kā ir izmantota ES tiesību aktā paredzētā rīcības brīvība dalībvalstij pārņemt vai ieviest noteiktas ES tiesību akta normas?</w:t>
            </w:r>
          </w:p>
          <w:p w:rsidR="004901ED" w:rsidRPr="00650319" w:rsidRDefault="004901ED" w:rsidP="00950F16">
            <w:pPr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3"/>
                <w:sz w:val="22"/>
                <w:szCs w:val="22"/>
              </w:rPr>
              <w:t>Kādēļ?</w:t>
            </w:r>
          </w:p>
        </w:tc>
        <w:tc>
          <w:tcPr>
            <w:tcW w:w="7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650319" w:rsidRDefault="00AE6E8D" w:rsidP="00950F16">
            <w:pPr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Likumprojekts šo jomu neskar.</w:t>
            </w:r>
          </w:p>
        </w:tc>
      </w:tr>
      <w:tr w:rsidR="004901ED" w:rsidRPr="00650319" w:rsidTr="006306A1">
        <w:trPr>
          <w:cantSplit/>
          <w:trHeight w:val="913"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ind w:left="57"/>
              <w:rPr>
                <w:spacing w:val="-3"/>
                <w:sz w:val="22"/>
                <w:szCs w:val="22"/>
              </w:rPr>
            </w:pPr>
            <w:r w:rsidRPr="00650319">
              <w:rPr>
                <w:spacing w:val="-4"/>
                <w:sz w:val="22"/>
                <w:szCs w:val="22"/>
              </w:rPr>
              <w:lastRenderedPageBreak/>
              <w:t>Saistības sniegt paziņojumu ES 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650319" w:rsidRDefault="005E3665" w:rsidP="00950F16">
            <w:pPr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Likumprojekts šo jomu neskar.</w:t>
            </w:r>
          </w:p>
        </w:tc>
      </w:tr>
      <w:tr w:rsidR="004901ED" w:rsidRPr="00650319" w:rsidTr="006306A1">
        <w:trPr>
          <w:cantSplit/>
          <w:trHeight w:val="579"/>
        </w:trPr>
        <w:tc>
          <w:tcPr>
            <w:tcW w:w="1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1ED" w:rsidRPr="00650319" w:rsidRDefault="004901ED" w:rsidP="00950F16">
            <w:pPr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Cita informācija</w:t>
            </w:r>
          </w:p>
        </w:tc>
        <w:tc>
          <w:tcPr>
            <w:tcW w:w="7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1ED" w:rsidRPr="00650319" w:rsidRDefault="005E3665" w:rsidP="00950F16">
            <w:pPr>
              <w:ind w:left="57"/>
              <w:rPr>
                <w:sz w:val="22"/>
                <w:szCs w:val="22"/>
              </w:rPr>
            </w:pPr>
            <w:r w:rsidRPr="00650319">
              <w:rPr>
                <w:sz w:val="22"/>
                <w:szCs w:val="22"/>
              </w:rPr>
              <w:t>Nav.</w:t>
            </w:r>
          </w:p>
        </w:tc>
      </w:tr>
    </w:tbl>
    <w:p w:rsidR="004901ED" w:rsidRPr="007C0F2C" w:rsidRDefault="004901ED" w:rsidP="00F1254B">
      <w:pPr>
        <w:pStyle w:val="naisf"/>
        <w:spacing w:before="0" w:after="0"/>
        <w:rPr>
          <w:b/>
        </w:rPr>
      </w:pPr>
    </w:p>
    <w:tbl>
      <w:tblPr>
        <w:tblW w:w="9211" w:type="dxa"/>
        <w:jc w:val="center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267"/>
        <w:gridCol w:w="4590"/>
      </w:tblGrid>
      <w:tr w:rsidR="004901ED" w:rsidRPr="007C0F2C" w:rsidTr="006306A1">
        <w:trPr>
          <w:jc w:val="center"/>
        </w:trPr>
        <w:tc>
          <w:tcPr>
            <w:tcW w:w="9211" w:type="dxa"/>
            <w:gridSpan w:val="3"/>
          </w:tcPr>
          <w:p w:rsidR="004901ED" w:rsidRPr="004901ED" w:rsidRDefault="004901ED" w:rsidP="004901ED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4901ED">
              <w:rPr>
                <w:b/>
              </w:rPr>
              <w:t>VI. Sabiedrības līdzdalība un šīs līdzdalības rezultāti</w:t>
            </w:r>
          </w:p>
        </w:tc>
      </w:tr>
      <w:tr w:rsidR="004901ED" w:rsidRPr="007C0F2C" w:rsidTr="002A439E">
        <w:trPr>
          <w:trHeight w:val="553"/>
          <w:jc w:val="center"/>
        </w:trPr>
        <w:tc>
          <w:tcPr>
            <w:tcW w:w="354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67" w:type="dxa"/>
          </w:tcPr>
          <w:p w:rsidR="004901ED" w:rsidRPr="007C0F2C" w:rsidRDefault="004901ED" w:rsidP="00950F1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Sabiedrības informēšana par projekta izstrādes uzsākšanu</w:t>
            </w:r>
          </w:p>
        </w:tc>
        <w:tc>
          <w:tcPr>
            <w:tcW w:w="4590" w:type="dxa"/>
          </w:tcPr>
          <w:p w:rsidR="004901ED" w:rsidRPr="007C0F2C" w:rsidRDefault="00E13BBC" w:rsidP="00950F16">
            <w:pPr>
              <w:pStyle w:val="naiskr"/>
              <w:spacing w:before="0" w:after="0"/>
              <w:ind w:left="57" w:right="57"/>
              <w:jc w:val="both"/>
            </w:pPr>
            <w:bookmarkStart w:id="1" w:name="OLE_LINK1"/>
            <w:bookmarkStart w:id="2" w:name="OLE_LINK2"/>
            <w:r>
              <w:rPr>
                <w:sz w:val="22"/>
                <w:szCs w:val="22"/>
              </w:rPr>
              <w:t>Ir notikušas neformālas konsultācijas ar nozari</w:t>
            </w:r>
            <w:r w:rsidR="007C273A">
              <w:rPr>
                <w:sz w:val="22"/>
                <w:szCs w:val="22"/>
              </w:rPr>
              <w:t>.</w:t>
            </w:r>
            <w:bookmarkEnd w:id="1"/>
            <w:bookmarkEnd w:id="2"/>
          </w:p>
        </w:tc>
      </w:tr>
      <w:tr w:rsidR="004901ED" w:rsidRPr="007C0F2C" w:rsidTr="002A439E">
        <w:trPr>
          <w:trHeight w:val="339"/>
          <w:jc w:val="center"/>
        </w:trPr>
        <w:tc>
          <w:tcPr>
            <w:tcW w:w="354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67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Sabiedrības līdzdalība projekta izstrādē </w:t>
            </w:r>
          </w:p>
        </w:tc>
        <w:tc>
          <w:tcPr>
            <w:tcW w:w="4590" w:type="dxa"/>
          </w:tcPr>
          <w:p w:rsidR="004901ED" w:rsidRPr="007C0F2C" w:rsidRDefault="00E13BBC" w:rsidP="00B45486">
            <w:pPr>
              <w:pStyle w:val="naiskr"/>
              <w:spacing w:before="0" w:after="0"/>
              <w:ind w:left="57" w:right="57"/>
              <w:jc w:val="both"/>
            </w:pPr>
            <w:r>
              <w:rPr>
                <w:sz w:val="22"/>
                <w:szCs w:val="22"/>
              </w:rPr>
              <w:t xml:space="preserve">Neformālas konsultācijas ir notikušas ar biedrību </w:t>
            </w:r>
            <w:r w:rsidR="00882D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utopārvadātāju asociācij</w:t>
            </w:r>
            <w:r w:rsidR="00882D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„Latvijas auto”, Latvijas autopārvadātāju nacionālo asociāciju „LANA”, Latvijas lauksaimnieku organizāciju sadarbības padomi un Latvijas mežizstrādātāju savienību</w:t>
            </w:r>
            <w:r w:rsidR="007C273A">
              <w:rPr>
                <w:sz w:val="22"/>
                <w:szCs w:val="22"/>
              </w:rPr>
              <w:t>.</w:t>
            </w:r>
          </w:p>
        </w:tc>
      </w:tr>
      <w:tr w:rsidR="004901ED" w:rsidRPr="007C0F2C" w:rsidTr="002A439E">
        <w:trPr>
          <w:trHeight w:val="375"/>
          <w:jc w:val="center"/>
        </w:trPr>
        <w:tc>
          <w:tcPr>
            <w:tcW w:w="354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67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Sabiedrības līdzdalības rezultāti </w:t>
            </w:r>
          </w:p>
        </w:tc>
        <w:tc>
          <w:tcPr>
            <w:tcW w:w="4590" w:type="dxa"/>
          </w:tcPr>
          <w:p w:rsidR="004901ED" w:rsidRPr="007C0F2C" w:rsidRDefault="00E13BBC" w:rsidP="00950F16">
            <w:pPr>
              <w:pStyle w:val="naiskr"/>
              <w:spacing w:before="0" w:after="0"/>
              <w:ind w:left="57" w:right="57"/>
              <w:jc w:val="both"/>
            </w:pPr>
            <w:r>
              <w:rPr>
                <w:sz w:val="22"/>
                <w:szCs w:val="22"/>
              </w:rPr>
              <w:t>Nozare konceptuāli neiebilst autoceļu lietošanas nodevas ieviešanai, tomēr ir nepieciešams pārskatīt atbrīvojumus no nodevas maksāšanas pienākuma un nodevas ieviešanas termiņus</w:t>
            </w:r>
            <w:r w:rsidR="007C273A">
              <w:rPr>
                <w:sz w:val="22"/>
                <w:szCs w:val="22"/>
              </w:rPr>
              <w:t>.</w:t>
            </w:r>
          </w:p>
        </w:tc>
      </w:tr>
      <w:tr w:rsidR="004901ED" w:rsidRPr="007C0F2C" w:rsidTr="002A439E">
        <w:trPr>
          <w:trHeight w:val="397"/>
          <w:jc w:val="center"/>
        </w:trPr>
        <w:tc>
          <w:tcPr>
            <w:tcW w:w="354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67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Saeimas un ekspertu līdzdalība</w:t>
            </w:r>
          </w:p>
        </w:tc>
        <w:tc>
          <w:tcPr>
            <w:tcW w:w="4590" w:type="dxa"/>
          </w:tcPr>
          <w:p w:rsidR="004901ED" w:rsidRPr="007C0F2C" w:rsidRDefault="007C273A" w:rsidP="00950F16">
            <w:pPr>
              <w:pStyle w:val="naiskr"/>
              <w:spacing w:before="0" w:after="0"/>
              <w:ind w:left="57" w:right="57"/>
              <w:jc w:val="both"/>
            </w:pPr>
            <w:r>
              <w:rPr>
                <w:sz w:val="22"/>
                <w:szCs w:val="22"/>
              </w:rPr>
              <w:t>Likumprojekts šo jomu neskar.</w:t>
            </w:r>
          </w:p>
        </w:tc>
      </w:tr>
      <w:tr w:rsidR="004901ED" w:rsidRPr="007C0F2C" w:rsidTr="002A439E">
        <w:trPr>
          <w:trHeight w:val="476"/>
          <w:jc w:val="center"/>
        </w:trPr>
        <w:tc>
          <w:tcPr>
            <w:tcW w:w="354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7C0F2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67" w:type="dxa"/>
          </w:tcPr>
          <w:p w:rsidR="004901ED" w:rsidRPr="007C0F2C" w:rsidRDefault="004901ED" w:rsidP="00950F16">
            <w:pPr>
              <w:pStyle w:val="naiskr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4590" w:type="dxa"/>
          </w:tcPr>
          <w:p w:rsidR="004901ED" w:rsidRPr="007C0F2C" w:rsidRDefault="007C273A" w:rsidP="00950F16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  <w:sz w:val="22"/>
                <w:szCs w:val="22"/>
              </w:rPr>
              <w:t>Nav.</w:t>
            </w:r>
          </w:p>
        </w:tc>
      </w:tr>
    </w:tbl>
    <w:p w:rsidR="004901ED" w:rsidRPr="007C0F2C" w:rsidRDefault="004901ED" w:rsidP="004901ED">
      <w:pPr>
        <w:pStyle w:val="naisf"/>
        <w:spacing w:before="0" w:after="0"/>
        <w:rPr>
          <w:sz w:val="28"/>
          <w:szCs w:val="28"/>
        </w:rPr>
      </w:pPr>
    </w:p>
    <w:tbl>
      <w:tblPr>
        <w:tblW w:w="92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4556"/>
        <w:gridCol w:w="4333"/>
      </w:tblGrid>
      <w:tr w:rsidR="004901ED" w:rsidRPr="007C0F2C" w:rsidTr="006306A1">
        <w:tc>
          <w:tcPr>
            <w:tcW w:w="9225" w:type="dxa"/>
            <w:gridSpan w:val="3"/>
          </w:tcPr>
          <w:p w:rsidR="004901ED" w:rsidRPr="004901ED" w:rsidRDefault="004901ED" w:rsidP="004901ED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4901ED">
              <w:rPr>
                <w:b/>
              </w:rPr>
              <w:t>VII. Tiesību akta projekta izpildes nodrošināšana un tās ietekme uz institūcijām</w:t>
            </w:r>
          </w:p>
        </w:tc>
      </w:tr>
      <w:tr w:rsidR="004901ED" w:rsidRPr="007C0F2C" w:rsidTr="006306A1">
        <w:trPr>
          <w:trHeight w:val="427"/>
        </w:trPr>
        <w:tc>
          <w:tcPr>
            <w:tcW w:w="336" w:type="dxa"/>
          </w:tcPr>
          <w:p w:rsidR="004901ED" w:rsidRPr="00842FDD" w:rsidRDefault="004901ED" w:rsidP="00950F16">
            <w:pPr>
              <w:pStyle w:val="naisnod"/>
              <w:spacing w:before="0" w:after="0"/>
              <w:ind w:left="57" w:right="57"/>
            </w:pPr>
            <w:r w:rsidRPr="00842FDD">
              <w:rPr>
                <w:sz w:val="22"/>
                <w:szCs w:val="22"/>
              </w:rPr>
              <w:t>1.</w:t>
            </w:r>
          </w:p>
        </w:tc>
        <w:tc>
          <w:tcPr>
            <w:tcW w:w="4556" w:type="dxa"/>
          </w:tcPr>
          <w:p w:rsidR="004901ED" w:rsidRPr="007C0F2C" w:rsidRDefault="004901ED" w:rsidP="00950F16">
            <w:pPr>
              <w:pStyle w:val="naisf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4333" w:type="dxa"/>
          </w:tcPr>
          <w:p w:rsidR="004901ED" w:rsidRPr="004901ED" w:rsidRDefault="00842FDD" w:rsidP="00287AF9">
            <w:pPr>
              <w:pStyle w:val="naisnod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Satiksmes ministrija, valsts akciju sabiedrība „Latvijas Valsts ceļi”</w:t>
            </w:r>
            <w:r w:rsidR="00EB3F58">
              <w:rPr>
                <w:iCs/>
                <w:sz w:val="22"/>
                <w:szCs w:val="22"/>
              </w:rPr>
              <w:t>, valsts akciju sabiedrība „Ce</w:t>
            </w:r>
            <w:r w:rsidR="00287AF9">
              <w:rPr>
                <w:iCs/>
                <w:sz w:val="22"/>
                <w:szCs w:val="22"/>
              </w:rPr>
              <w:t>ļu</w:t>
            </w:r>
            <w:r w:rsidR="00EB3F58">
              <w:rPr>
                <w:iCs/>
                <w:sz w:val="22"/>
                <w:szCs w:val="22"/>
              </w:rPr>
              <w:t xml:space="preserve"> satiksmes drošības direkcija”.</w:t>
            </w:r>
          </w:p>
        </w:tc>
      </w:tr>
      <w:tr w:rsidR="004901ED" w:rsidRPr="007C0F2C" w:rsidTr="006306A1">
        <w:trPr>
          <w:trHeight w:val="463"/>
        </w:trPr>
        <w:tc>
          <w:tcPr>
            <w:tcW w:w="336" w:type="dxa"/>
          </w:tcPr>
          <w:p w:rsidR="004901ED" w:rsidRPr="00842FDD" w:rsidRDefault="004901ED" w:rsidP="00950F16">
            <w:pPr>
              <w:pStyle w:val="naisnod"/>
              <w:spacing w:before="0" w:after="0"/>
              <w:ind w:left="57" w:right="57"/>
            </w:pPr>
            <w:r w:rsidRPr="00842FDD">
              <w:rPr>
                <w:sz w:val="22"/>
                <w:szCs w:val="22"/>
              </w:rPr>
              <w:t>2.</w:t>
            </w:r>
          </w:p>
        </w:tc>
        <w:tc>
          <w:tcPr>
            <w:tcW w:w="4556" w:type="dxa"/>
          </w:tcPr>
          <w:p w:rsidR="004901ED" w:rsidRPr="007C0F2C" w:rsidRDefault="004901ED" w:rsidP="00950F16">
            <w:pPr>
              <w:pStyle w:val="naisf"/>
              <w:spacing w:before="0" w:after="0"/>
              <w:ind w:left="57" w:right="57"/>
            </w:pPr>
            <w:r w:rsidRPr="007C0F2C">
              <w:rPr>
                <w:sz w:val="22"/>
                <w:szCs w:val="22"/>
              </w:rPr>
              <w:t xml:space="preserve">Projekta izpildes ietekme uz pārvaldes funkcijām </w:t>
            </w:r>
          </w:p>
        </w:tc>
        <w:tc>
          <w:tcPr>
            <w:tcW w:w="4333" w:type="dxa"/>
          </w:tcPr>
          <w:p w:rsidR="004901ED" w:rsidRPr="004901ED" w:rsidRDefault="00842FDD" w:rsidP="00950F16">
            <w:pPr>
              <w:pStyle w:val="naisnod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Valsts pārvaldes funkcijas netiek paplašinātas vai sašaurinātas.</w:t>
            </w:r>
          </w:p>
        </w:tc>
      </w:tr>
      <w:tr w:rsidR="004901ED" w:rsidRPr="007C0F2C" w:rsidTr="006306A1">
        <w:trPr>
          <w:trHeight w:val="725"/>
        </w:trPr>
        <w:tc>
          <w:tcPr>
            <w:tcW w:w="336" w:type="dxa"/>
          </w:tcPr>
          <w:p w:rsidR="004901ED" w:rsidRPr="00842FDD" w:rsidRDefault="004901ED" w:rsidP="00950F16">
            <w:pPr>
              <w:pStyle w:val="naisnod"/>
              <w:spacing w:before="0" w:after="0"/>
              <w:ind w:left="57" w:right="57"/>
            </w:pPr>
            <w:r w:rsidRPr="00842FDD">
              <w:rPr>
                <w:sz w:val="22"/>
                <w:szCs w:val="22"/>
              </w:rPr>
              <w:t>3.</w:t>
            </w:r>
          </w:p>
        </w:tc>
        <w:tc>
          <w:tcPr>
            <w:tcW w:w="4556" w:type="dxa"/>
          </w:tcPr>
          <w:p w:rsidR="00842FDD" w:rsidRDefault="004901ED" w:rsidP="00950F16">
            <w:pPr>
              <w:pStyle w:val="naisf"/>
              <w:spacing w:before="0" w:beforeAutospacing="0" w:after="0" w:afterAutospacing="0"/>
              <w:ind w:left="57" w:right="57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</w:p>
          <w:p w:rsidR="004901ED" w:rsidRPr="007C0F2C" w:rsidRDefault="004901ED" w:rsidP="00950F16">
            <w:pPr>
              <w:pStyle w:val="naisf"/>
              <w:spacing w:before="0" w:beforeAutospacing="0" w:after="0" w:afterAutospacing="0"/>
              <w:ind w:left="57" w:right="57"/>
            </w:pPr>
            <w:r w:rsidRPr="007C0F2C">
              <w:rPr>
                <w:sz w:val="22"/>
                <w:szCs w:val="22"/>
              </w:rPr>
              <w:t>Jaunu institūciju izveide</w:t>
            </w:r>
            <w:r w:rsidR="00842FDD">
              <w:rPr>
                <w:sz w:val="22"/>
                <w:szCs w:val="22"/>
              </w:rPr>
              <w:t>.</w:t>
            </w:r>
          </w:p>
        </w:tc>
        <w:tc>
          <w:tcPr>
            <w:tcW w:w="4333" w:type="dxa"/>
          </w:tcPr>
          <w:p w:rsidR="004901ED" w:rsidRPr="004901ED" w:rsidRDefault="00842FDD" w:rsidP="00950F16">
            <w:pPr>
              <w:pStyle w:val="naisnod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Nav nepieciešams veidot jaunas institūcijas.</w:t>
            </w:r>
          </w:p>
        </w:tc>
      </w:tr>
      <w:tr w:rsidR="004901ED" w:rsidRPr="007C0F2C" w:rsidTr="006306A1">
        <w:trPr>
          <w:trHeight w:val="780"/>
        </w:trPr>
        <w:tc>
          <w:tcPr>
            <w:tcW w:w="336" w:type="dxa"/>
          </w:tcPr>
          <w:p w:rsidR="004901ED" w:rsidRPr="00842FDD" w:rsidRDefault="004901ED" w:rsidP="00950F16">
            <w:pPr>
              <w:pStyle w:val="naisnod"/>
              <w:spacing w:before="0" w:after="0"/>
              <w:ind w:left="57" w:right="57"/>
            </w:pPr>
            <w:r w:rsidRPr="00842FD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56" w:type="dxa"/>
          </w:tcPr>
          <w:p w:rsidR="004901ED" w:rsidRPr="007C0F2C" w:rsidRDefault="004901ED" w:rsidP="00950F16">
            <w:pPr>
              <w:pStyle w:val="naisf"/>
              <w:spacing w:before="0" w:beforeAutospacing="0" w:after="0" w:afterAutospacing="0"/>
              <w:ind w:left="57" w:right="57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</w:p>
          <w:p w:rsidR="004901ED" w:rsidRPr="007C0F2C" w:rsidRDefault="004901ED" w:rsidP="00950F16">
            <w:pPr>
              <w:pStyle w:val="naisf"/>
              <w:spacing w:before="0" w:beforeAutospacing="0" w:after="0" w:afterAutospacing="0"/>
              <w:ind w:left="57" w:right="57"/>
            </w:pPr>
            <w:r w:rsidRPr="007C0F2C">
              <w:rPr>
                <w:sz w:val="22"/>
                <w:szCs w:val="22"/>
              </w:rPr>
              <w:t>Esošu institūciju likvidācija</w:t>
            </w:r>
            <w:r w:rsidR="00842FDD">
              <w:rPr>
                <w:sz w:val="22"/>
                <w:szCs w:val="22"/>
              </w:rPr>
              <w:t>.</w:t>
            </w:r>
          </w:p>
        </w:tc>
        <w:tc>
          <w:tcPr>
            <w:tcW w:w="4333" w:type="dxa"/>
          </w:tcPr>
          <w:p w:rsidR="004901ED" w:rsidRPr="004901ED" w:rsidRDefault="00842FDD" w:rsidP="00950F16">
            <w:pPr>
              <w:pStyle w:val="naisnod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Nav nepieciešams likvidēt esošas institūcijas.</w:t>
            </w:r>
          </w:p>
        </w:tc>
      </w:tr>
      <w:tr w:rsidR="004901ED" w:rsidRPr="007C0F2C" w:rsidTr="006306A1">
        <w:trPr>
          <w:trHeight w:val="703"/>
        </w:trPr>
        <w:tc>
          <w:tcPr>
            <w:tcW w:w="336" w:type="dxa"/>
          </w:tcPr>
          <w:p w:rsidR="004901ED" w:rsidRPr="00842FDD" w:rsidRDefault="004901ED" w:rsidP="00950F16">
            <w:pPr>
              <w:pStyle w:val="naisnod"/>
              <w:spacing w:before="0" w:after="0"/>
              <w:ind w:left="57" w:right="57"/>
            </w:pPr>
            <w:r w:rsidRPr="00842FDD">
              <w:rPr>
                <w:sz w:val="22"/>
                <w:szCs w:val="22"/>
              </w:rPr>
              <w:t>5.</w:t>
            </w:r>
          </w:p>
        </w:tc>
        <w:tc>
          <w:tcPr>
            <w:tcW w:w="4556" w:type="dxa"/>
          </w:tcPr>
          <w:p w:rsidR="004901ED" w:rsidRPr="007C0F2C" w:rsidRDefault="004901ED" w:rsidP="00842FDD">
            <w:pPr>
              <w:pStyle w:val="naisf"/>
              <w:spacing w:before="0" w:beforeAutospacing="0" w:after="0" w:afterAutospacing="0"/>
            </w:pPr>
            <w:r w:rsidRPr="007C0F2C">
              <w:rPr>
                <w:sz w:val="22"/>
                <w:szCs w:val="22"/>
              </w:rPr>
              <w:t>Projekta izpildes ietekme uz pārvaldes institucionālo struktūru.</w:t>
            </w:r>
          </w:p>
          <w:p w:rsidR="004901ED" w:rsidRPr="007C0F2C" w:rsidRDefault="004901ED" w:rsidP="00842FDD">
            <w:pPr>
              <w:pStyle w:val="naisf"/>
              <w:spacing w:before="0" w:beforeAutospacing="0" w:after="0" w:afterAutospacing="0"/>
            </w:pPr>
            <w:r w:rsidRPr="007C0F2C">
              <w:rPr>
                <w:sz w:val="22"/>
                <w:szCs w:val="22"/>
              </w:rPr>
              <w:t>Esošu institūciju reorganizācija</w:t>
            </w:r>
            <w:r w:rsidR="00842FDD">
              <w:rPr>
                <w:sz w:val="22"/>
                <w:szCs w:val="22"/>
              </w:rPr>
              <w:t>.</w:t>
            </w:r>
          </w:p>
        </w:tc>
        <w:tc>
          <w:tcPr>
            <w:tcW w:w="4333" w:type="dxa"/>
          </w:tcPr>
          <w:p w:rsidR="004901ED" w:rsidRPr="004901ED" w:rsidRDefault="00842FDD" w:rsidP="00950F16">
            <w:pPr>
              <w:pStyle w:val="naisnod"/>
              <w:spacing w:before="0" w:after="0"/>
              <w:ind w:left="57" w:right="57"/>
            </w:pPr>
            <w:r>
              <w:rPr>
                <w:iCs/>
                <w:sz w:val="22"/>
                <w:szCs w:val="22"/>
              </w:rPr>
              <w:t>Nav nepieciešams reorganizēt vai apvienot esošas institūcijas.</w:t>
            </w:r>
          </w:p>
        </w:tc>
      </w:tr>
      <w:tr w:rsidR="004901ED" w:rsidRPr="007C0F2C" w:rsidTr="006306A1">
        <w:trPr>
          <w:trHeight w:val="476"/>
        </w:trPr>
        <w:tc>
          <w:tcPr>
            <w:tcW w:w="336" w:type="dxa"/>
          </w:tcPr>
          <w:p w:rsidR="004901ED" w:rsidRPr="007C0F2C" w:rsidRDefault="004901ED" w:rsidP="00950F16">
            <w:pPr>
              <w:pStyle w:val="naiskr"/>
              <w:spacing w:before="0" w:beforeAutospacing="0" w:after="0" w:afterAutospacing="0"/>
              <w:ind w:left="57" w:right="57"/>
            </w:pPr>
            <w:r>
              <w:rPr>
                <w:sz w:val="22"/>
                <w:szCs w:val="22"/>
              </w:rPr>
              <w:t>6</w:t>
            </w:r>
            <w:r w:rsidRPr="007C0F2C">
              <w:rPr>
                <w:sz w:val="22"/>
                <w:szCs w:val="22"/>
              </w:rPr>
              <w:t>.</w:t>
            </w:r>
          </w:p>
        </w:tc>
        <w:tc>
          <w:tcPr>
            <w:tcW w:w="4556" w:type="dxa"/>
          </w:tcPr>
          <w:p w:rsidR="004901ED" w:rsidRPr="007C0F2C" w:rsidRDefault="004901ED" w:rsidP="00842FDD">
            <w:pPr>
              <w:pStyle w:val="naiskr"/>
              <w:spacing w:before="0" w:beforeAutospacing="0" w:after="0" w:afterAutospacing="0"/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4333" w:type="dxa"/>
          </w:tcPr>
          <w:p w:rsidR="004901ED" w:rsidRPr="004901ED" w:rsidRDefault="00842FDD" w:rsidP="00950F16">
            <w:pPr>
              <w:pStyle w:val="naiskr"/>
              <w:spacing w:before="0" w:beforeAutospacing="0" w:after="0" w:afterAutospacing="0"/>
              <w:ind w:left="57" w:right="57"/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E01583" w:rsidRDefault="00E01583" w:rsidP="004901ED"/>
    <w:p w:rsidR="00236D14" w:rsidRDefault="00236D14" w:rsidP="004901ED"/>
    <w:p w:rsidR="00E01583" w:rsidRDefault="00E01583" w:rsidP="004901ED"/>
    <w:p w:rsidR="00E01583" w:rsidRDefault="00E01583" w:rsidP="00E01583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Pr="009708F5">
        <w:rPr>
          <w:sz w:val="28"/>
          <w:szCs w:val="28"/>
        </w:rPr>
        <w:t>Satiksmes ministrs</w:t>
      </w:r>
      <w:r w:rsidRPr="009708F5">
        <w:rPr>
          <w:sz w:val="28"/>
          <w:szCs w:val="28"/>
        </w:rPr>
        <w:tab/>
      </w:r>
      <w:r w:rsidR="00287C7B">
        <w:rPr>
          <w:sz w:val="28"/>
          <w:szCs w:val="28"/>
        </w:rPr>
        <w:tab/>
      </w:r>
      <w:r w:rsidR="00287C7B">
        <w:rPr>
          <w:sz w:val="28"/>
          <w:szCs w:val="28"/>
        </w:rPr>
        <w:tab/>
      </w:r>
      <w:r w:rsidR="00287C7B">
        <w:rPr>
          <w:sz w:val="28"/>
          <w:szCs w:val="28"/>
        </w:rPr>
        <w:tab/>
      </w:r>
      <w:r w:rsidR="00287C7B">
        <w:rPr>
          <w:sz w:val="28"/>
          <w:szCs w:val="28"/>
        </w:rPr>
        <w:tab/>
        <w:t>A.Matīss</w:t>
      </w:r>
    </w:p>
    <w:p w:rsidR="00E01583" w:rsidRDefault="00E01583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236D14" w:rsidRDefault="00236D14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45423F" w:rsidRDefault="0045423F" w:rsidP="0045423F">
      <w:pPr>
        <w:rPr>
          <w:sz w:val="28"/>
          <w:szCs w:val="28"/>
        </w:rPr>
      </w:pPr>
      <w:r>
        <w:rPr>
          <w:sz w:val="28"/>
          <w:szCs w:val="28"/>
        </w:rPr>
        <w:t>Vīza: Valsts sekretārs                                                          K.Ozoliņš</w:t>
      </w:r>
    </w:p>
    <w:p w:rsidR="0045423F" w:rsidRDefault="0045423F" w:rsidP="0045423F">
      <w:pPr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01583" w:rsidRDefault="00E01583" w:rsidP="00E01583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E01583" w:rsidRDefault="00882068" w:rsidP="00E01583">
      <w:pPr>
        <w:rPr>
          <w:sz w:val="20"/>
          <w:szCs w:val="20"/>
        </w:rPr>
      </w:pPr>
      <w:r>
        <w:rPr>
          <w:sz w:val="20"/>
          <w:szCs w:val="20"/>
        </w:rPr>
        <w:t>2013.0</w:t>
      </w:r>
      <w:r w:rsidR="00236D14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236D14">
        <w:rPr>
          <w:sz w:val="20"/>
          <w:szCs w:val="20"/>
        </w:rPr>
        <w:t>03</w:t>
      </w:r>
      <w:r>
        <w:rPr>
          <w:sz w:val="20"/>
          <w:szCs w:val="20"/>
        </w:rPr>
        <w:t>. 10:19</w:t>
      </w:r>
      <w:r w:rsidR="00650319">
        <w:rPr>
          <w:sz w:val="20"/>
          <w:szCs w:val="20"/>
        </w:rPr>
        <w:t xml:space="preserve"> </w:t>
      </w:r>
      <w:fldSimple w:instr=" NUMWORDS   \* MERGEFORMAT ">
        <w:r w:rsidR="007131A1" w:rsidRPr="007131A1">
          <w:rPr>
            <w:noProof/>
            <w:sz w:val="20"/>
            <w:szCs w:val="20"/>
          </w:rPr>
          <w:t>1502</w:t>
        </w:r>
      </w:fldSimple>
    </w:p>
    <w:p w:rsidR="00E01583" w:rsidRPr="000D365E" w:rsidRDefault="00E01583" w:rsidP="00E01583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0D365E">
        <w:rPr>
          <w:sz w:val="20"/>
          <w:szCs w:val="20"/>
        </w:rPr>
        <w:t>Z.Libeka</w:t>
      </w:r>
      <w:proofErr w:type="spellEnd"/>
      <w:r w:rsidRPr="000D365E">
        <w:rPr>
          <w:sz w:val="20"/>
          <w:szCs w:val="20"/>
        </w:rPr>
        <w:t xml:space="preserve">, </w:t>
      </w:r>
    </w:p>
    <w:p w:rsidR="00E01583" w:rsidRPr="000D365E" w:rsidRDefault="00E01583" w:rsidP="00E01583">
      <w:pPr>
        <w:pStyle w:val="naisf"/>
        <w:spacing w:before="0" w:beforeAutospacing="0" w:after="0" w:afterAutospacing="0"/>
        <w:rPr>
          <w:sz w:val="20"/>
          <w:szCs w:val="20"/>
        </w:rPr>
      </w:pPr>
      <w:r w:rsidRPr="000D365E">
        <w:rPr>
          <w:sz w:val="20"/>
          <w:szCs w:val="20"/>
        </w:rPr>
        <w:t>670</w:t>
      </w:r>
      <w:r w:rsidRPr="000D365E">
        <w:rPr>
          <w:color w:val="000000"/>
          <w:sz w:val="20"/>
          <w:szCs w:val="20"/>
        </w:rPr>
        <w:t>28032</w:t>
      </w:r>
      <w:r w:rsidRPr="000D365E">
        <w:rPr>
          <w:sz w:val="20"/>
          <w:szCs w:val="20"/>
        </w:rPr>
        <w:t xml:space="preserve">, </w:t>
      </w:r>
      <w:hyperlink r:id="rId9" w:history="1">
        <w:r w:rsidRPr="000D365E">
          <w:rPr>
            <w:rStyle w:val="Hyperlink"/>
            <w:sz w:val="20"/>
            <w:szCs w:val="20"/>
          </w:rPr>
          <w:t>zane.libeka@lvceli.lv</w:t>
        </w:r>
      </w:hyperlink>
      <w:r w:rsidRPr="000D365E">
        <w:rPr>
          <w:sz w:val="20"/>
          <w:szCs w:val="20"/>
        </w:rPr>
        <w:t xml:space="preserve"> </w:t>
      </w:r>
    </w:p>
    <w:p w:rsidR="00E01583" w:rsidRPr="004901ED" w:rsidRDefault="00E01583" w:rsidP="004901ED"/>
    <w:sectPr w:rsidR="00E01583" w:rsidRPr="004901ED" w:rsidSect="006306A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81" w:rsidRDefault="00C91581">
      <w:r>
        <w:separator/>
      </w:r>
    </w:p>
  </w:endnote>
  <w:endnote w:type="continuationSeparator" w:id="0">
    <w:p w:rsidR="00C91581" w:rsidRDefault="00C9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BB" w:rsidRPr="006306A1" w:rsidRDefault="006306A1" w:rsidP="006306A1">
    <w:pPr>
      <w:pStyle w:val="Footer"/>
      <w:rPr>
        <w:sz w:val="20"/>
        <w:szCs w:val="20"/>
      </w:rPr>
    </w:pPr>
    <w:r w:rsidRPr="00B329B9">
      <w:rPr>
        <w:sz w:val="20"/>
        <w:szCs w:val="20"/>
      </w:rPr>
      <w:t>SAMAnot_</w:t>
    </w:r>
    <w:r w:rsidR="00236D14">
      <w:rPr>
        <w:sz w:val="20"/>
        <w:szCs w:val="20"/>
      </w:rPr>
      <w:t>0309</w:t>
    </w:r>
    <w:r w:rsidR="00C949D8">
      <w:rPr>
        <w:sz w:val="20"/>
        <w:szCs w:val="20"/>
      </w:rPr>
      <w:t>13_</w:t>
    </w:r>
    <w:r w:rsidR="003413A9">
      <w:rPr>
        <w:sz w:val="20"/>
        <w:szCs w:val="20"/>
      </w:rPr>
      <w:t>AL</w:t>
    </w:r>
    <w:r>
      <w:rPr>
        <w:sz w:val="20"/>
        <w:szCs w:val="20"/>
      </w:rPr>
      <w:t>;</w:t>
    </w:r>
    <w:r w:rsidRPr="00B329B9">
      <w:rPr>
        <w:sz w:val="20"/>
        <w:szCs w:val="20"/>
      </w:rPr>
      <w:t xml:space="preserve"> </w:t>
    </w:r>
    <w:r>
      <w:rPr>
        <w:sz w:val="20"/>
        <w:szCs w:val="20"/>
      </w:rPr>
      <w:t>Likumprojekta „</w:t>
    </w:r>
    <w:r w:rsidR="0065256E">
      <w:rPr>
        <w:sz w:val="20"/>
        <w:szCs w:val="20"/>
      </w:rPr>
      <w:t>Grozījumi „</w:t>
    </w:r>
    <w:r w:rsidR="006D7932">
      <w:rPr>
        <w:sz w:val="20"/>
        <w:szCs w:val="20"/>
      </w:rPr>
      <w:t>Likumā „Par autoceļiem””</w:t>
    </w:r>
    <w:r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BB" w:rsidRPr="00B329B9" w:rsidRDefault="000E3DBB">
    <w:pPr>
      <w:pStyle w:val="Footer"/>
      <w:rPr>
        <w:sz w:val="20"/>
        <w:szCs w:val="20"/>
      </w:rPr>
    </w:pPr>
    <w:r w:rsidRPr="00B329B9">
      <w:rPr>
        <w:sz w:val="20"/>
        <w:szCs w:val="20"/>
      </w:rPr>
      <w:t>SAMAnot_</w:t>
    </w:r>
    <w:r w:rsidR="00236D14">
      <w:rPr>
        <w:sz w:val="20"/>
        <w:szCs w:val="20"/>
      </w:rPr>
      <w:t>0309</w:t>
    </w:r>
    <w:r w:rsidR="00C949D8">
      <w:rPr>
        <w:sz w:val="20"/>
        <w:szCs w:val="20"/>
      </w:rPr>
      <w:t>13_</w:t>
    </w:r>
    <w:r w:rsidR="003413A9">
      <w:rPr>
        <w:sz w:val="20"/>
        <w:szCs w:val="20"/>
      </w:rPr>
      <w:t>AL</w:t>
    </w:r>
    <w:r w:rsidR="006306A1">
      <w:rPr>
        <w:sz w:val="20"/>
        <w:szCs w:val="20"/>
      </w:rPr>
      <w:t>;</w:t>
    </w:r>
    <w:r w:rsidRPr="00B329B9">
      <w:rPr>
        <w:sz w:val="20"/>
        <w:szCs w:val="20"/>
      </w:rPr>
      <w:t xml:space="preserve"> </w:t>
    </w:r>
    <w:r>
      <w:rPr>
        <w:sz w:val="20"/>
        <w:szCs w:val="20"/>
      </w:rPr>
      <w:t>Likumprojekt</w:t>
    </w:r>
    <w:r w:rsidR="006306A1">
      <w:rPr>
        <w:sz w:val="20"/>
        <w:szCs w:val="20"/>
      </w:rPr>
      <w:t>a</w:t>
    </w:r>
    <w:r>
      <w:rPr>
        <w:sz w:val="20"/>
        <w:szCs w:val="20"/>
      </w:rPr>
      <w:t xml:space="preserve"> „</w:t>
    </w:r>
    <w:r w:rsidR="00BE188F">
      <w:rPr>
        <w:sz w:val="20"/>
        <w:szCs w:val="20"/>
      </w:rPr>
      <w:t xml:space="preserve"> Grozījumi „</w:t>
    </w:r>
    <w:r w:rsidR="00C949D8">
      <w:rPr>
        <w:sz w:val="20"/>
        <w:szCs w:val="20"/>
      </w:rPr>
      <w:t xml:space="preserve"> Likumā „Par autoceļiem””</w:t>
    </w:r>
    <w:r w:rsidR="006306A1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6306A1">
        <w:rPr>
          <w:sz w:val="20"/>
          <w:szCs w:val="20"/>
        </w:rPr>
        <w:t>ziņojums</w:t>
      </w:r>
    </w:smartTag>
    <w:r w:rsidR="006306A1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81" w:rsidRDefault="00C91581">
      <w:r>
        <w:separator/>
      </w:r>
    </w:p>
  </w:footnote>
  <w:footnote w:type="continuationSeparator" w:id="0">
    <w:p w:rsidR="00C91581" w:rsidRDefault="00C9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BB" w:rsidRDefault="009B4944" w:rsidP="002E2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D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DBB" w:rsidRDefault="000E3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BB" w:rsidRPr="00260EE5" w:rsidRDefault="009B4944" w:rsidP="002E2B09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260EE5">
      <w:rPr>
        <w:rStyle w:val="PageNumber"/>
        <w:sz w:val="20"/>
        <w:szCs w:val="20"/>
      </w:rPr>
      <w:fldChar w:fldCharType="begin"/>
    </w:r>
    <w:r w:rsidR="000E3DBB" w:rsidRPr="00260EE5">
      <w:rPr>
        <w:rStyle w:val="PageNumber"/>
        <w:sz w:val="20"/>
        <w:szCs w:val="20"/>
      </w:rPr>
      <w:instrText xml:space="preserve">PAGE  </w:instrText>
    </w:r>
    <w:r w:rsidRPr="00260EE5">
      <w:rPr>
        <w:rStyle w:val="PageNumber"/>
        <w:sz w:val="20"/>
        <w:szCs w:val="20"/>
      </w:rPr>
      <w:fldChar w:fldCharType="separate"/>
    </w:r>
    <w:r w:rsidR="00D74CF9">
      <w:rPr>
        <w:rStyle w:val="PageNumber"/>
        <w:noProof/>
        <w:sz w:val="20"/>
        <w:szCs w:val="20"/>
      </w:rPr>
      <w:t>6</w:t>
    </w:r>
    <w:r w:rsidRPr="00260EE5">
      <w:rPr>
        <w:rStyle w:val="PageNumber"/>
        <w:sz w:val="20"/>
        <w:szCs w:val="20"/>
      </w:rPr>
      <w:fldChar w:fldCharType="end"/>
    </w:r>
  </w:p>
  <w:p w:rsidR="000E3DBB" w:rsidRDefault="000E3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61"/>
    <w:multiLevelType w:val="hybridMultilevel"/>
    <w:tmpl w:val="A0A8BDC2"/>
    <w:lvl w:ilvl="0" w:tplc="FB00B4D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F962243"/>
    <w:multiLevelType w:val="hybridMultilevel"/>
    <w:tmpl w:val="BDC83FFA"/>
    <w:lvl w:ilvl="0" w:tplc="E1224FC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6BE171A5"/>
    <w:multiLevelType w:val="hybridMultilevel"/>
    <w:tmpl w:val="EE0A84DC"/>
    <w:lvl w:ilvl="0" w:tplc="5A96C06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6A65DE"/>
    <w:multiLevelType w:val="hybridMultilevel"/>
    <w:tmpl w:val="34DAEEDA"/>
    <w:lvl w:ilvl="0" w:tplc="25F6C5C2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DE46D95"/>
    <w:multiLevelType w:val="hybridMultilevel"/>
    <w:tmpl w:val="4F500F7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E"/>
    <w:rsid w:val="00001083"/>
    <w:rsid w:val="00011110"/>
    <w:rsid w:val="0002778B"/>
    <w:rsid w:val="00042814"/>
    <w:rsid w:val="0004628D"/>
    <w:rsid w:val="00062112"/>
    <w:rsid w:val="00066F0C"/>
    <w:rsid w:val="00074555"/>
    <w:rsid w:val="000875FD"/>
    <w:rsid w:val="00094C1C"/>
    <w:rsid w:val="000A1A45"/>
    <w:rsid w:val="000A54B7"/>
    <w:rsid w:val="000B26ED"/>
    <w:rsid w:val="000D0C6C"/>
    <w:rsid w:val="000D365E"/>
    <w:rsid w:val="000E3DBB"/>
    <w:rsid w:val="000E4550"/>
    <w:rsid w:val="000F2D7A"/>
    <w:rsid w:val="000F62D3"/>
    <w:rsid w:val="00134632"/>
    <w:rsid w:val="00136634"/>
    <w:rsid w:val="00146EE0"/>
    <w:rsid w:val="001477BD"/>
    <w:rsid w:val="00152A90"/>
    <w:rsid w:val="00171F0D"/>
    <w:rsid w:val="0017277C"/>
    <w:rsid w:val="00181340"/>
    <w:rsid w:val="00191DFB"/>
    <w:rsid w:val="00194421"/>
    <w:rsid w:val="001A1734"/>
    <w:rsid w:val="001B5A7A"/>
    <w:rsid w:val="001D356F"/>
    <w:rsid w:val="001D4535"/>
    <w:rsid w:val="001E6AF6"/>
    <w:rsid w:val="001F0703"/>
    <w:rsid w:val="001F11FE"/>
    <w:rsid w:val="001F66C5"/>
    <w:rsid w:val="0021068A"/>
    <w:rsid w:val="00211703"/>
    <w:rsid w:val="00216437"/>
    <w:rsid w:val="002238CF"/>
    <w:rsid w:val="002239B7"/>
    <w:rsid w:val="00236D14"/>
    <w:rsid w:val="00237A3F"/>
    <w:rsid w:val="00242C51"/>
    <w:rsid w:val="00251771"/>
    <w:rsid w:val="002550F1"/>
    <w:rsid w:val="00260EE5"/>
    <w:rsid w:val="00261E38"/>
    <w:rsid w:val="0028718B"/>
    <w:rsid w:val="00287AF9"/>
    <w:rsid w:val="00287C7B"/>
    <w:rsid w:val="002A439E"/>
    <w:rsid w:val="002C09F4"/>
    <w:rsid w:val="002C0C0D"/>
    <w:rsid w:val="002C0D85"/>
    <w:rsid w:val="002D246F"/>
    <w:rsid w:val="002D7AAE"/>
    <w:rsid w:val="002E2B09"/>
    <w:rsid w:val="00300184"/>
    <w:rsid w:val="003040E7"/>
    <w:rsid w:val="003066CC"/>
    <w:rsid w:val="0031088C"/>
    <w:rsid w:val="00327B25"/>
    <w:rsid w:val="0033115E"/>
    <w:rsid w:val="003413A9"/>
    <w:rsid w:val="00346A2D"/>
    <w:rsid w:val="003656D9"/>
    <w:rsid w:val="003A142E"/>
    <w:rsid w:val="003A471A"/>
    <w:rsid w:val="003B60E8"/>
    <w:rsid w:val="00416A89"/>
    <w:rsid w:val="00416AA2"/>
    <w:rsid w:val="00437341"/>
    <w:rsid w:val="0045423F"/>
    <w:rsid w:val="00460C87"/>
    <w:rsid w:val="004733A9"/>
    <w:rsid w:val="0047484C"/>
    <w:rsid w:val="004901ED"/>
    <w:rsid w:val="00496D99"/>
    <w:rsid w:val="004A7144"/>
    <w:rsid w:val="004B1890"/>
    <w:rsid w:val="004B77EF"/>
    <w:rsid w:val="004C3D60"/>
    <w:rsid w:val="004C6A04"/>
    <w:rsid w:val="004D4F4D"/>
    <w:rsid w:val="004E0051"/>
    <w:rsid w:val="004E70FE"/>
    <w:rsid w:val="004F655E"/>
    <w:rsid w:val="00500836"/>
    <w:rsid w:val="005176B4"/>
    <w:rsid w:val="00537788"/>
    <w:rsid w:val="0054265C"/>
    <w:rsid w:val="00577460"/>
    <w:rsid w:val="005842A8"/>
    <w:rsid w:val="005930E0"/>
    <w:rsid w:val="005B089F"/>
    <w:rsid w:val="005D3D83"/>
    <w:rsid w:val="005E243C"/>
    <w:rsid w:val="005E2450"/>
    <w:rsid w:val="005E3665"/>
    <w:rsid w:val="005E6F72"/>
    <w:rsid w:val="005F0BBB"/>
    <w:rsid w:val="005F7F14"/>
    <w:rsid w:val="00604B2B"/>
    <w:rsid w:val="006306A1"/>
    <w:rsid w:val="00630F41"/>
    <w:rsid w:val="00650319"/>
    <w:rsid w:val="0065256E"/>
    <w:rsid w:val="00655BFB"/>
    <w:rsid w:val="0065750A"/>
    <w:rsid w:val="006735EE"/>
    <w:rsid w:val="00674BC1"/>
    <w:rsid w:val="00675EEC"/>
    <w:rsid w:val="0068106A"/>
    <w:rsid w:val="00697204"/>
    <w:rsid w:val="006A27A1"/>
    <w:rsid w:val="006A62C4"/>
    <w:rsid w:val="006B0AFB"/>
    <w:rsid w:val="006C45A1"/>
    <w:rsid w:val="006C4E86"/>
    <w:rsid w:val="006C6AAC"/>
    <w:rsid w:val="006D7932"/>
    <w:rsid w:val="006E2BB6"/>
    <w:rsid w:val="00710B9E"/>
    <w:rsid w:val="00711F59"/>
    <w:rsid w:val="007131A1"/>
    <w:rsid w:val="00717CE5"/>
    <w:rsid w:val="00743218"/>
    <w:rsid w:val="00751BCE"/>
    <w:rsid w:val="0075502C"/>
    <w:rsid w:val="00760675"/>
    <w:rsid w:val="00760DE8"/>
    <w:rsid w:val="00761D8F"/>
    <w:rsid w:val="007639FF"/>
    <w:rsid w:val="007A60E6"/>
    <w:rsid w:val="007C0F2C"/>
    <w:rsid w:val="007C273A"/>
    <w:rsid w:val="007C60F5"/>
    <w:rsid w:val="007D34D8"/>
    <w:rsid w:val="007D4CE8"/>
    <w:rsid w:val="007D5DC1"/>
    <w:rsid w:val="007E0B5C"/>
    <w:rsid w:val="007E1FD6"/>
    <w:rsid w:val="007E2E4D"/>
    <w:rsid w:val="007F1B98"/>
    <w:rsid w:val="007F4E64"/>
    <w:rsid w:val="0080072E"/>
    <w:rsid w:val="0082276E"/>
    <w:rsid w:val="00833019"/>
    <w:rsid w:val="00840C9E"/>
    <w:rsid w:val="00842FDD"/>
    <w:rsid w:val="008666C1"/>
    <w:rsid w:val="00867AE1"/>
    <w:rsid w:val="0087228F"/>
    <w:rsid w:val="008750CD"/>
    <w:rsid w:val="0087590D"/>
    <w:rsid w:val="008759AA"/>
    <w:rsid w:val="00882068"/>
    <w:rsid w:val="00882D71"/>
    <w:rsid w:val="00886847"/>
    <w:rsid w:val="00887079"/>
    <w:rsid w:val="00895A00"/>
    <w:rsid w:val="00897B5D"/>
    <w:rsid w:val="00897F12"/>
    <w:rsid w:val="008A381C"/>
    <w:rsid w:val="008B4288"/>
    <w:rsid w:val="008F42A6"/>
    <w:rsid w:val="0091363E"/>
    <w:rsid w:val="0091407D"/>
    <w:rsid w:val="009219E5"/>
    <w:rsid w:val="009263FF"/>
    <w:rsid w:val="00927ABB"/>
    <w:rsid w:val="00931E95"/>
    <w:rsid w:val="00941B0D"/>
    <w:rsid w:val="00942FED"/>
    <w:rsid w:val="00950F16"/>
    <w:rsid w:val="009708F5"/>
    <w:rsid w:val="009757A2"/>
    <w:rsid w:val="00980407"/>
    <w:rsid w:val="009946E4"/>
    <w:rsid w:val="009B4944"/>
    <w:rsid w:val="009F2129"/>
    <w:rsid w:val="00A04075"/>
    <w:rsid w:val="00A26467"/>
    <w:rsid w:val="00A27A4D"/>
    <w:rsid w:val="00A27C7C"/>
    <w:rsid w:val="00A30143"/>
    <w:rsid w:val="00A31BA4"/>
    <w:rsid w:val="00A3664C"/>
    <w:rsid w:val="00A6235F"/>
    <w:rsid w:val="00A63040"/>
    <w:rsid w:val="00A65D2F"/>
    <w:rsid w:val="00A66179"/>
    <w:rsid w:val="00A67B69"/>
    <w:rsid w:val="00A7280F"/>
    <w:rsid w:val="00A92B09"/>
    <w:rsid w:val="00AA2EC5"/>
    <w:rsid w:val="00AA5F2A"/>
    <w:rsid w:val="00AB13D9"/>
    <w:rsid w:val="00AB2525"/>
    <w:rsid w:val="00AC2A96"/>
    <w:rsid w:val="00AD1D65"/>
    <w:rsid w:val="00AD520E"/>
    <w:rsid w:val="00AE6E8D"/>
    <w:rsid w:val="00AF544C"/>
    <w:rsid w:val="00AF5756"/>
    <w:rsid w:val="00B02E65"/>
    <w:rsid w:val="00B11B3A"/>
    <w:rsid w:val="00B179D3"/>
    <w:rsid w:val="00B31939"/>
    <w:rsid w:val="00B329B9"/>
    <w:rsid w:val="00B4094F"/>
    <w:rsid w:val="00B44742"/>
    <w:rsid w:val="00B45486"/>
    <w:rsid w:val="00B46F95"/>
    <w:rsid w:val="00B560E4"/>
    <w:rsid w:val="00B57B21"/>
    <w:rsid w:val="00B57FC2"/>
    <w:rsid w:val="00B67032"/>
    <w:rsid w:val="00B7294D"/>
    <w:rsid w:val="00B7712F"/>
    <w:rsid w:val="00B84313"/>
    <w:rsid w:val="00BA3C4F"/>
    <w:rsid w:val="00BA42EA"/>
    <w:rsid w:val="00BB72C7"/>
    <w:rsid w:val="00BD4172"/>
    <w:rsid w:val="00BE188F"/>
    <w:rsid w:val="00BF49C5"/>
    <w:rsid w:val="00C07637"/>
    <w:rsid w:val="00C152A2"/>
    <w:rsid w:val="00C245BD"/>
    <w:rsid w:val="00C3773D"/>
    <w:rsid w:val="00C457C4"/>
    <w:rsid w:val="00C56548"/>
    <w:rsid w:val="00C56A5A"/>
    <w:rsid w:val="00C64964"/>
    <w:rsid w:val="00C72731"/>
    <w:rsid w:val="00C80CD5"/>
    <w:rsid w:val="00C85EB4"/>
    <w:rsid w:val="00C91581"/>
    <w:rsid w:val="00C932B6"/>
    <w:rsid w:val="00C949D8"/>
    <w:rsid w:val="00CB4575"/>
    <w:rsid w:val="00CB5CA0"/>
    <w:rsid w:val="00CC427A"/>
    <w:rsid w:val="00CE07DF"/>
    <w:rsid w:val="00D12732"/>
    <w:rsid w:val="00D62414"/>
    <w:rsid w:val="00D6279D"/>
    <w:rsid w:val="00D673A6"/>
    <w:rsid w:val="00D71109"/>
    <w:rsid w:val="00D74CF9"/>
    <w:rsid w:val="00D91DC3"/>
    <w:rsid w:val="00DA4983"/>
    <w:rsid w:val="00DC08E4"/>
    <w:rsid w:val="00DC1D7F"/>
    <w:rsid w:val="00DC3D0B"/>
    <w:rsid w:val="00DC703F"/>
    <w:rsid w:val="00DD4A5D"/>
    <w:rsid w:val="00DE4B41"/>
    <w:rsid w:val="00E01583"/>
    <w:rsid w:val="00E13BBC"/>
    <w:rsid w:val="00E23955"/>
    <w:rsid w:val="00E23C8A"/>
    <w:rsid w:val="00E25C5E"/>
    <w:rsid w:val="00E476F4"/>
    <w:rsid w:val="00E84D65"/>
    <w:rsid w:val="00EA0F1C"/>
    <w:rsid w:val="00EA793D"/>
    <w:rsid w:val="00EB3F58"/>
    <w:rsid w:val="00EC3E26"/>
    <w:rsid w:val="00ED5107"/>
    <w:rsid w:val="00EE2DAD"/>
    <w:rsid w:val="00EE3C83"/>
    <w:rsid w:val="00EF7DEE"/>
    <w:rsid w:val="00F1254B"/>
    <w:rsid w:val="00F12A21"/>
    <w:rsid w:val="00F12E0B"/>
    <w:rsid w:val="00F16A22"/>
    <w:rsid w:val="00F35C37"/>
    <w:rsid w:val="00F422AA"/>
    <w:rsid w:val="00F44C30"/>
    <w:rsid w:val="00F70652"/>
    <w:rsid w:val="00F978F3"/>
    <w:rsid w:val="00FA61CF"/>
    <w:rsid w:val="00FA7D55"/>
    <w:rsid w:val="00FB0328"/>
    <w:rsid w:val="00FC0755"/>
    <w:rsid w:val="00FE143B"/>
    <w:rsid w:val="00FE173A"/>
    <w:rsid w:val="00FE62DE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D"/>
    <w:pPr>
      <w:spacing w:after="0" w:line="240" w:lineRule="auto"/>
    </w:pPr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EF7DEE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F7D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43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0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43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14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03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1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525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locked/>
    <w:rsid w:val="00F12E0B"/>
    <w:pPr>
      <w:spacing w:after="0" w:line="240" w:lineRule="auto"/>
    </w:pPr>
    <w:rPr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90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525"/>
    <w:rPr>
      <w:rFonts w:cs="Times New Roman"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EC3E26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525"/>
    <w:rPr>
      <w:rFonts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3D"/>
    <w:rPr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3D"/>
    <w:rPr>
      <w:b/>
      <w:bCs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D"/>
    <w:pPr>
      <w:spacing w:after="0" w:line="240" w:lineRule="auto"/>
    </w:pPr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EF7DEE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EF7DEE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F7D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43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0E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43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14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03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17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525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locked/>
    <w:rsid w:val="00F12E0B"/>
    <w:pPr>
      <w:spacing w:after="0" w:line="240" w:lineRule="auto"/>
    </w:pPr>
    <w:rPr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901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525"/>
    <w:rPr>
      <w:rFonts w:cs="Times New Roman"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EC3E26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525"/>
    <w:rPr>
      <w:rFonts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3D"/>
    <w:rPr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3D"/>
    <w:rPr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libeka@lvcel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2229-563E-459F-9F10-592BD98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7537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autoceļiem""</vt:lpstr>
    </vt:vector>
  </TitlesOfParts>
  <Company>Satiksmes ministrija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autoceļiem""</dc:title>
  <dc:subject>SamAnot_260710</dc:subject>
  <dc:creator>Z.Libeka</dc:creator>
  <dc:description>67028032, zane.libeka@lvceli.lv</dc:description>
  <cp:lastModifiedBy>Baiba Šterna</cp:lastModifiedBy>
  <cp:revision>2</cp:revision>
  <cp:lastPrinted>2013-08-19T11:32:00Z</cp:lastPrinted>
  <dcterms:created xsi:type="dcterms:W3CDTF">2013-09-04T11:09:00Z</dcterms:created>
  <dcterms:modified xsi:type="dcterms:W3CDTF">2013-09-04T11:09:00Z</dcterms:modified>
</cp:coreProperties>
</file>