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66" w:rsidRDefault="00465566" w:rsidP="00465566">
      <w:pPr>
        <w:pStyle w:val="naislab"/>
        <w:spacing w:before="0" w:after="0"/>
        <w:jc w:val="center"/>
        <w:outlineLvl w:val="0"/>
        <w:rPr>
          <w:b/>
          <w:color w:val="000000"/>
          <w:sz w:val="28"/>
          <w:szCs w:val="28"/>
        </w:rPr>
      </w:pPr>
      <w:r w:rsidRPr="00E85D87">
        <w:rPr>
          <w:b/>
          <w:color w:val="000000"/>
          <w:sz w:val="28"/>
          <w:szCs w:val="28"/>
        </w:rPr>
        <w:t xml:space="preserve">Ministru kabineta noteikumu projekta </w:t>
      </w:r>
    </w:p>
    <w:p w:rsidR="00465566" w:rsidRPr="00E85D87" w:rsidRDefault="00465566" w:rsidP="00465566">
      <w:pPr>
        <w:pStyle w:val="naislab"/>
        <w:spacing w:before="0" w:after="0"/>
        <w:jc w:val="center"/>
        <w:outlineLvl w:val="0"/>
        <w:rPr>
          <w:b/>
          <w:color w:val="000000"/>
          <w:sz w:val="28"/>
          <w:szCs w:val="28"/>
        </w:rPr>
      </w:pPr>
      <w:r w:rsidRPr="00E85D87">
        <w:rPr>
          <w:b/>
          <w:color w:val="000000"/>
          <w:sz w:val="28"/>
          <w:szCs w:val="28"/>
        </w:rPr>
        <w:t xml:space="preserve">„Grozījumi </w:t>
      </w:r>
      <w:bookmarkStart w:id="0" w:name="_GoBack"/>
      <w:bookmarkEnd w:id="0"/>
      <w:r w:rsidRPr="00E85D87">
        <w:rPr>
          <w:b/>
          <w:color w:val="000000"/>
          <w:sz w:val="28"/>
          <w:szCs w:val="28"/>
        </w:rPr>
        <w:t xml:space="preserve">Ministru kabineta 2012.gada </w:t>
      </w:r>
      <w:r>
        <w:rPr>
          <w:b/>
          <w:color w:val="000000"/>
          <w:sz w:val="28"/>
          <w:szCs w:val="28"/>
        </w:rPr>
        <w:t>28.augusta</w:t>
      </w:r>
      <w:r w:rsidRPr="00E85D87">
        <w:rPr>
          <w:b/>
          <w:color w:val="000000"/>
          <w:sz w:val="28"/>
          <w:szCs w:val="28"/>
        </w:rPr>
        <w:t xml:space="preserve"> noteikumos Nr.</w:t>
      </w:r>
      <w:r>
        <w:rPr>
          <w:b/>
          <w:color w:val="000000"/>
          <w:sz w:val="28"/>
          <w:szCs w:val="28"/>
        </w:rPr>
        <w:t>599</w:t>
      </w:r>
      <w:r w:rsidRPr="00E85D87">
        <w:rPr>
          <w:b/>
          <w:color w:val="000000"/>
          <w:sz w:val="28"/>
          <w:szCs w:val="28"/>
        </w:rPr>
        <w:t xml:space="preserve"> „</w:t>
      </w:r>
      <w:r>
        <w:rPr>
          <w:b/>
          <w:color w:val="000000"/>
          <w:sz w:val="28"/>
          <w:szCs w:val="28"/>
        </w:rPr>
        <w:t>Sabiedriskā transporta pakalpojumu sniegšanas un izmantošanas kārtība</w:t>
      </w:r>
      <w:r w:rsidRPr="00E85D87">
        <w:rPr>
          <w:b/>
          <w:color w:val="000000"/>
          <w:sz w:val="28"/>
          <w:szCs w:val="28"/>
        </w:rPr>
        <w:t xml:space="preserve">”” sākotnējās ietekmes novērtējuma </w:t>
      </w:r>
      <w:smartTag w:uri="schemas-tilde-lv/tildestengine" w:element="veidnes">
        <w:smartTagPr>
          <w:attr w:name="text" w:val="ziņojums&#10;"/>
          <w:attr w:name="baseform" w:val="ziņojums"/>
          <w:attr w:name="id" w:val="-1"/>
        </w:smartTagPr>
        <w:r w:rsidRPr="00E85D87">
          <w:rPr>
            <w:b/>
            <w:color w:val="000000"/>
            <w:sz w:val="28"/>
            <w:szCs w:val="28"/>
          </w:rPr>
          <w:t>ziņojums</w:t>
        </w:r>
      </w:smartTag>
    </w:p>
    <w:p w:rsidR="00465566" w:rsidRPr="00E85D87" w:rsidRDefault="00465566" w:rsidP="00465566">
      <w:pPr>
        <w:pStyle w:val="naislab"/>
        <w:spacing w:before="0" w:after="0"/>
        <w:jc w:val="center"/>
        <w:outlineLvl w:val="0"/>
        <w:rPr>
          <w:b/>
          <w:color w:val="000000"/>
          <w:sz w:val="28"/>
          <w:szCs w:val="28"/>
        </w:rPr>
      </w:pPr>
      <w:r w:rsidRPr="00E85D87">
        <w:rPr>
          <w:b/>
          <w:color w:val="000000"/>
          <w:sz w:val="28"/>
          <w:szCs w:val="28"/>
        </w:rPr>
        <w:t xml:space="preserve"> (anotācija)</w:t>
      </w:r>
    </w:p>
    <w:p w:rsidR="00465566" w:rsidRPr="000733BE" w:rsidRDefault="00465566" w:rsidP="00465566">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7"/>
        <w:gridCol w:w="1863"/>
        <w:gridCol w:w="7068"/>
      </w:tblGrid>
      <w:tr w:rsidR="00465566" w:rsidRPr="009352D9" w:rsidTr="00A458AD">
        <w:tc>
          <w:tcPr>
            <w:tcW w:w="5000" w:type="pct"/>
            <w:gridSpan w:val="3"/>
            <w:tcBorders>
              <w:top w:val="single" w:sz="4" w:space="0" w:color="auto"/>
              <w:left w:val="single" w:sz="4" w:space="0" w:color="auto"/>
              <w:bottom w:val="outset" w:sz="6" w:space="0" w:color="000000"/>
              <w:right w:val="single" w:sz="4" w:space="0" w:color="auto"/>
            </w:tcBorders>
            <w:vAlign w:val="center"/>
          </w:tcPr>
          <w:p w:rsidR="00465566" w:rsidRPr="009352D9" w:rsidRDefault="00465566" w:rsidP="00A7312C">
            <w:pPr>
              <w:jc w:val="center"/>
              <w:rPr>
                <w:b/>
                <w:bCs/>
                <w:sz w:val="26"/>
                <w:szCs w:val="26"/>
              </w:rPr>
            </w:pPr>
            <w:r w:rsidRPr="009352D9">
              <w:rPr>
                <w:b/>
                <w:bCs/>
                <w:sz w:val="26"/>
                <w:szCs w:val="26"/>
              </w:rPr>
              <w:t>I. Tiesību akta projekta izstrādes nepieciešamība</w:t>
            </w:r>
          </w:p>
        </w:tc>
      </w:tr>
      <w:tr w:rsidR="00465566" w:rsidRPr="009352D9" w:rsidTr="00A458AD">
        <w:tc>
          <w:tcPr>
            <w:tcW w:w="192"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t>1.</w:t>
            </w:r>
          </w:p>
        </w:tc>
        <w:tc>
          <w:tcPr>
            <w:tcW w:w="1003"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t>Pamatojums</w:t>
            </w:r>
          </w:p>
        </w:tc>
        <w:tc>
          <w:tcPr>
            <w:tcW w:w="3805" w:type="pct"/>
            <w:tcBorders>
              <w:top w:val="outset" w:sz="6" w:space="0" w:color="000000"/>
              <w:left w:val="outset" w:sz="6" w:space="0" w:color="000000"/>
              <w:bottom w:val="outset" w:sz="6" w:space="0" w:color="000000"/>
              <w:right w:val="outset" w:sz="6" w:space="0" w:color="000000"/>
            </w:tcBorders>
          </w:tcPr>
          <w:p w:rsidR="00465566" w:rsidRPr="009352D9" w:rsidRDefault="00465566" w:rsidP="00424CD2">
            <w:pPr>
              <w:jc w:val="both"/>
              <w:rPr>
                <w:sz w:val="26"/>
                <w:szCs w:val="26"/>
              </w:rPr>
            </w:pPr>
            <w:r w:rsidRPr="009352D9">
              <w:rPr>
                <w:sz w:val="26"/>
                <w:szCs w:val="26"/>
              </w:rPr>
              <w:t>Sat</w:t>
            </w:r>
            <w:r w:rsidR="00A458AD" w:rsidRPr="009352D9">
              <w:rPr>
                <w:sz w:val="26"/>
                <w:szCs w:val="26"/>
              </w:rPr>
              <w:t>iksmes ministrijas</w:t>
            </w:r>
            <w:r w:rsidR="00424CD2" w:rsidRPr="009352D9">
              <w:rPr>
                <w:sz w:val="26"/>
                <w:szCs w:val="26"/>
              </w:rPr>
              <w:t xml:space="preserve"> un</w:t>
            </w:r>
            <w:r w:rsidR="00A458AD" w:rsidRPr="009352D9">
              <w:rPr>
                <w:sz w:val="26"/>
                <w:szCs w:val="26"/>
              </w:rPr>
              <w:t xml:space="preserve"> </w:t>
            </w:r>
            <w:r w:rsidR="009352D9" w:rsidRPr="009352D9">
              <w:rPr>
                <w:sz w:val="26"/>
                <w:szCs w:val="26"/>
              </w:rPr>
              <w:t>biedrības „</w:t>
            </w:r>
            <w:r w:rsidR="00A458AD" w:rsidRPr="009352D9">
              <w:rPr>
                <w:sz w:val="26"/>
                <w:szCs w:val="26"/>
              </w:rPr>
              <w:t>Latvijas p</w:t>
            </w:r>
            <w:r w:rsidR="009352D9" w:rsidRPr="009352D9">
              <w:rPr>
                <w:sz w:val="26"/>
                <w:szCs w:val="26"/>
              </w:rPr>
              <w:t>asažieru pārvadātāju asociācija”</w:t>
            </w:r>
            <w:r w:rsidRPr="009352D9">
              <w:rPr>
                <w:sz w:val="26"/>
                <w:szCs w:val="26"/>
              </w:rPr>
              <w:t xml:space="preserve"> iniciatīva.</w:t>
            </w:r>
          </w:p>
        </w:tc>
      </w:tr>
      <w:tr w:rsidR="00465566" w:rsidRPr="009352D9" w:rsidTr="00A458AD">
        <w:tc>
          <w:tcPr>
            <w:tcW w:w="192"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highlight w:val="yellow"/>
              </w:rPr>
            </w:pPr>
            <w:r w:rsidRPr="009352D9">
              <w:rPr>
                <w:sz w:val="26"/>
                <w:szCs w:val="26"/>
              </w:rPr>
              <w:t>2.</w:t>
            </w:r>
          </w:p>
        </w:tc>
        <w:tc>
          <w:tcPr>
            <w:tcW w:w="1003"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highlight w:val="yellow"/>
              </w:rPr>
            </w:pPr>
            <w:r w:rsidRPr="009352D9">
              <w:rPr>
                <w:sz w:val="26"/>
                <w:szCs w:val="26"/>
              </w:rPr>
              <w:t>Pašreizējā situācija un problēmas</w:t>
            </w:r>
          </w:p>
        </w:tc>
        <w:tc>
          <w:tcPr>
            <w:tcW w:w="3805" w:type="pct"/>
            <w:tcBorders>
              <w:top w:val="outset" w:sz="6" w:space="0" w:color="000000"/>
              <w:left w:val="outset" w:sz="6" w:space="0" w:color="000000"/>
              <w:bottom w:val="outset" w:sz="6" w:space="0" w:color="000000"/>
              <w:right w:val="outset" w:sz="6" w:space="0" w:color="000000"/>
            </w:tcBorders>
          </w:tcPr>
          <w:p w:rsidR="00465566" w:rsidRPr="009352D9" w:rsidRDefault="00465566" w:rsidP="002B119E">
            <w:pPr>
              <w:pStyle w:val="naisf"/>
              <w:spacing w:before="0" w:after="0"/>
              <w:ind w:firstLine="0"/>
              <w:rPr>
                <w:sz w:val="26"/>
                <w:szCs w:val="26"/>
              </w:rPr>
            </w:pPr>
            <w:r w:rsidRPr="009352D9">
              <w:rPr>
                <w:sz w:val="26"/>
                <w:szCs w:val="26"/>
              </w:rPr>
              <w:t>2012.gada 28.augustā Ministru kabinetā tika pieņemti noteikumi Nr.599 „Sabiedriskā transporta pakalpojumu sniegšanas un izmantošanas kārtība” (turpmāk – MK noteikumi Nr.599), ar ko tika izteikti jaunā redakcijā 2007.gada 11.decembra Ministru kabineta noteikumi Nr.843 „Sabiedriskā transporta pakalpojumu sniegšanas un izmantošanas kārtība”.</w:t>
            </w:r>
          </w:p>
          <w:p w:rsidR="00465566" w:rsidRPr="009352D9" w:rsidRDefault="00465566" w:rsidP="002B119E">
            <w:pPr>
              <w:pStyle w:val="naisf"/>
              <w:spacing w:before="0" w:after="0"/>
              <w:ind w:firstLine="0"/>
              <w:rPr>
                <w:sz w:val="26"/>
                <w:szCs w:val="26"/>
              </w:rPr>
            </w:pPr>
            <w:r w:rsidRPr="009352D9">
              <w:rPr>
                <w:sz w:val="26"/>
                <w:szCs w:val="26"/>
              </w:rPr>
              <w:t xml:space="preserve">Apkopojot pārvadātāju </w:t>
            </w:r>
            <w:r w:rsidR="00A458AD" w:rsidRPr="009352D9">
              <w:rPr>
                <w:sz w:val="26"/>
                <w:szCs w:val="26"/>
              </w:rPr>
              <w:t xml:space="preserve">un </w:t>
            </w:r>
            <w:r w:rsidR="00CF6CF8">
              <w:rPr>
                <w:sz w:val="26"/>
                <w:szCs w:val="26"/>
              </w:rPr>
              <w:t>biedrības „</w:t>
            </w:r>
            <w:r w:rsidR="00A458AD" w:rsidRPr="009352D9">
              <w:rPr>
                <w:sz w:val="26"/>
                <w:szCs w:val="26"/>
              </w:rPr>
              <w:t>Latvijas p</w:t>
            </w:r>
            <w:r w:rsidR="00CF6CF8">
              <w:rPr>
                <w:sz w:val="26"/>
                <w:szCs w:val="26"/>
              </w:rPr>
              <w:t>asažieru pārvadātāju asociācija”</w:t>
            </w:r>
            <w:r w:rsidR="002B119E" w:rsidRPr="009352D9">
              <w:rPr>
                <w:sz w:val="26"/>
                <w:szCs w:val="26"/>
              </w:rPr>
              <w:t xml:space="preserve"> </w:t>
            </w:r>
            <w:r w:rsidRPr="009352D9">
              <w:rPr>
                <w:sz w:val="26"/>
                <w:szCs w:val="26"/>
              </w:rPr>
              <w:t>viedokļus, MK noteikumos Nr.599 ir konstatētas vairākas problēmas un neprecizitātes, kas pēc būtības apgrūtina normatīvajā aktā ietverto normu precīzu piemērošanu:</w:t>
            </w:r>
          </w:p>
          <w:p w:rsidR="00465566" w:rsidRPr="009352D9" w:rsidRDefault="000F2E72" w:rsidP="000F2E72">
            <w:pPr>
              <w:pStyle w:val="naisf"/>
              <w:numPr>
                <w:ilvl w:val="0"/>
                <w:numId w:val="1"/>
              </w:numPr>
              <w:spacing w:before="0" w:after="0"/>
              <w:rPr>
                <w:sz w:val="26"/>
                <w:szCs w:val="26"/>
              </w:rPr>
            </w:pPr>
            <w:r w:rsidRPr="009352D9">
              <w:rPr>
                <w:sz w:val="26"/>
                <w:szCs w:val="26"/>
              </w:rPr>
              <w:t xml:space="preserve">pašreizējā </w:t>
            </w:r>
            <w:r w:rsidR="00A458AD" w:rsidRPr="009352D9">
              <w:rPr>
                <w:sz w:val="26"/>
                <w:szCs w:val="26"/>
              </w:rPr>
              <w:t xml:space="preserve">MK noteikumu </w:t>
            </w:r>
            <w:r w:rsidRPr="009352D9">
              <w:rPr>
                <w:sz w:val="26"/>
                <w:szCs w:val="26"/>
              </w:rPr>
              <w:t xml:space="preserve">Nr.599 4.punkta redakcijā nav precīzi noteiktas </w:t>
            </w:r>
            <w:r w:rsidR="00235738" w:rsidRPr="009352D9">
              <w:rPr>
                <w:sz w:val="26"/>
                <w:szCs w:val="26"/>
              </w:rPr>
              <w:t xml:space="preserve">aizliegumi pasažieru darbībai, atrodoties sabiedriskā </w:t>
            </w:r>
            <w:r w:rsidRPr="009352D9">
              <w:rPr>
                <w:sz w:val="26"/>
                <w:szCs w:val="26"/>
              </w:rPr>
              <w:t>transportlīdzekļa salonā;</w:t>
            </w:r>
          </w:p>
          <w:p w:rsidR="000F2E72" w:rsidRPr="009352D9" w:rsidRDefault="000F2E72" w:rsidP="000F2E72">
            <w:pPr>
              <w:pStyle w:val="naisf"/>
              <w:numPr>
                <w:ilvl w:val="0"/>
                <w:numId w:val="1"/>
              </w:numPr>
              <w:spacing w:before="0" w:after="0"/>
              <w:rPr>
                <w:sz w:val="26"/>
                <w:szCs w:val="26"/>
              </w:rPr>
            </w:pPr>
            <w:r w:rsidRPr="009352D9">
              <w:rPr>
                <w:sz w:val="26"/>
                <w:szCs w:val="26"/>
              </w:rPr>
              <w:t>pašreizējā MK noteikumu Nr.599 9.punkta redakcija ir pretrunā ar 2004.gada 29.aprīļa Ministru kabineta noteikumu Nr.466 „Noteikumi par transportlīdzekļu valsts tehnisko apskati un tehnisko kontroli uz ceļiem” 627.3.apakšpunktu;</w:t>
            </w:r>
          </w:p>
          <w:p w:rsidR="00465566" w:rsidRDefault="000F2E72" w:rsidP="00A7312C">
            <w:pPr>
              <w:pStyle w:val="naisf"/>
              <w:numPr>
                <w:ilvl w:val="0"/>
                <w:numId w:val="1"/>
              </w:numPr>
              <w:spacing w:before="0" w:after="0"/>
              <w:rPr>
                <w:sz w:val="26"/>
                <w:szCs w:val="26"/>
              </w:rPr>
            </w:pPr>
            <w:r w:rsidRPr="009352D9">
              <w:rPr>
                <w:sz w:val="26"/>
                <w:szCs w:val="26"/>
              </w:rPr>
              <w:t>pašreizējā MK noteikumu Nr.599 106.punkta redakcijā nav noteikts, ka pasažiera un bagāžas kontroli veic pārvadātājs.</w:t>
            </w:r>
          </w:p>
          <w:p w:rsidR="00E81589" w:rsidRPr="009352D9" w:rsidRDefault="00E81589" w:rsidP="00FD6F65">
            <w:pPr>
              <w:jc w:val="both"/>
              <w:rPr>
                <w:sz w:val="26"/>
                <w:szCs w:val="26"/>
              </w:rPr>
            </w:pPr>
          </w:p>
        </w:tc>
      </w:tr>
      <w:tr w:rsidR="00465566" w:rsidRPr="009352D9" w:rsidTr="00A458AD">
        <w:tc>
          <w:tcPr>
            <w:tcW w:w="192"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t>3.</w:t>
            </w:r>
          </w:p>
        </w:tc>
        <w:tc>
          <w:tcPr>
            <w:tcW w:w="1003"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t>Saistītie politikas ietekmes novērtējumi un pētījumi</w:t>
            </w:r>
          </w:p>
        </w:tc>
        <w:tc>
          <w:tcPr>
            <w:tcW w:w="3805"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t>Projekts šo jomu neskar.</w:t>
            </w:r>
          </w:p>
          <w:p w:rsidR="00465566" w:rsidRPr="009352D9" w:rsidRDefault="00465566" w:rsidP="00A7312C">
            <w:pPr>
              <w:rPr>
                <w:sz w:val="26"/>
                <w:szCs w:val="26"/>
              </w:rPr>
            </w:pPr>
          </w:p>
        </w:tc>
      </w:tr>
      <w:tr w:rsidR="00465566" w:rsidRPr="009352D9" w:rsidTr="00A458AD">
        <w:tc>
          <w:tcPr>
            <w:tcW w:w="192"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highlight w:val="yellow"/>
              </w:rPr>
            </w:pPr>
            <w:r w:rsidRPr="009352D9">
              <w:rPr>
                <w:sz w:val="26"/>
                <w:szCs w:val="26"/>
              </w:rPr>
              <w:t>4.</w:t>
            </w:r>
          </w:p>
        </w:tc>
        <w:tc>
          <w:tcPr>
            <w:tcW w:w="1003"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highlight w:val="yellow"/>
              </w:rPr>
            </w:pPr>
            <w:r w:rsidRPr="009352D9">
              <w:rPr>
                <w:sz w:val="26"/>
                <w:szCs w:val="26"/>
              </w:rPr>
              <w:t>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465566" w:rsidRPr="009352D9" w:rsidRDefault="000F2E72" w:rsidP="00A7312C">
            <w:pPr>
              <w:jc w:val="both"/>
              <w:rPr>
                <w:sz w:val="26"/>
                <w:szCs w:val="26"/>
              </w:rPr>
            </w:pPr>
            <w:r w:rsidRPr="009352D9">
              <w:rPr>
                <w:sz w:val="26"/>
                <w:szCs w:val="26"/>
              </w:rPr>
              <w:t>Ar noteikumu projektu tiek:</w:t>
            </w:r>
          </w:p>
          <w:p w:rsidR="000F2E72" w:rsidRPr="009352D9" w:rsidRDefault="000F2E72" w:rsidP="000F2E72">
            <w:pPr>
              <w:pStyle w:val="ListParagraph"/>
              <w:numPr>
                <w:ilvl w:val="0"/>
                <w:numId w:val="2"/>
              </w:numPr>
              <w:jc w:val="both"/>
              <w:rPr>
                <w:sz w:val="26"/>
                <w:szCs w:val="26"/>
              </w:rPr>
            </w:pPr>
            <w:r w:rsidRPr="009352D9">
              <w:rPr>
                <w:sz w:val="26"/>
                <w:szCs w:val="26"/>
              </w:rPr>
              <w:t>precizētas tiesību normas, kas nosaka aizliegumu pasažieru darbībai, atrodoties sabiedriskā transportlīdzekļa salonā, proti</w:t>
            </w:r>
            <w:r w:rsidR="00647905" w:rsidRPr="009352D9">
              <w:rPr>
                <w:sz w:val="26"/>
                <w:szCs w:val="26"/>
              </w:rPr>
              <w:t>,</w:t>
            </w:r>
            <w:r w:rsidRPr="009352D9">
              <w:rPr>
                <w:sz w:val="26"/>
                <w:szCs w:val="26"/>
              </w:rPr>
              <w:t xml:space="preserve"> ir noteikts, ka pasažierim ir aizliegts bojāt sabiedrisko transportlīdzekli un tā inventāru, aizliegts </w:t>
            </w:r>
            <w:r w:rsidR="00647905" w:rsidRPr="009352D9">
              <w:rPr>
                <w:sz w:val="26"/>
                <w:szCs w:val="26"/>
              </w:rPr>
              <w:t xml:space="preserve">transportlīdzekļa salonā lietot pārtikas un ķīmiskās vielas, kas var nosmērēt transportlīdzekļa salonu vai citus pasažierus, aizliegts iekāpt un braukt sabiedriskajā transportlīdzeklī smērējošā vai smakojošā apģērbā, kā arī aizliegts atrasties transportlīdzekļa salonā alkoholisko, toksisko, narkotisko </w:t>
            </w:r>
            <w:r w:rsidR="00647905" w:rsidRPr="009352D9">
              <w:rPr>
                <w:sz w:val="26"/>
                <w:szCs w:val="26"/>
              </w:rPr>
              <w:lastRenderedPageBreak/>
              <w:t>vielu iespaidā</w:t>
            </w:r>
            <w:r w:rsidR="00961A66" w:rsidRPr="009352D9">
              <w:rPr>
                <w:sz w:val="26"/>
                <w:szCs w:val="26"/>
              </w:rPr>
              <w:t>,</w:t>
            </w:r>
            <w:r w:rsidR="00CF6CF8">
              <w:rPr>
                <w:sz w:val="26"/>
                <w:szCs w:val="26"/>
              </w:rPr>
              <w:t xml:space="preserve"> ja pasažieris izturas rupji vai agresīvi , kā arī lietot alkoholiskos dzērienus, narkotiskās, psihotropās, toksiskās vai citas apreibinošās vielas, </w:t>
            </w:r>
            <w:r w:rsidR="00961A66" w:rsidRPr="009352D9">
              <w:rPr>
                <w:sz w:val="26"/>
                <w:szCs w:val="26"/>
              </w:rPr>
              <w:t xml:space="preserve"> pārvadāt bagāžu, kura var apdraudēt pasažieru vai sabiedriskā transportlīdzekļa vadītāja drošību, veselību vai būtiski ietekmēt pasažieru vai sabiedriskā transportlīdzekļa vadītāja ērtības un kura var traucēt sabiedriskā transportlīdzekļa ekspluatāciju vai bojāt sabiedriskā transportlīdzekļa aprīkojumu, apzīmēt vai aprakstīt sabiedrisko transportlīdzekli.</w:t>
            </w:r>
          </w:p>
          <w:p w:rsidR="00647905" w:rsidRDefault="00647905" w:rsidP="00647905">
            <w:pPr>
              <w:pStyle w:val="ListParagraph"/>
              <w:numPr>
                <w:ilvl w:val="0"/>
                <w:numId w:val="2"/>
              </w:numPr>
              <w:jc w:val="both"/>
              <w:rPr>
                <w:sz w:val="26"/>
                <w:szCs w:val="26"/>
              </w:rPr>
            </w:pPr>
            <w:r w:rsidRPr="009352D9">
              <w:rPr>
                <w:sz w:val="26"/>
                <w:szCs w:val="26"/>
              </w:rPr>
              <w:t>precizētas tiesību normas, kas nosaka minimālās maršruta zīmes izmēru, minimālo burtu un ciparu izmē</w:t>
            </w:r>
            <w:r w:rsidR="00A458AD" w:rsidRPr="009352D9">
              <w:rPr>
                <w:sz w:val="26"/>
                <w:szCs w:val="26"/>
              </w:rPr>
              <w:t>ru. S</w:t>
            </w:r>
            <w:r w:rsidRPr="009352D9">
              <w:rPr>
                <w:sz w:val="26"/>
                <w:szCs w:val="26"/>
              </w:rPr>
              <w:t>askaņā ar 2004.gada 29.aprīļa Ministru kabineta noteikumu Nr.466 „Noteikumi par transportlīdzekļu valsts tehnisko apskati un tehnisko kontroli uz ceļiem” 627.3.apakšpunktu ir aizliegts vadītāja tiešā redzamības zonā (priekšējie sānu stikli un vējstikli) atrasties priekšmetiem (piemēram, aizkari, žalūzijas), kas būtiski ierobežo redzamību. Izgatavojot maršruta zīmes, saskaņā ar spēkā esošo MK noteikumu Nr.599 9.punkta redakciju, tiks būtiski ierobežota sabiedriskā transportlīdzekļa vadītāja redzamība, īpaši M2 kategorijas autobusiem;</w:t>
            </w:r>
          </w:p>
          <w:p w:rsidR="002C6E57" w:rsidRPr="002C6E57" w:rsidRDefault="00647905" w:rsidP="002C6E57">
            <w:pPr>
              <w:pStyle w:val="ListParagraph"/>
              <w:numPr>
                <w:ilvl w:val="0"/>
                <w:numId w:val="2"/>
              </w:numPr>
              <w:jc w:val="both"/>
              <w:rPr>
                <w:sz w:val="26"/>
                <w:szCs w:val="26"/>
              </w:rPr>
            </w:pPr>
            <w:r w:rsidRPr="002C6E57">
              <w:rPr>
                <w:sz w:val="26"/>
                <w:szCs w:val="26"/>
              </w:rPr>
              <w:t>precizēta pirmsskolas vecuma pārvadāšanas kārtība.</w:t>
            </w:r>
            <w:r w:rsidR="002C6E57" w:rsidRPr="002C6E57">
              <w:rPr>
                <w:sz w:val="26"/>
                <w:szCs w:val="26"/>
              </w:rPr>
              <w:t xml:space="preserve"> Saskaņā ar Vispārējās izglītības likuma 20.panta otrajā daļā noteikto, pirmsskolas izglītības programmu apgūst bērni </w:t>
            </w:r>
            <w:r w:rsidR="002C6E57" w:rsidRPr="002C6E57">
              <w:rPr>
                <w:sz w:val="26"/>
                <w:szCs w:val="26"/>
                <w:u w:val="single"/>
              </w:rPr>
              <w:t>līdz 7 gadu vecumam</w:t>
            </w:r>
            <w:r w:rsidR="002C6E57" w:rsidRPr="002C6E57">
              <w:rPr>
                <w:sz w:val="26"/>
                <w:szCs w:val="26"/>
              </w:rPr>
              <w:t xml:space="preserve">. Atkarībā no veselības stāvokļa un psiholoģiskās sagatavotības pirmsskolas izglītības programmas apguvi </w:t>
            </w:r>
            <w:r w:rsidR="002C6E57" w:rsidRPr="002C6E57">
              <w:rPr>
                <w:sz w:val="26"/>
                <w:szCs w:val="26"/>
                <w:u w:val="single"/>
              </w:rPr>
              <w:t>var pagarināt vai saīsināt par vienu gadu</w:t>
            </w:r>
            <w:r w:rsidR="002C6E57" w:rsidRPr="002C6E57">
              <w:rPr>
                <w:sz w:val="26"/>
                <w:szCs w:val="26"/>
              </w:rPr>
              <w:t xml:space="preserve"> saskaņā ar vecāku vēlmēm un ģimenes ārsta vai psihologa atzinumu.</w:t>
            </w:r>
            <w:r w:rsidR="002C6E57" w:rsidRPr="002C6E57">
              <w:rPr>
                <w:rFonts w:ascii="Arial" w:hAnsi="Arial" w:cs="Arial"/>
                <w:sz w:val="26"/>
                <w:szCs w:val="26"/>
              </w:rPr>
              <w:t xml:space="preserve"> </w:t>
            </w:r>
            <w:r w:rsidR="002C6E57" w:rsidRPr="002C6E57">
              <w:rPr>
                <w:sz w:val="26"/>
                <w:szCs w:val="26"/>
              </w:rPr>
              <w:t xml:space="preserve">Pamatizglītības ieguvi sāk tajā kalendārajā gadā, kurā izglītojamajam aprit 7 gadi. Atkarībā no veselības stāvokļa un psiholoģiskās sagatavotības izglītojamais </w:t>
            </w:r>
            <w:r w:rsidR="002C6E57" w:rsidRPr="002C6E57">
              <w:rPr>
                <w:sz w:val="26"/>
                <w:szCs w:val="26"/>
                <w:u w:val="single"/>
              </w:rPr>
              <w:t>var sākt pamatizglītības ieguvi vienu gadu agrāk vai vēlāk</w:t>
            </w:r>
            <w:r w:rsidR="002C6E57" w:rsidRPr="002C6E57">
              <w:rPr>
                <w:sz w:val="26"/>
                <w:szCs w:val="26"/>
              </w:rPr>
              <w:t xml:space="preserve"> saskaņā ar vecāku vēlmēm un ģimenes ārsta atzinumu vai psihologa atzinumu (Vispārējās izglītības likuma 32.panta otrā, trešā daļa). No minētā likuma izriet, ka pirmsskolas vecuma bērns var būt bērns, kuram kalendārajā gadā aprit 6., 7. vai 8. gadi.</w:t>
            </w:r>
          </w:p>
          <w:p w:rsidR="00647905" w:rsidRDefault="00647905" w:rsidP="002C6E57">
            <w:pPr>
              <w:pStyle w:val="ListParagraph"/>
              <w:jc w:val="both"/>
              <w:rPr>
                <w:sz w:val="26"/>
                <w:szCs w:val="26"/>
              </w:rPr>
            </w:pPr>
            <w:r w:rsidRPr="00027A8D">
              <w:rPr>
                <w:sz w:val="26"/>
                <w:szCs w:val="26"/>
              </w:rPr>
              <w:t xml:space="preserve"> Saskaņā ar 2004.gada 29.jūnija Ministru kabineta noteikumu Nr.571 „Ceļu satiksmes noteikumi”</w:t>
            </w:r>
            <w:r w:rsidR="00027A8D">
              <w:rPr>
                <w:sz w:val="26"/>
                <w:szCs w:val="26"/>
              </w:rPr>
              <w:t xml:space="preserve"> (turpmāk tekstā- MK noteikumi Nr.571)</w:t>
            </w:r>
            <w:r w:rsidRPr="00027A8D">
              <w:rPr>
                <w:sz w:val="26"/>
                <w:szCs w:val="26"/>
              </w:rPr>
              <w:t xml:space="preserve"> 200.punktu prasībām, ja transportlīdzekļos, kuru sēdvietas aprīkotas ar drošības jostām, ved bērnus, kuru augums nepārsniedz 150 cm, jālieto viens no šādiem drošības līdzekļiem: 1. bērnam jāatrodas viņa vecumam un svaram atbilstošā bērnu sēdeklītī un jābūt piesprādzētam ar drošības jostu; 2. </w:t>
            </w:r>
            <w:r w:rsidRPr="00027A8D">
              <w:rPr>
                <w:sz w:val="26"/>
                <w:szCs w:val="26"/>
              </w:rPr>
              <w:lastRenderedPageBreak/>
              <w:t>bērnam jāsēž uz viņa vecumam un svaram atbilstoša paliktņa un jābūt piesprādzētam ar drošības jostu</w:t>
            </w:r>
            <w:r w:rsidR="00C06EF4" w:rsidRPr="00027A8D">
              <w:rPr>
                <w:sz w:val="26"/>
                <w:szCs w:val="26"/>
              </w:rPr>
              <w:t xml:space="preserve">. Ievērojot minēto, noteikumu projektā ir precizēta pirmsskolas vecuma bērna pārvadāšanas kārtība, nosakot, ka ir aizliegts pārvadāt pirmsskolas vecuma bērnus pirmajās transportlīdzekļu sēdekļu rindās, ja netiek nodrošinātas </w:t>
            </w:r>
            <w:r w:rsidR="00027A8D">
              <w:rPr>
                <w:sz w:val="26"/>
                <w:szCs w:val="26"/>
              </w:rPr>
              <w:t xml:space="preserve">ceļu satiksmes drošības jomu regulējošajos </w:t>
            </w:r>
            <w:r w:rsidR="00C06EF4" w:rsidRPr="00027A8D">
              <w:rPr>
                <w:sz w:val="26"/>
                <w:szCs w:val="26"/>
              </w:rPr>
              <w:t xml:space="preserve">normatīvajos aktos noteiktās drošības prasības, proti, gadījumos, kad pirmās transportlīdzekļu rindas nav aprīkotas ar drošības jostām vai bērnu sēdeklīti, pirmsskolas vecuma bērnam reģionālajā starppilsētu </w:t>
            </w:r>
            <w:r w:rsidR="00421480">
              <w:rPr>
                <w:sz w:val="26"/>
                <w:szCs w:val="26"/>
              </w:rPr>
              <w:t xml:space="preserve">nozīmes </w:t>
            </w:r>
            <w:r w:rsidR="00C06EF4" w:rsidRPr="00027A8D">
              <w:rPr>
                <w:sz w:val="26"/>
                <w:szCs w:val="26"/>
              </w:rPr>
              <w:t xml:space="preserve">un reģionālajā vietējās nozīmes maršrutā sēdvietas būtu jārezervē sākot no </w:t>
            </w:r>
            <w:r w:rsidR="00045B2D">
              <w:rPr>
                <w:sz w:val="26"/>
                <w:szCs w:val="26"/>
              </w:rPr>
              <w:t>piektās</w:t>
            </w:r>
            <w:r w:rsidR="00C06EF4" w:rsidRPr="00027A8D">
              <w:rPr>
                <w:sz w:val="26"/>
                <w:szCs w:val="26"/>
              </w:rPr>
              <w:t xml:space="preserve"> vietas.</w:t>
            </w:r>
          </w:p>
          <w:p w:rsidR="00027A8D" w:rsidRDefault="00027A8D" w:rsidP="00027A8D">
            <w:pPr>
              <w:pStyle w:val="ListParagraph"/>
              <w:jc w:val="both"/>
              <w:rPr>
                <w:sz w:val="26"/>
                <w:szCs w:val="26"/>
              </w:rPr>
            </w:pPr>
            <w:r>
              <w:rPr>
                <w:sz w:val="26"/>
                <w:szCs w:val="26"/>
              </w:rPr>
              <w:t>MK noteikumu Nr.571 203.2.</w:t>
            </w:r>
            <w:r w:rsidR="00045B2D">
              <w:rPr>
                <w:sz w:val="26"/>
                <w:szCs w:val="26"/>
              </w:rPr>
              <w:t xml:space="preserve">apakšpunktā </w:t>
            </w:r>
            <w:r>
              <w:rPr>
                <w:sz w:val="26"/>
                <w:szCs w:val="26"/>
              </w:rPr>
              <w:t xml:space="preserve">ir noteikts aizliegums pārvadāt pasažierus, kas ir jaunāki par 14 gadiem, vieglā automobiļa </w:t>
            </w:r>
            <w:r w:rsidR="000A1596">
              <w:rPr>
                <w:sz w:val="26"/>
                <w:szCs w:val="26"/>
              </w:rPr>
              <w:t>priekšējā sēdeklī, ja tā konstrukcijā nav paredzētas drošības jostas (...). Ņemot vērā, ka minētā MK noteikumu Nr.571 norma ir attiecināma tikai uz vieglajiem automobiļiem, ir nepieciešams n</w:t>
            </w:r>
            <w:r w:rsidR="00805850">
              <w:rPr>
                <w:sz w:val="26"/>
                <w:szCs w:val="26"/>
              </w:rPr>
              <w:t>oteikt aizliegumu pārvadāt pirmskolas vecuma bērnus sabiedriskā transportlī</w:t>
            </w:r>
            <w:r w:rsidR="00045B2D">
              <w:rPr>
                <w:sz w:val="26"/>
                <w:szCs w:val="26"/>
              </w:rPr>
              <w:t>dzekļa pirmajās rindās, ja pirmās rindas</w:t>
            </w:r>
            <w:r w:rsidR="00805850">
              <w:rPr>
                <w:sz w:val="26"/>
                <w:szCs w:val="26"/>
              </w:rPr>
              <w:t xml:space="preserve"> konstrukcijā </w:t>
            </w:r>
            <w:r w:rsidR="00805850" w:rsidRPr="00027A8D">
              <w:rPr>
                <w:sz w:val="26"/>
                <w:szCs w:val="26"/>
              </w:rPr>
              <w:t>nav aprīkotas ar drošības jostām vai bērnu sēdeklīti</w:t>
            </w:r>
            <w:r w:rsidR="00805850">
              <w:rPr>
                <w:sz w:val="26"/>
                <w:szCs w:val="26"/>
              </w:rPr>
              <w:t xml:space="preserve">. </w:t>
            </w:r>
          </w:p>
          <w:p w:rsidR="002C6E57" w:rsidRPr="00027A8D" w:rsidRDefault="002C6E57" w:rsidP="00027A8D">
            <w:pPr>
              <w:pStyle w:val="ListParagraph"/>
              <w:jc w:val="both"/>
              <w:rPr>
                <w:sz w:val="26"/>
                <w:szCs w:val="26"/>
              </w:rPr>
            </w:pPr>
          </w:p>
          <w:p w:rsidR="00647905" w:rsidRPr="009352D9" w:rsidRDefault="00647905" w:rsidP="00647905">
            <w:pPr>
              <w:pStyle w:val="ListParagraph"/>
              <w:numPr>
                <w:ilvl w:val="0"/>
                <w:numId w:val="2"/>
              </w:numPr>
              <w:jc w:val="both"/>
              <w:rPr>
                <w:sz w:val="26"/>
                <w:szCs w:val="26"/>
              </w:rPr>
            </w:pPr>
            <w:r w:rsidRPr="009352D9">
              <w:rPr>
                <w:sz w:val="26"/>
                <w:szCs w:val="26"/>
              </w:rPr>
              <w:t>precizēta MK noteikumu Nr.599 106.punkta norma, nosakot, ka pasažieru un bag</w:t>
            </w:r>
            <w:r w:rsidR="00C06EF4" w:rsidRPr="009352D9">
              <w:rPr>
                <w:sz w:val="26"/>
                <w:szCs w:val="26"/>
              </w:rPr>
              <w:t>āža</w:t>
            </w:r>
            <w:r w:rsidRPr="009352D9">
              <w:rPr>
                <w:sz w:val="26"/>
                <w:szCs w:val="26"/>
              </w:rPr>
              <w:t xml:space="preserve">s pārvadāšanas kontroli sabiedriskajā transportlīdzeklī ir tiesīgs veikt arī </w:t>
            </w:r>
            <w:r w:rsidR="00C06EF4" w:rsidRPr="009352D9">
              <w:rPr>
                <w:sz w:val="26"/>
                <w:szCs w:val="26"/>
              </w:rPr>
              <w:t>pārvadātājs vai pārvadātāja norīkotie par pārvadājumu kontroli atbildīgie darbinieki. Saskaņā ar Sabiedriskā transporta pakalpojumu likuma 13.panta desmito daļu pārvadātājs ir tiesīgs veikt regulāro pasažieru pārvadājumu kontroli;</w:t>
            </w:r>
          </w:p>
          <w:p w:rsidR="00647905" w:rsidRPr="00AF6E6A" w:rsidRDefault="00103427" w:rsidP="00103427">
            <w:pPr>
              <w:pStyle w:val="ListParagraph"/>
              <w:numPr>
                <w:ilvl w:val="0"/>
                <w:numId w:val="2"/>
              </w:numPr>
              <w:jc w:val="both"/>
              <w:rPr>
                <w:sz w:val="26"/>
                <w:szCs w:val="26"/>
              </w:rPr>
            </w:pPr>
            <w:r w:rsidRPr="00D52F01">
              <w:rPr>
                <w:sz w:val="26"/>
                <w:szCs w:val="26"/>
              </w:rPr>
              <w:t xml:space="preserve">precizēta MK noteikumu Nr.599 116.punkta redakcija, paredzot, ka </w:t>
            </w:r>
            <w:r w:rsidR="00D52F01" w:rsidRPr="00D52F01">
              <w:rPr>
                <w:sz w:val="26"/>
                <w:szCs w:val="26"/>
              </w:rPr>
              <w:t>informāciju par līgumsoda apmēru un tā izmaiņām pārvadātājs vismaz 30 dienas pirms izmaiņu stāšanās spēkā publisko masu informācijas līdzekļos. Reģionālās starppilsētu un reģionālās vietējās nozīmes maršrutos informācija par līgumsodu apmēriem tiek izvietota arī autoostās un dzelzceļa stacijās, pilsētas nozīmes maršrutos informācija par līgumsodu apmēriem tiek izvietota biļešu tirdzniecības vietās</w:t>
            </w:r>
            <w:r w:rsidRPr="00D52F01">
              <w:rPr>
                <w:sz w:val="26"/>
                <w:szCs w:val="26"/>
              </w:rPr>
              <w:t>. Esošajā</w:t>
            </w:r>
            <w:r w:rsidRPr="009352D9">
              <w:rPr>
                <w:sz w:val="26"/>
                <w:szCs w:val="26"/>
              </w:rPr>
              <w:t xml:space="preserve"> MK noteikumu Nr.599 116.punkta redakcijā ir paredzēts, ka informācija ir izvietojama arī pieturvietās. </w:t>
            </w:r>
            <w:r w:rsidR="00A458AD" w:rsidRPr="009352D9">
              <w:rPr>
                <w:sz w:val="26"/>
                <w:szCs w:val="26"/>
              </w:rPr>
              <w:t xml:space="preserve">Izvietojot informāciju </w:t>
            </w:r>
            <w:r w:rsidRPr="009352D9">
              <w:rPr>
                <w:sz w:val="26"/>
                <w:szCs w:val="26"/>
              </w:rPr>
              <w:t xml:space="preserve">par līgumsodu </w:t>
            </w:r>
            <w:r w:rsidR="0048434A">
              <w:rPr>
                <w:sz w:val="26"/>
                <w:szCs w:val="26"/>
              </w:rPr>
              <w:t>apmēru</w:t>
            </w:r>
            <w:r w:rsidRPr="009352D9">
              <w:rPr>
                <w:sz w:val="26"/>
                <w:szCs w:val="26"/>
              </w:rPr>
              <w:t xml:space="preserve"> </w:t>
            </w:r>
            <w:r w:rsidRPr="00D52F01">
              <w:rPr>
                <w:sz w:val="26"/>
                <w:szCs w:val="26"/>
              </w:rPr>
              <w:t>katrā pieturvietā</w:t>
            </w:r>
            <w:r w:rsidR="0048434A" w:rsidRPr="00D52F01">
              <w:rPr>
                <w:sz w:val="26"/>
                <w:szCs w:val="26"/>
              </w:rPr>
              <w:t>,</w:t>
            </w:r>
            <w:r w:rsidRPr="00D52F01">
              <w:rPr>
                <w:sz w:val="26"/>
                <w:szCs w:val="26"/>
              </w:rPr>
              <w:t xml:space="preserve"> pārvadātājiem būtu </w:t>
            </w:r>
            <w:r w:rsidR="0048434A" w:rsidRPr="00D52F01">
              <w:rPr>
                <w:sz w:val="26"/>
                <w:szCs w:val="26"/>
              </w:rPr>
              <w:t xml:space="preserve">jāpārveido </w:t>
            </w:r>
            <w:r w:rsidRPr="00D52F01">
              <w:rPr>
                <w:sz w:val="26"/>
                <w:szCs w:val="26"/>
              </w:rPr>
              <w:t>visas</w:t>
            </w:r>
            <w:r w:rsidR="00A458AD" w:rsidRPr="00D52F01">
              <w:rPr>
                <w:sz w:val="26"/>
                <w:szCs w:val="26"/>
              </w:rPr>
              <w:t xml:space="preserve"> pieturvietās esošās </w:t>
            </w:r>
            <w:r w:rsidR="00A458AD" w:rsidRPr="009352D9">
              <w:rPr>
                <w:sz w:val="26"/>
                <w:szCs w:val="26"/>
              </w:rPr>
              <w:t>autobusu kustības plāksnes</w:t>
            </w:r>
            <w:r w:rsidRPr="009352D9">
              <w:rPr>
                <w:sz w:val="26"/>
                <w:szCs w:val="26"/>
              </w:rPr>
              <w:t xml:space="preserve">, kas </w:t>
            </w:r>
            <w:r w:rsidR="003E2C75" w:rsidRPr="009352D9">
              <w:rPr>
                <w:sz w:val="26"/>
                <w:szCs w:val="26"/>
              </w:rPr>
              <w:t xml:space="preserve">pārvadātājiem </w:t>
            </w:r>
            <w:r w:rsidRPr="009352D9">
              <w:rPr>
                <w:sz w:val="26"/>
                <w:szCs w:val="26"/>
              </w:rPr>
              <w:t xml:space="preserve">radītu ievērojamus izdevumus. </w:t>
            </w:r>
            <w:r w:rsidR="003E2C75" w:rsidRPr="009352D9">
              <w:rPr>
                <w:sz w:val="26"/>
                <w:szCs w:val="26"/>
              </w:rPr>
              <w:t xml:space="preserve">Turklāt </w:t>
            </w:r>
            <w:r w:rsidRPr="009352D9">
              <w:rPr>
                <w:sz w:val="26"/>
                <w:szCs w:val="26"/>
              </w:rPr>
              <w:t xml:space="preserve">uz vienas autobusu pieturas </w:t>
            </w:r>
            <w:r w:rsidR="003E2C75" w:rsidRPr="009352D9">
              <w:rPr>
                <w:sz w:val="26"/>
                <w:szCs w:val="26"/>
              </w:rPr>
              <w:t xml:space="preserve">zīmes </w:t>
            </w:r>
            <w:r w:rsidRPr="009352D9">
              <w:rPr>
                <w:sz w:val="26"/>
                <w:szCs w:val="26"/>
              </w:rPr>
              <w:t xml:space="preserve">atrodas vairāku pārvadātāju autobusu </w:t>
            </w:r>
            <w:r w:rsidRPr="009352D9">
              <w:rPr>
                <w:sz w:val="26"/>
                <w:szCs w:val="26"/>
              </w:rPr>
              <w:lastRenderedPageBreak/>
              <w:t>kustības plāksnes, kas atspoguļo informāciju par autobusa kustību gan reģionālaj</w:t>
            </w:r>
            <w:r w:rsidR="00776635" w:rsidRPr="009352D9">
              <w:rPr>
                <w:sz w:val="26"/>
                <w:szCs w:val="26"/>
              </w:rPr>
              <w:t>os</w:t>
            </w:r>
            <w:r w:rsidRPr="009352D9">
              <w:rPr>
                <w:sz w:val="26"/>
                <w:szCs w:val="26"/>
              </w:rPr>
              <w:t xml:space="preserve"> starppilsētu nozīmes maršrut</w:t>
            </w:r>
            <w:r w:rsidR="00776635" w:rsidRPr="009352D9">
              <w:rPr>
                <w:sz w:val="26"/>
                <w:szCs w:val="26"/>
              </w:rPr>
              <w:t>os</w:t>
            </w:r>
            <w:r w:rsidRPr="009352D9">
              <w:rPr>
                <w:sz w:val="26"/>
                <w:szCs w:val="26"/>
              </w:rPr>
              <w:t>, gan reģionālaj</w:t>
            </w:r>
            <w:r w:rsidR="00776635" w:rsidRPr="009352D9">
              <w:rPr>
                <w:sz w:val="26"/>
                <w:szCs w:val="26"/>
              </w:rPr>
              <w:t>os</w:t>
            </w:r>
            <w:r w:rsidRPr="009352D9">
              <w:rPr>
                <w:sz w:val="26"/>
                <w:szCs w:val="26"/>
              </w:rPr>
              <w:t xml:space="preserve"> vietējās nozīmes maršrut</w:t>
            </w:r>
            <w:r w:rsidR="00776635" w:rsidRPr="009352D9">
              <w:rPr>
                <w:sz w:val="26"/>
                <w:szCs w:val="26"/>
              </w:rPr>
              <w:t>os. Papildus informācijas</w:t>
            </w:r>
            <w:r w:rsidR="00A458AD" w:rsidRPr="009352D9">
              <w:rPr>
                <w:sz w:val="26"/>
                <w:szCs w:val="26"/>
              </w:rPr>
              <w:t xml:space="preserve"> (plākšņu)</w:t>
            </w:r>
            <w:r w:rsidR="00776635" w:rsidRPr="009352D9">
              <w:rPr>
                <w:sz w:val="26"/>
                <w:szCs w:val="26"/>
              </w:rPr>
              <w:t xml:space="preserve"> ievietošana uz pieturvietu zīmēm faktiski nav iespējama, </w:t>
            </w:r>
            <w:r w:rsidR="00A458AD" w:rsidRPr="009352D9">
              <w:rPr>
                <w:sz w:val="26"/>
                <w:szCs w:val="26"/>
              </w:rPr>
              <w:t>bez tam</w:t>
            </w:r>
            <w:r w:rsidR="00776635" w:rsidRPr="009352D9">
              <w:rPr>
                <w:sz w:val="26"/>
                <w:szCs w:val="26"/>
              </w:rPr>
              <w:t xml:space="preserve"> tas noteikti sarežģītu informācijas uztveramību.</w:t>
            </w:r>
            <w:r w:rsidR="003E2C75" w:rsidRPr="009352D9">
              <w:rPr>
                <w:sz w:val="26"/>
                <w:szCs w:val="26"/>
              </w:rPr>
              <w:t xml:space="preserve"> </w:t>
            </w:r>
            <w:r w:rsidR="00D84865" w:rsidRPr="009352D9">
              <w:rPr>
                <w:sz w:val="26"/>
                <w:szCs w:val="26"/>
              </w:rPr>
              <w:t xml:space="preserve"> </w:t>
            </w:r>
          </w:p>
        </w:tc>
      </w:tr>
      <w:tr w:rsidR="00465566" w:rsidRPr="009352D9" w:rsidTr="00A458AD">
        <w:tc>
          <w:tcPr>
            <w:tcW w:w="192"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lastRenderedPageBreak/>
              <w:t>5.</w:t>
            </w:r>
          </w:p>
        </w:tc>
        <w:tc>
          <w:tcPr>
            <w:tcW w:w="1003"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t>Satiksmes ministrija un valsts sabiedrība ar ierobežoto atbildību „Autotransporta direkcija”.</w:t>
            </w:r>
          </w:p>
        </w:tc>
      </w:tr>
      <w:tr w:rsidR="00465566" w:rsidRPr="009352D9" w:rsidTr="00A458AD">
        <w:tc>
          <w:tcPr>
            <w:tcW w:w="192"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t>6.</w:t>
            </w:r>
          </w:p>
        </w:tc>
        <w:tc>
          <w:tcPr>
            <w:tcW w:w="1003"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t>Iemesli, kādēļ netika nodrošināta sabiedrības līdzdalība</w:t>
            </w:r>
          </w:p>
        </w:tc>
        <w:tc>
          <w:tcPr>
            <w:tcW w:w="3805" w:type="pct"/>
            <w:tcBorders>
              <w:top w:val="outset" w:sz="6" w:space="0" w:color="000000"/>
              <w:left w:val="outset" w:sz="6" w:space="0" w:color="000000"/>
              <w:bottom w:val="outset" w:sz="6" w:space="0" w:color="000000"/>
              <w:right w:val="outset" w:sz="6" w:space="0" w:color="000000"/>
            </w:tcBorders>
          </w:tcPr>
          <w:p w:rsidR="00465566" w:rsidRPr="009352D9" w:rsidRDefault="00910CD0" w:rsidP="009352D9">
            <w:pPr>
              <w:rPr>
                <w:sz w:val="26"/>
                <w:szCs w:val="26"/>
              </w:rPr>
            </w:pPr>
            <w:r>
              <w:rPr>
                <w:color w:val="000000"/>
                <w:sz w:val="26"/>
                <w:szCs w:val="26"/>
              </w:rPr>
              <w:t>Nav.</w:t>
            </w:r>
          </w:p>
        </w:tc>
      </w:tr>
      <w:tr w:rsidR="00465566" w:rsidRPr="009352D9" w:rsidTr="00A458AD">
        <w:tc>
          <w:tcPr>
            <w:tcW w:w="192"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t>7.</w:t>
            </w:r>
          </w:p>
        </w:tc>
        <w:tc>
          <w:tcPr>
            <w:tcW w:w="1003"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rPr>
                <w:sz w:val="26"/>
                <w:szCs w:val="26"/>
              </w:rPr>
            </w:pPr>
            <w:r w:rsidRPr="009352D9">
              <w:rPr>
                <w:sz w:val="26"/>
                <w:szCs w:val="26"/>
              </w:rPr>
              <w:t>Cita informācija</w:t>
            </w:r>
          </w:p>
        </w:tc>
        <w:tc>
          <w:tcPr>
            <w:tcW w:w="3805" w:type="pct"/>
            <w:tcBorders>
              <w:top w:val="outset" w:sz="6" w:space="0" w:color="000000"/>
              <w:left w:val="outset" w:sz="6" w:space="0" w:color="000000"/>
              <w:bottom w:val="outset" w:sz="6" w:space="0" w:color="000000"/>
              <w:right w:val="outset" w:sz="6" w:space="0" w:color="000000"/>
            </w:tcBorders>
          </w:tcPr>
          <w:p w:rsidR="00465566" w:rsidRPr="009352D9" w:rsidRDefault="00465566" w:rsidP="00A7312C">
            <w:pPr>
              <w:jc w:val="both"/>
              <w:rPr>
                <w:color w:val="000000"/>
                <w:sz w:val="26"/>
                <w:szCs w:val="26"/>
              </w:rPr>
            </w:pPr>
            <w:r w:rsidRPr="009352D9">
              <w:rPr>
                <w:bCs/>
                <w:color w:val="000000"/>
                <w:sz w:val="26"/>
                <w:szCs w:val="26"/>
              </w:rPr>
              <w:t>Nav.</w:t>
            </w:r>
          </w:p>
        </w:tc>
      </w:tr>
    </w:tbl>
    <w:p w:rsidR="00465566" w:rsidRPr="009352D9" w:rsidRDefault="00465566" w:rsidP="00465566">
      <w:pPr>
        <w:rPr>
          <w:sz w:val="26"/>
          <w:szCs w:val="26"/>
        </w:rPr>
      </w:pPr>
    </w:p>
    <w:tbl>
      <w:tblPr>
        <w:tblpPr w:leftFromText="180" w:rightFromText="180" w:vertAnchor="text" w:horzAnchor="margin" w:tblpX="-137" w:tblpY="102"/>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9"/>
        <w:gridCol w:w="4395"/>
        <w:gridCol w:w="4267"/>
      </w:tblGrid>
      <w:tr w:rsidR="00465566" w:rsidRPr="009352D9" w:rsidTr="00A7312C">
        <w:tc>
          <w:tcPr>
            <w:tcW w:w="9361" w:type="dxa"/>
            <w:gridSpan w:val="3"/>
            <w:vAlign w:val="center"/>
          </w:tcPr>
          <w:p w:rsidR="00465566" w:rsidRPr="009352D9" w:rsidRDefault="00465566" w:rsidP="00A7312C">
            <w:pPr>
              <w:pStyle w:val="naisnod"/>
              <w:spacing w:before="0" w:after="0"/>
              <w:rPr>
                <w:sz w:val="26"/>
                <w:szCs w:val="26"/>
              </w:rPr>
            </w:pPr>
            <w:r w:rsidRPr="009352D9">
              <w:rPr>
                <w:sz w:val="26"/>
                <w:szCs w:val="26"/>
              </w:rPr>
              <w:t>II. Tiesību akta projekta ietekme uz sabiedrību</w:t>
            </w:r>
          </w:p>
        </w:tc>
      </w:tr>
      <w:tr w:rsidR="00465566" w:rsidRPr="009352D9" w:rsidTr="00A7312C">
        <w:trPr>
          <w:trHeight w:val="467"/>
        </w:trPr>
        <w:tc>
          <w:tcPr>
            <w:tcW w:w="699" w:type="dxa"/>
          </w:tcPr>
          <w:p w:rsidR="00465566" w:rsidRPr="009352D9" w:rsidRDefault="00465566" w:rsidP="00A7312C">
            <w:pPr>
              <w:pStyle w:val="naiskr"/>
              <w:spacing w:before="0" w:after="0"/>
              <w:rPr>
                <w:sz w:val="26"/>
                <w:szCs w:val="26"/>
              </w:rPr>
            </w:pPr>
            <w:r w:rsidRPr="009352D9">
              <w:rPr>
                <w:sz w:val="26"/>
                <w:szCs w:val="26"/>
              </w:rPr>
              <w:t>1.</w:t>
            </w:r>
          </w:p>
        </w:tc>
        <w:tc>
          <w:tcPr>
            <w:tcW w:w="4395" w:type="dxa"/>
          </w:tcPr>
          <w:p w:rsidR="00465566" w:rsidRPr="009352D9" w:rsidRDefault="00465566" w:rsidP="00A7312C">
            <w:pPr>
              <w:pStyle w:val="naiskr"/>
              <w:spacing w:before="0" w:after="0"/>
              <w:rPr>
                <w:sz w:val="26"/>
                <w:szCs w:val="26"/>
              </w:rPr>
            </w:pPr>
            <w:r w:rsidRPr="009352D9">
              <w:rPr>
                <w:sz w:val="26"/>
                <w:szCs w:val="26"/>
              </w:rPr>
              <w:t>Sabiedrības mērķgrupa</w:t>
            </w:r>
          </w:p>
        </w:tc>
        <w:tc>
          <w:tcPr>
            <w:tcW w:w="4267" w:type="dxa"/>
          </w:tcPr>
          <w:p w:rsidR="00465566" w:rsidRPr="009352D9" w:rsidRDefault="00776635" w:rsidP="00776635">
            <w:pPr>
              <w:pStyle w:val="naiskr"/>
              <w:spacing w:before="0" w:after="0"/>
              <w:rPr>
                <w:sz w:val="26"/>
                <w:szCs w:val="26"/>
              </w:rPr>
            </w:pPr>
            <w:r w:rsidRPr="009352D9">
              <w:rPr>
                <w:iCs/>
                <w:sz w:val="26"/>
                <w:szCs w:val="26"/>
              </w:rPr>
              <w:t>Sabiedriskā transporta pakalpojumu sniedzēji (pārvadātāji) un pasažieri.</w:t>
            </w:r>
          </w:p>
        </w:tc>
      </w:tr>
      <w:tr w:rsidR="00465566" w:rsidRPr="009352D9" w:rsidTr="00A7312C">
        <w:trPr>
          <w:trHeight w:val="523"/>
        </w:trPr>
        <w:tc>
          <w:tcPr>
            <w:tcW w:w="699" w:type="dxa"/>
          </w:tcPr>
          <w:p w:rsidR="00465566" w:rsidRPr="009352D9" w:rsidRDefault="00465566" w:rsidP="00A7312C">
            <w:pPr>
              <w:pStyle w:val="naiskr"/>
              <w:spacing w:before="0" w:after="0"/>
              <w:rPr>
                <w:sz w:val="26"/>
                <w:szCs w:val="26"/>
              </w:rPr>
            </w:pPr>
            <w:r w:rsidRPr="009352D9">
              <w:rPr>
                <w:sz w:val="26"/>
                <w:szCs w:val="26"/>
              </w:rPr>
              <w:t>2.</w:t>
            </w:r>
          </w:p>
        </w:tc>
        <w:tc>
          <w:tcPr>
            <w:tcW w:w="4395" w:type="dxa"/>
          </w:tcPr>
          <w:p w:rsidR="00465566" w:rsidRPr="009352D9" w:rsidRDefault="00465566" w:rsidP="00A7312C">
            <w:pPr>
              <w:pStyle w:val="naiskr"/>
              <w:spacing w:before="0" w:after="0"/>
              <w:rPr>
                <w:sz w:val="26"/>
                <w:szCs w:val="26"/>
              </w:rPr>
            </w:pPr>
            <w:r w:rsidRPr="009352D9">
              <w:rPr>
                <w:sz w:val="26"/>
                <w:szCs w:val="26"/>
              </w:rPr>
              <w:t>Citas sabiedrības grupas (bez mērķgrupas), kuras tiesiskais regulējums arī ietekmē vai varētu ietekmēt</w:t>
            </w:r>
          </w:p>
        </w:tc>
        <w:tc>
          <w:tcPr>
            <w:tcW w:w="4267" w:type="dxa"/>
          </w:tcPr>
          <w:p w:rsidR="00465566" w:rsidRPr="009352D9" w:rsidRDefault="00465566" w:rsidP="00A7312C">
            <w:pPr>
              <w:pStyle w:val="naiskr"/>
              <w:spacing w:before="0" w:after="0"/>
              <w:rPr>
                <w:sz w:val="26"/>
                <w:szCs w:val="26"/>
              </w:rPr>
            </w:pPr>
            <w:r w:rsidRPr="009352D9">
              <w:rPr>
                <w:iCs/>
                <w:sz w:val="26"/>
                <w:szCs w:val="26"/>
              </w:rPr>
              <w:t>Projekts šo jomu neskar.</w:t>
            </w:r>
          </w:p>
        </w:tc>
      </w:tr>
      <w:tr w:rsidR="00465566" w:rsidRPr="009352D9" w:rsidTr="00A7312C">
        <w:trPr>
          <w:trHeight w:val="517"/>
        </w:trPr>
        <w:tc>
          <w:tcPr>
            <w:tcW w:w="699" w:type="dxa"/>
          </w:tcPr>
          <w:p w:rsidR="00465566" w:rsidRPr="009352D9" w:rsidRDefault="00465566" w:rsidP="00A7312C">
            <w:pPr>
              <w:pStyle w:val="naiskr"/>
              <w:spacing w:before="0" w:after="0"/>
              <w:rPr>
                <w:sz w:val="26"/>
                <w:szCs w:val="26"/>
              </w:rPr>
            </w:pPr>
            <w:r w:rsidRPr="009352D9">
              <w:rPr>
                <w:sz w:val="26"/>
                <w:szCs w:val="26"/>
              </w:rPr>
              <w:t>3.</w:t>
            </w:r>
          </w:p>
        </w:tc>
        <w:tc>
          <w:tcPr>
            <w:tcW w:w="4395" w:type="dxa"/>
          </w:tcPr>
          <w:p w:rsidR="00465566" w:rsidRPr="009352D9" w:rsidRDefault="00465566" w:rsidP="00A7312C">
            <w:pPr>
              <w:pStyle w:val="naiskr"/>
              <w:spacing w:before="0" w:after="0"/>
              <w:rPr>
                <w:sz w:val="26"/>
                <w:szCs w:val="26"/>
              </w:rPr>
            </w:pPr>
            <w:r w:rsidRPr="009352D9">
              <w:rPr>
                <w:sz w:val="26"/>
                <w:szCs w:val="26"/>
              </w:rPr>
              <w:t>Tiesiskā regulējuma finansiālā ietekme</w:t>
            </w:r>
          </w:p>
        </w:tc>
        <w:tc>
          <w:tcPr>
            <w:tcW w:w="4267" w:type="dxa"/>
          </w:tcPr>
          <w:p w:rsidR="00465566" w:rsidRPr="009352D9" w:rsidRDefault="00776635" w:rsidP="00A7312C">
            <w:pPr>
              <w:pStyle w:val="naiskr"/>
              <w:spacing w:before="0" w:after="0"/>
              <w:rPr>
                <w:sz w:val="26"/>
                <w:szCs w:val="26"/>
              </w:rPr>
            </w:pPr>
            <w:r w:rsidRPr="009352D9">
              <w:rPr>
                <w:iCs/>
                <w:sz w:val="26"/>
                <w:szCs w:val="26"/>
              </w:rPr>
              <w:t>Projekts šo jomu neskar.</w:t>
            </w:r>
          </w:p>
        </w:tc>
      </w:tr>
      <w:tr w:rsidR="00465566" w:rsidRPr="009352D9" w:rsidTr="00A7312C">
        <w:trPr>
          <w:trHeight w:val="517"/>
        </w:trPr>
        <w:tc>
          <w:tcPr>
            <w:tcW w:w="699" w:type="dxa"/>
          </w:tcPr>
          <w:p w:rsidR="00465566" w:rsidRPr="009352D9" w:rsidRDefault="00465566" w:rsidP="00A7312C">
            <w:pPr>
              <w:pStyle w:val="naiskr"/>
              <w:spacing w:before="0" w:after="0"/>
              <w:rPr>
                <w:sz w:val="26"/>
                <w:szCs w:val="26"/>
              </w:rPr>
            </w:pPr>
            <w:r w:rsidRPr="009352D9">
              <w:rPr>
                <w:sz w:val="26"/>
                <w:szCs w:val="26"/>
              </w:rPr>
              <w:t>4.</w:t>
            </w:r>
          </w:p>
        </w:tc>
        <w:tc>
          <w:tcPr>
            <w:tcW w:w="4395" w:type="dxa"/>
          </w:tcPr>
          <w:p w:rsidR="00465566" w:rsidRPr="009352D9" w:rsidRDefault="00465566" w:rsidP="00A7312C">
            <w:pPr>
              <w:pStyle w:val="naiskr"/>
              <w:spacing w:before="0" w:after="0"/>
              <w:rPr>
                <w:sz w:val="26"/>
                <w:szCs w:val="26"/>
              </w:rPr>
            </w:pPr>
            <w:r w:rsidRPr="009352D9">
              <w:rPr>
                <w:sz w:val="26"/>
                <w:szCs w:val="26"/>
              </w:rPr>
              <w:t>Tiesiskā regulējuma nefinansiālā ietekme</w:t>
            </w:r>
          </w:p>
        </w:tc>
        <w:tc>
          <w:tcPr>
            <w:tcW w:w="4267" w:type="dxa"/>
          </w:tcPr>
          <w:p w:rsidR="00465566" w:rsidRPr="009352D9" w:rsidRDefault="00465566" w:rsidP="00A7312C">
            <w:pPr>
              <w:pStyle w:val="naiskr"/>
              <w:spacing w:before="0" w:after="0"/>
              <w:rPr>
                <w:sz w:val="26"/>
                <w:szCs w:val="26"/>
              </w:rPr>
            </w:pPr>
            <w:r w:rsidRPr="009352D9">
              <w:rPr>
                <w:sz w:val="26"/>
                <w:szCs w:val="26"/>
              </w:rPr>
              <w:t>Projekts šo jomu neskar.</w:t>
            </w:r>
          </w:p>
        </w:tc>
      </w:tr>
      <w:tr w:rsidR="00465566" w:rsidRPr="009352D9" w:rsidTr="00A7312C">
        <w:trPr>
          <w:trHeight w:val="531"/>
        </w:trPr>
        <w:tc>
          <w:tcPr>
            <w:tcW w:w="699" w:type="dxa"/>
          </w:tcPr>
          <w:p w:rsidR="00465566" w:rsidRPr="009352D9" w:rsidRDefault="00465566" w:rsidP="00A7312C">
            <w:pPr>
              <w:pStyle w:val="naiskr"/>
              <w:spacing w:before="0" w:after="0"/>
              <w:rPr>
                <w:sz w:val="26"/>
                <w:szCs w:val="26"/>
              </w:rPr>
            </w:pPr>
            <w:r w:rsidRPr="009352D9">
              <w:rPr>
                <w:sz w:val="26"/>
                <w:szCs w:val="26"/>
              </w:rPr>
              <w:t>5.</w:t>
            </w:r>
          </w:p>
        </w:tc>
        <w:tc>
          <w:tcPr>
            <w:tcW w:w="4395" w:type="dxa"/>
          </w:tcPr>
          <w:p w:rsidR="00465566" w:rsidRPr="009352D9" w:rsidRDefault="00465566" w:rsidP="00A7312C">
            <w:pPr>
              <w:pStyle w:val="naiskr"/>
              <w:spacing w:before="0" w:after="0"/>
              <w:rPr>
                <w:sz w:val="26"/>
                <w:szCs w:val="26"/>
              </w:rPr>
            </w:pPr>
            <w:r w:rsidRPr="009352D9">
              <w:rPr>
                <w:sz w:val="26"/>
                <w:szCs w:val="26"/>
              </w:rPr>
              <w:t>Administratīvās procedūras raksturojums</w:t>
            </w:r>
          </w:p>
        </w:tc>
        <w:tc>
          <w:tcPr>
            <w:tcW w:w="4267" w:type="dxa"/>
          </w:tcPr>
          <w:p w:rsidR="00465566" w:rsidRPr="009352D9" w:rsidRDefault="00776635" w:rsidP="00A7312C">
            <w:pPr>
              <w:pStyle w:val="naiskr"/>
              <w:spacing w:before="0" w:after="0"/>
              <w:jc w:val="both"/>
              <w:rPr>
                <w:sz w:val="26"/>
                <w:szCs w:val="26"/>
              </w:rPr>
            </w:pPr>
            <w:r w:rsidRPr="009352D9">
              <w:rPr>
                <w:iCs/>
                <w:sz w:val="26"/>
                <w:szCs w:val="26"/>
              </w:rPr>
              <w:t>Projekts šo jomu neskar.</w:t>
            </w:r>
          </w:p>
        </w:tc>
      </w:tr>
      <w:tr w:rsidR="00465566" w:rsidRPr="009352D9" w:rsidTr="00A7312C">
        <w:trPr>
          <w:trHeight w:val="357"/>
        </w:trPr>
        <w:tc>
          <w:tcPr>
            <w:tcW w:w="699" w:type="dxa"/>
          </w:tcPr>
          <w:p w:rsidR="00465566" w:rsidRPr="009352D9" w:rsidRDefault="00465566" w:rsidP="00A7312C">
            <w:pPr>
              <w:pStyle w:val="naiskr"/>
              <w:spacing w:before="0" w:after="0"/>
              <w:rPr>
                <w:sz w:val="26"/>
                <w:szCs w:val="26"/>
              </w:rPr>
            </w:pPr>
            <w:r w:rsidRPr="009352D9">
              <w:rPr>
                <w:sz w:val="26"/>
                <w:szCs w:val="26"/>
              </w:rPr>
              <w:t>6.</w:t>
            </w:r>
          </w:p>
        </w:tc>
        <w:tc>
          <w:tcPr>
            <w:tcW w:w="4395" w:type="dxa"/>
          </w:tcPr>
          <w:p w:rsidR="00465566" w:rsidRPr="009352D9" w:rsidRDefault="00465566" w:rsidP="00A7312C">
            <w:pPr>
              <w:pStyle w:val="naiskr"/>
              <w:spacing w:before="0" w:after="0"/>
              <w:rPr>
                <w:sz w:val="26"/>
                <w:szCs w:val="26"/>
              </w:rPr>
            </w:pPr>
            <w:r w:rsidRPr="009352D9">
              <w:rPr>
                <w:sz w:val="26"/>
                <w:szCs w:val="26"/>
              </w:rPr>
              <w:t>Administratīvo izmaksu monetārs novērtējums</w:t>
            </w:r>
          </w:p>
        </w:tc>
        <w:tc>
          <w:tcPr>
            <w:tcW w:w="4267" w:type="dxa"/>
          </w:tcPr>
          <w:p w:rsidR="00465566" w:rsidRPr="009352D9" w:rsidRDefault="00465566" w:rsidP="00A7312C">
            <w:pPr>
              <w:pStyle w:val="naiskr"/>
              <w:spacing w:before="0" w:after="0"/>
              <w:rPr>
                <w:sz w:val="26"/>
                <w:szCs w:val="26"/>
              </w:rPr>
            </w:pPr>
            <w:r w:rsidRPr="009352D9">
              <w:rPr>
                <w:iCs/>
                <w:sz w:val="26"/>
                <w:szCs w:val="26"/>
              </w:rPr>
              <w:t>Projekts šo jomu neskar.</w:t>
            </w:r>
          </w:p>
        </w:tc>
      </w:tr>
      <w:tr w:rsidR="00465566" w:rsidRPr="009352D9" w:rsidTr="00A7312C">
        <w:tc>
          <w:tcPr>
            <w:tcW w:w="699" w:type="dxa"/>
          </w:tcPr>
          <w:p w:rsidR="00465566" w:rsidRPr="009352D9" w:rsidRDefault="00465566" w:rsidP="00A7312C">
            <w:pPr>
              <w:pStyle w:val="naiskr"/>
              <w:spacing w:before="0" w:after="0"/>
              <w:rPr>
                <w:sz w:val="26"/>
                <w:szCs w:val="26"/>
              </w:rPr>
            </w:pPr>
            <w:r w:rsidRPr="009352D9">
              <w:rPr>
                <w:sz w:val="26"/>
                <w:szCs w:val="26"/>
              </w:rPr>
              <w:t>7.</w:t>
            </w:r>
          </w:p>
        </w:tc>
        <w:tc>
          <w:tcPr>
            <w:tcW w:w="4395" w:type="dxa"/>
          </w:tcPr>
          <w:p w:rsidR="00465566" w:rsidRPr="009352D9" w:rsidRDefault="00465566" w:rsidP="00A7312C">
            <w:pPr>
              <w:pStyle w:val="naiskr"/>
              <w:spacing w:before="0" w:after="0"/>
              <w:rPr>
                <w:sz w:val="26"/>
                <w:szCs w:val="26"/>
              </w:rPr>
            </w:pPr>
            <w:r w:rsidRPr="009352D9">
              <w:rPr>
                <w:sz w:val="26"/>
                <w:szCs w:val="26"/>
              </w:rPr>
              <w:t>Cita informācija</w:t>
            </w:r>
          </w:p>
        </w:tc>
        <w:tc>
          <w:tcPr>
            <w:tcW w:w="4267" w:type="dxa"/>
          </w:tcPr>
          <w:p w:rsidR="00465566" w:rsidRPr="009352D9" w:rsidRDefault="00465566" w:rsidP="00A7312C">
            <w:pPr>
              <w:pStyle w:val="naiskr"/>
              <w:spacing w:before="0" w:after="0"/>
              <w:rPr>
                <w:sz w:val="26"/>
                <w:szCs w:val="26"/>
              </w:rPr>
            </w:pPr>
            <w:r w:rsidRPr="009352D9">
              <w:rPr>
                <w:sz w:val="26"/>
                <w:szCs w:val="26"/>
              </w:rPr>
              <w:t>Nav.</w:t>
            </w:r>
          </w:p>
        </w:tc>
      </w:tr>
    </w:tbl>
    <w:p w:rsidR="00465566" w:rsidRPr="009352D9" w:rsidRDefault="00465566" w:rsidP="00465566">
      <w:pPr>
        <w:rPr>
          <w:sz w:val="26"/>
          <w:szCs w:val="26"/>
        </w:rPr>
      </w:pPr>
    </w:p>
    <w:p w:rsidR="00465566" w:rsidRPr="009352D9" w:rsidRDefault="00465566" w:rsidP="00465566">
      <w:pPr>
        <w:jc w:val="both"/>
        <w:outlineLvl w:val="0"/>
        <w:rPr>
          <w:sz w:val="26"/>
          <w:szCs w:val="26"/>
          <w:highlight w:val="yellow"/>
        </w:rPr>
      </w:pPr>
    </w:p>
    <w:tbl>
      <w:tblPr>
        <w:tblW w:w="9472"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
        <w:gridCol w:w="4160"/>
        <w:gridCol w:w="4969"/>
      </w:tblGrid>
      <w:tr w:rsidR="00465566" w:rsidRPr="009352D9" w:rsidTr="00A7312C">
        <w:trPr>
          <w:jc w:val="center"/>
        </w:trPr>
        <w:tc>
          <w:tcPr>
            <w:tcW w:w="9472" w:type="dxa"/>
            <w:gridSpan w:val="3"/>
          </w:tcPr>
          <w:p w:rsidR="00465566" w:rsidRPr="009352D9" w:rsidRDefault="00465566" w:rsidP="00A7312C">
            <w:pPr>
              <w:pStyle w:val="naisnod"/>
              <w:spacing w:before="0" w:after="0"/>
              <w:ind w:left="57" w:right="57"/>
              <w:rPr>
                <w:sz w:val="26"/>
                <w:szCs w:val="26"/>
              </w:rPr>
            </w:pPr>
            <w:r w:rsidRPr="009352D9">
              <w:rPr>
                <w:sz w:val="26"/>
                <w:szCs w:val="26"/>
              </w:rPr>
              <w:t>VI. Sabiedrības līdzdalība un šīs līdzdalības rezultāti</w:t>
            </w:r>
          </w:p>
        </w:tc>
      </w:tr>
      <w:tr w:rsidR="00465566" w:rsidRPr="009352D9" w:rsidTr="00A7312C">
        <w:trPr>
          <w:trHeight w:val="553"/>
          <w:jc w:val="center"/>
        </w:trPr>
        <w:tc>
          <w:tcPr>
            <w:tcW w:w="343" w:type="dxa"/>
          </w:tcPr>
          <w:p w:rsidR="00465566" w:rsidRPr="009352D9" w:rsidRDefault="00465566" w:rsidP="00A7312C">
            <w:pPr>
              <w:pStyle w:val="naiskr"/>
              <w:spacing w:before="0" w:after="0"/>
              <w:ind w:left="57" w:right="57"/>
              <w:rPr>
                <w:bCs/>
                <w:sz w:val="26"/>
                <w:szCs w:val="26"/>
              </w:rPr>
            </w:pPr>
            <w:r w:rsidRPr="009352D9">
              <w:rPr>
                <w:bCs/>
                <w:sz w:val="26"/>
                <w:szCs w:val="26"/>
              </w:rPr>
              <w:t>1.</w:t>
            </w:r>
          </w:p>
        </w:tc>
        <w:tc>
          <w:tcPr>
            <w:tcW w:w="4160" w:type="dxa"/>
          </w:tcPr>
          <w:p w:rsidR="00465566" w:rsidRPr="009352D9" w:rsidRDefault="00465566" w:rsidP="00A7312C">
            <w:pPr>
              <w:pStyle w:val="naiskr"/>
              <w:tabs>
                <w:tab w:val="left" w:pos="170"/>
              </w:tabs>
              <w:spacing w:before="0" w:after="0"/>
              <w:ind w:left="57" w:right="57"/>
              <w:rPr>
                <w:sz w:val="26"/>
                <w:szCs w:val="26"/>
              </w:rPr>
            </w:pPr>
            <w:r w:rsidRPr="009352D9">
              <w:rPr>
                <w:sz w:val="26"/>
                <w:szCs w:val="26"/>
              </w:rPr>
              <w:t>Sabiedrības informēšana par projekta izstrādes uzsākšanu</w:t>
            </w:r>
          </w:p>
        </w:tc>
        <w:tc>
          <w:tcPr>
            <w:tcW w:w="4969" w:type="dxa"/>
          </w:tcPr>
          <w:p w:rsidR="00465566" w:rsidRPr="009352D9" w:rsidRDefault="00776635" w:rsidP="00A7312C">
            <w:pPr>
              <w:pStyle w:val="naiskr"/>
              <w:spacing w:before="0" w:after="0"/>
              <w:ind w:left="57" w:right="57"/>
              <w:jc w:val="both"/>
              <w:rPr>
                <w:sz w:val="26"/>
                <w:szCs w:val="26"/>
              </w:rPr>
            </w:pPr>
            <w:r w:rsidRPr="009352D9">
              <w:rPr>
                <w:iCs/>
                <w:sz w:val="26"/>
                <w:szCs w:val="26"/>
              </w:rPr>
              <w:t>Projekts šo jomu neskar.</w:t>
            </w:r>
          </w:p>
        </w:tc>
      </w:tr>
      <w:tr w:rsidR="00465566" w:rsidRPr="009352D9" w:rsidTr="00A7312C">
        <w:trPr>
          <w:trHeight w:val="339"/>
          <w:jc w:val="center"/>
        </w:trPr>
        <w:tc>
          <w:tcPr>
            <w:tcW w:w="343" w:type="dxa"/>
          </w:tcPr>
          <w:p w:rsidR="00465566" w:rsidRPr="009352D9" w:rsidRDefault="00465566" w:rsidP="00A7312C">
            <w:pPr>
              <w:pStyle w:val="naiskr"/>
              <w:spacing w:before="0" w:after="0"/>
              <w:ind w:left="57" w:right="57"/>
              <w:rPr>
                <w:bCs/>
                <w:sz w:val="26"/>
                <w:szCs w:val="26"/>
              </w:rPr>
            </w:pPr>
            <w:r w:rsidRPr="009352D9">
              <w:rPr>
                <w:bCs/>
                <w:sz w:val="26"/>
                <w:szCs w:val="26"/>
              </w:rPr>
              <w:t>2.</w:t>
            </w:r>
          </w:p>
        </w:tc>
        <w:tc>
          <w:tcPr>
            <w:tcW w:w="4160" w:type="dxa"/>
          </w:tcPr>
          <w:p w:rsidR="00465566" w:rsidRPr="009352D9" w:rsidRDefault="00465566" w:rsidP="00A7312C">
            <w:pPr>
              <w:pStyle w:val="naiskr"/>
              <w:spacing w:before="0" w:after="0"/>
              <w:ind w:left="57" w:right="57"/>
              <w:rPr>
                <w:sz w:val="26"/>
                <w:szCs w:val="26"/>
              </w:rPr>
            </w:pPr>
            <w:r w:rsidRPr="009352D9">
              <w:rPr>
                <w:sz w:val="26"/>
                <w:szCs w:val="26"/>
              </w:rPr>
              <w:t xml:space="preserve">Sabiedrības līdzdalība projekta izstrādē </w:t>
            </w:r>
          </w:p>
        </w:tc>
        <w:tc>
          <w:tcPr>
            <w:tcW w:w="4969" w:type="dxa"/>
          </w:tcPr>
          <w:p w:rsidR="00465566" w:rsidRPr="009352D9" w:rsidRDefault="00465566" w:rsidP="00A7312C">
            <w:pPr>
              <w:pStyle w:val="naiskr"/>
              <w:spacing w:before="0" w:after="0"/>
              <w:ind w:left="57" w:right="57"/>
              <w:jc w:val="both"/>
              <w:rPr>
                <w:sz w:val="26"/>
                <w:szCs w:val="26"/>
              </w:rPr>
            </w:pPr>
            <w:r w:rsidRPr="009352D9">
              <w:rPr>
                <w:sz w:val="26"/>
                <w:szCs w:val="26"/>
              </w:rPr>
              <w:t xml:space="preserve">Konsultācijas ir notikušas ar </w:t>
            </w:r>
            <w:r w:rsidR="009352D9" w:rsidRPr="009352D9">
              <w:rPr>
                <w:sz w:val="26"/>
                <w:szCs w:val="26"/>
              </w:rPr>
              <w:t>biedrību „</w:t>
            </w:r>
            <w:r w:rsidRPr="009352D9">
              <w:rPr>
                <w:sz w:val="26"/>
                <w:szCs w:val="26"/>
              </w:rPr>
              <w:t xml:space="preserve">Latvijas </w:t>
            </w:r>
            <w:r w:rsidR="009352D9" w:rsidRPr="009352D9">
              <w:rPr>
                <w:sz w:val="26"/>
                <w:szCs w:val="26"/>
              </w:rPr>
              <w:t>pasažieru pārvadātāju asociācija”</w:t>
            </w:r>
            <w:r w:rsidRPr="009352D9">
              <w:rPr>
                <w:sz w:val="26"/>
                <w:szCs w:val="26"/>
              </w:rPr>
              <w:t xml:space="preserve">, kas </w:t>
            </w:r>
            <w:r w:rsidRPr="009352D9">
              <w:rPr>
                <w:color w:val="000000"/>
                <w:sz w:val="26"/>
                <w:szCs w:val="26"/>
              </w:rPr>
              <w:t>ir izveidota pasažieru pārvadātāju profesionālai sadarbībai. Tā darbojas pārvadātāju interesēs uz pašpārvaldes pamatiem, lai veicinātu pasažieru pārvadājumu attīstību.</w:t>
            </w:r>
          </w:p>
        </w:tc>
      </w:tr>
      <w:tr w:rsidR="00465566" w:rsidRPr="009352D9" w:rsidTr="00A7312C">
        <w:trPr>
          <w:trHeight w:val="375"/>
          <w:jc w:val="center"/>
        </w:trPr>
        <w:tc>
          <w:tcPr>
            <w:tcW w:w="343" w:type="dxa"/>
          </w:tcPr>
          <w:p w:rsidR="00465566" w:rsidRPr="009352D9" w:rsidRDefault="00465566" w:rsidP="00A7312C">
            <w:pPr>
              <w:pStyle w:val="naiskr"/>
              <w:spacing w:before="0" w:after="0"/>
              <w:ind w:left="57" w:right="57"/>
              <w:rPr>
                <w:bCs/>
                <w:sz w:val="26"/>
                <w:szCs w:val="26"/>
              </w:rPr>
            </w:pPr>
            <w:r w:rsidRPr="009352D9">
              <w:rPr>
                <w:bCs/>
                <w:sz w:val="26"/>
                <w:szCs w:val="26"/>
              </w:rPr>
              <w:t>3.</w:t>
            </w:r>
          </w:p>
        </w:tc>
        <w:tc>
          <w:tcPr>
            <w:tcW w:w="4160" w:type="dxa"/>
          </w:tcPr>
          <w:p w:rsidR="00465566" w:rsidRPr="009352D9" w:rsidRDefault="00465566" w:rsidP="00A7312C">
            <w:pPr>
              <w:pStyle w:val="naiskr"/>
              <w:spacing w:before="0" w:after="0"/>
              <w:ind w:left="57" w:right="57"/>
              <w:rPr>
                <w:sz w:val="26"/>
                <w:szCs w:val="26"/>
              </w:rPr>
            </w:pPr>
            <w:r w:rsidRPr="009352D9">
              <w:rPr>
                <w:sz w:val="26"/>
                <w:szCs w:val="26"/>
              </w:rPr>
              <w:t xml:space="preserve">Sabiedrības līdzdalības rezultāti </w:t>
            </w:r>
          </w:p>
        </w:tc>
        <w:tc>
          <w:tcPr>
            <w:tcW w:w="4969" w:type="dxa"/>
          </w:tcPr>
          <w:p w:rsidR="00465566" w:rsidRPr="009352D9" w:rsidRDefault="009352D9" w:rsidP="00A7312C">
            <w:pPr>
              <w:pStyle w:val="naiskr"/>
              <w:spacing w:before="0" w:after="0"/>
              <w:ind w:left="57" w:right="57"/>
              <w:jc w:val="both"/>
              <w:rPr>
                <w:sz w:val="26"/>
                <w:szCs w:val="26"/>
              </w:rPr>
            </w:pPr>
            <w:r w:rsidRPr="009352D9">
              <w:rPr>
                <w:sz w:val="26"/>
                <w:szCs w:val="26"/>
              </w:rPr>
              <w:t>Biedrība „</w:t>
            </w:r>
            <w:r w:rsidR="00465566" w:rsidRPr="009352D9">
              <w:rPr>
                <w:sz w:val="26"/>
                <w:szCs w:val="26"/>
              </w:rPr>
              <w:t>Latvijas pasažieru pārvadātāju asociācija</w:t>
            </w:r>
            <w:r w:rsidRPr="009352D9">
              <w:rPr>
                <w:sz w:val="26"/>
                <w:szCs w:val="26"/>
              </w:rPr>
              <w:t>”</w:t>
            </w:r>
            <w:r w:rsidR="00465566" w:rsidRPr="009352D9">
              <w:rPr>
                <w:sz w:val="26"/>
                <w:szCs w:val="26"/>
              </w:rPr>
              <w:t xml:space="preserve"> atbalsta izstrādāto projektu.</w:t>
            </w:r>
          </w:p>
        </w:tc>
      </w:tr>
      <w:tr w:rsidR="00465566" w:rsidRPr="009352D9" w:rsidTr="00A7312C">
        <w:trPr>
          <w:trHeight w:val="397"/>
          <w:jc w:val="center"/>
        </w:trPr>
        <w:tc>
          <w:tcPr>
            <w:tcW w:w="343" w:type="dxa"/>
          </w:tcPr>
          <w:p w:rsidR="00465566" w:rsidRPr="009352D9" w:rsidRDefault="00465566" w:rsidP="00A7312C">
            <w:pPr>
              <w:pStyle w:val="naiskr"/>
              <w:spacing w:before="0" w:after="0"/>
              <w:ind w:left="57" w:right="57"/>
              <w:rPr>
                <w:bCs/>
                <w:sz w:val="26"/>
                <w:szCs w:val="26"/>
              </w:rPr>
            </w:pPr>
            <w:r w:rsidRPr="009352D9">
              <w:rPr>
                <w:bCs/>
                <w:sz w:val="26"/>
                <w:szCs w:val="26"/>
              </w:rPr>
              <w:lastRenderedPageBreak/>
              <w:t>4.</w:t>
            </w:r>
          </w:p>
        </w:tc>
        <w:tc>
          <w:tcPr>
            <w:tcW w:w="4160" w:type="dxa"/>
          </w:tcPr>
          <w:p w:rsidR="00465566" w:rsidRPr="009352D9" w:rsidRDefault="00465566" w:rsidP="00A7312C">
            <w:pPr>
              <w:pStyle w:val="naiskr"/>
              <w:spacing w:before="0" w:after="0"/>
              <w:ind w:left="57" w:right="57"/>
              <w:rPr>
                <w:sz w:val="26"/>
                <w:szCs w:val="26"/>
              </w:rPr>
            </w:pPr>
            <w:r w:rsidRPr="009352D9">
              <w:rPr>
                <w:sz w:val="26"/>
                <w:szCs w:val="26"/>
              </w:rPr>
              <w:t>Saeimas un ekspertu līdzdalība</w:t>
            </w:r>
          </w:p>
        </w:tc>
        <w:tc>
          <w:tcPr>
            <w:tcW w:w="4969" w:type="dxa"/>
          </w:tcPr>
          <w:p w:rsidR="00465566" w:rsidRPr="009352D9" w:rsidRDefault="00465566" w:rsidP="00A7312C">
            <w:pPr>
              <w:pStyle w:val="naiskr"/>
              <w:spacing w:before="0" w:after="0"/>
              <w:ind w:left="57" w:right="57"/>
              <w:jc w:val="both"/>
              <w:rPr>
                <w:sz w:val="26"/>
                <w:szCs w:val="26"/>
              </w:rPr>
            </w:pPr>
            <w:r w:rsidRPr="009352D9">
              <w:rPr>
                <w:color w:val="000000"/>
                <w:sz w:val="26"/>
                <w:szCs w:val="26"/>
                <w:lang w:eastAsia="en-US"/>
              </w:rPr>
              <w:t>Projekts šo jomu neskar.</w:t>
            </w:r>
          </w:p>
        </w:tc>
      </w:tr>
      <w:tr w:rsidR="00465566" w:rsidRPr="009352D9" w:rsidTr="00A7312C">
        <w:trPr>
          <w:trHeight w:val="476"/>
          <w:jc w:val="center"/>
        </w:trPr>
        <w:tc>
          <w:tcPr>
            <w:tcW w:w="343" w:type="dxa"/>
          </w:tcPr>
          <w:p w:rsidR="00465566" w:rsidRPr="009352D9" w:rsidRDefault="00465566" w:rsidP="00A7312C">
            <w:pPr>
              <w:pStyle w:val="naiskr"/>
              <w:spacing w:before="0" w:after="0"/>
              <w:ind w:left="57" w:right="57"/>
              <w:rPr>
                <w:bCs/>
                <w:sz w:val="26"/>
                <w:szCs w:val="26"/>
              </w:rPr>
            </w:pPr>
            <w:r w:rsidRPr="009352D9">
              <w:rPr>
                <w:bCs/>
                <w:sz w:val="26"/>
                <w:szCs w:val="26"/>
              </w:rPr>
              <w:t>5.</w:t>
            </w:r>
          </w:p>
        </w:tc>
        <w:tc>
          <w:tcPr>
            <w:tcW w:w="4160" w:type="dxa"/>
          </w:tcPr>
          <w:p w:rsidR="00465566" w:rsidRPr="009352D9" w:rsidRDefault="00465566" w:rsidP="00A7312C">
            <w:pPr>
              <w:pStyle w:val="naiskr"/>
              <w:spacing w:before="0" w:after="0"/>
              <w:ind w:left="57" w:right="57"/>
              <w:rPr>
                <w:sz w:val="26"/>
                <w:szCs w:val="26"/>
              </w:rPr>
            </w:pPr>
            <w:r w:rsidRPr="009352D9">
              <w:rPr>
                <w:sz w:val="26"/>
                <w:szCs w:val="26"/>
              </w:rPr>
              <w:t>Cita informācija</w:t>
            </w:r>
          </w:p>
          <w:p w:rsidR="00465566" w:rsidRPr="009352D9" w:rsidRDefault="00465566" w:rsidP="00A7312C">
            <w:pPr>
              <w:pStyle w:val="naiskr"/>
              <w:spacing w:before="0" w:after="0"/>
              <w:ind w:left="57" w:right="57"/>
              <w:rPr>
                <w:sz w:val="26"/>
                <w:szCs w:val="26"/>
              </w:rPr>
            </w:pPr>
          </w:p>
        </w:tc>
        <w:tc>
          <w:tcPr>
            <w:tcW w:w="4969" w:type="dxa"/>
          </w:tcPr>
          <w:p w:rsidR="00465566" w:rsidRPr="009352D9" w:rsidRDefault="00465566" w:rsidP="00A7312C">
            <w:pPr>
              <w:pStyle w:val="naiskr"/>
              <w:spacing w:before="0" w:after="0"/>
              <w:ind w:left="57" w:right="57"/>
              <w:jc w:val="both"/>
              <w:rPr>
                <w:sz w:val="26"/>
                <w:szCs w:val="26"/>
              </w:rPr>
            </w:pPr>
            <w:r w:rsidRPr="009352D9">
              <w:rPr>
                <w:sz w:val="26"/>
                <w:szCs w:val="26"/>
              </w:rPr>
              <w:t>Nav.</w:t>
            </w:r>
          </w:p>
        </w:tc>
      </w:tr>
    </w:tbl>
    <w:p w:rsidR="00465566" w:rsidRDefault="00465566" w:rsidP="00465566">
      <w:pPr>
        <w:jc w:val="both"/>
        <w:outlineLvl w:val="0"/>
        <w:rPr>
          <w:sz w:val="26"/>
          <w:szCs w:val="26"/>
          <w:highlight w:val="yellow"/>
        </w:rPr>
      </w:pPr>
    </w:p>
    <w:p w:rsidR="0048434A" w:rsidRPr="009352D9" w:rsidRDefault="0048434A" w:rsidP="00465566">
      <w:pPr>
        <w:jc w:val="both"/>
        <w:outlineLvl w:val="0"/>
        <w:rPr>
          <w:sz w:val="26"/>
          <w:szCs w:val="26"/>
          <w:highlight w:val="yellow"/>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096"/>
        <w:gridCol w:w="5710"/>
      </w:tblGrid>
      <w:tr w:rsidR="00465566" w:rsidRPr="009352D9" w:rsidTr="00A7312C">
        <w:tc>
          <w:tcPr>
            <w:tcW w:w="9498" w:type="dxa"/>
            <w:gridSpan w:val="3"/>
          </w:tcPr>
          <w:p w:rsidR="00465566" w:rsidRPr="009352D9" w:rsidRDefault="00465566" w:rsidP="00A7312C">
            <w:pPr>
              <w:jc w:val="center"/>
              <w:outlineLvl w:val="0"/>
              <w:rPr>
                <w:color w:val="000000"/>
                <w:sz w:val="26"/>
                <w:szCs w:val="26"/>
                <w:highlight w:val="yellow"/>
              </w:rPr>
            </w:pPr>
            <w:r w:rsidRPr="009352D9">
              <w:rPr>
                <w:b/>
                <w:color w:val="000000"/>
                <w:sz w:val="26"/>
                <w:szCs w:val="26"/>
                <w:lang w:eastAsia="en-US"/>
              </w:rPr>
              <w:t>VII. Tiesību akta projekta izpildes nodrošināšana un tās ietekme uz institūcijām</w:t>
            </w:r>
          </w:p>
        </w:tc>
      </w:tr>
      <w:tr w:rsidR="00465566" w:rsidRPr="009352D9" w:rsidTr="00A7312C">
        <w:tc>
          <w:tcPr>
            <w:tcW w:w="692"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1.</w:t>
            </w:r>
          </w:p>
        </w:tc>
        <w:tc>
          <w:tcPr>
            <w:tcW w:w="3096"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Projekta izpildē iesaistītās institūcijas</w:t>
            </w:r>
          </w:p>
        </w:tc>
        <w:tc>
          <w:tcPr>
            <w:tcW w:w="5710" w:type="dxa"/>
          </w:tcPr>
          <w:p w:rsidR="00465566" w:rsidRPr="009352D9" w:rsidRDefault="00776635" w:rsidP="00A7312C">
            <w:pPr>
              <w:jc w:val="both"/>
              <w:outlineLvl w:val="0"/>
              <w:rPr>
                <w:sz w:val="26"/>
                <w:szCs w:val="26"/>
              </w:rPr>
            </w:pPr>
            <w:r w:rsidRPr="009352D9">
              <w:rPr>
                <w:iCs/>
                <w:sz w:val="26"/>
                <w:szCs w:val="26"/>
              </w:rPr>
              <w:t>Sabiedriskā transporta pakalpojumu sniedzēji (pārvadātāji).</w:t>
            </w:r>
          </w:p>
        </w:tc>
      </w:tr>
      <w:tr w:rsidR="00465566" w:rsidRPr="009352D9" w:rsidTr="00A7312C">
        <w:tc>
          <w:tcPr>
            <w:tcW w:w="692"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2.</w:t>
            </w:r>
          </w:p>
        </w:tc>
        <w:tc>
          <w:tcPr>
            <w:tcW w:w="3096"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Projekta izpildes ietekme uz pārvaldes funkcijām</w:t>
            </w:r>
          </w:p>
        </w:tc>
        <w:tc>
          <w:tcPr>
            <w:tcW w:w="5710" w:type="dxa"/>
          </w:tcPr>
          <w:p w:rsidR="00465566" w:rsidRPr="009352D9" w:rsidRDefault="00776635" w:rsidP="00A7312C">
            <w:pPr>
              <w:jc w:val="both"/>
              <w:outlineLvl w:val="0"/>
              <w:rPr>
                <w:color w:val="000000"/>
                <w:sz w:val="26"/>
                <w:szCs w:val="26"/>
                <w:highlight w:val="yellow"/>
                <w:lang w:eastAsia="en-US"/>
              </w:rPr>
            </w:pPr>
            <w:r w:rsidRPr="009352D9">
              <w:rPr>
                <w:color w:val="000000"/>
                <w:sz w:val="26"/>
                <w:szCs w:val="26"/>
                <w:lang w:eastAsia="en-US"/>
              </w:rPr>
              <w:t>Saistībā ar projekta izpildi institūciju funkcijas netiek paplašinātas vai sašaurinātas.</w:t>
            </w:r>
          </w:p>
        </w:tc>
      </w:tr>
      <w:tr w:rsidR="00465566" w:rsidRPr="009352D9" w:rsidTr="00A7312C">
        <w:tc>
          <w:tcPr>
            <w:tcW w:w="692"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3.</w:t>
            </w:r>
          </w:p>
        </w:tc>
        <w:tc>
          <w:tcPr>
            <w:tcW w:w="3096"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 xml:space="preserve">Projekta izpildes ietekme uz pārvaldes institucionālo struktūru. </w:t>
            </w:r>
          </w:p>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Jaunu institūciju izveide.</w:t>
            </w:r>
          </w:p>
        </w:tc>
        <w:tc>
          <w:tcPr>
            <w:tcW w:w="5710" w:type="dxa"/>
          </w:tcPr>
          <w:p w:rsidR="00465566" w:rsidRPr="009352D9" w:rsidRDefault="00776635" w:rsidP="00A7312C">
            <w:pPr>
              <w:jc w:val="both"/>
              <w:outlineLvl w:val="0"/>
              <w:rPr>
                <w:color w:val="000000"/>
                <w:sz w:val="26"/>
                <w:szCs w:val="26"/>
                <w:highlight w:val="yellow"/>
                <w:lang w:eastAsia="en-US"/>
              </w:rPr>
            </w:pPr>
            <w:r w:rsidRPr="009352D9">
              <w:rPr>
                <w:color w:val="000000"/>
                <w:sz w:val="26"/>
                <w:szCs w:val="26"/>
                <w:lang w:eastAsia="en-US"/>
              </w:rPr>
              <w:t>Saistībā ar projekta izpildi nav nepieciešams veidot jaunas institūcijas.</w:t>
            </w:r>
          </w:p>
        </w:tc>
      </w:tr>
      <w:tr w:rsidR="00465566" w:rsidRPr="009352D9" w:rsidTr="00A7312C">
        <w:tc>
          <w:tcPr>
            <w:tcW w:w="692"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4.</w:t>
            </w:r>
          </w:p>
        </w:tc>
        <w:tc>
          <w:tcPr>
            <w:tcW w:w="3096"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 xml:space="preserve">Projekta izpildes ietekme uz pārvaldes institucionālo struktūru. </w:t>
            </w:r>
          </w:p>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Esošu institūciju likvidācija.</w:t>
            </w:r>
          </w:p>
        </w:tc>
        <w:tc>
          <w:tcPr>
            <w:tcW w:w="5710" w:type="dxa"/>
          </w:tcPr>
          <w:p w:rsidR="00465566" w:rsidRPr="009352D9" w:rsidRDefault="00465566" w:rsidP="00A7312C">
            <w:pPr>
              <w:jc w:val="both"/>
              <w:outlineLvl w:val="0"/>
              <w:rPr>
                <w:color w:val="000000"/>
                <w:sz w:val="26"/>
                <w:szCs w:val="26"/>
                <w:lang w:eastAsia="en-US"/>
              </w:rPr>
            </w:pPr>
            <w:r w:rsidRPr="009352D9">
              <w:rPr>
                <w:sz w:val="26"/>
                <w:szCs w:val="26"/>
              </w:rPr>
              <w:t>Projekts šo jomu neskar.</w:t>
            </w:r>
          </w:p>
        </w:tc>
      </w:tr>
      <w:tr w:rsidR="00465566" w:rsidRPr="009352D9" w:rsidTr="00A7312C">
        <w:tc>
          <w:tcPr>
            <w:tcW w:w="692"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5.</w:t>
            </w:r>
          </w:p>
        </w:tc>
        <w:tc>
          <w:tcPr>
            <w:tcW w:w="3096"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Projekta izpildes ietekme uz pārvaldes institucionālo struktūru.</w:t>
            </w:r>
          </w:p>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Esošu institūciju reorganizācija.</w:t>
            </w:r>
          </w:p>
        </w:tc>
        <w:tc>
          <w:tcPr>
            <w:tcW w:w="5710" w:type="dxa"/>
          </w:tcPr>
          <w:p w:rsidR="00465566" w:rsidRPr="009352D9" w:rsidRDefault="00465566" w:rsidP="00A7312C">
            <w:pPr>
              <w:jc w:val="both"/>
              <w:outlineLvl w:val="0"/>
              <w:rPr>
                <w:color w:val="000000"/>
                <w:sz w:val="26"/>
                <w:szCs w:val="26"/>
                <w:highlight w:val="yellow"/>
                <w:lang w:eastAsia="en-US"/>
              </w:rPr>
            </w:pPr>
            <w:r w:rsidRPr="009352D9">
              <w:rPr>
                <w:color w:val="000000"/>
                <w:sz w:val="26"/>
                <w:szCs w:val="26"/>
                <w:lang w:eastAsia="en-US"/>
              </w:rPr>
              <w:t>Projekts šo jomu neskar.</w:t>
            </w:r>
          </w:p>
        </w:tc>
      </w:tr>
      <w:tr w:rsidR="00465566" w:rsidRPr="009352D9" w:rsidTr="00A7312C">
        <w:tc>
          <w:tcPr>
            <w:tcW w:w="692"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6.</w:t>
            </w:r>
          </w:p>
        </w:tc>
        <w:tc>
          <w:tcPr>
            <w:tcW w:w="3096" w:type="dxa"/>
          </w:tcPr>
          <w:p w:rsidR="00465566" w:rsidRPr="009352D9" w:rsidRDefault="00465566" w:rsidP="00A7312C">
            <w:pPr>
              <w:jc w:val="both"/>
              <w:outlineLvl w:val="0"/>
              <w:rPr>
                <w:color w:val="000000"/>
                <w:sz w:val="26"/>
                <w:szCs w:val="26"/>
                <w:lang w:eastAsia="en-US"/>
              </w:rPr>
            </w:pPr>
            <w:r w:rsidRPr="009352D9">
              <w:rPr>
                <w:color w:val="000000"/>
                <w:sz w:val="26"/>
                <w:szCs w:val="26"/>
                <w:lang w:eastAsia="en-US"/>
              </w:rPr>
              <w:t>Cita informācija.</w:t>
            </w:r>
          </w:p>
        </w:tc>
        <w:tc>
          <w:tcPr>
            <w:tcW w:w="5710" w:type="dxa"/>
          </w:tcPr>
          <w:p w:rsidR="00465566" w:rsidRPr="009352D9" w:rsidRDefault="00465566" w:rsidP="00A7312C">
            <w:pPr>
              <w:jc w:val="both"/>
              <w:rPr>
                <w:color w:val="000000"/>
                <w:sz w:val="26"/>
                <w:szCs w:val="26"/>
              </w:rPr>
            </w:pPr>
            <w:r w:rsidRPr="009352D9">
              <w:rPr>
                <w:sz w:val="26"/>
                <w:szCs w:val="26"/>
              </w:rPr>
              <w:t>Nav</w:t>
            </w:r>
            <w:r w:rsidRPr="009352D9">
              <w:rPr>
                <w:color w:val="000000"/>
                <w:sz w:val="26"/>
                <w:szCs w:val="26"/>
              </w:rPr>
              <w:t>.</w:t>
            </w:r>
          </w:p>
          <w:p w:rsidR="00465566" w:rsidRPr="009352D9" w:rsidRDefault="00465566" w:rsidP="00A7312C">
            <w:pPr>
              <w:jc w:val="both"/>
              <w:outlineLvl w:val="0"/>
              <w:rPr>
                <w:color w:val="000000"/>
                <w:sz w:val="26"/>
                <w:szCs w:val="26"/>
                <w:lang w:eastAsia="en-US"/>
              </w:rPr>
            </w:pPr>
          </w:p>
        </w:tc>
      </w:tr>
    </w:tbl>
    <w:p w:rsidR="00465566" w:rsidRPr="009352D9" w:rsidRDefault="00465566" w:rsidP="00465566">
      <w:pPr>
        <w:pStyle w:val="naisf"/>
        <w:spacing w:before="0" w:after="0"/>
        <w:ind w:firstLine="0"/>
        <w:rPr>
          <w:color w:val="000000"/>
          <w:sz w:val="26"/>
          <w:szCs w:val="26"/>
          <w:lang w:eastAsia="en-US"/>
        </w:rPr>
      </w:pPr>
    </w:p>
    <w:p w:rsidR="00465566" w:rsidRPr="009352D9" w:rsidRDefault="00465566" w:rsidP="00465566">
      <w:pPr>
        <w:pStyle w:val="naisf"/>
        <w:spacing w:before="0" w:after="0"/>
        <w:ind w:firstLine="0"/>
        <w:rPr>
          <w:sz w:val="26"/>
          <w:szCs w:val="26"/>
        </w:rPr>
      </w:pPr>
      <w:r w:rsidRPr="009352D9">
        <w:rPr>
          <w:color w:val="000000"/>
          <w:sz w:val="26"/>
          <w:szCs w:val="26"/>
          <w:lang w:eastAsia="en-US"/>
        </w:rPr>
        <w:t xml:space="preserve">Anotācijas </w:t>
      </w:r>
      <w:r w:rsidR="00776635" w:rsidRPr="009352D9">
        <w:rPr>
          <w:color w:val="000000"/>
          <w:sz w:val="26"/>
          <w:szCs w:val="26"/>
          <w:lang w:eastAsia="en-US"/>
        </w:rPr>
        <w:t>II</w:t>
      </w:r>
      <w:r w:rsidRPr="009352D9">
        <w:rPr>
          <w:color w:val="000000"/>
          <w:sz w:val="26"/>
          <w:szCs w:val="26"/>
          <w:lang w:eastAsia="en-US"/>
        </w:rPr>
        <w:t>I</w:t>
      </w:r>
      <w:r w:rsidR="00776635" w:rsidRPr="009352D9">
        <w:rPr>
          <w:color w:val="000000"/>
          <w:sz w:val="26"/>
          <w:szCs w:val="26"/>
          <w:lang w:eastAsia="en-US"/>
        </w:rPr>
        <w:t>, IV</w:t>
      </w:r>
      <w:r w:rsidR="002B119E" w:rsidRPr="009352D9">
        <w:rPr>
          <w:color w:val="000000"/>
          <w:sz w:val="26"/>
          <w:szCs w:val="26"/>
          <w:lang w:eastAsia="en-US"/>
        </w:rPr>
        <w:t xml:space="preserve"> un</w:t>
      </w:r>
      <w:r w:rsidR="00776635" w:rsidRPr="009352D9">
        <w:rPr>
          <w:color w:val="000000"/>
          <w:sz w:val="26"/>
          <w:szCs w:val="26"/>
          <w:lang w:eastAsia="en-US"/>
        </w:rPr>
        <w:t xml:space="preserve"> V sadaļa –</w:t>
      </w:r>
      <w:r w:rsidR="008A7F24">
        <w:rPr>
          <w:color w:val="000000"/>
          <w:sz w:val="26"/>
          <w:szCs w:val="26"/>
          <w:lang w:eastAsia="en-US"/>
        </w:rPr>
        <w:t xml:space="preserve"> </w:t>
      </w:r>
      <w:r w:rsidRPr="009352D9">
        <w:rPr>
          <w:color w:val="000000"/>
          <w:sz w:val="26"/>
          <w:szCs w:val="26"/>
          <w:lang w:eastAsia="en-US"/>
        </w:rPr>
        <w:t>projekts šo jomu neskar.</w:t>
      </w:r>
      <w:r w:rsidR="000B132F">
        <w:rPr>
          <w:color w:val="000000"/>
          <w:sz w:val="26"/>
          <w:szCs w:val="26"/>
          <w:lang w:eastAsia="en-US"/>
        </w:rPr>
        <w:t xml:space="preserve"> </w:t>
      </w:r>
    </w:p>
    <w:p w:rsidR="00465566" w:rsidRPr="001679A5" w:rsidRDefault="00465566" w:rsidP="00465566">
      <w:pPr>
        <w:pStyle w:val="naisf"/>
        <w:spacing w:before="0" w:after="0"/>
        <w:ind w:firstLine="0"/>
      </w:pPr>
    </w:p>
    <w:p w:rsidR="00776635" w:rsidRPr="001679A5" w:rsidRDefault="00776635" w:rsidP="00465566">
      <w:pPr>
        <w:pStyle w:val="naisf"/>
        <w:spacing w:before="0" w:after="0"/>
        <w:ind w:firstLine="0"/>
      </w:pPr>
    </w:p>
    <w:p w:rsidR="00465566" w:rsidRPr="009352D9" w:rsidRDefault="00465566" w:rsidP="00465566">
      <w:pPr>
        <w:pStyle w:val="naisf"/>
        <w:spacing w:before="0" w:after="0"/>
        <w:ind w:firstLine="0"/>
        <w:rPr>
          <w:sz w:val="26"/>
          <w:szCs w:val="26"/>
        </w:rPr>
      </w:pPr>
      <w:r w:rsidRPr="009352D9">
        <w:rPr>
          <w:sz w:val="26"/>
          <w:szCs w:val="26"/>
        </w:rPr>
        <w:t>Satiksmes ministrs</w:t>
      </w:r>
      <w:r w:rsidRPr="009352D9">
        <w:rPr>
          <w:sz w:val="26"/>
          <w:szCs w:val="26"/>
        </w:rPr>
        <w:tab/>
      </w:r>
      <w:r w:rsidRPr="009352D9">
        <w:rPr>
          <w:sz w:val="26"/>
          <w:szCs w:val="26"/>
        </w:rPr>
        <w:tab/>
      </w:r>
      <w:r w:rsidRPr="009352D9">
        <w:rPr>
          <w:sz w:val="26"/>
          <w:szCs w:val="26"/>
        </w:rPr>
        <w:tab/>
      </w:r>
      <w:r w:rsidRPr="009352D9">
        <w:rPr>
          <w:sz w:val="26"/>
          <w:szCs w:val="26"/>
        </w:rPr>
        <w:tab/>
      </w:r>
      <w:r w:rsidRPr="009352D9">
        <w:rPr>
          <w:sz w:val="26"/>
          <w:szCs w:val="26"/>
        </w:rPr>
        <w:tab/>
      </w:r>
      <w:r w:rsidR="00776635" w:rsidRPr="009352D9">
        <w:rPr>
          <w:sz w:val="26"/>
          <w:szCs w:val="26"/>
        </w:rPr>
        <w:tab/>
      </w:r>
      <w:r w:rsidRPr="009352D9">
        <w:rPr>
          <w:sz w:val="26"/>
          <w:szCs w:val="26"/>
        </w:rPr>
        <w:tab/>
      </w:r>
      <w:r w:rsidR="001679A5" w:rsidRPr="009352D9">
        <w:rPr>
          <w:sz w:val="26"/>
          <w:szCs w:val="26"/>
        </w:rPr>
        <w:tab/>
        <w:t>A.Matīss</w:t>
      </w:r>
    </w:p>
    <w:p w:rsidR="00465566" w:rsidRPr="009352D9" w:rsidRDefault="00776635" w:rsidP="00465566">
      <w:pPr>
        <w:pStyle w:val="naisf"/>
        <w:spacing w:before="0" w:after="0"/>
        <w:ind w:firstLine="0"/>
        <w:rPr>
          <w:sz w:val="26"/>
          <w:szCs w:val="26"/>
        </w:rPr>
      </w:pPr>
      <w:r w:rsidRPr="009352D9">
        <w:rPr>
          <w:sz w:val="26"/>
          <w:szCs w:val="26"/>
        </w:rPr>
        <w:tab/>
      </w:r>
    </w:p>
    <w:p w:rsidR="001679A5" w:rsidRPr="009352D9" w:rsidRDefault="001679A5" w:rsidP="001679A5">
      <w:pPr>
        <w:ind w:firstLine="720"/>
        <w:jc w:val="both"/>
        <w:rPr>
          <w:sz w:val="26"/>
          <w:szCs w:val="26"/>
        </w:rPr>
      </w:pPr>
    </w:p>
    <w:p w:rsidR="001679A5" w:rsidRPr="009352D9" w:rsidRDefault="00AF6E6A" w:rsidP="001679A5">
      <w:pPr>
        <w:jc w:val="both"/>
        <w:rPr>
          <w:sz w:val="26"/>
          <w:szCs w:val="26"/>
        </w:rPr>
      </w:pPr>
      <w:r>
        <w:rPr>
          <w:sz w:val="26"/>
          <w:szCs w:val="26"/>
        </w:rPr>
        <w:t>Vīza: valsts sekretārs</w:t>
      </w:r>
      <w:r w:rsidR="001679A5" w:rsidRPr="009352D9">
        <w:rPr>
          <w:sz w:val="26"/>
          <w:szCs w:val="26"/>
        </w:rPr>
        <w:tab/>
      </w:r>
      <w:r w:rsidR="001679A5" w:rsidRPr="009352D9">
        <w:rPr>
          <w:sz w:val="26"/>
          <w:szCs w:val="26"/>
        </w:rPr>
        <w:tab/>
      </w:r>
      <w:r w:rsidR="001679A5" w:rsidRPr="009352D9">
        <w:rPr>
          <w:sz w:val="26"/>
          <w:szCs w:val="26"/>
        </w:rPr>
        <w:tab/>
      </w:r>
      <w:r w:rsidR="001679A5" w:rsidRPr="009352D9">
        <w:rPr>
          <w:sz w:val="26"/>
          <w:szCs w:val="26"/>
        </w:rPr>
        <w:tab/>
      </w:r>
      <w:r w:rsidR="001679A5" w:rsidRPr="009352D9">
        <w:rPr>
          <w:sz w:val="26"/>
          <w:szCs w:val="26"/>
        </w:rPr>
        <w:tab/>
      </w:r>
      <w:r w:rsidR="001679A5" w:rsidRPr="009352D9">
        <w:rPr>
          <w:sz w:val="26"/>
          <w:szCs w:val="26"/>
        </w:rPr>
        <w:tab/>
      </w:r>
      <w:r w:rsidR="001679A5" w:rsidRPr="009352D9">
        <w:rPr>
          <w:sz w:val="26"/>
          <w:szCs w:val="26"/>
        </w:rPr>
        <w:tab/>
      </w:r>
      <w:r>
        <w:rPr>
          <w:sz w:val="26"/>
          <w:szCs w:val="26"/>
        </w:rPr>
        <w:t>K.Ozoliņš</w:t>
      </w:r>
    </w:p>
    <w:p w:rsidR="001679A5" w:rsidRPr="009352D9" w:rsidRDefault="00AF6E6A" w:rsidP="00AF6E6A">
      <w:pPr>
        <w:tabs>
          <w:tab w:val="left" w:pos="7470"/>
        </w:tabs>
        <w:jc w:val="both"/>
        <w:rPr>
          <w:noProof/>
        </w:rPr>
      </w:pPr>
      <w:r>
        <w:rPr>
          <w:noProof/>
        </w:rPr>
        <w:tab/>
      </w:r>
    </w:p>
    <w:p w:rsidR="001679A5" w:rsidRPr="009352D9" w:rsidRDefault="001679A5" w:rsidP="001679A5">
      <w:pPr>
        <w:widowControl w:val="0"/>
        <w:jc w:val="both"/>
      </w:pPr>
    </w:p>
    <w:p w:rsidR="001679A5" w:rsidRPr="00D5269A" w:rsidRDefault="005E5972" w:rsidP="001679A5">
      <w:pPr>
        <w:rPr>
          <w:rFonts w:eastAsia="Calibri"/>
          <w:sz w:val="20"/>
          <w:szCs w:val="20"/>
        </w:rPr>
      </w:pPr>
      <w:r>
        <w:rPr>
          <w:rFonts w:eastAsia="Calibri"/>
          <w:sz w:val="20"/>
          <w:szCs w:val="20"/>
        </w:rPr>
        <w:t>22.07</w:t>
      </w:r>
      <w:r w:rsidR="001679A5">
        <w:rPr>
          <w:rFonts w:eastAsia="Calibri"/>
          <w:sz w:val="20"/>
          <w:szCs w:val="20"/>
        </w:rPr>
        <w:t>.2013</w:t>
      </w:r>
      <w:r w:rsidR="0048434A">
        <w:rPr>
          <w:rFonts w:eastAsia="Calibri"/>
          <w:sz w:val="20"/>
          <w:szCs w:val="20"/>
        </w:rPr>
        <w:t>.</w:t>
      </w:r>
      <w:r w:rsidR="001679A5">
        <w:rPr>
          <w:rFonts w:eastAsia="Calibri"/>
          <w:sz w:val="20"/>
          <w:szCs w:val="20"/>
        </w:rPr>
        <w:t xml:space="preserve"> </w:t>
      </w:r>
      <w:r w:rsidR="001679A5" w:rsidRPr="00D5269A">
        <w:rPr>
          <w:rFonts w:eastAsia="Calibri"/>
          <w:sz w:val="20"/>
          <w:szCs w:val="20"/>
        </w:rPr>
        <w:t>13:22</w:t>
      </w:r>
    </w:p>
    <w:p w:rsidR="001679A5" w:rsidRPr="00D5269A" w:rsidRDefault="0048434A" w:rsidP="001679A5">
      <w:pPr>
        <w:rPr>
          <w:rFonts w:eastAsia="Calibri"/>
          <w:sz w:val="20"/>
          <w:szCs w:val="20"/>
        </w:rPr>
      </w:pPr>
      <w:r>
        <w:rPr>
          <w:rFonts w:eastAsia="Calibri"/>
          <w:sz w:val="20"/>
          <w:szCs w:val="20"/>
        </w:rPr>
        <w:t>1</w:t>
      </w:r>
      <w:r w:rsidR="00F42EEF">
        <w:rPr>
          <w:rFonts w:eastAsia="Calibri"/>
          <w:sz w:val="20"/>
          <w:szCs w:val="20"/>
        </w:rPr>
        <w:t>1</w:t>
      </w:r>
      <w:r w:rsidR="00421480">
        <w:rPr>
          <w:rFonts w:eastAsia="Calibri"/>
          <w:sz w:val="20"/>
          <w:szCs w:val="20"/>
        </w:rPr>
        <w:t>89</w:t>
      </w:r>
    </w:p>
    <w:p w:rsidR="001679A5" w:rsidRPr="00D5269A" w:rsidRDefault="009352D9" w:rsidP="001679A5">
      <w:pPr>
        <w:tabs>
          <w:tab w:val="center" w:pos="4153"/>
          <w:tab w:val="right" w:pos="8306"/>
        </w:tabs>
        <w:rPr>
          <w:rFonts w:eastAsia="Calibri"/>
          <w:sz w:val="20"/>
          <w:szCs w:val="20"/>
        </w:rPr>
      </w:pPr>
      <w:r>
        <w:rPr>
          <w:rFonts w:eastAsia="Calibri"/>
          <w:sz w:val="20"/>
          <w:szCs w:val="20"/>
        </w:rPr>
        <w:t>Z.Siliņa</w:t>
      </w:r>
    </w:p>
    <w:p w:rsidR="009C4AA7" w:rsidRPr="009352D9" w:rsidRDefault="0048434A">
      <w:r w:rsidRPr="00D5269A">
        <w:rPr>
          <w:rFonts w:eastAsia="Calibri"/>
          <w:sz w:val="20"/>
          <w:szCs w:val="20"/>
        </w:rPr>
        <w:t>670283</w:t>
      </w:r>
      <w:r>
        <w:rPr>
          <w:rFonts w:eastAsia="Calibri"/>
          <w:sz w:val="20"/>
          <w:szCs w:val="20"/>
        </w:rPr>
        <w:t xml:space="preserve">23, </w:t>
      </w:r>
      <w:r w:rsidR="009352D9">
        <w:rPr>
          <w:rFonts w:eastAsia="Calibri"/>
          <w:sz w:val="20"/>
          <w:szCs w:val="20"/>
        </w:rPr>
        <w:t>Zane.Silina</w:t>
      </w:r>
      <w:r w:rsidR="001679A5" w:rsidRPr="00D5269A">
        <w:rPr>
          <w:rFonts w:eastAsia="Calibri"/>
          <w:sz w:val="20"/>
          <w:szCs w:val="20"/>
        </w:rPr>
        <w:t>@sam.gov.lv</w:t>
      </w:r>
    </w:p>
    <w:sectPr w:rsidR="009C4AA7" w:rsidRPr="009352D9" w:rsidSect="00063EC0">
      <w:headerReference w:type="even" r:id="rId9"/>
      <w:headerReference w:type="default" r:id="rId10"/>
      <w:footerReference w:type="default" r:id="rId11"/>
      <w:footerReference w:type="first" r:id="rId12"/>
      <w:pgSz w:w="11906" w:h="16838"/>
      <w:pgMar w:top="1418"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27" w:rsidRDefault="00463D27" w:rsidP="00776635">
      <w:r>
        <w:separator/>
      </w:r>
    </w:p>
  </w:endnote>
  <w:endnote w:type="continuationSeparator" w:id="0">
    <w:p w:rsidR="00463D27" w:rsidRDefault="00463D27" w:rsidP="0077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D" w:rsidRPr="00D42F11" w:rsidRDefault="00A458AD" w:rsidP="00C56475">
    <w:pPr>
      <w:tabs>
        <w:tab w:val="left" w:pos="8222"/>
      </w:tabs>
      <w:ind w:right="-51"/>
      <w:jc w:val="both"/>
      <w:rPr>
        <w:sz w:val="20"/>
        <w:szCs w:val="20"/>
      </w:rPr>
    </w:pPr>
    <w:r>
      <w:rPr>
        <w:sz w:val="20"/>
        <w:szCs w:val="20"/>
      </w:rPr>
      <w:t>SAMAnot_</w:t>
    </w:r>
    <w:r w:rsidR="00A52A61">
      <w:rPr>
        <w:sz w:val="20"/>
        <w:szCs w:val="20"/>
      </w:rPr>
      <w:t>0805</w:t>
    </w:r>
    <w:r w:rsidR="001679A5">
      <w:rPr>
        <w:sz w:val="20"/>
        <w:szCs w:val="20"/>
      </w:rPr>
      <w:t>13</w:t>
    </w:r>
    <w:r>
      <w:rPr>
        <w:sz w:val="20"/>
        <w:szCs w:val="20"/>
      </w:rPr>
      <w:t>_</w:t>
    </w:r>
    <w:r w:rsidR="00F46066">
      <w:rPr>
        <w:sz w:val="20"/>
        <w:szCs w:val="20"/>
      </w:rPr>
      <w:t>VSS-718</w:t>
    </w:r>
    <w:r w:rsidRPr="00D42F11">
      <w:rPr>
        <w:sz w:val="20"/>
        <w:szCs w:val="20"/>
      </w:rPr>
      <w:t xml:space="preserve">; Ministru kabineta </w:t>
    </w:r>
    <w:r w:rsidR="00776635">
      <w:rPr>
        <w:sz w:val="20"/>
        <w:szCs w:val="20"/>
      </w:rPr>
      <w:t>noteikumu projekts</w:t>
    </w:r>
    <w:r w:rsidRPr="00D42F11">
      <w:rPr>
        <w:sz w:val="20"/>
        <w:szCs w:val="20"/>
      </w:rPr>
      <w:t xml:space="preserve"> </w:t>
    </w:r>
    <w:r w:rsidRPr="00C56475">
      <w:rPr>
        <w:sz w:val="20"/>
        <w:szCs w:val="20"/>
      </w:rPr>
      <w:t>„</w:t>
    </w:r>
    <w:r w:rsidR="00776635">
      <w:rPr>
        <w:sz w:val="20"/>
        <w:szCs w:val="20"/>
      </w:rPr>
      <w:t xml:space="preserve">Grozījumi Ministru kabineta 2012.gada 28.augusta noteikumos Nr.599 „Sabiedriskā transporta pakalpojumu sniegšanas un izmantošanas kārtība”” </w:t>
    </w:r>
    <w:r w:rsidRPr="00D42F11">
      <w:rPr>
        <w:sz w:val="20"/>
        <w:szCs w:val="20"/>
      </w:rPr>
      <w:t xml:space="preserve">sākotnējās ietekmes novērtējuma </w:t>
    </w:r>
    <w:smartTag w:uri="schemas-tilde-lv/tildestengine" w:element="veidnes">
      <w:smartTagPr>
        <w:attr w:name="text" w:val="ziņojums"/>
        <w:attr w:name="baseform" w:val="ziņojums"/>
        <w:attr w:name="id" w:val="-1"/>
      </w:smartTagPr>
      <w:r w:rsidRPr="00D42F11">
        <w:rPr>
          <w:sz w:val="20"/>
          <w:szCs w:val="20"/>
        </w:rPr>
        <w:t>ziņojums</w:t>
      </w:r>
    </w:smartTag>
    <w:r w:rsidRPr="00D42F11">
      <w:rPr>
        <w:sz w:val="20"/>
        <w:szCs w:val="20"/>
      </w:rPr>
      <w:t xml:space="preserve"> (anotācija)</w:t>
    </w:r>
  </w:p>
  <w:p w:rsidR="00D02B9D" w:rsidRPr="00350772" w:rsidRDefault="00463D27" w:rsidP="00350772">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35" w:rsidRPr="00D42F11" w:rsidRDefault="00776635" w:rsidP="00776635">
    <w:pPr>
      <w:tabs>
        <w:tab w:val="left" w:pos="8222"/>
      </w:tabs>
      <w:ind w:right="-51"/>
      <w:jc w:val="both"/>
      <w:rPr>
        <w:sz w:val="20"/>
        <w:szCs w:val="20"/>
      </w:rPr>
    </w:pPr>
    <w:r>
      <w:rPr>
        <w:sz w:val="20"/>
        <w:szCs w:val="20"/>
      </w:rPr>
      <w:t>SAMAnot_</w:t>
    </w:r>
    <w:r w:rsidR="00A52A61">
      <w:rPr>
        <w:sz w:val="20"/>
        <w:szCs w:val="20"/>
      </w:rPr>
      <w:t>0805</w:t>
    </w:r>
    <w:r w:rsidR="001679A5">
      <w:rPr>
        <w:sz w:val="20"/>
        <w:szCs w:val="20"/>
      </w:rPr>
      <w:t>13</w:t>
    </w:r>
    <w:r>
      <w:rPr>
        <w:sz w:val="20"/>
        <w:szCs w:val="20"/>
      </w:rPr>
      <w:t>_</w:t>
    </w:r>
    <w:r w:rsidR="00F46066">
      <w:rPr>
        <w:sz w:val="20"/>
        <w:szCs w:val="20"/>
      </w:rPr>
      <w:t>VSS-718</w:t>
    </w:r>
    <w:r w:rsidRPr="00D42F11">
      <w:rPr>
        <w:sz w:val="20"/>
        <w:szCs w:val="20"/>
      </w:rPr>
      <w:t xml:space="preserve">; Ministru kabineta </w:t>
    </w:r>
    <w:r>
      <w:rPr>
        <w:sz w:val="20"/>
        <w:szCs w:val="20"/>
      </w:rPr>
      <w:t>noteikumu projekts</w:t>
    </w:r>
    <w:r w:rsidRPr="00D42F11">
      <w:rPr>
        <w:sz w:val="20"/>
        <w:szCs w:val="20"/>
      </w:rPr>
      <w:t xml:space="preserve"> </w:t>
    </w:r>
    <w:r w:rsidRPr="00C56475">
      <w:rPr>
        <w:sz w:val="20"/>
        <w:szCs w:val="20"/>
      </w:rPr>
      <w:t>„</w:t>
    </w:r>
    <w:r>
      <w:rPr>
        <w:sz w:val="20"/>
        <w:szCs w:val="20"/>
      </w:rPr>
      <w:t xml:space="preserve">Grozījumi Ministru kabineta 2012.gada 28.augusta noteikumos Nr.599 „Sabiedriskā transporta pakalpojumu sniegšanas un izmantošanas kārtība”” </w:t>
    </w:r>
    <w:r w:rsidRPr="00D42F11">
      <w:rPr>
        <w:sz w:val="20"/>
        <w:szCs w:val="20"/>
      </w:rPr>
      <w:t xml:space="preserve">sākotnējās ietekmes novērtējuma </w:t>
    </w:r>
    <w:smartTag w:uri="schemas-tilde-lv/tildestengine" w:element="veidnes">
      <w:smartTagPr>
        <w:attr w:name="text" w:val="ziņojums"/>
        <w:attr w:name="baseform" w:val="ziņojums"/>
        <w:attr w:name="id" w:val="-1"/>
      </w:smartTagPr>
      <w:r w:rsidRPr="00D42F11">
        <w:rPr>
          <w:sz w:val="20"/>
          <w:szCs w:val="20"/>
        </w:rPr>
        <w:t>ziņojums</w:t>
      </w:r>
    </w:smartTag>
    <w:r w:rsidRPr="00D42F11">
      <w:rPr>
        <w:sz w:val="20"/>
        <w:szCs w:val="20"/>
      </w:rPr>
      <w:t xml:space="preserve"> (anotācija)</w:t>
    </w:r>
  </w:p>
  <w:p w:rsidR="00D02B9D" w:rsidRPr="00776635" w:rsidRDefault="00463D27" w:rsidP="0077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27" w:rsidRDefault="00463D27" w:rsidP="00776635">
      <w:r>
        <w:separator/>
      </w:r>
    </w:p>
  </w:footnote>
  <w:footnote w:type="continuationSeparator" w:id="0">
    <w:p w:rsidR="00463D27" w:rsidRDefault="00463D27" w:rsidP="0077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D" w:rsidRDefault="00A458AD" w:rsidP="00063E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B9D" w:rsidRDefault="00463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D" w:rsidRPr="00FA71C0" w:rsidRDefault="00A458AD" w:rsidP="00063EC0">
    <w:pPr>
      <w:pStyle w:val="Header"/>
      <w:framePr w:wrap="around" w:vAnchor="text" w:hAnchor="margin" w:xAlign="center" w:y="1"/>
      <w:rPr>
        <w:rStyle w:val="PageNumber"/>
        <w:sz w:val="20"/>
        <w:szCs w:val="20"/>
      </w:rPr>
    </w:pPr>
    <w:r w:rsidRPr="00FA71C0">
      <w:rPr>
        <w:rStyle w:val="PageNumber"/>
        <w:sz w:val="20"/>
        <w:szCs w:val="20"/>
      </w:rPr>
      <w:fldChar w:fldCharType="begin"/>
    </w:r>
    <w:r w:rsidRPr="00FA71C0">
      <w:rPr>
        <w:rStyle w:val="PageNumber"/>
        <w:sz w:val="20"/>
        <w:szCs w:val="20"/>
      </w:rPr>
      <w:instrText xml:space="preserve">PAGE  </w:instrText>
    </w:r>
    <w:r w:rsidRPr="00FA71C0">
      <w:rPr>
        <w:rStyle w:val="PageNumber"/>
        <w:sz w:val="20"/>
        <w:szCs w:val="20"/>
      </w:rPr>
      <w:fldChar w:fldCharType="separate"/>
    </w:r>
    <w:r w:rsidR="00B538C3">
      <w:rPr>
        <w:rStyle w:val="PageNumber"/>
        <w:noProof/>
        <w:sz w:val="20"/>
        <w:szCs w:val="20"/>
      </w:rPr>
      <w:t>5</w:t>
    </w:r>
    <w:r w:rsidRPr="00FA71C0">
      <w:rPr>
        <w:rStyle w:val="PageNumber"/>
        <w:sz w:val="20"/>
        <w:szCs w:val="20"/>
      </w:rPr>
      <w:fldChar w:fldCharType="end"/>
    </w:r>
  </w:p>
  <w:p w:rsidR="00D02B9D" w:rsidRDefault="00463D27" w:rsidP="00063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7FBC"/>
    <w:multiLevelType w:val="hybridMultilevel"/>
    <w:tmpl w:val="56C405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010975"/>
    <w:multiLevelType w:val="hybridMultilevel"/>
    <w:tmpl w:val="58E2509C"/>
    <w:lvl w:ilvl="0" w:tplc="C47C8388">
      <w:start w:val="1"/>
      <w:numFmt w:val="decimal"/>
      <w:lvlText w:val="%1)"/>
      <w:lvlJc w:val="left"/>
      <w:pPr>
        <w:ind w:left="1139"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66"/>
    <w:rsid w:val="00027A8D"/>
    <w:rsid w:val="00045B2D"/>
    <w:rsid w:val="000A1596"/>
    <w:rsid w:val="000B132F"/>
    <w:rsid w:val="000F2E72"/>
    <w:rsid w:val="00103427"/>
    <w:rsid w:val="001679A5"/>
    <w:rsid w:val="001A25C5"/>
    <w:rsid w:val="001E1C5B"/>
    <w:rsid w:val="001E2A42"/>
    <w:rsid w:val="00235738"/>
    <w:rsid w:val="002B119E"/>
    <w:rsid w:val="002C6E57"/>
    <w:rsid w:val="003B5653"/>
    <w:rsid w:val="003E2C75"/>
    <w:rsid w:val="003F215D"/>
    <w:rsid w:val="00421480"/>
    <w:rsid w:val="00424CD2"/>
    <w:rsid w:val="00463D27"/>
    <w:rsid w:val="00465566"/>
    <w:rsid w:val="0048434A"/>
    <w:rsid w:val="005D3DFA"/>
    <w:rsid w:val="005E5972"/>
    <w:rsid w:val="00647905"/>
    <w:rsid w:val="00776635"/>
    <w:rsid w:val="007942FD"/>
    <w:rsid w:val="00805850"/>
    <w:rsid w:val="008A7F24"/>
    <w:rsid w:val="00910CD0"/>
    <w:rsid w:val="009352D9"/>
    <w:rsid w:val="00961A66"/>
    <w:rsid w:val="00985D80"/>
    <w:rsid w:val="009B5814"/>
    <w:rsid w:val="009C4AA7"/>
    <w:rsid w:val="009C57FC"/>
    <w:rsid w:val="00A458AD"/>
    <w:rsid w:val="00A52A61"/>
    <w:rsid w:val="00A71375"/>
    <w:rsid w:val="00A942E3"/>
    <w:rsid w:val="00AF6E6A"/>
    <w:rsid w:val="00B41A9B"/>
    <w:rsid w:val="00B538C3"/>
    <w:rsid w:val="00B95A92"/>
    <w:rsid w:val="00C06EF4"/>
    <w:rsid w:val="00CF6CF8"/>
    <w:rsid w:val="00D52F01"/>
    <w:rsid w:val="00D55D8A"/>
    <w:rsid w:val="00D84865"/>
    <w:rsid w:val="00DA5B2A"/>
    <w:rsid w:val="00E81589"/>
    <w:rsid w:val="00EE7496"/>
    <w:rsid w:val="00F42EEF"/>
    <w:rsid w:val="00F46066"/>
    <w:rsid w:val="00F6341B"/>
    <w:rsid w:val="00F636C6"/>
    <w:rsid w:val="00F970F2"/>
    <w:rsid w:val="00FD6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6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566"/>
    <w:pPr>
      <w:tabs>
        <w:tab w:val="center" w:pos="4153"/>
        <w:tab w:val="right" w:pos="8306"/>
      </w:tabs>
    </w:pPr>
  </w:style>
  <w:style w:type="character" w:customStyle="1" w:styleId="HeaderChar">
    <w:name w:val="Header Char"/>
    <w:basedOn w:val="DefaultParagraphFont"/>
    <w:link w:val="Header"/>
    <w:rsid w:val="00465566"/>
    <w:rPr>
      <w:rFonts w:ascii="Times New Roman" w:eastAsia="Times New Roman" w:hAnsi="Times New Roman" w:cs="Times New Roman"/>
      <w:sz w:val="24"/>
      <w:szCs w:val="24"/>
      <w:lang w:eastAsia="lv-LV"/>
    </w:rPr>
  </w:style>
  <w:style w:type="paragraph" w:styleId="Footer">
    <w:name w:val="footer"/>
    <w:basedOn w:val="Normal"/>
    <w:link w:val="FooterChar"/>
    <w:rsid w:val="00465566"/>
    <w:pPr>
      <w:tabs>
        <w:tab w:val="center" w:pos="4153"/>
        <w:tab w:val="right" w:pos="8306"/>
      </w:tabs>
    </w:pPr>
  </w:style>
  <w:style w:type="character" w:customStyle="1" w:styleId="FooterChar">
    <w:name w:val="Footer Char"/>
    <w:basedOn w:val="DefaultParagraphFont"/>
    <w:link w:val="Footer"/>
    <w:rsid w:val="00465566"/>
    <w:rPr>
      <w:rFonts w:ascii="Times New Roman" w:eastAsia="Times New Roman" w:hAnsi="Times New Roman" w:cs="Times New Roman"/>
      <w:sz w:val="24"/>
      <w:szCs w:val="24"/>
      <w:lang w:eastAsia="lv-LV"/>
    </w:rPr>
  </w:style>
  <w:style w:type="character" w:styleId="Hyperlink">
    <w:name w:val="Hyperlink"/>
    <w:rsid w:val="00465566"/>
    <w:rPr>
      <w:color w:val="0000FF"/>
      <w:u w:val="single"/>
    </w:rPr>
  </w:style>
  <w:style w:type="character" w:styleId="PageNumber">
    <w:name w:val="page number"/>
    <w:basedOn w:val="DefaultParagraphFont"/>
    <w:rsid w:val="00465566"/>
  </w:style>
  <w:style w:type="paragraph" w:customStyle="1" w:styleId="naisf">
    <w:name w:val="naisf"/>
    <w:basedOn w:val="Normal"/>
    <w:rsid w:val="00465566"/>
    <w:pPr>
      <w:spacing w:before="75" w:after="75"/>
      <w:ind w:firstLine="375"/>
      <w:jc w:val="both"/>
    </w:pPr>
  </w:style>
  <w:style w:type="paragraph" w:customStyle="1" w:styleId="naisc">
    <w:name w:val="naisc"/>
    <w:basedOn w:val="Normal"/>
    <w:rsid w:val="00465566"/>
    <w:pPr>
      <w:spacing w:before="75" w:after="75"/>
      <w:jc w:val="center"/>
    </w:pPr>
    <w:rPr>
      <w:rFonts w:eastAsia="Calibri"/>
    </w:rPr>
  </w:style>
  <w:style w:type="paragraph" w:customStyle="1" w:styleId="naisnod">
    <w:name w:val="naisnod"/>
    <w:basedOn w:val="Normal"/>
    <w:rsid w:val="00465566"/>
    <w:pPr>
      <w:spacing w:before="150" w:after="150"/>
      <w:jc w:val="center"/>
    </w:pPr>
    <w:rPr>
      <w:b/>
      <w:bCs/>
    </w:rPr>
  </w:style>
  <w:style w:type="paragraph" w:customStyle="1" w:styleId="naiskr">
    <w:name w:val="naiskr"/>
    <w:basedOn w:val="Normal"/>
    <w:rsid w:val="00465566"/>
    <w:pPr>
      <w:spacing w:before="75" w:after="75"/>
    </w:pPr>
  </w:style>
  <w:style w:type="character" w:styleId="Strong">
    <w:name w:val="Strong"/>
    <w:uiPriority w:val="22"/>
    <w:qFormat/>
    <w:rsid w:val="00465566"/>
    <w:rPr>
      <w:b/>
      <w:bCs/>
    </w:rPr>
  </w:style>
  <w:style w:type="paragraph" w:customStyle="1" w:styleId="naislab">
    <w:name w:val="naislab"/>
    <w:basedOn w:val="Normal"/>
    <w:rsid w:val="00465566"/>
    <w:pPr>
      <w:spacing w:before="75" w:after="75"/>
      <w:jc w:val="right"/>
    </w:pPr>
  </w:style>
  <w:style w:type="paragraph" w:styleId="ListParagraph">
    <w:name w:val="List Paragraph"/>
    <w:basedOn w:val="Normal"/>
    <w:uiPriority w:val="34"/>
    <w:qFormat/>
    <w:rsid w:val="000F2E72"/>
    <w:pPr>
      <w:ind w:left="720"/>
      <w:contextualSpacing/>
    </w:pPr>
  </w:style>
  <w:style w:type="paragraph" w:customStyle="1" w:styleId="tv213">
    <w:name w:val="tv213"/>
    <w:basedOn w:val="Normal"/>
    <w:rsid w:val="00647905"/>
    <w:pPr>
      <w:spacing w:before="100" w:beforeAutospacing="1" w:after="100" w:afterAutospacing="1"/>
    </w:pPr>
  </w:style>
  <w:style w:type="paragraph" w:styleId="BalloonText">
    <w:name w:val="Balloon Text"/>
    <w:basedOn w:val="Normal"/>
    <w:link w:val="BalloonTextChar"/>
    <w:uiPriority w:val="99"/>
    <w:semiHidden/>
    <w:unhideWhenUsed/>
    <w:rsid w:val="008A7F24"/>
    <w:rPr>
      <w:rFonts w:ascii="Tahoma" w:hAnsi="Tahoma" w:cs="Tahoma"/>
      <w:sz w:val="16"/>
      <w:szCs w:val="16"/>
    </w:rPr>
  </w:style>
  <w:style w:type="character" w:customStyle="1" w:styleId="BalloonTextChar">
    <w:name w:val="Balloon Text Char"/>
    <w:basedOn w:val="DefaultParagraphFont"/>
    <w:link w:val="BalloonText"/>
    <w:uiPriority w:val="99"/>
    <w:semiHidden/>
    <w:rsid w:val="008A7F24"/>
    <w:rPr>
      <w:rFonts w:ascii="Tahoma" w:eastAsia="Times New Roman" w:hAnsi="Tahoma" w:cs="Tahoma"/>
      <w:sz w:val="16"/>
      <w:szCs w:val="16"/>
      <w:lang w:eastAsia="lv-LV"/>
    </w:rPr>
  </w:style>
  <w:style w:type="paragraph" w:customStyle="1" w:styleId="tv2131">
    <w:name w:val="tv2131"/>
    <w:basedOn w:val="Normal"/>
    <w:rsid w:val="002C6E57"/>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6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566"/>
    <w:pPr>
      <w:tabs>
        <w:tab w:val="center" w:pos="4153"/>
        <w:tab w:val="right" w:pos="8306"/>
      </w:tabs>
    </w:pPr>
  </w:style>
  <w:style w:type="character" w:customStyle="1" w:styleId="HeaderChar">
    <w:name w:val="Header Char"/>
    <w:basedOn w:val="DefaultParagraphFont"/>
    <w:link w:val="Header"/>
    <w:rsid w:val="00465566"/>
    <w:rPr>
      <w:rFonts w:ascii="Times New Roman" w:eastAsia="Times New Roman" w:hAnsi="Times New Roman" w:cs="Times New Roman"/>
      <w:sz w:val="24"/>
      <w:szCs w:val="24"/>
      <w:lang w:eastAsia="lv-LV"/>
    </w:rPr>
  </w:style>
  <w:style w:type="paragraph" w:styleId="Footer">
    <w:name w:val="footer"/>
    <w:basedOn w:val="Normal"/>
    <w:link w:val="FooterChar"/>
    <w:rsid w:val="00465566"/>
    <w:pPr>
      <w:tabs>
        <w:tab w:val="center" w:pos="4153"/>
        <w:tab w:val="right" w:pos="8306"/>
      </w:tabs>
    </w:pPr>
  </w:style>
  <w:style w:type="character" w:customStyle="1" w:styleId="FooterChar">
    <w:name w:val="Footer Char"/>
    <w:basedOn w:val="DefaultParagraphFont"/>
    <w:link w:val="Footer"/>
    <w:rsid w:val="00465566"/>
    <w:rPr>
      <w:rFonts w:ascii="Times New Roman" w:eastAsia="Times New Roman" w:hAnsi="Times New Roman" w:cs="Times New Roman"/>
      <w:sz w:val="24"/>
      <w:szCs w:val="24"/>
      <w:lang w:eastAsia="lv-LV"/>
    </w:rPr>
  </w:style>
  <w:style w:type="character" w:styleId="Hyperlink">
    <w:name w:val="Hyperlink"/>
    <w:rsid w:val="00465566"/>
    <w:rPr>
      <w:color w:val="0000FF"/>
      <w:u w:val="single"/>
    </w:rPr>
  </w:style>
  <w:style w:type="character" w:styleId="PageNumber">
    <w:name w:val="page number"/>
    <w:basedOn w:val="DefaultParagraphFont"/>
    <w:rsid w:val="00465566"/>
  </w:style>
  <w:style w:type="paragraph" w:customStyle="1" w:styleId="naisf">
    <w:name w:val="naisf"/>
    <w:basedOn w:val="Normal"/>
    <w:rsid w:val="00465566"/>
    <w:pPr>
      <w:spacing w:before="75" w:after="75"/>
      <w:ind w:firstLine="375"/>
      <w:jc w:val="both"/>
    </w:pPr>
  </w:style>
  <w:style w:type="paragraph" w:customStyle="1" w:styleId="naisc">
    <w:name w:val="naisc"/>
    <w:basedOn w:val="Normal"/>
    <w:rsid w:val="00465566"/>
    <w:pPr>
      <w:spacing w:before="75" w:after="75"/>
      <w:jc w:val="center"/>
    </w:pPr>
    <w:rPr>
      <w:rFonts w:eastAsia="Calibri"/>
    </w:rPr>
  </w:style>
  <w:style w:type="paragraph" w:customStyle="1" w:styleId="naisnod">
    <w:name w:val="naisnod"/>
    <w:basedOn w:val="Normal"/>
    <w:rsid w:val="00465566"/>
    <w:pPr>
      <w:spacing w:before="150" w:after="150"/>
      <w:jc w:val="center"/>
    </w:pPr>
    <w:rPr>
      <w:b/>
      <w:bCs/>
    </w:rPr>
  </w:style>
  <w:style w:type="paragraph" w:customStyle="1" w:styleId="naiskr">
    <w:name w:val="naiskr"/>
    <w:basedOn w:val="Normal"/>
    <w:rsid w:val="00465566"/>
    <w:pPr>
      <w:spacing w:before="75" w:after="75"/>
    </w:pPr>
  </w:style>
  <w:style w:type="character" w:styleId="Strong">
    <w:name w:val="Strong"/>
    <w:uiPriority w:val="22"/>
    <w:qFormat/>
    <w:rsid w:val="00465566"/>
    <w:rPr>
      <w:b/>
      <w:bCs/>
    </w:rPr>
  </w:style>
  <w:style w:type="paragraph" w:customStyle="1" w:styleId="naislab">
    <w:name w:val="naislab"/>
    <w:basedOn w:val="Normal"/>
    <w:rsid w:val="00465566"/>
    <w:pPr>
      <w:spacing w:before="75" w:after="75"/>
      <w:jc w:val="right"/>
    </w:pPr>
  </w:style>
  <w:style w:type="paragraph" w:styleId="ListParagraph">
    <w:name w:val="List Paragraph"/>
    <w:basedOn w:val="Normal"/>
    <w:uiPriority w:val="34"/>
    <w:qFormat/>
    <w:rsid w:val="000F2E72"/>
    <w:pPr>
      <w:ind w:left="720"/>
      <w:contextualSpacing/>
    </w:pPr>
  </w:style>
  <w:style w:type="paragraph" w:customStyle="1" w:styleId="tv213">
    <w:name w:val="tv213"/>
    <w:basedOn w:val="Normal"/>
    <w:rsid w:val="00647905"/>
    <w:pPr>
      <w:spacing w:before="100" w:beforeAutospacing="1" w:after="100" w:afterAutospacing="1"/>
    </w:pPr>
  </w:style>
  <w:style w:type="paragraph" w:styleId="BalloonText">
    <w:name w:val="Balloon Text"/>
    <w:basedOn w:val="Normal"/>
    <w:link w:val="BalloonTextChar"/>
    <w:uiPriority w:val="99"/>
    <w:semiHidden/>
    <w:unhideWhenUsed/>
    <w:rsid w:val="008A7F24"/>
    <w:rPr>
      <w:rFonts w:ascii="Tahoma" w:hAnsi="Tahoma" w:cs="Tahoma"/>
      <w:sz w:val="16"/>
      <w:szCs w:val="16"/>
    </w:rPr>
  </w:style>
  <w:style w:type="character" w:customStyle="1" w:styleId="BalloonTextChar">
    <w:name w:val="Balloon Text Char"/>
    <w:basedOn w:val="DefaultParagraphFont"/>
    <w:link w:val="BalloonText"/>
    <w:uiPriority w:val="99"/>
    <w:semiHidden/>
    <w:rsid w:val="008A7F24"/>
    <w:rPr>
      <w:rFonts w:ascii="Tahoma" w:eastAsia="Times New Roman" w:hAnsi="Tahoma" w:cs="Tahoma"/>
      <w:sz w:val="16"/>
      <w:szCs w:val="16"/>
      <w:lang w:eastAsia="lv-LV"/>
    </w:rPr>
  </w:style>
  <w:style w:type="paragraph" w:customStyle="1" w:styleId="tv2131">
    <w:name w:val="tv2131"/>
    <w:basedOn w:val="Normal"/>
    <w:rsid w:val="002C6E57"/>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455F-1838-4B59-9534-B751DBA6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6271</Words>
  <Characters>3576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28.augusta noteikumos Nr.599 "Sabiedriskā transporta [akalpojumu sniegšanas un izmantošanas kārtība"" sākotnējās ietekmes novērtējuma ziņojums (anotācija)</dc:title>
  <dc:creator>Vizma Ļeonova</dc:creator>
  <cp:keywords>Anotācija</cp:keywords>
  <dc:description>Zane Siliņa 67028323
zane.silina@sam.gov.lv</dc:description>
  <cp:lastModifiedBy>Zane Siliņa</cp:lastModifiedBy>
  <cp:revision>6</cp:revision>
  <cp:lastPrinted>2013-08-14T09:15:00Z</cp:lastPrinted>
  <dcterms:created xsi:type="dcterms:W3CDTF">2013-08-01T07:00:00Z</dcterms:created>
  <dcterms:modified xsi:type="dcterms:W3CDTF">2013-08-19T07:28:00Z</dcterms:modified>
</cp:coreProperties>
</file>