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7D" w:rsidRDefault="00213F7D" w:rsidP="00ED0117">
      <w:pPr>
        <w:jc w:val="center"/>
        <w:rPr>
          <w:b/>
          <w:sz w:val="28"/>
          <w:szCs w:val="28"/>
        </w:rPr>
      </w:pPr>
      <w:bookmarkStart w:id="0" w:name="_GoBack"/>
      <w:bookmarkEnd w:id="0"/>
    </w:p>
    <w:p w:rsidR="00213F7D" w:rsidRPr="00F46C37" w:rsidRDefault="00213F7D" w:rsidP="00ED0117">
      <w:pPr>
        <w:jc w:val="center"/>
        <w:rPr>
          <w:b/>
          <w:sz w:val="28"/>
          <w:szCs w:val="28"/>
        </w:rPr>
      </w:pPr>
      <w:r w:rsidRPr="00F46C37">
        <w:rPr>
          <w:b/>
          <w:sz w:val="28"/>
          <w:szCs w:val="28"/>
        </w:rPr>
        <w:t xml:space="preserve">Ministru kabineta </w:t>
      </w:r>
      <w:r>
        <w:rPr>
          <w:b/>
          <w:sz w:val="28"/>
          <w:szCs w:val="28"/>
        </w:rPr>
        <w:t>noteikumu</w:t>
      </w:r>
      <w:r w:rsidRPr="00F46C37">
        <w:rPr>
          <w:b/>
          <w:sz w:val="28"/>
          <w:szCs w:val="28"/>
        </w:rPr>
        <w:t xml:space="preserve">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id" w:val="-1"/>
          <w:attr w:name="baseform" w:val="ziņojums"/>
          <w:attr w:name="text" w:val="ziņojums"/>
        </w:smartTagPr>
        <w:r w:rsidRPr="00F46C37">
          <w:rPr>
            <w:b/>
            <w:sz w:val="28"/>
            <w:szCs w:val="28"/>
          </w:rPr>
          <w:t>ziņojums</w:t>
        </w:r>
      </w:smartTag>
      <w:r w:rsidRPr="00F46C37">
        <w:rPr>
          <w:b/>
          <w:sz w:val="28"/>
          <w:szCs w:val="28"/>
        </w:rPr>
        <w:t xml:space="preserve"> (anotācija)</w:t>
      </w:r>
    </w:p>
    <w:p w:rsidR="00213F7D" w:rsidRDefault="00213F7D" w:rsidP="00ED0117">
      <w:pPr>
        <w:pStyle w:val="naisc"/>
        <w:spacing w:before="0" w:beforeAutospacing="0" w:after="0" w:afterAutospacing="0"/>
        <w:rPr>
          <w:sz w:val="28"/>
          <w:szCs w:val="28"/>
        </w:rPr>
      </w:pPr>
    </w:p>
    <w:p w:rsidR="00213F7D" w:rsidRPr="001524D3" w:rsidRDefault="00213F7D" w:rsidP="00ED0117">
      <w:pPr>
        <w:pStyle w:val="naisc"/>
        <w:spacing w:before="0" w:beforeAutospacing="0" w:after="0" w:afterAutospacing="0"/>
        <w:rPr>
          <w:sz w:val="28"/>
          <w:szCs w:val="28"/>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2268"/>
        <w:gridCol w:w="6387"/>
      </w:tblGrid>
      <w:tr w:rsidR="00213F7D" w:rsidRPr="001524D3" w:rsidTr="00F3699C">
        <w:trPr>
          <w:tblCellSpacing w:w="0" w:type="dxa"/>
        </w:trPr>
        <w:tc>
          <w:tcPr>
            <w:tcW w:w="9081" w:type="dxa"/>
            <w:gridSpan w:val="3"/>
            <w:tcBorders>
              <w:top w:val="single" w:sz="4" w:space="0" w:color="auto"/>
              <w:left w:val="single" w:sz="4" w:space="0" w:color="auto"/>
              <w:bottom w:val="single" w:sz="4" w:space="0" w:color="auto"/>
              <w:right w:val="single" w:sz="4" w:space="0" w:color="auto"/>
            </w:tcBorders>
            <w:vAlign w:val="center"/>
          </w:tcPr>
          <w:p w:rsidR="00213F7D" w:rsidRPr="002E2142" w:rsidRDefault="00213F7D" w:rsidP="00A03669">
            <w:pPr>
              <w:pStyle w:val="naisc"/>
              <w:spacing w:before="0" w:beforeAutospacing="0" w:after="0" w:afterAutospacing="0"/>
              <w:jc w:val="center"/>
            </w:pPr>
            <w:r w:rsidRPr="002E2142">
              <w:rPr>
                <w:b/>
                <w:bCs/>
              </w:rPr>
              <w:t>I. Tiesību akta projekta izstrādes nepieciešamība</w:t>
            </w:r>
          </w:p>
        </w:tc>
      </w:tr>
      <w:tr w:rsidR="00213F7D" w:rsidRPr="001524D3" w:rsidTr="00F3699C">
        <w:trPr>
          <w:trHeight w:val="630"/>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1.</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lab"/>
              <w:spacing w:before="0" w:beforeAutospacing="0" w:after="0" w:afterAutospacing="0"/>
            </w:pPr>
            <w:r w:rsidRPr="002E2142">
              <w:t>Pamatojums</w:t>
            </w:r>
          </w:p>
        </w:tc>
        <w:tc>
          <w:tcPr>
            <w:tcW w:w="6387"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both"/>
              <w:rPr>
                <w:color w:val="000000"/>
              </w:rPr>
            </w:pPr>
            <w:r>
              <w:rPr>
                <w:color w:val="000000"/>
              </w:rPr>
              <w:t>Projekts šo jomu neskar.</w:t>
            </w:r>
          </w:p>
        </w:tc>
      </w:tr>
      <w:tr w:rsidR="00213F7D" w:rsidRPr="001524D3" w:rsidTr="00F3699C">
        <w:trPr>
          <w:trHeight w:val="472"/>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2.</w:t>
            </w:r>
          </w:p>
        </w:tc>
        <w:tc>
          <w:tcPr>
            <w:tcW w:w="2268" w:type="dxa"/>
            <w:tcBorders>
              <w:top w:val="single" w:sz="4" w:space="0" w:color="auto"/>
              <w:left w:val="single" w:sz="4" w:space="0" w:color="auto"/>
              <w:bottom w:val="single" w:sz="4" w:space="0" w:color="auto"/>
              <w:right w:val="single" w:sz="4" w:space="0" w:color="auto"/>
            </w:tcBorders>
          </w:tcPr>
          <w:p w:rsidR="00213F7D" w:rsidRPr="008C177B" w:rsidRDefault="00213F7D" w:rsidP="00A03669">
            <w:pPr>
              <w:pStyle w:val="naiskr"/>
              <w:spacing w:before="0" w:beforeAutospacing="0" w:after="0" w:afterAutospacing="0"/>
            </w:pPr>
            <w:r w:rsidRPr="008C177B">
              <w:t>Pašreizējā situācija un problēmas</w:t>
            </w:r>
          </w:p>
        </w:tc>
        <w:tc>
          <w:tcPr>
            <w:tcW w:w="6387" w:type="dxa"/>
            <w:tcBorders>
              <w:top w:val="single" w:sz="4" w:space="0" w:color="auto"/>
              <w:left w:val="single" w:sz="4" w:space="0" w:color="auto"/>
              <w:bottom w:val="single" w:sz="4" w:space="0" w:color="auto"/>
              <w:right w:val="single" w:sz="4" w:space="0" w:color="auto"/>
            </w:tcBorders>
          </w:tcPr>
          <w:p w:rsidR="00213F7D" w:rsidRPr="008C177B" w:rsidRDefault="00213F7D" w:rsidP="0072319E">
            <w:pPr>
              <w:pStyle w:val="naiskr"/>
              <w:spacing w:before="0" w:beforeAutospacing="0" w:after="0" w:afterAutospacing="0"/>
              <w:ind w:firstLine="720"/>
              <w:jc w:val="both"/>
              <w:rPr>
                <w:color w:val="000000"/>
              </w:rPr>
            </w:pPr>
            <w:r>
              <w:rPr>
                <w:color w:val="000000"/>
              </w:rPr>
              <w:t>Konstatēts, ka autoceļa P71 Pievedceļš Ilūkstei maršruta galapunkts Ilūkstes pilsētā sakrīt ar autoceļa P72 Ilūkste (Virsaiši) – Bebrene – Birži maršruta sākumpunktu un starp minētajiem valsts autoceļu maršrutiem, tāpat kā starp Ilūkstes pilsētas Brīvības ielu un Raiņa ielu, dabā nepastāv pārtraukums un valsts autoceļa maršruts posmā no autoceļa P71 maršruta sākumpunkta līdz autoceļa P72 maršruta galapunktam ir viens nedalāms maršruts.</w:t>
            </w:r>
          </w:p>
        </w:tc>
      </w:tr>
      <w:tr w:rsidR="00213F7D" w:rsidRPr="001524D3" w:rsidTr="00F3699C">
        <w:trPr>
          <w:trHeight w:val="1071"/>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3.</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Saistītie politikas ietekmes novērtējumi un pētījumi</w:t>
            </w:r>
          </w:p>
        </w:tc>
        <w:tc>
          <w:tcPr>
            <w:tcW w:w="6387"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t>Projekts šo jomu neskar.</w:t>
            </w:r>
          </w:p>
        </w:tc>
      </w:tr>
      <w:tr w:rsidR="00213F7D" w:rsidRPr="001524D3" w:rsidTr="00F3699C">
        <w:trPr>
          <w:trHeight w:val="384"/>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4.</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Tiesiskā regulējuma mērķis un būtība</w:t>
            </w:r>
          </w:p>
        </w:tc>
        <w:tc>
          <w:tcPr>
            <w:tcW w:w="6387" w:type="dxa"/>
            <w:tcBorders>
              <w:top w:val="single" w:sz="4" w:space="0" w:color="auto"/>
              <w:left w:val="single" w:sz="4" w:space="0" w:color="auto"/>
              <w:bottom w:val="single" w:sz="4" w:space="0" w:color="auto"/>
              <w:right w:val="single" w:sz="4" w:space="0" w:color="auto"/>
            </w:tcBorders>
          </w:tcPr>
          <w:p w:rsidR="00213F7D" w:rsidRPr="00854AB1" w:rsidRDefault="00213F7D" w:rsidP="00A03669">
            <w:pPr>
              <w:pStyle w:val="naispant"/>
              <w:spacing w:before="0" w:beforeAutospacing="0" w:after="0" w:afterAutospacing="0"/>
              <w:ind w:firstLine="720"/>
              <w:jc w:val="both"/>
              <w:rPr>
                <w:color w:val="000000"/>
              </w:rPr>
            </w:pPr>
            <w:r w:rsidRPr="00854AB1">
              <w:rPr>
                <w:color w:val="000000"/>
              </w:rPr>
              <w:t>Projekta mērķis ir aktualizēt informāciju par valsts autoceļu maršrutiem un valsts autoceļu maršrutā ietvertajiem pašvaldībām piederošajiem ceļu posmiem.</w:t>
            </w:r>
          </w:p>
          <w:p w:rsidR="00213F7D" w:rsidRPr="00E4647E" w:rsidRDefault="00213F7D" w:rsidP="00A03669">
            <w:pPr>
              <w:pStyle w:val="naispant"/>
              <w:spacing w:before="0" w:beforeAutospacing="0" w:after="0" w:afterAutospacing="0"/>
              <w:ind w:firstLine="720"/>
              <w:jc w:val="both"/>
              <w:rPr>
                <w:color w:val="000000"/>
              </w:rPr>
            </w:pPr>
            <w:r w:rsidRPr="00E4647E">
              <w:rPr>
                <w:color w:val="000000"/>
              </w:rPr>
              <w:t>Projektā ietverto grozījumu būtība:</w:t>
            </w:r>
          </w:p>
          <w:p w:rsidR="00213F7D" w:rsidRPr="00E4647E" w:rsidRDefault="00213F7D" w:rsidP="00A03669">
            <w:pPr>
              <w:ind w:firstLine="720"/>
              <w:jc w:val="both"/>
            </w:pPr>
            <w:r w:rsidRPr="00E4647E">
              <w:t xml:space="preserve">1. </w:t>
            </w:r>
            <w:r>
              <w:t>Svītrota 2. pielikuma P71 rinda.</w:t>
            </w:r>
          </w:p>
          <w:p w:rsidR="00213F7D" w:rsidRPr="00D613C9" w:rsidRDefault="00213F7D" w:rsidP="008224E6">
            <w:pPr>
              <w:ind w:right="26" w:firstLine="720"/>
              <w:jc w:val="both"/>
            </w:pPr>
            <w:r>
              <w:t>2. 2. pielikuma P72 rinda izteikta jaunā redakcijā, tādējādi autoceļa P71 Pievedceļš Ilūkstei maršrutu iekļaujot autoceļa P72 Ilūkste (Virsaiši) – Bebrene – Birži maršrutā.</w:t>
            </w:r>
          </w:p>
        </w:tc>
      </w:tr>
      <w:tr w:rsidR="00213F7D" w:rsidRPr="001524D3" w:rsidTr="00F3699C">
        <w:trPr>
          <w:trHeight w:val="476"/>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5.</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izstrādē iesaistītās institūcijas</w:t>
            </w:r>
          </w:p>
        </w:tc>
        <w:tc>
          <w:tcPr>
            <w:tcW w:w="6387"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both"/>
            </w:pPr>
            <w:r>
              <w:t>Satiksmes ministrija, valsts akciju sabiedrība „Latvijas Valsts ceļi”</w:t>
            </w:r>
          </w:p>
        </w:tc>
      </w:tr>
      <w:tr w:rsidR="00213F7D" w:rsidRPr="001524D3" w:rsidTr="00F3699C">
        <w:trPr>
          <w:trHeight w:val="1340"/>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6.</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Iemesli, kādēļ netika nodrošināta sabiedrības līdzdalība</w:t>
            </w:r>
          </w:p>
        </w:tc>
        <w:tc>
          <w:tcPr>
            <w:tcW w:w="6387" w:type="dxa"/>
            <w:tcBorders>
              <w:top w:val="single" w:sz="4" w:space="0" w:color="auto"/>
              <w:left w:val="single" w:sz="4" w:space="0" w:color="auto"/>
              <w:bottom w:val="single" w:sz="4" w:space="0" w:color="auto"/>
              <w:right w:val="single" w:sz="4" w:space="0" w:color="auto"/>
            </w:tcBorders>
          </w:tcPr>
          <w:p w:rsidR="00213F7D" w:rsidRPr="00C46E30" w:rsidRDefault="00213F7D" w:rsidP="00A03669">
            <w:pPr>
              <w:pStyle w:val="naiskr"/>
              <w:spacing w:before="0" w:beforeAutospacing="0" w:after="0" w:afterAutospacing="0"/>
              <w:jc w:val="both"/>
              <w:rPr>
                <w:color w:val="FF0000"/>
              </w:rPr>
            </w:pPr>
            <w:r>
              <w:rPr>
                <w:color w:val="000000"/>
              </w:rPr>
              <w:t>Sabiedrības līdzdalība projekta izstrādē nebija nepieciešama, jo ar projektu tiek aktualizēta informācija par valsts autoceļu maršrutiem un valsts autoceļu maršrutā ietvertajiem pašvaldībām piederošajiem ceļu posmiem, un projektā ietvertās tiesību normas sabiedrības pārstāvjiem nerada jaunus pienākumus.</w:t>
            </w:r>
          </w:p>
        </w:tc>
      </w:tr>
      <w:tr w:rsidR="00213F7D" w:rsidRPr="001524D3" w:rsidTr="00F3699C">
        <w:trPr>
          <w:tblCellSpacing w:w="0" w:type="dxa"/>
        </w:trPr>
        <w:tc>
          <w:tcPr>
            <w:tcW w:w="426"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7.</w:t>
            </w:r>
          </w:p>
        </w:tc>
        <w:tc>
          <w:tcPr>
            <w:tcW w:w="226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Cita informācija</w:t>
            </w:r>
          </w:p>
        </w:tc>
        <w:tc>
          <w:tcPr>
            <w:tcW w:w="6387"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Nav.</w:t>
            </w:r>
          </w:p>
        </w:tc>
      </w:tr>
    </w:tbl>
    <w:p w:rsidR="00213F7D" w:rsidRDefault="00213F7D" w:rsidP="00ED0117"/>
    <w:p w:rsidR="00213F7D" w:rsidRDefault="00213F7D" w:rsidP="00ED0117"/>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2"/>
        <w:gridCol w:w="3298"/>
        <w:gridCol w:w="5301"/>
      </w:tblGrid>
      <w:tr w:rsidR="00213F7D" w:rsidRPr="001524D3" w:rsidTr="00A03669">
        <w:trPr>
          <w:tblCellSpacing w:w="0" w:type="dxa"/>
        </w:trPr>
        <w:tc>
          <w:tcPr>
            <w:tcW w:w="9091" w:type="dxa"/>
            <w:gridSpan w:val="3"/>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c"/>
              <w:spacing w:before="0" w:beforeAutospacing="0" w:after="0" w:afterAutospacing="0"/>
              <w:jc w:val="center"/>
            </w:pPr>
            <w:r w:rsidRPr="002E2142">
              <w:rPr>
                <w:b/>
                <w:bCs/>
              </w:rPr>
              <w:t>VII. Tiesību akta projekta izpildes nodrošināšana un tās ietekme uz institūcijām</w:t>
            </w:r>
          </w:p>
        </w:tc>
      </w:tr>
      <w:tr w:rsidR="00213F7D" w:rsidRPr="001524D3" w:rsidTr="00A03669">
        <w:trPr>
          <w:trHeight w:val="427"/>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1.</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izpildē iesaistītās institūcijas</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Pr>
                <w:color w:val="000000"/>
              </w:rPr>
              <w:t>Satiksmes ministrija,</w:t>
            </w:r>
            <w:r w:rsidRPr="00E47194">
              <w:t xml:space="preserve"> valsts akciju sabiedrība „</w:t>
            </w:r>
            <w:r>
              <w:rPr>
                <w:bCs/>
              </w:rPr>
              <w:t>Latvijas Valsts ceļi</w:t>
            </w:r>
            <w:r>
              <w:t>”.</w:t>
            </w:r>
          </w:p>
        </w:tc>
      </w:tr>
      <w:tr w:rsidR="00213F7D" w:rsidRPr="001524D3" w:rsidTr="00A03669">
        <w:trPr>
          <w:trHeight w:val="463"/>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2.</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izpildes ietekme uz pārvaldes funkcijām</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t>Projekts šo jomu neskar.</w:t>
            </w:r>
          </w:p>
        </w:tc>
      </w:tr>
      <w:tr w:rsidR="00213F7D" w:rsidRPr="001524D3" w:rsidTr="00A03669">
        <w:trPr>
          <w:trHeight w:val="725"/>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3.</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izpildes ietekme uz pārvaldes institucionālo struktūru.</w:t>
            </w:r>
          </w:p>
          <w:p w:rsidR="00213F7D" w:rsidRPr="002E2142" w:rsidRDefault="00213F7D" w:rsidP="00A03669">
            <w:pPr>
              <w:pStyle w:val="naiskr"/>
              <w:spacing w:before="0" w:beforeAutospacing="0" w:after="0" w:afterAutospacing="0"/>
            </w:pPr>
            <w:r w:rsidRPr="002E2142">
              <w:t>Jaunu institūciju izveide</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both"/>
            </w:pPr>
            <w:r>
              <w:t>N</w:t>
            </w:r>
            <w:r w:rsidRPr="0062008E">
              <w:t>etiek radītas jaunas valsts institūcijas, kā arī netiek paplašinātas esošo institūciju funkcijas.</w:t>
            </w:r>
          </w:p>
        </w:tc>
      </w:tr>
      <w:tr w:rsidR="00213F7D" w:rsidRPr="001524D3" w:rsidTr="00A03669">
        <w:trPr>
          <w:trHeight w:val="780"/>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4.</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izpildes ietekme uz pārvaldes institucionālo struktūru.</w:t>
            </w:r>
          </w:p>
          <w:p w:rsidR="00213F7D" w:rsidRPr="002E2142" w:rsidRDefault="00213F7D" w:rsidP="00A03669">
            <w:pPr>
              <w:pStyle w:val="naiskr"/>
              <w:spacing w:before="0" w:beforeAutospacing="0" w:after="0" w:afterAutospacing="0"/>
            </w:pPr>
            <w:r w:rsidRPr="002E2142">
              <w:t>Esošu institūciju likvidācija</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both"/>
            </w:pPr>
            <w:r>
              <w:t>N</w:t>
            </w:r>
            <w:r w:rsidRPr="0062008E">
              <w:t>etiek radītas jaunas valsts institūcijas, kā arī netiek paplašinātas esošo institūciju funkcijas.</w:t>
            </w:r>
          </w:p>
        </w:tc>
      </w:tr>
      <w:tr w:rsidR="00213F7D" w:rsidRPr="001524D3" w:rsidTr="00A03669">
        <w:trPr>
          <w:trHeight w:val="703"/>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5.</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Projekta izpildes ietekme uz pārvaldes institucionālo struktūru.</w:t>
            </w:r>
          </w:p>
          <w:p w:rsidR="00213F7D" w:rsidRPr="002E2142" w:rsidRDefault="00213F7D" w:rsidP="00A03669">
            <w:pPr>
              <w:pStyle w:val="naiskr"/>
              <w:spacing w:before="0" w:beforeAutospacing="0" w:after="0" w:afterAutospacing="0"/>
            </w:pPr>
            <w:r w:rsidRPr="002E2142">
              <w:t>Esošu institūciju reorganizācija</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Pr>
                <w:color w:val="000000"/>
              </w:rPr>
              <w:t>Projekts šo jomu neskar.</w:t>
            </w:r>
          </w:p>
        </w:tc>
      </w:tr>
      <w:tr w:rsidR="00213F7D" w:rsidRPr="001524D3" w:rsidTr="00A03669">
        <w:trPr>
          <w:trHeight w:val="476"/>
          <w:tblCellSpacing w:w="0" w:type="dxa"/>
        </w:trPr>
        <w:tc>
          <w:tcPr>
            <w:tcW w:w="492"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jc w:val="center"/>
            </w:pPr>
            <w:r w:rsidRPr="002E2142">
              <w:t>6.</w:t>
            </w:r>
          </w:p>
        </w:tc>
        <w:tc>
          <w:tcPr>
            <w:tcW w:w="3298"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Cita informācija</w:t>
            </w:r>
          </w:p>
        </w:tc>
        <w:tc>
          <w:tcPr>
            <w:tcW w:w="5301" w:type="dxa"/>
            <w:tcBorders>
              <w:top w:val="single" w:sz="4" w:space="0" w:color="auto"/>
              <w:left w:val="single" w:sz="4" w:space="0" w:color="auto"/>
              <w:bottom w:val="single" w:sz="4" w:space="0" w:color="auto"/>
              <w:right w:val="single" w:sz="4" w:space="0" w:color="auto"/>
            </w:tcBorders>
          </w:tcPr>
          <w:p w:rsidR="00213F7D" w:rsidRPr="002E2142" w:rsidRDefault="00213F7D" w:rsidP="00A03669">
            <w:pPr>
              <w:pStyle w:val="naiskr"/>
              <w:spacing w:before="0" w:beforeAutospacing="0" w:after="0" w:afterAutospacing="0"/>
            </w:pPr>
            <w:r w:rsidRPr="002E2142">
              <w:t>Nav.</w:t>
            </w:r>
          </w:p>
        </w:tc>
      </w:tr>
    </w:tbl>
    <w:p w:rsidR="00213F7D" w:rsidRDefault="00213F7D" w:rsidP="00ED0117">
      <w:pPr>
        <w:rPr>
          <w:sz w:val="28"/>
          <w:szCs w:val="28"/>
        </w:rPr>
      </w:pPr>
    </w:p>
    <w:p w:rsidR="00213F7D" w:rsidRDefault="00213F7D" w:rsidP="00ED0117">
      <w:pPr>
        <w:rPr>
          <w:sz w:val="28"/>
          <w:szCs w:val="28"/>
        </w:rPr>
      </w:pPr>
    </w:p>
    <w:p w:rsidR="00213F7D" w:rsidRPr="00D94D97" w:rsidRDefault="00213F7D" w:rsidP="00ED0117">
      <w:pPr>
        <w:ind w:firstLine="684"/>
        <w:jc w:val="both"/>
        <w:outlineLvl w:val="0"/>
        <w:rPr>
          <w:color w:val="000000"/>
          <w:sz w:val="28"/>
          <w:szCs w:val="28"/>
          <w:lang w:eastAsia="en-US"/>
        </w:rPr>
      </w:pPr>
      <w:r>
        <w:rPr>
          <w:sz w:val="28"/>
          <w:szCs w:val="28"/>
        </w:rPr>
        <w:t>A</w:t>
      </w:r>
      <w:r>
        <w:rPr>
          <w:color w:val="000000"/>
          <w:sz w:val="28"/>
          <w:szCs w:val="28"/>
          <w:lang w:eastAsia="en-US"/>
        </w:rPr>
        <w:t>notācijas II, III, IV, V un VI sadaļa –</w:t>
      </w:r>
      <w:r w:rsidRPr="00D94D97">
        <w:rPr>
          <w:color w:val="000000"/>
          <w:sz w:val="28"/>
          <w:szCs w:val="28"/>
          <w:lang w:eastAsia="en-US"/>
        </w:rPr>
        <w:t xml:space="preserve"> </w:t>
      </w:r>
      <w:r>
        <w:rPr>
          <w:color w:val="000000"/>
          <w:sz w:val="28"/>
          <w:szCs w:val="28"/>
          <w:lang w:eastAsia="en-US"/>
        </w:rPr>
        <w:t>projekts šīs jomas neskar</w:t>
      </w:r>
      <w:r w:rsidRPr="00D94D97">
        <w:rPr>
          <w:color w:val="000000"/>
          <w:sz w:val="28"/>
          <w:szCs w:val="28"/>
          <w:lang w:eastAsia="en-US"/>
        </w:rPr>
        <w:t>.</w:t>
      </w:r>
    </w:p>
    <w:p w:rsidR="00213F7D" w:rsidRDefault="00213F7D" w:rsidP="00ED0117">
      <w:pPr>
        <w:pStyle w:val="naisf"/>
        <w:spacing w:before="0" w:beforeAutospacing="0" w:after="0" w:afterAutospacing="0"/>
        <w:ind w:firstLine="684"/>
        <w:rPr>
          <w:sz w:val="28"/>
          <w:szCs w:val="28"/>
        </w:rPr>
      </w:pPr>
    </w:p>
    <w:p w:rsidR="00213F7D" w:rsidRDefault="00213F7D" w:rsidP="00ED0117">
      <w:pPr>
        <w:pStyle w:val="naisf"/>
        <w:spacing w:before="0" w:beforeAutospacing="0" w:after="0" w:afterAutospacing="0"/>
        <w:ind w:firstLine="684"/>
        <w:rPr>
          <w:sz w:val="28"/>
          <w:szCs w:val="28"/>
        </w:rPr>
      </w:pPr>
    </w:p>
    <w:p w:rsidR="00213F7D" w:rsidRDefault="00213F7D" w:rsidP="00ED0117">
      <w:pPr>
        <w:pStyle w:val="naisf"/>
        <w:spacing w:before="0" w:beforeAutospacing="0" w:after="0" w:afterAutospacing="0"/>
        <w:ind w:firstLine="684"/>
        <w:rPr>
          <w:sz w:val="28"/>
          <w:szCs w:val="28"/>
        </w:rPr>
      </w:pPr>
    </w:p>
    <w:p w:rsidR="00213F7D" w:rsidRDefault="00213F7D" w:rsidP="00ED0117">
      <w:pPr>
        <w:pStyle w:val="naisf"/>
        <w:spacing w:before="0" w:beforeAutospacing="0" w:after="0" w:afterAutospacing="0"/>
        <w:ind w:firstLine="684"/>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 Ronis</w:t>
      </w:r>
    </w:p>
    <w:p w:rsidR="00213F7D" w:rsidRDefault="00213F7D" w:rsidP="00ED0117">
      <w:pPr>
        <w:ind w:firstLine="684"/>
        <w:jc w:val="both"/>
        <w:rPr>
          <w:sz w:val="28"/>
          <w:szCs w:val="28"/>
        </w:rPr>
      </w:pPr>
    </w:p>
    <w:p w:rsidR="00213F7D" w:rsidRDefault="00213F7D" w:rsidP="00ED0117">
      <w:pPr>
        <w:ind w:firstLine="684"/>
        <w:jc w:val="both"/>
        <w:rPr>
          <w:sz w:val="28"/>
          <w:szCs w:val="28"/>
        </w:rPr>
      </w:pPr>
      <w:r w:rsidRPr="005E14DE">
        <w:rPr>
          <w:sz w:val="28"/>
          <w:szCs w:val="28"/>
        </w:rPr>
        <w:t>Vizē: Valsts sekretār</w:t>
      </w:r>
      <w:r>
        <w:rPr>
          <w:sz w:val="28"/>
          <w:szCs w:val="28"/>
        </w:rPr>
        <w:t>s</w:t>
      </w:r>
      <w:r w:rsidRPr="005E14DE">
        <w:rPr>
          <w:sz w:val="28"/>
          <w:szCs w:val="28"/>
        </w:rPr>
        <w:tab/>
      </w:r>
      <w:r w:rsidRPr="005E14DE">
        <w:rPr>
          <w:sz w:val="28"/>
          <w:szCs w:val="28"/>
        </w:rPr>
        <w:tab/>
      </w:r>
      <w:r w:rsidRPr="005E14DE">
        <w:rPr>
          <w:sz w:val="28"/>
          <w:szCs w:val="28"/>
        </w:rPr>
        <w:tab/>
      </w:r>
      <w:r w:rsidRPr="005E14DE">
        <w:rPr>
          <w:sz w:val="28"/>
          <w:szCs w:val="28"/>
        </w:rPr>
        <w:tab/>
      </w:r>
      <w:r>
        <w:rPr>
          <w:sz w:val="28"/>
          <w:szCs w:val="28"/>
        </w:rPr>
        <w:tab/>
      </w:r>
      <w:r>
        <w:rPr>
          <w:sz w:val="28"/>
          <w:szCs w:val="28"/>
        </w:rPr>
        <w:tab/>
      </w:r>
      <w:r w:rsidRPr="005E14DE">
        <w:rPr>
          <w:sz w:val="28"/>
          <w:szCs w:val="28"/>
        </w:rPr>
        <w:t>A.</w:t>
      </w:r>
      <w:r>
        <w:rPr>
          <w:sz w:val="28"/>
          <w:szCs w:val="28"/>
        </w:rPr>
        <w:t xml:space="preserve"> Matīss</w:t>
      </w: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8"/>
          <w:szCs w:val="28"/>
        </w:rPr>
      </w:pPr>
    </w:p>
    <w:p w:rsidR="00213F7D" w:rsidRDefault="00213F7D" w:rsidP="00ED0117">
      <w:pPr>
        <w:jc w:val="both"/>
        <w:rPr>
          <w:sz w:val="20"/>
          <w:szCs w:val="20"/>
        </w:rPr>
      </w:pPr>
      <w:r>
        <w:rPr>
          <w:sz w:val="20"/>
          <w:szCs w:val="20"/>
        </w:rPr>
        <w:t>2012.10.09. 9:54</w:t>
      </w:r>
    </w:p>
    <w:p w:rsidR="00213F7D" w:rsidRPr="00BB4432" w:rsidRDefault="00213F7D" w:rsidP="00ED0117">
      <w:pPr>
        <w:jc w:val="both"/>
        <w:rPr>
          <w:sz w:val="20"/>
          <w:szCs w:val="20"/>
        </w:rPr>
      </w:pPr>
      <w:fldSimple w:instr=" NUMWORDS   \* MERGEFORMAT ">
        <w:r>
          <w:rPr>
            <w:noProof/>
            <w:sz w:val="20"/>
            <w:szCs w:val="20"/>
          </w:rPr>
          <w:t>362</w:t>
        </w:r>
      </w:fldSimple>
    </w:p>
    <w:p w:rsidR="00213F7D" w:rsidRPr="00BB4432" w:rsidRDefault="00213F7D" w:rsidP="00ED0117">
      <w:pPr>
        <w:jc w:val="both"/>
        <w:rPr>
          <w:sz w:val="20"/>
          <w:szCs w:val="20"/>
        </w:rPr>
      </w:pPr>
      <w:r>
        <w:rPr>
          <w:sz w:val="20"/>
          <w:szCs w:val="20"/>
        </w:rPr>
        <w:t>A. Bajārs</w:t>
      </w:r>
    </w:p>
    <w:p w:rsidR="00213F7D" w:rsidRDefault="00213F7D" w:rsidP="00ED0117">
      <w:pPr>
        <w:jc w:val="both"/>
      </w:pPr>
      <w:r w:rsidRPr="00BB4432">
        <w:rPr>
          <w:sz w:val="20"/>
          <w:szCs w:val="20"/>
        </w:rPr>
        <w:t>670</w:t>
      </w:r>
      <w:r>
        <w:rPr>
          <w:sz w:val="20"/>
          <w:szCs w:val="20"/>
        </w:rPr>
        <w:t xml:space="preserve">36431, </w:t>
      </w:r>
      <w:hyperlink r:id="rId6" w:history="1">
        <w:r w:rsidRPr="00774CF4">
          <w:rPr>
            <w:rStyle w:val="Hyperlink"/>
            <w:sz w:val="20"/>
            <w:szCs w:val="20"/>
          </w:rPr>
          <w:t>Alberts.Bajars@lvceli.lv</w:t>
        </w:r>
      </w:hyperlink>
      <w:r>
        <w:rPr>
          <w:sz w:val="20"/>
          <w:szCs w:val="20"/>
        </w:rPr>
        <w:t xml:space="preserve"> </w:t>
      </w:r>
    </w:p>
    <w:p w:rsidR="00213F7D" w:rsidRDefault="00213F7D"/>
    <w:sectPr w:rsidR="00213F7D" w:rsidSect="002274F8">
      <w:headerReference w:type="even" r:id="rId7"/>
      <w:headerReference w:type="default" r:id="rId8"/>
      <w:footerReference w:type="default" r:id="rId9"/>
      <w:footerReference w:type="first" r:id="rId10"/>
      <w:pgSz w:w="11906" w:h="16838"/>
      <w:pgMar w:top="113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7D" w:rsidRDefault="00213F7D">
      <w:r>
        <w:separator/>
      </w:r>
    </w:p>
  </w:endnote>
  <w:endnote w:type="continuationSeparator" w:id="0">
    <w:p w:rsidR="00213F7D" w:rsidRDefault="00213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7D" w:rsidRPr="006D68E9" w:rsidRDefault="00213F7D" w:rsidP="006D68E9">
    <w:pPr>
      <w:rPr>
        <w:sz w:val="20"/>
        <w:szCs w:val="20"/>
      </w:rPr>
    </w:pPr>
    <w:r w:rsidRPr="006D68E9">
      <w:rPr>
        <w:sz w:val="20"/>
        <w:szCs w:val="20"/>
      </w:rPr>
      <w:t>SAMAnot_</w:t>
    </w:r>
    <w:r>
      <w:rPr>
        <w:sz w:val="20"/>
        <w:szCs w:val="20"/>
      </w:rPr>
      <w:t>0910</w:t>
    </w:r>
    <w:r w:rsidRPr="006D68E9">
      <w:rPr>
        <w:sz w:val="20"/>
        <w:szCs w:val="20"/>
      </w:rPr>
      <w:t xml:space="preserve">12_acsaraksti; Ministru kabineta rīkojuma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6D68E9">
        <w:rPr>
          <w:sz w:val="20"/>
          <w:szCs w:val="20"/>
        </w:rPr>
        <w:t>ziņojums</w:t>
      </w:r>
    </w:smartTag>
    <w:r w:rsidRPr="006D68E9">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7D" w:rsidRPr="00A729A9" w:rsidRDefault="00213F7D" w:rsidP="002274F8">
    <w:pPr>
      <w:rPr>
        <w:sz w:val="20"/>
        <w:szCs w:val="20"/>
      </w:rPr>
    </w:pPr>
    <w:r w:rsidRPr="006D68E9">
      <w:rPr>
        <w:sz w:val="20"/>
        <w:szCs w:val="20"/>
      </w:rPr>
      <w:t>SAMAnot_</w:t>
    </w:r>
    <w:r>
      <w:rPr>
        <w:sz w:val="20"/>
        <w:szCs w:val="20"/>
      </w:rPr>
      <w:t>0910</w:t>
    </w:r>
    <w:r w:rsidRPr="006D68E9">
      <w:rPr>
        <w:sz w:val="20"/>
        <w:szCs w:val="20"/>
      </w:rPr>
      <w:t xml:space="preserve">12_acsaraksti; Ministru kabineta rīkojuma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6D68E9">
        <w:rPr>
          <w:sz w:val="20"/>
          <w:szCs w:val="20"/>
        </w:rPr>
        <w:t>ziņojums</w:t>
      </w:r>
    </w:smartTag>
    <w:r w:rsidRPr="006D68E9">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7D" w:rsidRDefault="00213F7D">
      <w:r>
        <w:separator/>
      </w:r>
    </w:p>
  </w:footnote>
  <w:footnote w:type="continuationSeparator" w:id="0">
    <w:p w:rsidR="00213F7D" w:rsidRDefault="00213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7D" w:rsidRDefault="00213F7D" w:rsidP="00227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F7D" w:rsidRDefault="00213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7D" w:rsidRPr="00C802BA" w:rsidRDefault="00213F7D" w:rsidP="002274F8">
    <w:pPr>
      <w:pStyle w:val="Header"/>
      <w:framePr w:wrap="around" w:vAnchor="text" w:hAnchor="margin" w:xAlign="center" w:y="1"/>
      <w:rPr>
        <w:rStyle w:val="PageNumber"/>
        <w:sz w:val="20"/>
        <w:szCs w:val="20"/>
      </w:rPr>
    </w:pPr>
    <w:r w:rsidRPr="00C802BA">
      <w:rPr>
        <w:rStyle w:val="PageNumber"/>
        <w:sz w:val="20"/>
        <w:szCs w:val="20"/>
      </w:rPr>
      <w:fldChar w:fldCharType="begin"/>
    </w:r>
    <w:r w:rsidRPr="00C802BA">
      <w:rPr>
        <w:rStyle w:val="PageNumber"/>
        <w:sz w:val="20"/>
        <w:szCs w:val="20"/>
      </w:rPr>
      <w:instrText xml:space="preserve">PAGE  </w:instrText>
    </w:r>
    <w:r w:rsidRPr="00C802BA">
      <w:rPr>
        <w:rStyle w:val="PageNumber"/>
        <w:sz w:val="20"/>
        <w:szCs w:val="20"/>
      </w:rPr>
      <w:fldChar w:fldCharType="separate"/>
    </w:r>
    <w:r>
      <w:rPr>
        <w:rStyle w:val="PageNumber"/>
        <w:noProof/>
        <w:sz w:val="20"/>
        <w:szCs w:val="20"/>
      </w:rPr>
      <w:t>2</w:t>
    </w:r>
    <w:r w:rsidRPr="00C802BA">
      <w:rPr>
        <w:rStyle w:val="PageNumber"/>
        <w:sz w:val="20"/>
        <w:szCs w:val="20"/>
      </w:rPr>
      <w:fldChar w:fldCharType="end"/>
    </w:r>
  </w:p>
  <w:p w:rsidR="00213F7D" w:rsidRDefault="00213F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117"/>
    <w:rsid w:val="0008192A"/>
    <w:rsid w:val="001524D3"/>
    <w:rsid w:val="001978E3"/>
    <w:rsid w:val="00213F7D"/>
    <w:rsid w:val="002274F8"/>
    <w:rsid w:val="002E2142"/>
    <w:rsid w:val="00315C54"/>
    <w:rsid w:val="005E14DE"/>
    <w:rsid w:val="005E3237"/>
    <w:rsid w:val="0062008E"/>
    <w:rsid w:val="006D68E9"/>
    <w:rsid w:val="0072319E"/>
    <w:rsid w:val="00774CF4"/>
    <w:rsid w:val="008224E6"/>
    <w:rsid w:val="00854AB1"/>
    <w:rsid w:val="008C177B"/>
    <w:rsid w:val="009167C7"/>
    <w:rsid w:val="00A03669"/>
    <w:rsid w:val="00A20017"/>
    <w:rsid w:val="00A42598"/>
    <w:rsid w:val="00A729A9"/>
    <w:rsid w:val="00AC1525"/>
    <w:rsid w:val="00BB4432"/>
    <w:rsid w:val="00C2525D"/>
    <w:rsid w:val="00C46E30"/>
    <w:rsid w:val="00C578C8"/>
    <w:rsid w:val="00C802BA"/>
    <w:rsid w:val="00D53AB0"/>
    <w:rsid w:val="00D613C9"/>
    <w:rsid w:val="00D94D97"/>
    <w:rsid w:val="00E15A37"/>
    <w:rsid w:val="00E4647E"/>
    <w:rsid w:val="00E47194"/>
    <w:rsid w:val="00ED0117"/>
    <w:rsid w:val="00F3699C"/>
    <w:rsid w:val="00F46C37"/>
    <w:rsid w:val="00FF439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1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ED0117"/>
    <w:pPr>
      <w:spacing w:before="100" w:beforeAutospacing="1" w:after="100" w:afterAutospacing="1"/>
    </w:pPr>
  </w:style>
  <w:style w:type="paragraph" w:customStyle="1" w:styleId="naiskr">
    <w:name w:val="naiskr"/>
    <w:basedOn w:val="Normal"/>
    <w:uiPriority w:val="99"/>
    <w:rsid w:val="00ED0117"/>
    <w:pPr>
      <w:spacing w:before="100" w:beforeAutospacing="1" w:after="100" w:afterAutospacing="1"/>
    </w:pPr>
  </w:style>
  <w:style w:type="paragraph" w:customStyle="1" w:styleId="naislab">
    <w:name w:val="naislab"/>
    <w:basedOn w:val="Normal"/>
    <w:uiPriority w:val="99"/>
    <w:rsid w:val="00ED0117"/>
    <w:pPr>
      <w:spacing w:before="100" w:beforeAutospacing="1" w:after="100" w:afterAutospacing="1"/>
    </w:pPr>
  </w:style>
  <w:style w:type="paragraph" w:customStyle="1" w:styleId="naisf">
    <w:name w:val="naisf"/>
    <w:basedOn w:val="Normal"/>
    <w:uiPriority w:val="99"/>
    <w:rsid w:val="00ED0117"/>
    <w:pPr>
      <w:spacing w:before="100" w:beforeAutospacing="1" w:after="100" w:afterAutospacing="1"/>
    </w:pPr>
  </w:style>
  <w:style w:type="paragraph" w:styleId="Header">
    <w:name w:val="header"/>
    <w:basedOn w:val="Normal"/>
    <w:link w:val="HeaderChar"/>
    <w:uiPriority w:val="99"/>
    <w:rsid w:val="00ED0117"/>
    <w:pPr>
      <w:tabs>
        <w:tab w:val="center" w:pos="4320"/>
        <w:tab w:val="right" w:pos="8640"/>
      </w:tabs>
    </w:pPr>
  </w:style>
  <w:style w:type="character" w:customStyle="1" w:styleId="HeaderChar">
    <w:name w:val="Header Char"/>
    <w:basedOn w:val="DefaultParagraphFont"/>
    <w:link w:val="Header"/>
    <w:uiPriority w:val="99"/>
    <w:locked/>
    <w:rsid w:val="00ED0117"/>
    <w:rPr>
      <w:rFonts w:eastAsia="Times New Roman" w:cs="Times New Roman"/>
      <w:sz w:val="24"/>
      <w:szCs w:val="24"/>
      <w:lang w:eastAsia="lv-LV"/>
    </w:rPr>
  </w:style>
  <w:style w:type="character" w:styleId="PageNumber">
    <w:name w:val="page number"/>
    <w:basedOn w:val="DefaultParagraphFont"/>
    <w:uiPriority w:val="99"/>
    <w:rsid w:val="00ED0117"/>
    <w:rPr>
      <w:rFonts w:cs="Times New Roman"/>
    </w:rPr>
  </w:style>
  <w:style w:type="paragraph" w:customStyle="1" w:styleId="naispant">
    <w:name w:val="naispant"/>
    <w:basedOn w:val="Normal"/>
    <w:uiPriority w:val="99"/>
    <w:rsid w:val="00ED0117"/>
    <w:pPr>
      <w:spacing w:before="100" w:beforeAutospacing="1" w:after="100" w:afterAutospacing="1"/>
    </w:pPr>
  </w:style>
  <w:style w:type="character" w:styleId="Hyperlink">
    <w:name w:val="Hyperlink"/>
    <w:basedOn w:val="DefaultParagraphFont"/>
    <w:uiPriority w:val="99"/>
    <w:rsid w:val="00ED0117"/>
    <w:rPr>
      <w:rFonts w:cs="Times New Roman"/>
      <w:color w:val="0000FF"/>
      <w:u w:val="single"/>
    </w:rPr>
  </w:style>
  <w:style w:type="paragraph" w:styleId="Footer">
    <w:name w:val="footer"/>
    <w:basedOn w:val="Normal"/>
    <w:link w:val="FooterChar"/>
    <w:uiPriority w:val="99"/>
    <w:rsid w:val="008224E6"/>
    <w:pPr>
      <w:tabs>
        <w:tab w:val="center" w:pos="4153"/>
        <w:tab w:val="right" w:pos="8306"/>
      </w:tabs>
    </w:pPr>
  </w:style>
  <w:style w:type="character" w:customStyle="1" w:styleId="FooterChar">
    <w:name w:val="Footer Char"/>
    <w:basedOn w:val="DefaultParagraphFont"/>
    <w:link w:val="Footer"/>
    <w:uiPriority w:val="99"/>
    <w:locked/>
    <w:rsid w:val="008224E6"/>
    <w:rPr>
      <w:rFonts w:eastAsia="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berts.Bajars@lvcel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362</Words>
  <Characters>2517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29.septembra noteikumos Nr.1104 "Noteikumi par valsts autoceļu un valsts autoceļu maršrutā ietverto pašvaldībām piederošo autoceļu posmu sarakstiem""</dc:title>
  <dc:subject>Anotācija</dc:subject>
  <dc:creator>Imants Kaupe; Alberts Bajārs</dc:creator>
  <cp:keywords/>
  <dc:description>imants.kaupe@sam.gov.lv 67028326 alberts.bajars@lvceli.lv 67036431</dc:description>
  <cp:lastModifiedBy>Baiba Šterna</cp:lastModifiedBy>
  <cp:revision>7</cp:revision>
  <cp:lastPrinted>2012-10-29T12:59:00Z</cp:lastPrinted>
  <dcterms:created xsi:type="dcterms:W3CDTF">2012-10-09T06:29:00Z</dcterms:created>
  <dcterms:modified xsi:type="dcterms:W3CDTF">2012-11-01T12:54:00Z</dcterms:modified>
</cp:coreProperties>
</file>