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27" w:rsidRPr="00933E07" w:rsidRDefault="00FF1527" w:rsidP="00933E07">
      <w:pPr>
        <w:outlineLvl w:val="0"/>
        <w:rPr>
          <w:b/>
          <w:sz w:val="28"/>
          <w:szCs w:val="28"/>
        </w:rPr>
      </w:pPr>
      <w:bookmarkStart w:id="0" w:name="_GoBack"/>
      <w:bookmarkStart w:id="1" w:name="OLE_LINK3"/>
      <w:bookmarkStart w:id="2" w:name="OLE_LINK4"/>
      <w:bookmarkEnd w:id="0"/>
    </w:p>
    <w:p w:rsidR="00FF1527" w:rsidRPr="00EF5AE7" w:rsidRDefault="00FF1527" w:rsidP="00933E07">
      <w:pPr>
        <w:jc w:val="center"/>
        <w:outlineLvl w:val="0"/>
        <w:rPr>
          <w:b/>
          <w:sz w:val="26"/>
          <w:szCs w:val="26"/>
        </w:rPr>
      </w:pPr>
      <w:r w:rsidRPr="00EF5AE7">
        <w:rPr>
          <w:b/>
          <w:sz w:val="26"/>
          <w:szCs w:val="26"/>
        </w:rPr>
        <w:t>Ministru kabineta rīkojuma projekta</w:t>
      </w:r>
    </w:p>
    <w:p w:rsidR="00FF1527" w:rsidRPr="00EF5AE7" w:rsidRDefault="00FF1527" w:rsidP="00933E07">
      <w:pPr>
        <w:jc w:val="center"/>
        <w:rPr>
          <w:b/>
          <w:sz w:val="26"/>
          <w:szCs w:val="26"/>
        </w:rPr>
      </w:pPr>
      <w:r w:rsidRPr="00EF5AE7">
        <w:rPr>
          <w:b/>
          <w:sz w:val="26"/>
          <w:szCs w:val="26"/>
        </w:rPr>
        <w:t xml:space="preserve">„Par finanšu līdzekļu piešķiršanu no valsts budžeta programmas </w:t>
      </w:r>
    </w:p>
    <w:p w:rsidR="00FF1527" w:rsidRPr="00EF5AE7" w:rsidRDefault="00FF1527" w:rsidP="00933E07">
      <w:pPr>
        <w:jc w:val="center"/>
        <w:rPr>
          <w:b/>
          <w:sz w:val="26"/>
          <w:szCs w:val="26"/>
        </w:rPr>
      </w:pPr>
      <w:r w:rsidRPr="00EF5AE7">
        <w:rPr>
          <w:b/>
          <w:sz w:val="26"/>
          <w:szCs w:val="26"/>
        </w:rPr>
        <w:t xml:space="preserve">„Līdzekļi neparedzētiem gadījumiem”” sākotnējās ietekmes novērtējuma </w:t>
      </w:r>
    </w:p>
    <w:p w:rsidR="00FF1527" w:rsidRPr="00EF5AE7" w:rsidRDefault="00FF1527" w:rsidP="000075C2">
      <w:pPr>
        <w:jc w:val="center"/>
        <w:rPr>
          <w:b/>
          <w:sz w:val="26"/>
          <w:szCs w:val="26"/>
        </w:rPr>
      </w:pPr>
      <w:smartTag w:uri="schemas-tilde-lv/tildestengine" w:element="veidnes">
        <w:smartTagPr>
          <w:attr w:name="text" w:val="ziņojums"/>
          <w:attr w:name="baseform" w:val="ziņojums"/>
          <w:attr w:name="id" w:val="-1"/>
        </w:smartTagPr>
        <w:r w:rsidRPr="00EF5AE7">
          <w:rPr>
            <w:b/>
            <w:sz w:val="26"/>
            <w:szCs w:val="26"/>
          </w:rPr>
          <w:t>ziņojums</w:t>
        </w:r>
      </w:smartTag>
      <w:r w:rsidRPr="00EF5AE7">
        <w:rPr>
          <w:b/>
          <w:sz w:val="26"/>
          <w:szCs w:val="26"/>
        </w:rPr>
        <w:t xml:space="preserve"> (anotācija)</w:t>
      </w:r>
      <w:bookmarkEnd w:id="1"/>
      <w:bookmarkEnd w:id="2"/>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208"/>
        <w:gridCol w:w="6240"/>
      </w:tblGrid>
      <w:tr w:rsidR="00FF1527" w:rsidRPr="00EF5AE7" w:rsidTr="00E2556C">
        <w:tc>
          <w:tcPr>
            <w:tcW w:w="5000" w:type="pct"/>
            <w:gridSpan w:val="3"/>
            <w:vAlign w:val="center"/>
          </w:tcPr>
          <w:p w:rsidR="00FF1527" w:rsidRPr="00EF5AE7" w:rsidRDefault="00FF1527" w:rsidP="00933E07">
            <w:pPr>
              <w:pStyle w:val="naisnod"/>
              <w:spacing w:before="0" w:after="0"/>
              <w:rPr>
                <w:sz w:val="26"/>
                <w:szCs w:val="26"/>
              </w:rPr>
            </w:pPr>
            <w:r w:rsidRPr="00EF5AE7">
              <w:rPr>
                <w:sz w:val="26"/>
                <w:szCs w:val="26"/>
              </w:rPr>
              <w:t>I. Tiesību akta projekta izstrādes nepieciešamība</w:t>
            </w:r>
          </w:p>
        </w:tc>
      </w:tr>
      <w:tr w:rsidR="00FF1527" w:rsidRPr="00EF5AE7" w:rsidTr="00816423">
        <w:trPr>
          <w:trHeight w:val="415"/>
        </w:trPr>
        <w:tc>
          <w:tcPr>
            <w:tcW w:w="348" w:type="pct"/>
          </w:tcPr>
          <w:p w:rsidR="00FF1527" w:rsidRPr="00EF5AE7" w:rsidRDefault="00FF1527" w:rsidP="00933E07">
            <w:pPr>
              <w:pStyle w:val="naiskr"/>
              <w:spacing w:before="0" w:after="0"/>
              <w:rPr>
                <w:sz w:val="26"/>
                <w:szCs w:val="26"/>
              </w:rPr>
            </w:pPr>
            <w:r w:rsidRPr="00EF5AE7">
              <w:rPr>
                <w:sz w:val="26"/>
                <w:szCs w:val="26"/>
              </w:rPr>
              <w:t>1.</w:t>
            </w:r>
          </w:p>
        </w:tc>
        <w:tc>
          <w:tcPr>
            <w:tcW w:w="1216" w:type="pct"/>
          </w:tcPr>
          <w:p w:rsidR="00FF1527" w:rsidRPr="00EF5AE7" w:rsidRDefault="00FF1527" w:rsidP="00933E07">
            <w:pPr>
              <w:pStyle w:val="naiskr"/>
              <w:spacing w:before="0" w:after="0"/>
              <w:ind w:hanging="10"/>
              <w:rPr>
                <w:sz w:val="26"/>
                <w:szCs w:val="26"/>
              </w:rPr>
            </w:pPr>
            <w:r w:rsidRPr="00EF5AE7">
              <w:rPr>
                <w:sz w:val="26"/>
                <w:szCs w:val="26"/>
              </w:rPr>
              <w:t>Pamatojums</w:t>
            </w:r>
          </w:p>
        </w:tc>
        <w:tc>
          <w:tcPr>
            <w:tcW w:w="3436" w:type="pct"/>
          </w:tcPr>
          <w:p w:rsidR="00FF1527" w:rsidRPr="00EF5AE7" w:rsidRDefault="00FF1527" w:rsidP="00AA107D">
            <w:pPr>
              <w:jc w:val="both"/>
              <w:rPr>
                <w:sz w:val="26"/>
                <w:szCs w:val="26"/>
              </w:rPr>
            </w:pPr>
            <w:r w:rsidRPr="00EF5AE7">
              <w:rPr>
                <w:sz w:val="26"/>
                <w:szCs w:val="26"/>
              </w:rPr>
              <w:t>Ministru kabineta rīkojuma projekts „</w:t>
            </w:r>
            <w:r w:rsidRPr="00EF5AE7">
              <w:rPr>
                <w:iCs/>
                <w:noProof/>
                <w:sz w:val="26"/>
                <w:szCs w:val="26"/>
              </w:rPr>
              <w:t xml:space="preserve">Par finanšu līdzekļu piešķiršanu no valsts budžeta programmas „Līdzekļi neparedzētiem gadījumiem”” </w:t>
            </w:r>
            <w:r w:rsidRPr="00EF5AE7">
              <w:rPr>
                <w:sz w:val="26"/>
                <w:szCs w:val="26"/>
              </w:rPr>
              <w:t xml:space="preserve">(turpmāk – rīkojuma projekts) izstrādāts </w:t>
            </w:r>
            <w:r w:rsidRPr="00EF5AE7">
              <w:rPr>
                <w:color w:val="000000"/>
                <w:sz w:val="26"/>
                <w:szCs w:val="26"/>
              </w:rPr>
              <w:t>saskaņā ar Ministru kabineta 2009.gada 22.decembra noteikumiem Nr. 1644 „Kārtība, kādā pieprasa un izlieto budžeta programmas „Līdzekļi neparedzētiem gadījumiem” 3.punktu.</w:t>
            </w:r>
          </w:p>
        </w:tc>
      </w:tr>
      <w:tr w:rsidR="00FF1527" w:rsidRPr="00EF5AE7" w:rsidTr="00816423">
        <w:trPr>
          <w:trHeight w:val="7312"/>
        </w:trPr>
        <w:tc>
          <w:tcPr>
            <w:tcW w:w="348" w:type="pct"/>
          </w:tcPr>
          <w:p w:rsidR="00FF1527" w:rsidRPr="00EF5AE7" w:rsidRDefault="00FF1527" w:rsidP="00933E07">
            <w:pPr>
              <w:pStyle w:val="naiskr"/>
              <w:spacing w:before="0" w:after="0"/>
              <w:rPr>
                <w:sz w:val="26"/>
                <w:szCs w:val="26"/>
              </w:rPr>
            </w:pPr>
            <w:r w:rsidRPr="00EF5AE7">
              <w:rPr>
                <w:sz w:val="26"/>
                <w:szCs w:val="26"/>
              </w:rPr>
              <w:t>2.</w:t>
            </w:r>
          </w:p>
        </w:tc>
        <w:tc>
          <w:tcPr>
            <w:tcW w:w="1216" w:type="pct"/>
          </w:tcPr>
          <w:p w:rsidR="00FF1527" w:rsidRPr="00EF5AE7" w:rsidRDefault="00FF1527" w:rsidP="00933E07">
            <w:pPr>
              <w:pStyle w:val="naiskr"/>
              <w:tabs>
                <w:tab w:val="left" w:pos="170"/>
              </w:tabs>
              <w:spacing w:before="0" w:after="0"/>
              <w:rPr>
                <w:sz w:val="26"/>
                <w:szCs w:val="26"/>
              </w:rPr>
            </w:pPr>
            <w:r w:rsidRPr="00EF5AE7">
              <w:rPr>
                <w:sz w:val="26"/>
                <w:szCs w:val="26"/>
              </w:rPr>
              <w:t>Pašreizējā situācija un problēmas</w:t>
            </w:r>
          </w:p>
        </w:tc>
        <w:tc>
          <w:tcPr>
            <w:tcW w:w="3436" w:type="pct"/>
          </w:tcPr>
          <w:p w:rsidR="00FF1527" w:rsidRPr="00EF5AE7" w:rsidRDefault="00FF1527" w:rsidP="00A44467">
            <w:pPr>
              <w:jc w:val="both"/>
              <w:rPr>
                <w:bCs/>
                <w:sz w:val="26"/>
                <w:szCs w:val="26"/>
              </w:rPr>
            </w:pPr>
            <w:r w:rsidRPr="00EF5AE7">
              <w:rPr>
                <w:sz w:val="26"/>
                <w:szCs w:val="26"/>
              </w:rPr>
              <w:t>2012.gada valsts budžeta grozījumos tika piešķirts finansējums plānošanas reģioniem 2011.gadā nesegto zaudējumu kompensēšanai</w:t>
            </w:r>
            <w:r w:rsidRPr="00EF5AE7">
              <w:rPr>
                <w:bCs/>
                <w:sz w:val="26"/>
                <w:szCs w:val="26"/>
              </w:rPr>
              <w:t xml:space="preserve"> </w:t>
            </w:r>
            <w:r w:rsidRPr="00EF5AE7">
              <w:rPr>
                <w:sz w:val="26"/>
                <w:szCs w:val="26"/>
              </w:rPr>
              <w:t>sabiedriskā transporta pakalpojumu sniedzējiem reģionālajā vietējās nozīmes maršrutu tīklā</w:t>
            </w:r>
            <w:r w:rsidRPr="00EF5AE7">
              <w:rPr>
                <w:bCs/>
                <w:sz w:val="26"/>
                <w:szCs w:val="26"/>
              </w:rPr>
              <w:t xml:space="preserve"> 730 920.00 LVL apmērā, bet pēc 2011.gada rezultātiem zaudējumi sabiedriskā transporta pakalpojumu sniedzējiem reģionālajā vietējās nozīmes maršrutu tīklā aprēķināti 784 227,- LVL. Līdz ar to plānošanas reģioniem par 2011.gadu nav segti zaudējumi </w:t>
            </w:r>
            <w:r w:rsidRPr="00EF5AE7">
              <w:rPr>
                <w:sz w:val="26"/>
                <w:szCs w:val="26"/>
              </w:rPr>
              <w:t xml:space="preserve">(tajā skaitā normatīvajos aktos noteiktajā kārtībā aprēķinātā peļņa) </w:t>
            </w:r>
            <w:r w:rsidRPr="00EF5AE7">
              <w:rPr>
                <w:b/>
                <w:bCs/>
                <w:sz w:val="26"/>
                <w:szCs w:val="26"/>
              </w:rPr>
              <w:t>53 307 LVL</w:t>
            </w:r>
            <w:r w:rsidRPr="00EF5AE7">
              <w:rPr>
                <w:bCs/>
                <w:sz w:val="26"/>
                <w:szCs w:val="26"/>
              </w:rPr>
              <w:t xml:space="preserve"> apmērā.</w:t>
            </w:r>
          </w:p>
          <w:p w:rsidR="00FF1527" w:rsidRPr="00EF5AE7" w:rsidRDefault="00FF1527" w:rsidP="00A44467">
            <w:pPr>
              <w:pStyle w:val="naisf"/>
              <w:ind w:firstLine="0"/>
              <w:rPr>
                <w:sz w:val="26"/>
                <w:szCs w:val="26"/>
              </w:rPr>
            </w:pPr>
            <w:r w:rsidRPr="00EF5AE7">
              <w:rPr>
                <w:sz w:val="26"/>
                <w:szCs w:val="26"/>
              </w:rPr>
              <w:t>Lai nepasliktinātu sabiedriskā transporta pakalpojumu sniedzēju finansiālo situāciju, par 2011.gadu nepieciešams papildus valsts budžeta finansējums 53 307 LVL apmērā, tajā skaitā:</w:t>
            </w:r>
          </w:p>
          <w:p w:rsidR="00FF1527" w:rsidRPr="00EF5AE7" w:rsidRDefault="00FF1527" w:rsidP="00A44467">
            <w:pPr>
              <w:pStyle w:val="naisf"/>
              <w:spacing w:before="0" w:after="0"/>
              <w:ind w:firstLine="0"/>
              <w:rPr>
                <w:sz w:val="26"/>
                <w:szCs w:val="26"/>
              </w:rPr>
            </w:pPr>
            <w:r w:rsidRPr="00EF5AE7">
              <w:rPr>
                <w:sz w:val="26"/>
                <w:szCs w:val="26"/>
              </w:rPr>
              <w:t>Kurzemes plānošanas reģionam – 7 054 LVL;</w:t>
            </w:r>
          </w:p>
          <w:p w:rsidR="00FF1527" w:rsidRPr="00EF5AE7" w:rsidRDefault="00FF1527" w:rsidP="00A44467">
            <w:pPr>
              <w:pStyle w:val="naisf"/>
              <w:spacing w:before="0" w:after="0"/>
              <w:ind w:firstLine="0"/>
              <w:rPr>
                <w:sz w:val="26"/>
                <w:szCs w:val="26"/>
              </w:rPr>
            </w:pPr>
            <w:r w:rsidRPr="00EF5AE7">
              <w:rPr>
                <w:sz w:val="26"/>
                <w:szCs w:val="26"/>
              </w:rPr>
              <w:t>Latgales plānošanas reģionam – 22 582 LVL;</w:t>
            </w:r>
          </w:p>
          <w:p w:rsidR="00FF1527" w:rsidRPr="00EF5AE7" w:rsidRDefault="00FF1527" w:rsidP="00A44467">
            <w:pPr>
              <w:pStyle w:val="naisf"/>
              <w:spacing w:before="0" w:after="0"/>
              <w:ind w:firstLine="0"/>
              <w:rPr>
                <w:sz w:val="26"/>
                <w:szCs w:val="26"/>
              </w:rPr>
            </w:pPr>
            <w:r w:rsidRPr="00EF5AE7">
              <w:rPr>
                <w:sz w:val="26"/>
                <w:szCs w:val="26"/>
              </w:rPr>
              <w:t>Vidzemes plānošanas reģionam – 16 451 LVL;</w:t>
            </w:r>
          </w:p>
          <w:p w:rsidR="00FF1527" w:rsidRPr="00EF5AE7" w:rsidRDefault="00FF1527" w:rsidP="00A44467">
            <w:pPr>
              <w:pStyle w:val="naisf"/>
              <w:spacing w:before="0" w:after="0"/>
              <w:ind w:firstLine="0"/>
              <w:rPr>
                <w:sz w:val="26"/>
                <w:szCs w:val="26"/>
              </w:rPr>
            </w:pPr>
            <w:r w:rsidRPr="00EF5AE7">
              <w:rPr>
                <w:sz w:val="26"/>
                <w:szCs w:val="26"/>
              </w:rPr>
              <w:t>Zemgales plānošanas reģionam – 7 220 LVL.</w:t>
            </w:r>
          </w:p>
          <w:p w:rsidR="00FF1527" w:rsidRPr="00EF5AE7" w:rsidRDefault="00FF1527" w:rsidP="00A44467">
            <w:pPr>
              <w:pStyle w:val="naisf"/>
              <w:spacing w:before="0" w:after="0"/>
              <w:ind w:firstLine="0"/>
              <w:rPr>
                <w:sz w:val="26"/>
                <w:szCs w:val="26"/>
              </w:rPr>
            </w:pPr>
          </w:p>
          <w:p w:rsidR="00FF1527" w:rsidRPr="00EF5AE7" w:rsidRDefault="00FF1527" w:rsidP="00816423">
            <w:pPr>
              <w:pStyle w:val="naisf"/>
              <w:spacing w:before="0" w:after="0"/>
              <w:ind w:firstLine="0"/>
              <w:rPr>
                <w:bCs/>
                <w:sz w:val="26"/>
                <w:szCs w:val="26"/>
              </w:rPr>
            </w:pPr>
            <w:r w:rsidRPr="00EF5AE7">
              <w:rPr>
                <w:bCs/>
                <w:sz w:val="26"/>
                <w:szCs w:val="26"/>
              </w:rPr>
              <w:t xml:space="preserve">Pēc </w:t>
            </w:r>
            <w:r w:rsidRPr="00EF5AE7">
              <w:rPr>
                <w:sz w:val="26"/>
                <w:szCs w:val="26"/>
              </w:rPr>
              <w:t xml:space="preserve">plānošanas reģionu iesniegtajām prognozēm 2012.gadam, sabiedriskā transporta pakalpojumu sniedzējiem reģionālajā vietējās nozīmes maršrutu tīklā par 2012.gadu prognozēti nesegtie zaudējumi (tajā skaitā normatīvajos aktos noteiktajā kārtībā aprēķinātā peļņa) </w:t>
            </w:r>
            <w:r w:rsidRPr="00EF5AE7">
              <w:rPr>
                <w:b/>
                <w:bCs/>
                <w:sz w:val="26"/>
                <w:szCs w:val="26"/>
              </w:rPr>
              <w:t xml:space="preserve">938 381 </w:t>
            </w:r>
            <w:r w:rsidRPr="00EF5AE7">
              <w:rPr>
                <w:b/>
                <w:sz w:val="26"/>
                <w:szCs w:val="26"/>
              </w:rPr>
              <w:t>LVL</w:t>
            </w:r>
            <w:r w:rsidRPr="00EF5AE7">
              <w:rPr>
                <w:sz w:val="26"/>
                <w:szCs w:val="26"/>
              </w:rPr>
              <w:t xml:space="preserve"> apmērā. </w:t>
            </w:r>
          </w:p>
          <w:p w:rsidR="00FF1527" w:rsidRPr="00EF5AE7" w:rsidRDefault="00FF1527" w:rsidP="00A44467">
            <w:pPr>
              <w:jc w:val="both"/>
              <w:rPr>
                <w:bCs/>
                <w:sz w:val="26"/>
                <w:szCs w:val="26"/>
              </w:rPr>
            </w:pPr>
          </w:p>
          <w:p w:rsidR="00FF1527" w:rsidRPr="00EF5AE7" w:rsidRDefault="00FF1527" w:rsidP="00A44467">
            <w:pPr>
              <w:pStyle w:val="naisf"/>
              <w:spacing w:before="0" w:after="0"/>
              <w:ind w:firstLine="0"/>
              <w:rPr>
                <w:sz w:val="26"/>
                <w:szCs w:val="26"/>
              </w:rPr>
            </w:pPr>
            <w:r w:rsidRPr="00EF5AE7">
              <w:rPr>
                <w:sz w:val="26"/>
                <w:szCs w:val="26"/>
              </w:rPr>
              <w:t xml:space="preserve">Par 2012.gadu nepieciešams papildus valsts budžeta finansējums </w:t>
            </w:r>
            <w:r w:rsidRPr="00EF5AE7">
              <w:rPr>
                <w:bCs/>
                <w:sz w:val="26"/>
                <w:szCs w:val="26"/>
              </w:rPr>
              <w:t>938 381</w:t>
            </w:r>
            <w:r w:rsidRPr="00EF5AE7">
              <w:rPr>
                <w:sz w:val="26"/>
                <w:szCs w:val="26"/>
              </w:rPr>
              <w:t>LVL apmērā, tajā skaitā:</w:t>
            </w:r>
          </w:p>
          <w:p w:rsidR="00FF1527" w:rsidRPr="00EF5AE7" w:rsidRDefault="00FF1527" w:rsidP="00A44467">
            <w:pPr>
              <w:pStyle w:val="naisf"/>
              <w:spacing w:before="0" w:after="0"/>
              <w:ind w:firstLine="0"/>
              <w:rPr>
                <w:sz w:val="26"/>
                <w:szCs w:val="26"/>
              </w:rPr>
            </w:pPr>
            <w:r w:rsidRPr="00EF5AE7">
              <w:rPr>
                <w:sz w:val="26"/>
                <w:szCs w:val="26"/>
              </w:rPr>
              <w:t>Latgales plānošanas reģionam – 140 156 LVL;</w:t>
            </w:r>
          </w:p>
          <w:p w:rsidR="00FF1527" w:rsidRPr="00EF5AE7" w:rsidRDefault="00FF1527" w:rsidP="00A44467">
            <w:pPr>
              <w:pStyle w:val="naisf"/>
              <w:spacing w:before="0" w:after="0"/>
              <w:ind w:firstLine="0"/>
              <w:rPr>
                <w:sz w:val="26"/>
                <w:szCs w:val="26"/>
              </w:rPr>
            </w:pPr>
            <w:r w:rsidRPr="00EF5AE7">
              <w:rPr>
                <w:sz w:val="26"/>
                <w:szCs w:val="26"/>
              </w:rPr>
              <w:t>Vidzemes plānošanas reģionam – 565 824LVL;</w:t>
            </w:r>
          </w:p>
          <w:p w:rsidR="00FF1527" w:rsidRPr="00EF5AE7" w:rsidRDefault="00FF1527" w:rsidP="00A44467">
            <w:pPr>
              <w:pStyle w:val="naisf"/>
              <w:spacing w:before="0" w:after="0"/>
              <w:ind w:firstLine="0"/>
              <w:rPr>
                <w:sz w:val="26"/>
                <w:szCs w:val="26"/>
              </w:rPr>
            </w:pPr>
            <w:r w:rsidRPr="00EF5AE7">
              <w:rPr>
                <w:sz w:val="26"/>
                <w:szCs w:val="26"/>
              </w:rPr>
              <w:t>Zemgales plānošanas reģionam – 232 401 LVL.</w:t>
            </w:r>
          </w:p>
          <w:p w:rsidR="00FF1527" w:rsidRPr="00EF5AE7" w:rsidRDefault="00FF1527" w:rsidP="00A44467">
            <w:pPr>
              <w:pStyle w:val="naisf"/>
              <w:spacing w:before="0" w:after="0"/>
              <w:ind w:firstLine="0"/>
              <w:rPr>
                <w:sz w:val="26"/>
                <w:szCs w:val="26"/>
              </w:rPr>
            </w:pPr>
          </w:p>
          <w:p w:rsidR="00FF1527" w:rsidRPr="00EF5AE7" w:rsidRDefault="00FF1527" w:rsidP="00816423">
            <w:pPr>
              <w:jc w:val="both"/>
              <w:rPr>
                <w:b/>
                <w:color w:val="000000"/>
                <w:sz w:val="26"/>
                <w:szCs w:val="26"/>
              </w:rPr>
            </w:pPr>
            <w:r w:rsidRPr="00EF5AE7">
              <w:rPr>
                <w:sz w:val="26"/>
                <w:szCs w:val="26"/>
              </w:rPr>
              <w:t xml:space="preserve">Pēc republikas pilsētu pašvaldību 2012.gada 3 ceturkšņu (9 mēnešu) rezultātiem 2012.gadā prognozēti nesegtie zaudējumi maršrutos, kas vairāk nekā 20% no kopējā maršruta garuma iziet ārpus pilsētas administratīvās teritorijas, </w:t>
            </w:r>
            <w:r w:rsidRPr="00EF5AE7">
              <w:rPr>
                <w:b/>
                <w:color w:val="000000"/>
                <w:sz w:val="26"/>
                <w:szCs w:val="26"/>
              </w:rPr>
              <w:t>505 658</w:t>
            </w:r>
            <w:r w:rsidRPr="00EF5AE7">
              <w:rPr>
                <w:b/>
                <w:bCs/>
                <w:sz w:val="26"/>
                <w:szCs w:val="26"/>
              </w:rPr>
              <w:t xml:space="preserve"> LVL</w:t>
            </w:r>
            <w:r w:rsidRPr="00EF5AE7">
              <w:rPr>
                <w:bCs/>
                <w:sz w:val="26"/>
                <w:szCs w:val="26"/>
              </w:rPr>
              <w:t xml:space="preserve"> apmērā. </w:t>
            </w:r>
            <w:r w:rsidRPr="00EF5AE7">
              <w:rPr>
                <w:sz w:val="26"/>
                <w:szCs w:val="26"/>
              </w:rPr>
              <w:t xml:space="preserve">Republikas pilsētu pašvaldībām 2012.gadā prognozēti nesegtie zaudējumi par personu ar invaliditāti pārvadāšanu bez maksas pilsētu nozīmes maršrutos </w:t>
            </w:r>
            <w:r w:rsidRPr="00EF5AE7">
              <w:rPr>
                <w:b/>
                <w:color w:val="000000"/>
                <w:sz w:val="26"/>
                <w:szCs w:val="26"/>
              </w:rPr>
              <w:t>101 507 LVL</w:t>
            </w:r>
            <w:r w:rsidRPr="00EF5AE7">
              <w:rPr>
                <w:color w:val="000000"/>
                <w:sz w:val="26"/>
                <w:szCs w:val="26"/>
              </w:rPr>
              <w:t xml:space="preserve">. Jūrmalas un Ventspils pilsētu pašvaldībām aprēķināti nesegtie zaudējumi par invalīdu pārvadāšanu par 2011.gadu </w:t>
            </w:r>
            <w:r w:rsidRPr="00EF5AE7">
              <w:rPr>
                <w:b/>
                <w:color w:val="000000"/>
                <w:sz w:val="26"/>
                <w:szCs w:val="26"/>
              </w:rPr>
              <w:t>1 835,5 LVL</w:t>
            </w:r>
            <w:r w:rsidRPr="00EF5AE7">
              <w:rPr>
                <w:color w:val="000000"/>
                <w:sz w:val="26"/>
                <w:szCs w:val="26"/>
              </w:rPr>
              <w:t>.</w:t>
            </w:r>
          </w:p>
          <w:p w:rsidR="00FF1527" w:rsidRPr="00EF5AE7" w:rsidRDefault="00FF1527" w:rsidP="00763DB9">
            <w:pPr>
              <w:pStyle w:val="naisf"/>
              <w:ind w:firstLine="0"/>
              <w:rPr>
                <w:sz w:val="26"/>
                <w:szCs w:val="26"/>
              </w:rPr>
            </w:pPr>
            <w:r w:rsidRPr="00EF5AE7">
              <w:rPr>
                <w:sz w:val="26"/>
                <w:szCs w:val="26"/>
              </w:rPr>
              <w:t>Pamatojoties uz  Ministru kabineta 2012. gada 15.maija noteikumu Nr.341 „Kārtība, kādā nosaka un kompensē ar sabiedriskā transporta pakalpojumu sniegšanu saistītos zaudējumus un izdevumus un nosaka sabiedriskā transporta pakalpojuma tarifu” 22.punktu, ja valsts budžeta programmā „Sabiedriskais transports” nepietiek līdzekļu, lai pilnā apmērā kompensētu zaudējumus sabiedriskā transporta pakalpojumu sniedzējiem, par nepieciešamā finansējuma apjomu un finansējuma avotu lemj Ministru kabinets.</w:t>
            </w:r>
          </w:p>
        </w:tc>
      </w:tr>
      <w:tr w:rsidR="00FF1527" w:rsidRPr="00EF5AE7" w:rsidTr="00816423">
        <w:trPr>
          <w:trHeight w:val="448"/>
        </w:trPr>
        <w:tc>
          <w:tcPr>
            <w:tcW w:w="348" w:type="pct"/>
          </w:tcPr>
          <w:p w:rsidR="00FF1527" w:rsidRPr="00EF5AE7" w:rsidRDefault="00FF1527" w:rsidP="006C4607">
            <w:pPr>
              <w:pStyle w:val="naiskr"/>
              <w:spacing w:before="0" w:after="0"/>
              <w:rPr>
                <w:sz w:val="26"/>
                <w:szCs w:val="26"/>
              </w:rPr>
            </w:pPr>
            <w:r w:rsidRPr="00EF5AE7">
              <w:rPr>
                <w:sz w:val="26"/>
                <w:szCs w:val="26"/>
              </w:rPr>
              <w:t>3.</w:t>
            </w:r>
          </w:p>
        </w:tc>
        <w:tc>
          <w:tcPr>
            <w:tcW w:w="1216" w:type="pct"/>
          </w:tcPr>
          <w:p w:rsidR="00FF1527" w:rsidRPr="00EF5AE7" w:rsidRDefault="00FF1527" w:rsidP="006C4607">
            <w:pPr>
              <w:pStyle w:val="naiskr"/>
              <w:spacing w:before="0" w:after="0"/>
              <w:rPr>
                <w:sz w:val="26"/>
                <w:szCs w:val="26"/>
              </w:rPr>
            </w:pPr>
            <w:r w:rsidRPr="00EF5AE7">
              <w:rPr>
                <w:sz w:val="26"/>
                <w:szCs w:val="26"/>
              </w:rPr>
              <w:t>Saistītie politikas ietekmes novērtējumi un pētījumi</w:t>
            </w:r>
          </w:p>
        </w:tc>
        <w:tc>
          <w:tcPr>
            <w:tcW w:w="3436" w:type="pct"/>
          </w:tcPr>
          <w:p w:rsidR="00FF1527" w:rsidRPr="00EF5AE7" w:rsidRDefault="00FF1527" w:rsidP="00BA6308">
            <w:pPr>
              <w:pStyle w:val="FootnoteText"/>
              <w:rPr>
                <w:sz w:val="26"/>
                <w:szCs w:val="26"/>
              </w:rPr>
            </w:pPr>
            <w:r>
              <w:rPr>
                <w:sz w:val="26"/>
                <w:szCs w:val="26"/>
              </w:rPr>
              <w:t>P</w:t>
            </w:r>
            <w:r w:rsidRPr="00EF5AE7">
              <w:rPr>
                <w:sz w:val="26"/>
                <w:szCs w:val="26"/>
              </w:rPr>
              <w:t>rojekts šo jomu neskar.</w:t>
            </w:r>
          </w:p>
        </w:tc>
      </w:tr>
      <w:tr w:rsidR="00FF1527" w:rsidRPr="00EF5AE7" w:rsidTr="00816423">
        <w:trPr>
          <w:trHeight w:val="384"/>
        </w:trPr>
        <w:tc>
          <w:tcPr>
            <w:tcW w:w="348" w:type="pct"/>
          </w:tcPr>
          <w:p w:rsidR="00FF1527" w:rsidRPr="00EF5AE7" w:rsidRDefault="00FF1527" w:rsidP="006C4607">
            <w:pPr>
              <w:pStyle w:val="naiskr"/>
              <w:spacing w:before="0" w:after="0"/>
              <w:rPr>
                <w:sz w:val="26"/>
                <w:szCs w:val="26"/>
              </w:rPr>
            </w:pPr>
            <w:r w:rsidRPr="00EF5AE7">
              <w:rPr>
                <w:sz w:val="26"/>
                <w:szCs w:val="26"/>
              </w:rPr>
              <w:t>4.</w:t>
            </w:r>
          </w:p>
        </w:tc>
        <w:tc>
          <w:tcPr>
            <w:tcW w:w="1216" w:type="pct"/>
          </w:tcPr>
          <w:p w:rsidR="00FF1527" w:rsidRPr="00EF5AE7" w:rsidRDefault="00FF1527" w:rsidP="006C4607">
            <w:pPr>
              <w:pStyle w:val="naiskr"/>
              <w:spacing w:before="0" w:after="0"/>
              <w:rPr>
                <w:sz w:val="26"/>
                <w:szCs w:val="26"/>
              </w:rPr>
            </w:pPr>
            <w:r w:rsidRPr="00EF5AE7">
              <w:rPr>
                <w:sz w:val="26"/>
                <w:szCs w:val="26"/>
              </w:rPr>
              <w:t>Tiesiskā regulējuma mērķis un būtība</w:t>
            </w:r>
          </w:p>
        </w:tc>
        <w:tc>
          <w:tcPr>
            <w:tcW w:w="3436" w:type="pct"/>
          </w:tcPr>
          <w:p w:rsidR="00FF1527" w:rsidRPr="00EF5AE7" w:rsidRDefault="00FF1527" w:rsidP="00312FAD">
            <w:pPr>
              <w:pStyle w:val="Header"/>
              <w:tabs>
                <w:tab w:val="clear" w:pos="4153"/>
                <w:tab w:val="clear" w:pos="8306"/>
              </w:tabs>
              <w:jc w:val="both"/>
              <w:rPr>
                <w:sz w:val="26"/>
                <w:szCs w:val="26"/>
              </w:rPr>
            </w:pPr>
            <w:r w:rsidRPr="00EF5AE7">
              <w:rPr>
                <w:color w:val="000000"/>
                <w:sz w:val="26"/>
                <w:szCs w:val="26"/>
              </w:rPr>
              <w:t xml:space="preserve">Rīkojuma projekts </w:t>
            </w:r>
            <w:r w:rsidRPr="00EF5AE7">
              <w:rPr>
                <w:sz w:val="26"/>
                <w:szCs w:val="26"/>
              </w:rPr>
              <w:t xml:space="preserve">paredz </w:t>
            </w:r>
            <w:r w:rsidRPr="00EF5AE7">
              <w:rPr>
                <w:color w:val="000000"/>
                <w:sz w:val="26"/>
                <w:szCs w:val="26"/>
              </w:rPr>
              <w:t>uzdevumu</w:t>
            </w:r>
            <w:r w:rsidRPr="00EF5AE7">
              <w:rPr>
                <w:sz w:val="26"/>
                <w:szCs w:val="26"/>
              </w:rPr>
              <w:t xml:space="preserve"> Finanšu ministrijai no valsts pamatbudžeta programmas 02.00.00 "Līdzekļi neparedzētiem gadījumiem" piešķirt Satiksmes ministrijai </w:t>
            </w:r>
            <w:r w:rsidRPr="00EF5AE7">
              <w:rPr>
                <w:color w:val="000000"/>
                <w:sz w:val="26"/>
                <w:szCs w:val="26"/>
              </w:rPr>
              <w:t>1 600 689</w:t>
            </w:r>
            <w:r w:rsidRPr="00EF5AE7">
              <w:rPr>
                <w:sz w:val="26"/>
                <w:szCs w:val="26"/>
              </w:rPr>
              <w:t xml:space="preserve"> latus pārskaitīšanai plānošanas reģioniem un republikas pilsētu pašvaldībām zaudējumu segšanai par sabiedriskā transporta pakalpojumu sniegšanu 2011. un 2012.gadā.</w:t>
            </w:r>
          </w:p>
          <w:p w:rsidR="00FF1527" w:rsidRPr="00EF5AE7" w:rsidRDefault="00FF1527" w:rsidP="00312FAD">
            <w:pPr>
              <w:pStyle w:val="naiskr"/>
              <w:spacing w:before="0" w:after="0"/>
              <w:jc w:val="both"/>
              <w:rPr>
                <w:sz w:val="26"/>
                <w:szCs w:val="26"/>
              </w:rPr>
            </w:pPr>
          </w:p>
        </w:tc>
      </w:tr>
      <w:tr w:rsidR="00FF1527" w:rsidRPr="00EF5AE7" w:rsidTr="00816423">
        <w:trPr>
          <w:trHeight w:val="476"/>
        </w:trPr>
        <w:tc>
          <w:tcPr>
            <w:tcW w:w="348" w:type="pct"/>
          </w:tcPr>
          <w:p w:rsidR="00FF1527" w:rsidRPr="00EF5AE7" w:rsidRDefault="00FF1527" w:rsidP="006C4607">
            <w:pPr>
              <w:pStyle w:val="naiskr"/>
              <w:spacing w:before="0" w:after="0"/>
              <w:rPr>
                <w:sz w:val="26"/>
                <w:szCs w:val="26"/>
              </w:rPr>
            </w:pPr>
            <w:r w:rsidRPr="00EF5AE7">
              <w:rPr>
                <w:sz w:val="26"/>
                <w:szCs w:val="26"/>
              </w:rPr>
              <w:t>5.</w:t>
            </w:r>
          </w:p>
        </w:tc>
        <w:tc>
          <w:tcPr>
            <w:tcW w:w="1216" w:type="pct"/>
          </w:tcPr>
          <w:p w:rsidR="00FF1527" w:rsidRPr="00EF5AE7" w:rsidRDefault="00FF1527" w:rsidP="006C4607">
            <w:pPr>
              <w:pStyle w:val="naiskr"/>
              <w:spacing w:before="0" w:after="0"/>
              <w:rPr>
                <w:sz w:val="26"/>
                <w:szCs w:val="26"/>
              </w:rPr>
            </w:pPr>
            <w:r w:rsidRPr="00EF5AE7">
              <w:rPr>
                <w:sz w:val="26"/>
                <w:szCs w:val="26"/>
              </w:rPr>
              <w:t>Projekta izstrādē iesaistītās institūcijas</w:t>
            </w:r>
          </w:p>
        </w:tc>
        <w:tc>
          <w:tcPr>
            <w:tcW w:w="3436" w:type="pct"/>
          </w:tcPr>
          <w:p w:rsidR="00FF1527" w:rsidRPr="00EF5AE7" w:rsidRDefault="00FF1527" w:rsidP="006C4607">
            <w:pPr>
              <w:pStyle w:val="naiskr"/>
              <w:spacing w:before="0" w:after="0"/>
              <w:rPr>
                <w:sz w:val="26"/>
                <w:szCs w:val="26"/>
              </w:rPr>
            </w:pPr>
            <w:r>
              <w:rPr>
                <w:sz w:val="26"/>
                <w:szCs w:val="26"/>
              </w:rPr>
              <w:t>P</w:t>
            </w:r>
            <w:r w:rsidRPr="00EF5AE7">
              <w:rPr>
                <w:sz w:val="26"/>
                <w:szCs w:val="26"/>
              </w:rPr>
              <w:t>rojekts šo jomu neskar.</w:t>
            </w:r>
          </w:p>
        </w:tc>
      </w:tr>
      <w:tr w:rsidR="00FF1527" w:rsidRPr="00EF5AE7" w:rsidTr="00816423">
        <w:trPr>
          <w:trHeight w:val="976"/>
        </w:trPr>
        <w:tc>
          <w:tcPr>
            <w:tcW w:w="348" w:type="pct"/>
          </w:tcPr>
          <w:p w:rsidR="00FF1527" w:rsidRPr="00EF5AE7" w:rsidRDefault="00FF1527" w:rsidP="006C4607">
            <w:pPr>
              <w:pStyle w:val="naiskr"/>
              <w:spacing w:before="0" w:after="0"/>
              <w:rPr>
                <w:sz w:val="26"/>
                <w:szCs w:val="26"/>
              </w:rPr>
            </w:pPr>
            <w:r w:rsidRPr="00EF5AE7">
              <w:rPr>
                <w:sz w:val="26"/>
                <w:szCs w:val="26"/>
              </w:rPr>
              <w:t>6.</w:t>
            </w:r>
          </w:p>
        </w:tc>
        <w:tc>
          <w:tcPr>
            <w:tcW w:w="1216" w:type="pct"/>
          </w:tcPr>
          <w:p w:rsidR="00FF1527" w:rsidRPr="00EF5AE7" w:rsidRDefault="00FF1527" w:rsidP="006C4607">
            <w:pPr>
              <w:pStyle w:val="naiskr"/>
              <w:spacing w:before="0" w:after="0"/>
              <w:rPr>
                <w:i/>
                <w:sz w:val="26"/>
                <w:szCs w:val="26"/>
              </w:rPr>
            </w:pPr>
            <w:r w:rsidRPr="00EF5AE7">
              <w:rPr>
                <w:sz w:val="26"/>
                <w:szCs w:val="26"/>
              </w:rPr>
              <w:t>Iemesli, kādēļ netika nodrošināta sabiedrības līdzdalība</w:t>
            </w:r>
          </w:p>
        </w:tc>
        <w:tc>
          <w:tcPr>
            <w:tcW w:w="3436" w:type="pct"/>
          </w:tcPr>
          <w:p w:rsidR="00FF1527" w:rsidRPr="00EF5AE7" w:rsidRDefault="00FF1527" w:rsidP="007C5BBA">
            <w:pPr>
              <w:pStyle w:val="FootnoteText"/>
              <w:jc w:val="both"/>
              <w:rPr>
                <w:b/>
                <w:bCs/>
                <w:sz w:val="26"/>
                <w:szCs w:val="26"/>
              </w:rPr>
            </w:pPr>
            <w:r>
              <w:rPr>
                <w:sz w:val="26"/>
                <w:szCs w:val="26"/>
              </w:rPr>
              <w:t>P</w:t>
            </w:r>
            <w:r w:rsidRPr="00EF5AE7">
              <w:rPr>
                <w:sz w:val="26"/>
                <w:szCs w:val="26"/>
              </w:rPr>
              <w:t>rojekts šo jomu neskar.</w:t>
            </w:r>
          </w:p>
        </w:tc>
      </w:tr>
      <w:tr w:rsidR="00FF1527" w:rsidRPr="00EF5AE7" w:rsidTr="00816423">
        <w:tc>
          <w:tcPr>
            <w:tcW w:w="348" w:type="pct"/>
          </w:tcPr>
          <w:p w:rsidR="00FF1527" w:rsidRPr="00EF5AE7" w:rsidRDefault="00FF1527" w:rsidP="006C4607">
            <w:pPr>
              <w:pStyle w:val="naiskr"/>
              <w:spacing w:before="0" w:after="0"/>
              <w:rPr>
                <w:sz w:val="26"/>
                <w:szCs w:val="26"/>
              </w:rPr>
            </w:pPr>
            <w:r w:rsidRPr="00EF5AE7">
              <w:rPr>
                <w:sz w:val="26"/>
                <w:szCs w:val="26"/>
              </w:rPr>
              <w:t>7.</w:t>
            </w:r>
          </w:p>
        </w:tc>
        <w:tc>
          <w:tcPr>
            <w:tcW w:w="1216" w:type="pct"/>
          </w:tcPr>
          <w:p w:rsidR="00FF1527" w:rsidRPr="00EF5AE7" w:rsidRDefault="00FF1527" w:rsidP="006C4607">
            <w:pPr>
              <w:pStyle w:val="naiskr"/>
              <w:spacing w:before="0" w:after="0"/>
              <w:rPr>
                <w:sz w:val="26"/>
                <w:szCs w:val="26"/>
              </w:rPr>
            </w:pPr>
            <w:r w:rsidRPr="00EF5AE7">
              <w:rPr>
                <w:sz w:val="26"/>
                <w:szCs w:val="26"/>
              </w:rPr>
              <w:t>Cita informācija</w:t>
            </w:r>
          </w:p>
        </w:tc>
        <w:tc>
          <w:tcPr>
            <w:tcW w:w="3436" w:type="pct"/>
          </w:tcPr>
          <w:p w:rsidR="00FF1527" w:rsidRPr="00EF5AE7" w:rsidRDefault="00FF1527" w:rsidP="006C4607">
            <w:pPr>
              <w:pStyle w:val="naiskr"/>
              <w:spacing w:before="0" w:after="0"/>
              <w:rPr>
                <w:sz w:val="26"/>
                <w:szCs w:val="26"/>
              </w:rPr>
            </w:pPr>
            <w:r w:rsidRPr="00EF5AE7">
              <w:rPr>
                <w:sz w:val="26"/>
                <w:szCs w:val="26"/>
              </w:rPr>
              <w:t>Nav</w:t>
            </w:r>
          </w:p>
        </w:tc>
      </w:tr>
    </w:tbl>
    <w:p w:rsidR="00FF1527" w:rsidRPr="00EF5AE7" w:rsidRDefault="00FF1527" w:rsidP="00EA2A60">
      <w:pPr>
        <w:jc w:val="both"/>
        <w:rPr>
          <w:color w:val="000000"/>
          <w:sz w:val="26"/>
          <w:szCs w:val="26"/>
        </w:rPr>
      </w:pPr>
    </w:p>
    <w:p w:rsidR="00FF1527" w:rsidRPr="00EF5AE7" w:rsidRDefault="00FF1527" w:rsidP="00EA2A60">
      <w:pPr>
        <w:jc w:val="both"/>
        <w:rPr>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6"/>
        <w:gridCol w:w="1306"/>
        <w:gridCol w:w="1306"/>
        <w:gridCol w:w="1302"/>
      </w:tblGrid>
      <w:tr w:rsidR="00FF1527" w:rsidRPr="00EF5AE7" w:rsidTr="00CC4263">
        <w:trPr>
          <w:trHeight w:val="652"/>
          <w:jc w:val="center"/>
        </w:trPr>
        <w:tc>
          <w:tcPr>
            <w:tcW w:w="5000" w:type="pct"/>
            <w:gridSpan w:val="6"/>
          </w:tcPr>
          <w:p w:rsidR="00FF1527" w:rsidRPr="00EF5AE7" w:rsidRDefault="00FF1527" w:rsidP="006C4607">
            <w:pPr>
              <w:pStyle w:val="naisnod"/>
              <w:spacing w:before="0" w:after="0"/>
              <w:rPr>
                <w:i/>
                <w:sz w:val="26"/>
                <w:szCs w:val="26"/>
              </w:rPr>
            </w:pPr>
            <w:r w:rsidRPr="00EF5AE7">
              <w:rPr>
                <w:sz w:val="26"/>
                <w:szCs w:val="26"/>
              </w:rPr>
              <w:br w:type="page"/>
              <w:t>III. Tiesību akta projekta ietekme uz valsts budžetu un pašvaldību budžetiem</w:t>
            </w:r>
          </w:p>
        </w:tc>
      </w:tr>
      <w:tr w:rsidR="00FF1527" w:rsidRPr="00EF5AE7" w:rsidTr="00CC4263">
        <w:trPr>
          <w:jc w:val="center"/>
        </w:trPr>
        <w:tc>
          <w:tcPr>
            <w:tcW w:w="1546" w:type="pct"/>
            <w:vMerge w:val="restart"/>
            <w:vAlign w:val="center"/>
          </w:tcPr>
          <w:p w:rsidR="00FF1527" w:rsidRPr="00EF5AE7" w:rsidRDefault="00FF1527" w:rsidP="0034795A">
            <w:pPr>
              <w:pStyle w:val="naisf"/>
              <w:spacing w:before="0" w:after="0"/>
              <w:ind w:firstLine="0"/>
              <w:jc w:val="center"/>
              <w:rPr>
                <w:b/>
                <w:sz w:val="26"/>
                <w:szCs w:val="26"/>
              </w:rPr>
            </w:pPr>
            <w:r w:rsidRPr="00EF5AE7">
              <w:rPr>
                <w:b/>
                <w:sz w:val="26"/>
                <w:szCs w:val="26"/>
              </w:rPr>
              <w:t>Rādītāji</w:t>
            </w:r>
          </w:p>
        </w:tc>
        <w:tc>
          <w:tcPr>
            <w:tcW w:w="1347" w:type="pct"/>
            <w:gridSpan w:val="2"/>
            <w:vMerge w:val="restart"/>
            <w:vAlign w:val="center"/>
          </w:tcPr>
          <w:p w:rsidR="00FF1527" w:rsidRPr="00EF5AE7" w:rsidRDefault="00FF1527" w:rsidP="006C4607">
            <w:pPr>
              <w:pStyle w:val="naisf"/>
              <w:spacing w:before="0" w:after="0"/>
              <w:ind w:firstLine="0"/>
              <w:jc w:val="center"/>
              <w:rPr>
                <w:b/>
                <w:sz w:val="26"/>
                <w:szCs w:val="26"/>
              </w:rPr>
            </w:pPr>
            <w:r w:rsidRPr="00EF5AE7">
              <w:rPr>
                <w:b/>
                <w:sz w:val="26"/>
                <w:szCs w:val="26"/>
              </w:rPr>
              <w:t>2012.gads</w:t>
            </w:r>
          </w:p>
        </w:tc>
        <w:tc>
          <w:tcPr>
            <w:tcW w:w="2108" w:type="pct"/>
            <w:gridSpan w:val="3"/>
            <w:vAlign w:val="center"/>
          </w:tcPr>
          <w:p w:rsidR="00FF1527" w:rsidRPr="00EF5AE7" w:rsidRDefault="00FF1527" w:rsidP="006C4607">
            <w:pPr>
              <w:pStyle w:val="naisf"/>
              <w:spacing w:before="0" w:after="0"/>
              <w:ind w:firstLine="0"/>
              <w:jc w:val="center"/>
              <w:rPr>
                <w:b/>
                <w:i/>
                <w:sz w:val="26"/>
                <w:szCs w:val="26"/>
              </w:rPr>
            </w:pPr>
            <w:r w:rsidRPr="00EF5AE7">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EF5AE7">
                <w:rPr>
                  <w:sz w:val="26"/>
                  <w:szCs w:val="26"/>
                </w:rPr>
                <w:t>. latu</w:t>
              </w:r>
            </w:smartTag>
            <w:r w:rsidRPr="00EF5AE7">
              <w:rPr>
                <w:sz w:val="26"/>
                <w:szCs w:val="26"/>
              </w:rPr>
              <w:t>)</w:t>
            </w:r>
          </w:p>
        </w:tc>
      </w:tr>
      <w:tr w:rsidR="00FF1527" w:rsidRPr="00EF5AE7" w:rsidTr="00CC4263">
        <w:trPr>
          <w:jc w:val="center"/>
        </w:trPr>
        <w:tc>
          <w:tcPr>
            <w:tcW w:w="1546" w:type="pct"/>
            <w:vMerge/>
            <w:vAlign w:val="center"/>
          </w:tcPr>
          <w:p w:rsidR="00FF1527" w:rsidRPr="00EF5AE7" w:rsidRDefault="00FF1527" w:rsidP="0034795A">
            <w:pPr>
              <w:pStyle w:val="naisf"/>
              <w:spacing w:before="0" w:after="0"/>
              <w:ind w:firstLine="0"/>
              <w:jc w:val="left"/>
              <w:rPr>
                <w:b/>
                <w:i/>
                <w:sz w:val="26"/>
                <w:szCs w:val="26"/>
              </w:rPr>
            </w:pPr>
          </w:p>
        </w:tc>
        <w:tc>
          <w:tcPr>
            <w:tcW w:w="1347" w:type="pct"/>
            <w:gridSpan w:val="2"/>
            <w:vMerge/>
            <w:vAlign w:val="center"/>
          </w:tcPr>
          <w:p w:rsidR="00FF1527" w:rsidRPr="00EF5AE7" w:rsidRDefault="00FF1527" w:rsidP="006C4607">
            <w:pPr>
              <w:pStyle w:val="naisf"/>
              <w:spacing w:before="0" w:after="0"/>
              <w:ind w:firstLine="0"/>
              <w:jc w:val="center"/>
              <w:rPr>
                <w:b/>
                <w:i/>
                <w:sz w:val="26"/>
                <w:szCs w:val="26"/>
              </w:rPr>
            </w:pP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b/>
                <w:bCs/>
                <w:sz w:val="26"/>
                <w:szCs w:val="26"/>
              </w:rPr>
              <w:t>2013.g.</w:t>
            </w: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b/>
                <w:bCs/>
                <w:sz w:val="26"/>
                <w:szCs w:val="26"/>
              </w:rPr>
              <w:t>2014.g.</w:t>
            </w: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b/>
                <w:bCs/>
                <w:sz w:val="26"/>
                <w:szCs w:val="26"/>
              </w:rPr>
              <w:t>2015.g.</w:t>
            </w:r>
          </w:p>
        </w:tc>
      </w:tr>
      <w:tr w:rsidR="00FF1527" w:rsidRPr="00EF5AE7" w:rsidTr="00CC4263">
        <w:trPr>
          <w:jc w:val="center"/>
        </w:trPr>
        <w:tc>
          <w:tcPr>
            <w:tcW w:w="1546" w:type="pct"/>
            <w:vMerge/>
            <w:vAlign w:val="center"/>
          </w:tcPr>
          <w:p w:rsidR="00FF1527" w:rsidRPr="00EF5AE7" w:rsidRDefault="00FF1527" w:rsidP="0034795A">
            <w:pPr>
              <w:pStyle w:val="naisf"/>
              <w:spacing w:before="0" w:after="0"/>
              <w:ind w:firstLine="0"/>
              <w:jc w:val="left"/>
              <w:rPr>
                <w:b/>
                <w:i/>
                <w:sz w:val="26"/>
                <w:szCs w:val="26"/>
              </w:rPr>
            </w:pPr>
          </w:p>
        </w:tc>
        <w:tc>
          <w:tcPr>
            <w:tcW w:w="644" w:type="pct"/>
            <w:vAlign w:val="center"/>
          </w:tcPr>
          <w:p w:rsidR="00FF1527" w:rsidRPr="00EF5AE7" w:rsidRDefault="00FF1527" w:rsidP="006C4607">
            <w:pPr>
              <w:pStyle w:val="naisf"/>
              <w:spacing w:before="0" w:after="0"/>
              <w:ind w:firstLine="0"/>
              <w:jc w:val="center"/>
              <w:rPr>
                <w:b/>
                <w:i/>
                <w:sz w:val="26"/>
                <w:szCs w:val="26"/>
              </w:rPr>
            </w:pPr>
            <w:r w:rsidRPr="00EF5AE7">
              <w:rPr>
                <w:sz w:val="26"/>
                <w:szCs w:val="26"/>
              </w:rPr>
              <w:t>Saskaņā ar valsts budžetu kārtējam gadam</w:t>
            </w: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sz w:val="26"/>
                <w:szCs w:val="26"/>
              </w:rPr>
              <w:t>Izmaiņas kārtējā gadā, salīdzinot ar budžetu kārtējam gadam</w:t>
            </w: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sz w:val="26"/>
                <w:szCs w:val="26"/>
              </w:rPr>
              <w:t>Izmaiņas, salīdzinot ar kārtējo (2012) gadu</w:t>
            </w:r>
          </w:p>
        </w:tc>
        <w:tc>
          <w:tcPr>
            <w:tcW w:w="703" w:type="pct"/>
            <w:vAlign w:val="center"/>
          </w:tcPr>
          <w:p w:rsidR="00FF1527" w:rsidRPr="00EF5AE7" w:rsidRDefault="00FF1527" w:rsidP="006C4607">
            <w:pPr>
              <w:pStyle w:val="naisf"/>
              <w:spacing w:before="0" w:after="0"/>
              <w:ind w:firstLine="0"/>
              <w:jc w:val="center"/>
              <w:rPr>
                <w:b/>
                <w:i/>
                <w:sz w:val="26"/>
                <w:szCs w:val="26"/>
              </w:rPr>
            </w:pPr>
            <w:r w:rsidRPr="00EF5AE7">
              <w:rPr>
                <w:sz w:val="26"/>
                <w:szCs w:val="26"/>
              </w:rPr>
              <w:t>Izmaiņas, salīdzinot ar kārtējo (2012) gadu</w:t>
            </w:r>
          </w:p>
        </w:tc>
        <w:tc>
          <w:tcPr>
            <w:tcW w:w="703" w:type="pct"/>
            <w:vAlign w:val="center"/>
          </w:tcPr>
          <w:p w:rsidR="00FF1527" w:rsidRPr="00EF5AE7" w:rsidRDefault="00FF1527" w:rsidP="00797BEF">
            <w:pPr>
              <w:pStyle w:val="naisf"/>
              <w:spacing w:before="0" w:after="0"/>
              <w:ind w:firstLine="0"/>
              <w:jc w:val="center"/>
              <w:rPr>
                <w:b/>
                <w:i/>
                <w:sz w:val="26"/>
                <w:szCs w:val="26"/>
              </w:rPr>
            </w:pPr>
            <w:r w:rsidRPr="00EF5AE7">
              <w:rPr>
                <w:sz w:val="26"/>
                <w:szCs w:val="26"/>
              </w:rPr>
              <w:t>Izmaiņas, salīdzinot ar kārtējo (2012) gadu</w:t>
            </w:r>
          </w:p>
        </w:tc>
      </w:tr>
      <w:tr w:rsidR="00FF1527" w:rsidRPr="00EF5AE7" w:rsidTr="00CC4263">
        <w:trPr>
          <w:jc w:val="center"/>
        </w:trPr>
        <w:tc>
          <w:tcPr>
            <w:tcW w:w="1546" w:type="pct"/>
            <w:vAlign w:val="center"/>
          </w:tcPr>
          <w:p w:rsidR="00FF1527" w:rsidRPr="00EF5AE7" w:rsidRDefault="00FF1527" w:rsidP="0034795A">
            <w:pPr>
              <w:pStyle w:val="naisf"/>
              <w:spacing w:before="0" w:after="0"/>
              <w:ind w:firstLine="0"/>
              <w:jc w:val="center"/>
              <w:rPr>
                <w:bCs/>
                <w:sz w:val="26"/>
                <w:szCs w:val="26"/>
              </w:rPr>
            </w:pPr>
            <w:r w:rsidRPr="00EF5AE7">
              <w:rPr>
                <w:bCs/>
                <w:sz w:val="26"/>
                <w:szCs w:val="26"/>
              </w:rPr>
              <w:t>1</w:t>
            </w:r>
          </w:p>
        </w:tc>
        <w:tc>
          <w:tcPr>
            <w:tcW w:w="644" w:type="pct"/>
            <w:vAlign w:val="center"/>
          </w:tcPr>
          <w:p w:rsidR="00FF1527" w:rsidRPr="00EF5AE7" w:rsidRDefault="00FF1527" w:rsidP="006C4607">
            <w:pPr>
              <w:pStyle w:val="naisf"/>
              <w:spacing w:before="0" w:after="0"/>
              <w:ind w:firstLine="0"/>
              <w:jc w:val="center"/>
              <w:rPr>
                <w:bCs/>
                <w:sz w:val="26"/>
                <w:szCs w:val="26"/>
              </w:rPr>
            </w:pPr>
            <w:r w:rsidRPr="00EF5AE7">
              <w:rPr>
                <w:bCs/>
                <w:sz w:val="26"/>
                <w:szCs w:val="26"/>
              </w:rPr>
              <w:t>2</w:t>
            </w:r>
          </w:p>
        </w:tc>
        <w:tc>
          <w:tcPr>
            <w:tcW w:w="703" w:type="pct"/>
            <w:vAlign w:val="center"/>
          </w:tcPr>
          <w:p w:rsidR="00FF1527" w:rsidRPr="00EF5AE7" w:rsidRDefault="00FF1527" w:rsidP="006C4607">
            <w:pPr>
              <w:pStyle w:val="naisf"/>
              <w:spacing w:before="0" w:after="0"/>
              <w:ind w:firstLine="0"/>
              <w:jc w:val="center"/>
              <w:rPr>
                <w:bCs/>
                <w:sz w:val="26"/>
                <w:szCs w:val="26"/>
              </w:rPr>
            </w:pPr>
            <w:r w:rsidRPr="00EF5AE7">
              <w:rPr>
                <w:bCs/>
                <w:sz w:val="26"/>
                <w:szCs w:val="26"/>
              </w:rPr>
              <w:t>3</w:t>
            </w:r>
          </w:p>
        </w:tc>
        <w:tc>
          <w:tcPr>
            <w:tcW w:w="703" w:type="pct"/>
            <w:vAlign w:val="center"/>
          </w:tcPr>
          <w:p w:rsidR="00FF1527" w:rsidRPr="00EF5AE7" w:rsidRDefault="00FF1527" w:rsidP="006C4607">
            <w:pPr>
              <w:pStyle w:val="naisf"/>
              <w:spacing w:before="0" w:after="0"/>
              <w:ind w:firstLine="0"/>
              <w:jc w:val="center"/>
              <w:rPr>
                <w:bCs/>
                <w:sz w:val="26"/>
                <w:szCs w:val="26"/>
              </w:rPr>
            </w:pPr>
            <w:r w:rsidRPr="00EF5AE7">
              <w:rPr>
                <w:bCs/>
                <w:sz w:val="26"/>
                <w:szCs w:val="26"/>
              </w:rPr>
              <w:t>4</w:t>
            </w:r>
          </w:p>
        </w:tc>
        <w:tc>
          <w:tcPr>
            <w:tcW w:w="703" w:type="pct"/>
            <w:vAlign w:val="center"/>
          </w:tcPr>
          <w:p w:rsidR="00FF1527" w:rsidRPr="00EF5AE7" w:rsidRDefault="00FF1527" w:rsidP="006C4607">
            <w:pPr>
              <w:pStyle w:val="naisf"/>
              <w:spacing w:before="0" w:after="0"/>
              <w:ind w:firstLine="0"/>
              <w:jc w:val="center"/>
              <w:rPr>
                <w:bCs/>
                <w:sz w:val="26"/>
                <w:szCs w:val="26"/>
              </w:rPr>
            </w:pPr>
            <w:r w:rsidRPr="00EF5AE7">
              <w:rPr>
                <w:bCs/>
                <w:sz w:val="26"/>
                <w:szCs w:val="26"/>
              </w:rPr>
              <w:t>5</w:t>
            </w:r>
          </w:p>
        </w:tc>
        <w:tc>
          <w:tcPr>
            <w:tcW w:w="703" w:type="pct"/>
            <w:vAlign w:val="center"/>
          </w:tcPr>
          <w:p w:rsidR="00FF1527" w:rsidRPr="00EF5AE7" w:rsidRDefault="00FF1527" w:rsidP="006C4607">
            <w:pPr>
              <w:pStyle w:val="naisf"/>
              <w:spacing w:before="0" w:after="0"/>
              <w:ind w:firstLine="0"/>
              <w:jc w:val="center"/>
              <w:rPr>
                <w:bCs/>
                <w:sz w:val="26"/>
                <w:szCs w:val="26"/>
              </w:rPr>
            </w:pPr>
            <w:r w:rsidRPr="00EF5AE7">
              <w:rPr>
                <w:bCs/>
                <w:sz w:val="26"/>
                <w:szCs w:val="26"/>
              </w:rPr>
              <w:t>6</w:t>
            </w:r>
          </w:p>
        </w:tc>
      </w:tr>
      <w:tr w:rsidR="00FF1527" w:rsidRPr="00EF5AE7" w:rsidTr="00CC4263">
        <w:trPr>
          <w:jc w:val="center"/>
        </w:trPr>
        <w:tc>
          <w:tcPr>
            <w:tcW w:w="1546" w:type="pct"/>
          </w:tcPr>
          <w:p w:rsidR="00FF1527" w:rsidRPr="00EF5AE7" w:rsidRDefault="00FF1527" w:rsidP="0034795A">
            <w:pPr>
              <w:pStyle w:val="naisf"/>
              <w:spacing w:before="0" w:after="0"/>
              <w:ind w:firstLine="0"/>
              <w:jc w:val="left"/>
              <w:rPr>
                <w:i/>
                <w:sz w:val="26"/>
                <w:szCs w:val="26"/>
              </w:rPr>
            </w:pPr>
            <w:r w:rsidRPr="00EF5AE7">
              <w:rPr>
                <w:sz w:val="26"/>
                <w:szCs w:val="26"/>
              </w:rPr>
              <w:t>1. Budžeta ieņēmumi:</w:t>
            </w:r>
          </w:p>
        </w:tc>
        <w:tc>
          <w:tcPr>
            <w:tcW w:w="644" w:type="pct"/>
          </w:tcPr>
          <w:p w:rsidR="00FF1527" w:rsidRPr="00EF5AE7" w:rsidRDefault="00FF1527" w:rsidP="005A53B8">
            <w:pPr>
              <w:pStyle w:val="naisf"/>
              <w:spacing w:before="0" w:after="0"/>
              <w:ind w:firstLine="0"/>
              <w:jc w:val="center"/>
              <w:rPr>
                <w:b/>
                <w:sz w:val="26"/>
                <w:szCs w:val="26"/>
              </w:rPr>
            </w:pPr>
            <w:r w:rsidRPr="00EF5AE7">
              <w:rPr>
                <w:b/>
                <w:sz w:val="26"/>
                <w:szCs w:val="26"/>
              </w:rPr>
              <w:t>0</w:t>
            </w:r>
          </w:p>
        </w:tc>
        <w:tc>
          <w:tcPr>
            <w:tcW w:w="703" w:type="pct"/>
          </w:tcPr>
          <w:p w:rsidR="00FF1527" w:rsidRPr="00EF5AE7" w:rsidRDefault="00FF1527" w:rsidP="00CA24B4">
            <w:pPr>
              <w:pStyle w:val="naisf"/>
              <w:spacing w:before="0" w:after="0"/>
              <w:ind w:firstLine="0"/>
              <w:jc w:val="center"/>
              <w:rPr>
                <w:b/>
                <w:sz w:val="26"/>
                <w:szCs w:val="26"/>
              </w:rPr>
            </w:pPr>
            <w:r w:rsidRPr="00EF5AE7">
              <w:rPr>
                <w:b/>
                <w:sz w:val="26"/>
                <w:szCs w:val="26"/>
              </w:rPr>
              <w:t>0</w:t>
            </w:r>
          </w:p>
        </w:tc>
        <w:tc>
          <w:tcPr>
            <w:tcW w:w="703" w:type="pct"/>
          </w:tcPr>
          <w:p w:rsidR="00FF1527" w:rsidRPr="00EF5AE7" w:rsidRDefault="00FF1527" w:rsidP="00CA24B4">
            <w:pPr>
              <w:pStyle w:val="naisf"/>
              <w:spacing w:before="0" w:after="0"/>
              <w:ind w:firstLine="0"/>
              <w:jc w:val="center"/>
              <w:rPr>
                <w:b/>
                <w:sz w:val="26"/>
                <w:szCs w:val="26"/>
              </w:rPr>
            </w:pPr>
            <w:r w:rsidRPr="00EF5AE7">
              <w:rPr>
                <w:b/>
                <w:sz w:val="26"/>
                <w:szCs w:val="26"/>
              </w:rPr>
              <w:t>0</w:t>
            </w:r>
          </w:p>
        </w:tc>
        <w:tc>
          <w:tcPr>
            <w:tcW w:w="703" w:type="pct"/>
          </w:tcPr>
          <w:p w:rsidR="00FF1527" w:rsidRPr="00EF5AE7" w:rsidRDefault="00FF1527" w:rsidP="00CA24B4">
            <w:pPr>
              <w:pStyle w:val="naisf"/>
              <w:spacing w:before="0" w:after="0"/>
              <w:ind w:firstLine="0"/>
              <w:jc w:val="center"/>
              <w:rPr>
                <w:b/>
                <w:sz w:val="26"/>
                <w:szCs w:val="26"/>
              </w:rPr>
            </w:pPr>
            <w:r w:rsidRPr="00EF5AE7">
              <w:rPr>
                <w:b/>
                <w:sz w:val="26"/>
                <w:szCs w:val="26"/>
              </w:rPr>
              <w:t>0</w:t>
            </w:r>
          </w:p>
        </w:tc>
        <w:tc>
          <w:tcPr>
            <w:tcW w:w="703" w:type="pct"/>
          </w:tcPr>
          <w:p w:rsidR="00FF1527" w:rsidRPr="00EF5AE7" w:rsidRDefault="00FF1527" w:rsidP="00CA24B4">
            <w:pPr>
              <w:pStyle w:val="naisf"/>
              <w:spacing w:before="0" w:after="0"/>
              <w:ind w:firstLine="0"/>
              <w:jc w:val="center"/>
              <w:rPr>
                <w:b/>
                <w:sz w:val="26"/>
                <w:szCs w:val="26"/>
              </w:rPr>
            </w:pPr>
            <w:r w:rsidRPr="00EF5AE7">
              <w:rPr>
                <w:b/>
                <w:sz w:val="26"/>
                <w:szCs w:val="26"/>
              </w:rPr>
              <w:t>0</w:t>
            </w:r>
          </w:p>
        </w:tc>
      </w:tr>
      <w:tr w:rsidR="00FF1527" w:rsidRPr="00EF5AE7" w:rsidTr="00CC4263">
        <w:trPr>
          <w:jc w:val="center"/>
        </w:trPr>
        <w:tc>
          <w:tcPr>
            <w:tcW w:w="1546" w:type="pct"/>
          </w:tcPr>
          <w:p w:rsidR="00FF1527" w:rsidRPr="00EF5AE7" w:rsidRDefault="00FF1527" w:rsidP="0034795A">
            <w:pPr>
              <w:pStyle w:val="naisf"/>
              <w:spacing w:before="0" w:after="0"/>
              <w:ind w:firstLine="0"/>
              <w:jc w:val="left"/>
              <w:rPr>
                <w:i/>
                <w:sz w:val="26"/>
                <w:szCs w:val="26"/>
              </w:rPr>
            </w:pPr>
            <w:r w:rsidRPr="00EF5AE7">
              <w:rPr>
                <w:sz w:val="26"/>
                <w:szCs w:val="26"/>
              </w:rPr>
              <w:t>1.1. valsts pamatbudžets, tai skaitā ieņēmumi no maksas pakalpo-jumiem un citi pašu ieņēmumi</w:t>
            </w:r>
          </w:p>
        </w:tc>
        <w:tc>
          <w:tcPr>
            <w:tcW w:w="644" w:type="pct"/>
          </w:tcPr>
          <w:p w:rsidR="00FF1527" w:rsidRPr="00EF5AE7" w:rsidRDefault="00FF1527" w:rsidP="006C4607">
            <w:pPr>
              <w:pStyle w:val="naisf"/>
              <w:spacing w:before="0" w:after="0"/>
              <w:ind w:firstLine="0"/>
              <w:rPr>
                <w:b/>
                <w:sz w:val="26"/>
                <w:szCs w:val="26"/>
              </w:rPr>
            </w:pPr>
          </w:p>
          <w:p w:rsidR="00FF1527" w:rsidRPr="00EF5AE7" w:rsidRDefault="00FF1527" w:rsidP="006C4607">
            <w:pPr>
              <w:pStyle w:val="naisf"/>
              <w:spacing w:before="0" w:after="0"/>
              <w:ind w:firstLine="0"/>
              <w:rPr>
                <w:b/>
                <w:sz w:val="26"/>
                <w:szCs w:val="26"/>
              </w:rPr>
            </w:pPr>
          </w:p>
          <w:p w:rsidR="00FF1527" w:rsidRPr="00EF5AE7" w:rsidRDefault="00FF1527" w:rsidP="007C5BBA">
            <w:pPr>
              <w:pStyle w:val="naisf"/>
              <w:spacing w:before="0" w:after="0"/>
              <w:ind w:firstLine="0"/>
              <w:jc w:val="center"/>
              <w:rPr>
                <w:b/>
                <w:sz w:val="26"/>
                <w:szCs w:val="26"/>
              </w:rPr>
            </w:pPr>
            <w:r w:rsidRPr="00EF5AE7">
              <w:rPr>
                <w:b/>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p>
          <w:p w:rsidR="00FF1527" w:rsidRPr="00EF5AE7" w:rsidRDefault="00FF1527" w:rsidP="005A53B8">
            <w:pPr>
              <w:pStyle w:val="naisf"/>
              <w:spacing w:before="0" w:after="0"/>
              <w:ind w:firstLine="0"/>
              <w:jc w:val="center"/>
              <w:rPr>
                <w:sz w:val="26"/>
                <w:szCs w:val="26"/>
              </w:rPr>
            </w:pPr>
            <w:r w:rsidRPr="00EF5AE7">
              <w:rPr>
                <w:sz w:val="26"/>
                <w:szCs w:val="26"/>
              </w:rPr>
              <w:t>0</w:t>
            </w:r>
          </w:p>
          <w:p w:rsidR="00FF1527" w:rsidRPr="00EF5AE7" w:rsidRDefault="00FF1527" w:rsidP="005A53B8">
            <w:pPr>
              <w:pStyle w:val="naisf"/>
              <w:spacing w:before="0" w:after="0"/>
              <w:ind w:firstLine="0"/>
              <w:jc w:val="center"/>
              <w:rPr>
                <w:sz w:val="26"/>
                <w:szCs w:val="26"/>
              </w:rPr>
            </w:pPr>
          </w:p>
          <w:p w:rsidR="00FF1527" w:rsidRPr="00EF5AE7" w:rsidRDefault="00FF1527" w:rsidP="005A53B8">
            <w:pPr>
              <w:pStyle w:val="naisf"/>
              <w:spacing w:before="0" w:after="0"/>
              <w:ind w:firstLine="0"/>
              <w:jc w:val="center"/>
              <w:rPr>
                <w:b/>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p w:rsidR="00FF1527" w:rsidRPr="00EF5AE7" w:rsidRDefault="00FF1527" w:rsidP="005A53B8">
            <w:pPr>
              <w:pStyle w:val="naisf"/>
              <w:spacing w:before="0" w:after="0"/>
              <w:ind w:firstLine="0"/>
              <w:jc w:val="center"/>
              <w:rPr>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p>
          <w:p w:rsidR="00FF1527" w:rsidRPr="00EF5AE7" w:rsidRDefault="00FF1527" w:rsidP="005A53B8">
            <w:pPr>
              <w:pStyle w:val="naisf"/>
              <w:spacing w:before="0" w:after="0"/>
              <w:ind w:firstLine="0"/>
              <w:jc w:val="center"/>
              <w:rPr>
                <w:sz w:val="26"/>
                <w:szCs w:val="26"/>
              </w:rPr>
            </w:pPr>
            <w:r w:rsidRPr="00EF5AE7">
              <w:rPr>
                <w:sz w:val="26"/>
                <w:szCs w:val="26"/>
              </w:rPr>
              <w:t>0</w:t>
            </w:r>
          </w:p>
          <w:p w:rsidR="00FF1527" w:rsidRPr="00EF5AE7" w:rsidRDefault="00FF1527" w:rsidP="005A53B8">
            <w:pPr>
              <w:pStyle w:val="naisf"/>
              <w:spacing w:before="0" w:after="0"/>
              <w:ind w:firstLine="0"/>
              <w:jc w:val="center"/>
              <w:rPr>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p>
          <w:p w:rsidR="00FF1527" w:rsidRPr="00EF5AE7" w:rsidRDefault="00FF1527" w:rsidP="005A53B8">
            <w:pPr>
              <w:pStyle w:val="naisf"/>
              <w:spacing w:before="0" w:after="0"/>
              <w:ind w:firstLine="0"/>
              <w:jc w:val="center"/>
              <w:rPr>
                <w:sz w:val="26"/>
                <w:szCs w:val="26"/>
              </w:rPr>
            </w:pPr>
            <w:r w:rsidRPr="00EF5AE7">
              <w:rPr>
                <w:sz w:val="26"/>
                <w:szCs w:val="26"/>
              </w:rPr>
              <w:t>0</w:t>
            </w:r>
          </w:p>
          <w:p w:rsidR="00FF1527" w:rsidRPr="00EF5AE7" w:rsidRDefault="00FF1527" w:rsidP="005A53B8">
            <w:pPr>
              <w:pStyle w:val="naisf"/>
              <w:spacing w:before="0" w:after="0"/>
              <w:ind w:firstLine="0"/>
              <w:jc w:val="center"/>
              <w:rPr>
                <w:sz w:val="26"/>
                <w:szCs w:val="26"/>
              </w:rPr>
            </w:pPr>
          </w:p>
          <w:p w:rsidR="00FF1527" w:rsidRPr="00EF5AE7" w:rsidRDefault="00FF1527" w:rsidP="005A53B8">
            <w:pPr>
              <w:pStyle w:val="naisf"/>
              <w:spacing w:before="0" w:after="0"/>
              <w:ind w:firstLine="0"/>
              <w:jc w:val="center"/>
              <w:rPr>
                <w:sz w:val="26"/>
                <w:szCs w:val="26"/>
              </w:rPr>
            </w:pPr>
          </w:p>
        </w:tc>
      </w:tr>
      <w:tr w:rsidR="00FF1527" w:rsidRPr="00EF5AE7" w:rsidTr="00CC4263">
        <w:trPr>
          <w:trHeight w:val="657"/>
          <w:jc w:val="center"/>
        </w:trPr>
        <w:tc>
          <w:tcPr>
            <w:tcW w:w="1546" w:type="pct"/>
          </w:tcPr>
          <w:p w:rsidR="00FF1527" w:rsidRPr="00EF5AE7" w:rsidRDefault="00FF1527" w:rsidP="0034795A">
            <w:pPr>
              <w:pStyle w:val="naisf"/>
              <w:spacing w:before="0" w:after="0"/>
              <w:ind w:firstLine="0"/>
              <w:jc w:val="left"/>
              <w:rPr>
                <w:i/>
                <w:sz w:val="26"/>
                <w:szCs w:val="26"/>
              </w:rPr>
            </w:pPr>
            <w:r w:rsidRPr="00EF5AE7">
              <w:rPr>
                <w:sz w:val="26"/>
                <w:szCs w:val="26"/>
              </w:rPr>
              <w:t>1.2. valsts speciālais budžets</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pStyle w:val="naisf"/>
              <w:spacing w:before="0" w:after="0"/>
              <w:ind w:firstLine="0"/>
              <w:jc w:val="left"/>
              <w:rPr>
                <w:i/>
                <w:sz w:val="26"/>
                <w:szCs w:val="26"/>
              </w:rPr>
            </w:pPr>
            <w:r w:rsidRPr="00EF5AE7">
              <w:rPr>
                <w:sz w:val="26"/>
                <w:szCs w:val="26"/>
              </w:rPr>
              <w:t>1.3. pašvaldību budžets</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2. Budžeta izdevumi:</w:t>
            </w:r>
          </w:p>
        </w:tc>
        <w:tc>
          <w:tcPr>
            <w:tcW w:w="644" w:type="pct"/>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tcPr>
          <w:p w:rsidR="00FF1527" w:rsidRPr="00EF5AE7" w:rsidRDefault="00FF1527" w:rsidP="006C1870">
            <w:pPr>
              <w:pStyle w:val="naisf"/>
              <w:spacing w:before="0" w:after="0"/>
              <w:ind w:firstLine="0"/>
              <w:jc w:val="center"/>
              <w:rPr>
                <w:sz w:val="26"/>
                <w:szCs w:val="26"/>
              </w:rPr>
            </w:pPr>
            <w:r w:rsidRPr="00EF5AE7">
              <w:rPr>
                <w:sz w:val="26"/>
                <w:szCs w:val="26"/>
              </w:rPr>
              <w:t xml:space="preserve">1 600,7 </w:t>
            </w:r>
          </w:p>
        </w:tc>
        <w:tc>
          <w:tcPr>
            <w:tcW w:w="703" w:type="pct"/>
          </w:tcPr>
          <w:p w:rsidR="00FF1527" w:rsidRPr="00EF5AE7" w:rsidRDefault="00FF1527" w:rsidP="00CA24B4">
            <w:pPr>
              <w:pStyle w:val="naisf"/>
              <w:spacing w:before="0" w:after="0"/>
              <w:ind w:firstLine="0"/>
              <w:jc w:val="center"/>
              <w:rPr>
                <w:sz w:val="26"/>
                <w:szCs w:val="26"/>
              </w:rPr>
            </w:pPr>
            <w:r w:rsidRPr="00EF5AE7">
              <w:rPr>
                <w:sz w:val="26"/>
                <w:szCs w:val="26"/>
              </w:rPr>
              <w:t>0</w:t>
            </w:r>
          </w:p>
        </w:tc>
        <w:tc>
          <w:tcPr>
            <w:tcW w:w="703" w:type="pct"/>
          </w:tcPr>
          <w:p w:rsidR="00FF1527" w:rsidRPr="00EF5AE7" w:rsidRDefault="00FF1527" w:rsidP="00CA24B4">
            <w:pPr>
              <w:pStyle w:val="naisf"/>
              <w:spacing w:before="0" w:after="0"/>
              <w:ind w:firstLine="0"/>
              <w:jc w:val="center"/>
              <w:rPr>
                <w:sz w:val="26"/>
                <w:szCs w:val="26"/>
              </w:rPr>
            </w:pPr>
            <w:r w:rsidRPr="00EF5AE7">
              <w:rPr>
                <w:sz w:val="26"/>
                <w:szCs w:val="26"/>
              </w:rPr>
              <w:t>0</w:t>
            </w:r>
          </w:p>
        </w:tc>
        <w:tc>
          <w:tcPr>
            <w:tcW w:w="703" w:type="pct"/>
          </w:tcPr>
          <w:p w:rsidR="00FF1527" w:rsidRPr="00EF5AE7" w:rsidRDefault="00FF1527" w:rsidP="00CA24B4">
            <w:pPr>
              <w:pStyle w:val="naisf"/>
              <w:spacing w:before="0" w:after="0"/>
              <w:ind w:firstLine="0"/>
              <w:jc w:val="center"/>
              <w:rPr>
                <w:sz w:val="26"/>
                <w:szCs w:val="26"/>
              </w:rPr>
            </w:pPr>
            <w:r w:rsidRPr="00EF5AE7">
              <w:rPr>
                <w:sz w:val="26"/>
                <w:szCs w:val="26"/>
              </w:rPr>
              <w:t>0</w:t>
            </w:r>
          </w:p>
        </w:tc>
      </w:tr>
      <w:tr w:rsidR="00FF1527" w:rsidRPr="00EF5AE7" w:rsidTr="00CC4263">
        <w:trPr>
          <w:trHeight w:val="414"/>
          <w:jc w:val="center"/>
        </w:trPr>
        <w:tc>
          <w:tcPr>
            <w:tcW w:w="1546" w:type="pct"/>
          </w:tcPr>
          <w:p w:rsidR="00FF1527" w:rsidRPr="00EF5AE7" w:rsidRDefault="00FF1527" w:rsidP="0034795A">
            <w:pPr>
              <w:rPr>
                <w:sz w:val="26"/>
                <w:szCs w:val="26"/>
              </w:rPr>
            </w:pPr>
            <w:r w:rsidRPr="00EF5AE7">
              <w:rPr>
                <w:sz w:val="26"/>
                <w:szCs w:val="26"/>
              </w:rPr>
              <w:t>2.1. valsts pamatbudžets</w:t>
            </w:r>
          </w:p>
        </w:tc>
        <w:tc>
          <w:tcPr>
            <w:tcW w:w="644" w:type="pct"/>
          </w:tcPr>
          <w:p w:rsidR="00FF1527" w:rsidRPr="00EF5AE7" w:rsidRDefault="00FF1527" w:rsidP="00E11467">
            <w:pPr>
              <w:pStyle w:val="naisf"/>
              <w:spacing w:before="0" w:after="0"/>
              <w:ind w:firstLine="0"/>
              <w:jc w:val="center"/>
              <w:rPr>
                <w:sz w:val="26"/>
                <w:szCs w:val="26"/>
              </w:rPr>
            </w:pPr>
            <w:r w:rsidRPr="00EF5AE7">
              <w:rPr>
                <w:sz w:val="26"/>
                <w:szCs w:val="26"/>
              </w:rPr>
              <w:t>0</w:t>
            </w:r>
          </w:p>
        </w:tc>
        <w:tc>
          <w:tcPr>
            <w:tcW w:w="703" w:type="pct"/>
          </w:tcPr>
          <w:p w:rsidR="00FF1527" w:rsidRPr="00EF5AE7" w:rsidRDefault="00FF1527" w:rsidP="006C1870">
            <w:pPr>
              <w:pStyle w:val="naisf"/>
              <w:spacing w:before="0" w:after="0"/>
              <w:ind w:firstLine="0"/>
              <w:jc w:val="center"/>
              <w:rPr>
                <w:sz w:val="26"/>
                <w:szCs w:val="26"/>
              </w:rPr>
            </w:pPr>
            <w:r w:rsidRPr="00EF5AE7">
              <w:rPr>
                <w:sz w:val="26"/>
                <w:szCs w:val="26"/>
              </w:rPr>
              <w:t xml:space="preserve">1 600,7 </w:t>
            </w:r>
          </w:p>
        </w:tc>
        <w:tc>
          <w:tcPr>
            <w:tcW w:w="703" w:type="pct"/>
          </w:tcPr>
          <w:p w:rsidR="00FF1527" w:rsidRPr="00EF5AE7" w:rsidRDefault="00FF1527" w:rsidP="00AE1FDB">
            <w:pPr>
              <w:pStyle w:val="naisf"/>
              <w:spacing w:before="0" w:after="0"/>
              <w:ind w:firstLine="0"/>
              <w:jc w:val="center"/>
              <w:rPr>
                <w:sz w:val="26"/>
                <w:szCs w:val="26"/>
              </w:rPr>
            </w:pPr>
            <w:r w:rsidRPr="00EF5AE7">
              <w:rPr>
                <w:sz w:val="26"/>
                <w:szCs w:val="26"/>
              </w:rPr>
              <w:t>0</w:t>
            </w:r>
          </w:p>
          <w:p w:rsidR="00FF1527" w:rsidRPr="00EF5AE7" w:rsidRDefault="00FF1527" w:rsidP="00AE1FDB">
            <w:pPr>
              <w:pStyle w:val="naisf"/>
              <w:spacing w:before="0" w:after="0"/>
              <w:ind w:firstLine="0"/>
              <w:jc w:val="center"/>
              <w:rPr>
                <w:sz w:val="26"/>
                <w:szCs w:val="26"/>
              </w:rPr>
            </w:pPr>
          </w:p>
        </w:tc>
        <w:tc>
          <w:tcPr>
            <w:tcW w:w="703" w:type="pct"/>
          </w:tcPr>
          <w:p w:rsidR="00FF1527" w:rsidRPr="00EF5AE7" w:rsidRDefault="00FF1527" w:rsidP="00AE1FDB">
            <w:pPr>
              <w:pStyle w:val="naisf"/>
              <w:spacing w:before="0" w:after="0"/>
              <w:ind w:firstLine="0"/>
              <w:jc w:val="center"/>
              <w:rPr>
                <w:sz w:val="26"/>
                <w:szCs w:val="26"/>
              </w:rPr>
            </w:pPr>
            <w:r w:rsidRPr="00EF5AE7">
              <w:rPr>
                <w:sz w:val="26"/>
                <w:szCs w:val="26"/>
              </w:rPr>
              <w:t>0</w:t>
            </w:r>
          </w:p>
          <w:p w:rsidR="00FF1527" w:rsidRPr="00EF5AE7" w:rsidRDefault="00FF1527" w:rsidP="00AE1FDB">
            <w:pPr>
              <w:pStyle w:val="naisf"/>
              <w:spacing w:before="0" w:after="0"/>
              <w:ind w:firstLine="0"/>
              <w:jc w:val="center"/>
              <w:rPr>
                <w:sz w:val="26"/>
                <w:szCs w:val="26"/>
              </w:rPr>
            </w:pPr>
          </w:p>
        </w:tc>
        <w:tc>
          <w:tcPr>
            <w:tcW w:w="703" w:type="pct"/>
          </w:tcPr>
          <w:p w:rsidR="00FF1527" w:rsidRPr="00EF5AE7" w:rsidRDefault="00FF1527" w:rsidP="00AE1FDB">
            <w:pPr>
              <w:pStyle w:val="naisf"/>
              <w:spacing w:before="0" w:after="0"/>
              <w:ind w:firstLine="0"/>
              <w:jc w:val="center"/>
              <w:rPr>
                <w:sz w:val="26"/>
                <w:szCs w:val="26"/>
              </w:rPr>
            </w:pPr>
            <w:r w:rsidRPr="00EF5AE7">
              <w:rPr>
                <w:sz w:val="26"/>
                <w:szCs w:val="26"/>
              </w:rPr>
              <w:t>0</w:t>
            </w:r>
          </w:p>
          <w:p w:rsidR="00FF1527" w:rsidRPr="00EF5AE7" w:rsidRDefault="00FF1527" w:rsidP="00AE1FDB">
            <w:pPr>
              <w:pStyle w:val="naisf"/>
              <w:spacing w:before="0" w:after="0"/>
              <w:ind w:firstLine="0"/>
              <w:jc w:val="center"/>
              <w:rPr>
                <w:sz w:val="26"/>
                <w:szCs w:val="26"/>
              </w:rPr>
            </w:pP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2.2. valsts speciālais budžets</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 xml:space="preserve">2.3. pašvaldību budžets </w:t>
            </w:r>
          </w:p>
        </w:tc>
        <w:tc>
          <w:tcPr>
            <w:tcW w:w="644" w:type="pct"/>
            <w:vAlign w:val="center"/>
          </w:tcPr>
          <w:p w:rsidR="00FF1527" w:rsidRPr="00EF5AE7" w:rsidRDefault="00FF1527" w:rsidP="005A53B8">
            <w:pPr>
              <w:pStyle w:val="naisf"/>
              <w:spacing w:before="0" w:after="0"/>
              <w:ind w:firstLine="0"/>
              <w:jc w:val="center"/>
              <w:rPr>
                <w:b/>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3. Finansiālā ietekme:</w:t>
            </w:r>
          </w:p>
        </w:tc>
        <w:tc>
          <w:tcPr>
            <w:tcW w:w="644" w:type="pct"/>
            <w:vAlign w:val="center"/>
          </w:tcPr>
          <w:p w:rsidR="00FF1527" w:rsidRPr="00EF5AE7" w:rsidRDefault="00FF1527" w:rsidP="005A53B8">
            <w:pPr>
              <w:pStyle w:val="naisf"/>
              <w:spacing w:before="0" w:after="0"/>
              <w:ind w:firstLine="0"/>
              <w:jc w:val="center"/>
              <w:rPr>
                <w:b/>
                <w:sz w:val="26"/>
                <w:szCs w:val="26"/>
              </w:rPr>
            </w:pPr>
            <w:r w:rsidRPr="00EF5AE7">
              <w:rPr>
                <w:b/>
                <w:sz w:val="26"/>
                <w:szCs w:val="26"/>
              </w:rPr>
              <w:t>0</w:t>
            </w:r>
          </w:p>
        </w:tc>
        <w:tc>
          <w:tcPr>
            <w:tcW w:w="703" w:type="pct"/>
          </w:tcPr>
          <w:p w:rsidR="00FF1527" w:rsidRPr="00EF5AE7" w:rsidRDefault="00FF1527" w:rsidP="006C1870">
            <w:pPr>
              <w:pStyle w:val="naisf"/>
              <w:spacing w:before="0" w:after="0"/>
              <w:ind w:firstLine="0"/>
              <w:jc w:val="center"/>
              <w:rPr>
                <w:sz w:val="26"/>
                <w:szCs w:val="26"/>
              </w:rPr>
            </w:pPr>
            <w:r w:rsidRPr="00EF5AE7">
              <w:rPr>
                <w:sz w:val="26"/>
                <w:szCs w:val="26"/>
              </w:rPr>
              <w:t xml:space="preserve">-1 600,7 </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3.1. valsts pamatbudžets</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6C1870">
            <w:pPr>
              <w:pStyle w:val="naisf"/>
              <w:spacing w:before="0" w:after="0"/>
              <w:ind w:firstLine="0"/>
              <w:jc w:val="center"/>
              <w:rPr>
                <w:sz w:val="26"/>
                <w:szCs w:val="26"/>
              </w:rPr>
            </w:pPr>
            <w:r w:rsidRPr="00EF5AE7">
              <w:rPr>
                <w:sz w:val="26"/>
                <w:szCs w:val="26"/>
              </w:rPr>
              <w:t xml:space="preserve">-1 600,7 </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3.2. speciālais budžets</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 xml:space="preserve">3.3. pašvaldību budžets </w:t>
            </w:r>
          </w:p>
        </w:tc>
        <w:tc>
          <w:tcPr>
            <w:tcW w:w="644"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vMerge w:val="restart"/>
          </w:tcPr>
          <w:p w:rsidR="00FF1527" w:rsidRPr="00EF5AE7" w:rsidRDefault="00FF1527" w:rsidP="0034795A">
            <w:pPr>
              <w:rPr>
                <w:sz w:val="26"/>
                <w:szCs w:val="26"/>
              </w:rPr>
            </w:pPr>
            <w:r w:rsidRPr="00EF5AE7">
              <w:rPr>
                <w:sz w:val="26"/>
                <w:szCs w:val="26"/>
              </w:rPr>
              <w:t>4. Finanšu līdzekļi papildu izde</w:t>
            </w:r>
            <w:r w:rsidRPr="00EF5AE7">
              <w:rPr>
                <w:sz w:val="26"/>
                <w:szCs w:val="26"/>
              </w:rPr>
              <w:softHyphen/>
              <w:t>vumu finansēšanai (kompensējošu izdevumu samazinājumu norāda ar "+" zīmi)</w:t>
            </w:r>
          </w:p>
          <w:p w:rsidR="00FF1527" w:rsidRPr="00EF5AE7" w:rsidRDefault="00FF1527" w:rsidP="0034795A">
            <w:pPr>
              <w:rPr>
                <w:sz w:val="26"/>
                <w:szCs w:val="26"/>
              </w:rPr>
            </w:pPr>
          </w:p>
        </w:tc>
        <w:tc>
          <w:tcPr>
            <w:tcW w:w="644" w:type="pct"/>
            <w:vMerge w:val="restart"/>
            <w:vAlign w:val="center"/>
          </w:tcPr>
          <w:p w:rsidR="00FF1527" w:rsidRPr="00EF5AE7" w:rsidRDefault="00FF1527" w:rsidP="00C472EA">
            <w:pPr>
              <w:pStyle w:val="naisf"/>
              <w:spacing w:before="0" w:after="0"/>
              <w:ind w:firstLine="0"/>
              <w:jc w:val="center"/>
              <w:rPr>
                <w:sz w:val="26"/>
                <w:szCs w:val="26"/>
              </w:rPr>
            </w:pPr>
            <w:r w:rsidRPr="00EF5AE7">
              <w:rPr>
                <w:sz w:val="26"/>
                <w:szCs w:val="26"/>
              </w:rPr>
              <w:t>X</w:t>
            </w:r>
          </w:p>
        </w:tc>
        <w:tc>
          <w:tcPr>
            <w:tcW w:w="703" w:type="pct"/>
            <w:vMerge w:val="restart"/>
            <w:vAlign w:val="center"/>
          </w:tcPr>
          <w:p w:rsidR="00FF1527" w:rsidRPr="00EF5AE7" w:rsidRDefault="00FF1527" w:rsidP="006C1870">
            <w:pPr>
              <w:pStyle w:val="naisf"/>
              <w:spacing w:before="0" w:after="0"/>
              <w:ind w:firstLine="0"/>
              <w:jc w:val="center"/>
              <w:rPr>
                <w:sz w:val="26"/>
                <w:szCs w:val="26"/>
              </w:rPr>
            </w:pPr>
            <w:r w:rsidRPr="00EF5AE7">
              <w:rPr>
                <w:sz w:val="26"/>
                <w:szCs w:val="26"/>
              </w:rPr>
              <w:t xml:space="preserve">1 600,7 </w:t>
            </w:r>
          </w:p>
        </w:tc>
        <w:tc>
          <w:tcPr>
            <w:tcW w:w="703" w:type="pct"/>
            <w:vAlign w:val="center"/>
          </w:tcPr>
          <w:p w:rsidR="00FF1527" w:rsidRPr="00EF5AE7" w:rsidRDefault="00FF1527" w:rsidP="00DD2BEA">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Header"/>
              <w:jc w:val="center"/>
              <w:rPr>
                <w:sz w:val="26"/>
                <w:szCs w:val="26"/>
              </w:rPr>
            </w:pPr>
            <w:r w:rsidRPr="00EF5AE7">
              <w:rPr>
                <w:sz w:val="26"/>
                <w:szCs w:val="26"/>
              </w:rPr>
              <w:t>0</w:t>
            </w:r>
          </w:p>
        </w:tc>
      </w:tr>
      <w:tr w:rsidR="00FF1527" w:rsidRPr="00EF5AE7" w:rsidTr="00CC4263">
        <w:trPr>
          <w:jc w:val="center"/>
        </w:trPr>
        <w:tc>
          <w:tcPr>
            <w:tcW w:w="1546" w:type="pct"/>
            <w:vMerge/>
          </w:tcPr>
          <w:p w:rsidR="00FF1527" w:rsidRPr="00EF5AE7" w:rsidRDefault="00FF1527" w:rsidP="0034795A">
            <w:pPr>
              <w:rPr>
                <w:sz w:val="26"/>
                <w:szCs w:val="26"/>
              </w:rPr>
            </w:pPr>
          </w:p>
        </w:tc>
        <w:tc>
          <w:tcPr>
            <w:tcW w:w="644" w:type="pct"/>
            <w:vMerge/>
          </w:tcPr>
          <w:p w:rsidR="00FF1527" w:rsidRPr="00EF5AE7" w:rsidRDefault="00FF1527" w:rsidP="006C4607">
            <w:pPr>
              <w:pStyle w:val="Header"/>
              <w:jc w:val="center"/>
              <w:rPr>
                <w:sz w:val="26"/>
                <w:szCs w:val="26"/>
              </w:rPr>
            </w:pPr>
          </w:p>
        </w:tc>
        <w:tc>
          <w:tcPr>
            <w:tcW w:w="703" w:type="pct"/>
            <w:vMerge/>
            <w:vAlign w:val="center"/>
          </w:tcPr>
          <w:p w:rsidR="00FF1527" w:rsidRPr="00EF5AE7" w:rsidRDefault="00FF1527" w:rsidP="005A53B8">
            <w:pPr>
              <w:pStyle w:val="naisf"/>
              <w:jc w:val="center"/>
              <w:rPr>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Header"/>
              <w:jc w:val="center"/>
              <w:rPr>
                <w:sz w:val="26"/>
                <w:szCs w:val="26"/>
              </w:rPr>
            </w:pPr>
            <w:r w:rsidRPr="00EF5AE7">
              <w:rPr>
                <w:sz w:val="26"/>
                <w:szCs w:val="26"/>
              </w:rPr>
              <w:t>0</w:t>
            </w:r>
          </w:p>
        </w:tc>
      </w:tr>
      <w:tr w:rsidR="00FF1527" w:rsidRPr="00EF5AE7" w:rsidTr="00CC4263">
        <w:trPr>
          <w:jc w:val="center"/>
        </w:trPr>
        <w:tc>
          <w:tcPr>
            <w:tcW w:w="1546" w:type="pct"/>
            <w:vMerge/>
          </w:tcPr>
          <w:p w:rsidR="00FF1527" w:rsidRPr="00EF5AE7" w:rsidRDefault="00FF1527" w:rsidP="0034795A">
            <w:pPr>
              <w:rPr>
                <w:sz w:val="26"/>
                <w:szCs w:val="26"/>
              </w:rPr>
            </w:pPr>
          </w:p>
        </w:tc>
        <w:tc>
          <w:tcPr>
            <w:tcW w:w="644" w:type="pct"/>
            <w:vMerge/>
          </w:tcPr>
          <w:p w:rsidR="00FF1527" w:rsidRPr="00EF5AE7" w:rsidRDefault="00FF1527" w:rsidP="006C4607">
            <w:pPr>
              <w:pStyle w:val="Header"/>
              <w:jc w:val="center"/>
              <w:rPr>
                <w:sz w:val="26"/>
                <w:szCs w:val="26"/>
              </w:rPr>
            </w:pPr>
          </w:p>
        </w:tc>
        <w:tc>
          <w:tcPr>
            <w:tcW w:w="703" w:type="pct"/>
            <w:vMerge/>
            <w:vAlign w:val="center"/>
          </w:tcPr>
          <w:p w:rsidR="00FF1527" w:rsidRPr="00EF5AE7" w:rsidRDefault="00FF1527" w:rsidP="005A53B8">
            <w:pPr>
              <w:pStyle w:val="naisf"/>
              <w:spacing w:before="0" w:after="0"/>
              <w:ind w:firstLine="0"/>
              <w:jc w:val="center"/>
              <w:rPr>
                <w:sz w:val="26"/>
                <w:szCs w:val="26"/>
              </w:rPr>
            </w:pP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Header"/>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5. Precizēta finansiālā ietekme:</w:t>
            </w:r>
          </w:p>
        </w:tc>
        <w:tc>
          <w:tcPr>
            <w:tcW w:w="644" w:type="pct"/>
            <w:vMerge w:val="restart"/>
            <w:vAlign w:val="center"/>
          </w:tcPr>
          <w:p w:rsidR="00FF1527" w:rsidRPr="00EF5AE7" w:rsidRDefault="00FF1527" w:rsidP="004617ED">
            <w:pPr>
              <w:pStyle w:val="Header"/>
              <w:jc w:val="center"/>
              <w:rPr>
                <w:sz w:val="26"/>
                <w:szCs w:val="26"/>
              </w:rPr>
            </w:pPr>
            <w:r w:rsidRPr="00EF5AE7">
              <w:rPr>
                <w:sz w:val="26"/>
                <w:szCs w:val="26"/>
              </w:rPr>
              <w:t>X</w:t>
            </w: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Header"/>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5.1. valsts pamatbudžets</w:t>
            </w:r>
          </w:p>
        </w:tc>
        <w:tc>
          <w:tcPr>
            <w:tcW w:w="644" w:type="pct"/>
            <w:vMerge/>
            <w:vAlign w:val="center"/>
          </w:tcPr>
          <w:p w:rsidR="00FF1527" w:rsidRPr="00EF5AE7" w:rsidRDefault="00FF1527" w:rsidP="006C4607">
            <w:pPr>
              <w:pStyle w:val="naisf"/>
              <w:spacing w:before="0" w:after="0"/>
              <w:ind w:firstLine="0"/>
              <w:jc w:val="center"/>
              <w:rPr>
                <w:sz w:val="26"/>
                <w:szCs w:val="26"/>
              </w:rPr>
            </w:pP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naislab"/>
              <w:spacing w:before="0" w:after="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5.2. speciālais budžets</w:t>
            </w:r>
          </w:p>
        </w:tc>
        <w:tc>
          <w:tcPr>
            <w:tcW w:w="644" w:type="pct"/>
            <w:vMerge/>
            <w:vAlign w:val="center"/>
          </w:tcPr>
          <w:p w:rsidR="00FF1527" w:rsidRPr="00EF5AE7" w:rsidRDefault="00FF1527" w:rsidP="006C4607">
            <w:pPr>
              <w:pStyle w:val="naisf"/>
              <w:spacing w:before="0" w:after="0"/>
              <w:ind w:firstLine="0"/>
              <w:jc w:val="center"/>
              <w:rPr>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 xml:space="preserve">5.3. pašvaldību budžets </w:t>
            </w:r>
          </w:p>
        </w:tc>
        <w:tc>
          <w:tcPr>
            <w:tcW w:w="644" w:type="pct"/>
            <w:vMerge/>
            <w:vAlign w:val="center"/>
          </w:tcPr>
          <w:p w:rsidR="00FF1527" w:rsidRPr="00EF5AE7" w:rsidRDefault="00FF1527" w:rsidP="006C4607">
            <w:pPr>
              <w:pStyle w:val="naisf"/>
              <w:spacing w:before="0" w:after="0"/>
              <w:ind w:firstLine="0"/>
              <w:jc w:val="center"/>
              <w:rPr>
                <w:sz w:val="26"/>
                <w:szCs w:val="26"/>
              </w:rPr>
            </w:pP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c>
          <w:tcPr>
            <w:tcW w:w="703" w:type="pct"/>
            <w:vAlign w:val="center"/>
          </w:tcPr>
          <w:p w:rsidR="00FF1527" w:rsidRPr="00EF5AE7" w:rsidRDefault="00FF1527" w:rsidP="005A53B8">
            <w:pPr>
              <w:pStyle w:val="naisf"/>
              <w:spacing w:before="0" w:after="0"/>
              <w:ind w:firstLine="0"/>
              <w:jc w:val="center"/>
              <w:rPr>
                <w:sz w:val="26"/>
                <w:szCs w:val="26"/>
              </w:rPr>
            </w:pPr>
            <w:r w:rsidRPr="00EF5AE7">
              <w:rPr>
                <w:sz w:val="26"/>
                <w:szCs w:val="26"/>
              </w:rPr>
              <w:t>0</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6. Detalizēts ieņēmumu un izdevu</w:t>
            </w:r>
            <w:r w:rsidRPr="00EF5AE7">
              <w:rPr>
                <w:sz w:val="26"/>
                <w:szCs w:val="26"/>
              </w:rPr>
              <w:softHyphen/>
              <w:t>mu aprēķins (ja nepieciešams, detalizētu ieņēmumu un izdevumu aprēķinu var pievienot anotācijas pielikumā):</w:t>
            </w:r>
          </w:p>
        </w:tc>
        <w:tc>
          <w:tcPr>
            <w:tcW w:w="3454" w:type="pct"/>
            <w:gridSpan w:val="5"/>
            <w:vMerge w:val="restart"/>
          </w:tcPr>
          <w:p w:rsidR="00FF1527" w:rsidRPr="00EF5AE7" w:rsidRDefault="00FF1527" w:rsidP="00EF5AE7">
            <w:pPr>
              <w:pStyle w:val="naisf"/>
              <w:spacing w:before="0" w:after="0"/>
              <w:ind w:firstLine="0"/>
              <w:rPr>
                <w:b/>
                <w:i/>
                <w:sz w:val="26"/>
                <w:szCs w:val="26"/>
              </w:rPr>
            </w:pPr>
            <w:r w:rsidRPr="00EF5AE7">
              <w:rPr>
                <w:sz w:val="26"/>
                <w:szCs w:val="26"/>
              </w:rPr>
              <w:t xml:space="preserve">Satiksmes ministrijai nepieciešamais papildus finansējums zaudējumu segšanai plānošanas reģioniem un republikas pilsētu pašvaldībām 1 600 689 Ls par sabiedriskā transporta pakalpojumu sniegšanu 2011.un 2012.gadā. Detalizēts izdevumu aprēķins sniegts rīkojuma projektam pievienotajā informācijā. </w:t>
            </w: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6.1. detalizēts ieņēmumu aprēķins</w:t>
            </w:r>
          </w:p>
        </w:tc>
        <w:tc>
          <w:tcPr>
            <w:tcW w:w="3454" w:type="pct"/>
            <w:gridSpan w:val="5"/>
            <w:vMerge/>
          </w:tcPr>
          <w:p w:rsidR="00FF1527" w:rsidRPr="00EF5AE7" w:rsidRDefault="00FF1527" w:rsidP="006C4607">
            <w:pPr>
              <w:pStyle w:val="naisf"/>
              <w:spacing w:before="0" w:after="0"/>
              <w:ind w:firstLine="0"/>
              <w:rPr>
                <w:b/>
                <w:i/>
                <w:sz w:val="26"/>
                <w:szCs w:val="26"/>
              </w:rPr>
            </w:pP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6.2. detalizēts izdevumu aprēķins</w:t>
            </w:r>
          </w:p>
        </w:tc>
        <w:tc>
          <w:tcPr>
            <w:tcW w:w="3454" w:type="pct"/>
            <w:gridSpan w:val="5"/>
            <w:vMerge/>
          </w:tcPr>
          <w:p w:rsidR="00FF1527" w:rsidRPr="00EF5AE7" w:rsidRDefault="00FF1527" w:rsidP="006C4607">
            <w:pPr>
              <w:pStyle w:val="naisf"/>
              <w:spacing w:before="0" w:after="0"/>
              <w:ind w:firstLine="0"/>
              <w:rPr>
                <w:b/>
                <w:i/>
                <w:sz w:val="26"/>
                <w:szCs w:val="26"/>
              </w:rPr>
            </w:pPr>
          </w:p>
        </w:tc>
      </w:tr>
      <w:tr w:rsidR="00FF1527" w:rsidRPr="00EF5AE7" w:rsidTr="00CC4263">
        <w:trPr>
          <w:jc w:val="center"/>
        </w:trPr>
        <w:tc>
          <w:tcPr>
            <w:tcW w:w="1546" w:type="pct"/>
          </w:tcPr>
          <w:p w:rsidR="00FF1527" w:rsidRPr="00EF5AE7" w:rsidRDefault="00FF1527" w:rsidP="0034795A">
            <w:pPr>
              <w:rPr>
                <w:sz w:val="26"/>
                <w:szCs w:val="26"/>
              </w:rPr>
            </w:pPr>
            <w:r w:rsidRPr="00EF5AE7">
              <w:rPr>
                <w:sz w:val="26"/>
                <w:szCs w:val="26"/>
              </w:rPr>
              <w:t>7. Cita informācija</w:t>
            </w:r>
          </w:p>
        </w:tc>
        <w:tc>
          <w:tcPr>
            <w:tcW w:w="3454" w:type="pct"/>
            <w:gridSpan w:val="5"/>
          </w:tcPr>
          <w:p w:rsidR="00FF1527" w:rsidRPr="00EF5AE7" w:rsidRDefault="00FF1527" w:rsidP="00AB11BA">
            <w:pPr>
              <w:pStyle w:val="naisf"/>
              <w:tabs>
                <w:tab w:val="left" w:pos="4644"/>
              </w:tabs>
              <w:spacing w:before="0" w:after="0"/>
              <w:ind w:firstLine="0"/>
              <w:rPr>
                <w:b/>
                <w:i/>
                <w:sz w:val="26"/>
                <w:szCs w:val="26"/>
              </w:rPr>
            </w:pPr>
            <w:r w:rsidRPr="00EF5AE7">
              <w:rPr>
                <w:sz w:val="26"/>
                <w:szCs w:val="26"/>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FF1527" w:rsidRPr="00EF5AE7" w:rsidRDefault="00FF1527" w:rsidP="00473CEF">
      <w:pPr>
        <w:pStyle w:val="naisf"/>
        <w:spacing w:before="0" w:after="0"/>
        <w:ind w:firstLine="0"/>
        <w:rPr>
          <w:sz w:val="26"/>
          <w:szCs w:val="26"/>
        </w:rPr>
      </w:pPr>
    </w:p>
    <w:p w:rsidR="00FF1527" w:rsidRPr="00EF5AE7" w:rsidRDefault="00FF1527" w:rsidP="00214FA9">
      <w:pPr>
        <w:spacing w:before="75" w:after="75"/>
        <w:outlineLvl w:val="0"/>
        <w:rPr>
          <w:i/>
          <w:iCs/>
          <w:sz w:val="26"/>
          <w:szCs w:val="26"/>
        </w:rPr>
      </w:pPr>
      <w:r w:rsidRPr="00EF5AE7">
        <w:rPr>
          <w:i/>
          <w:iCs/>
          <w:sz w:val="26"/>
          <w:szCs w:val="26"/>
        </w:rPr>
        <w:t xml:space="preserve">Anotācijas II, IV, V un VI sadaļa – projekts šīs jomas neskar. </w:t>
      </w:r>
    </w:p>
    <w:p w:rsidR="00FF1527" w:rsidRPr="00EF5AE7" w:rsidRDefault="00FF1527" w:rsidP="00473CEF">
      <w:pPr>
        <w:pStyle w:val="naisf"/>
        <w:spacing w:before="0" w:after="0"/>
        <w:ind w:firstLine="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FF1527" w:rsidRPr="00EF5AE7" w:rsidTr="00E2556C">
        <w:tc>
          <w:tcPr>
            <w:tcW w:w="5000" w:type="pct"/>
            <w:gridSpan w:val="3"/>
          </w:tcPr>
          <w:p w:rsidR="00FF1527" w:rsidRPr="00EF5AE7" w:rsidRDefault="00FF1527" w:rsidP="007D099D">
            <w:pPr>
              <w:pStyle w:val="naisnod"/>
              <w:spacing w:before="0" w:after="0"/>
              <w:ind w:left="57" w:right="57"/>
              <w:rPr>
                <w:sz w:val="26"/>
                <w:szCs w:val="26"/>
              </w:rPr>
            </w:pPr>
            <w:r w:rsidRPr="00EF5AE7">
              <w:rPr>
                <w:sz w:val="26"/>
                <w:szCs w:val="26"/>
              </w:rPr>
              <w:t>VII. Tiesību akta projekta izpildes nodrošināšana un tās ietekme uz institūcijām</w:t>
            </w:r>
          </w:p>
        </w:tc>
      </w:tr>
      <w:tr w:rsidR="00FF1527" w:rsidRPr="00EF5AE7" w:rsidTr="00E2556C">
        <w:trPr>
          <w:trHeight w:val="427"/>
        </w:trPr>
        <w:tc>
          <w:tcPr>
            <w:tcW w:w="249" w:type="pct"/>
          </w:tcPr>
          <w:p w:rsidR="00FF1527" w:rsidRPr="00EF5AE7" w:rsidRDefault="00FF1527" w:rsidP="007D099D">
            <w:pPr>
              <w:pStyle w:val="naisnod"/>
              <w:spacing w:before="0" w:after="0"/>
              <w:ind w:left="57" w:right="57"/>
              <w:jc w:val="left"/>
              <w:rPr>
                <w:b w:val="0"/>
                <w:sz w:val="26"/>
                <w:szCs w:val="26"/>
              </w:rPr>
            </w:pPr>
            <w:r w:rsidRPr="00EF5AE7">
              <w:rPr>
                <w:b w:val="0"/>
                <w:sz w:val="26"/>
                <w:szCs w:val="26"/>
              </w:rPr>
              <w:t>1.</w:t>
            </w:r>
          </w:p>
        </w:tc>
        <w:tc>
          <w:tcPr>
            <w:tcW w:w="2182" w:type="pct"/>
          </w:tcPr>
          <w:p w:rsidR="00FF1527" w:rsidRPr="00EF5AE7" w:rsidRDefault="00FF1527" w:rsidP="007D099D">
            <w:pPr>
              <w:pStyle w:val="naisf"/>
              <w:spacing w:before="0" w:after="0"/>
              <w:ind w:left="57" w:right="57" w:firstLine="0"/>
              <w:jc w:val="left"/>
              <w:rPr>
                <w:sz w:val="26"/>
                <w:szCs w:val="26"/>
              </w:rPr>
            </w:pPr>
            <w:r w:rsidRPr="00EF5AE7">
              <w:rPr>
                <w:sz w:val="26"/>
                <w:szCs w:val="26"/>
              </w:rPr>
              <w:t xml:space="preserve">Projekta izpildē iesaistītās institūcijas </w:t>
            </w:r>
          </w:p>
        </w:tc>
        <w:tc>
          <w:tcPr>
            <w:tcW w:w="2569" w:type="pct"/>
          </w:tcPr>
          <w:p w:rsidR="00FF1527" w:rsidRPr="00EF5AE7" w:rsidRDefault="00FF1527" w:rsidP="00EF5AE7">
            <w:pPr>
              <w:pStyle w:val="naisnod"/>
              <w:spacing w:before="0" w:after="0"/>
              <w:ind w:left="57" w:right="57"/>
              <w:jc w:val="both"/>
              <w:rPr>
                <w:b w:val="0"/>
                <w:sz w:val="26"/>
                <w:szCs w:val="26"/>
              </w:rPr>
            </w:pPr>
            <w:r w:rsidRPr="00EF5AE7">
              <w:rPr>
                <w:b w:val="0"/>
                <w:color w:val="000000"/>
                <w:sz w:val="26"/>
                <w:szCs w:val="26"/>
              </w:rPr>
              <w:t>Satiksmes ministrija, Finanšu ministrija, ATD, plānošanas reģioni.</w:t>
            </w:r>
          </w:p>
        </w:tc>
      </w:tr>
      <w:tr w:rsidR="00FF1527" w:rsidRPr="00EF5AE7" w:rsidTr="00E2556C">
        <w:trPr>
          <w:trHeight w:val="463"/>
        </w:trPr>
        <w:tc>
          <w:tcPr>
            <w:tcW w:w="249" w:type="pct"/>
          </w:tcPr>
          <w:p w:rsidR="00FF1527" w:rsidRPr="00EF5AE7" w:rsidRDefault="00FF1527" w:rsidP="007D099D">
            <w:pPr>
              <w:pStyle w:val="naisnod"/>
              <w:spacing w:before="0" w:after="0"/>
              <w:ind w:left="57" w:right="57"/>
              <w:jc w:val="left"/>
              <w:rPr>
                <w:b w:val="0"/>
                <w:sz w:val="26"/>
                <w:szCs w:val="26"/>
              </w:rPr>
            </w:pPr>
            <w:r w:rsidRPr="00EF5AE7">
              <w:rPr>
                <w:b w:val="0"/>
                <w:sz w:val="26"/>
                <w:szCs w:val="26"/>
              </w:rPr>
              <w:t>2.</w:t>
            </w:r>
          </w:p>
        </w:tc>
        <w:tc>
          <w:tcPr>
            <w:tcW w:w="2182" w:type="pct"/>
          </w:tcPr>
          <w:p w:rsidR="00FF1527" w:rsidRPr="00EF5AE7" w:rsidRDefault="00FF1527" w:rsidP="007D099D">
            <w:pPr>
              <w:pStyle w:val="naisf"/>
              <w:spacing w:before="0" w:after="0"/>
              <w:ind w:left="57" w:right="57" w:firstLine="0"/>
              <w:jc w:val="left"/>
              <w:rPr>
                <w:sz w:val="26"/>
                <w:szCs w:val="26"/>
              </w:rPr>
            </w:pPr>
            <w:r w:rsidRPr="00EF5AE7">
              <w:rPr>
                <w:sz w:val="26"/>
                <w:szCs w:val="26"/>
              </w:rPr>
              <w:t xml:space="preserve">Projekta izpildes ietekme uz pārvaldes funkcijām </w:t>
            </w:r>
          </w:p>
        </w:tc>
        <w:tc>
          <w:tcPr>
            <w:tcW w:w="2569" w:type="pct"/>
          </w:tcPr>
          <w:p w:rsidR="00FF1527" w:rsidRPr="00400131" w:rsidRDefault="00FF1527" w:rsidP="00400131">
            <w:pPr>
              <w:pStyle w:val="naisnod"/>
              <w:tabs>
                <w:tab w:val="left" w:pos="3288"/>
              </w:tabs>
              <w:spacing w:before="0" w:after="0"/>
              <w:ind w:left="57" w:right="57"/>
              <w:jc w:val="left"/>
              <w:rPr>
                <w:b w:val="0"/>
                <w:sz w:val="26"/>
                <w:szCs w:val="26"/>
              </w:rPr>
            </w:pPr>
            <w:r w:rsidRPr="00400131">
              <w:rPr>
                <w:b w:val="0"/>
                <w:sz w:val="26"/>
                <w:szCs w:val="26"/>
              </w:rPr>
              <w:t>Projekts šo jomu neskar.</w:t>
            </w:r>
            <w:r w:rsidRPr="00400131">
              <w:rPr>
                <w:b w:val="0"/>
                <w:sz w:val="26"/>
                <w:szCs w:val="26"/>
              </w:rPr>
              <w:tab/>
            </w:r>
          </w:p>
        </w:tc>
      </w:tr>
      <w:tr w:rsidR="00FF1527" w:rsidRPr="00EF5AE7" w:rsidTr="00E2556C">
        <w:trPr>
          <w:trHeight w:val="725"/>
        </w:trPr>
        <w:tc>
          <w:tcPr>
            <w:tcW w:w="249" w:type="pct"/>
          </w:tcPr>
          <w:p w:rsidR="00FF1527" w:rsidRPr="00EF5AE7" w:rsidRDefault="00FF1527" w:rsidP="007D099D">
            <w:pPr>
              <w:pStyle w:val="naisnod"/>
              <w:spacing w:before="0" w:after="0"/>
              <w:ind w:left="57" w:right="57"/>
              <w:jc w:val="left"/>
              <w:rPr>
                <w:b w:val="0"/>
                <w:sz w:val="26"/>
                <w:szCs w:val="26"/>
              </w:rPr>
            </w:pPr>
            <w:r w:rsidRPr="00EF5AE7">
              <w:rPr>
                <w:b w:val="0"/>
                <w:sz w:val="26"/>
                <w:szCs w:val="26"/>
              </w:rPr>
              <w:t>3.</w:t>
            </w:r>
          </w:p>
        </w:tc>
        <w:tc>
          <w:tcPr>
            <w:tcW w:w="2182" w:type="pct"/>
          </w:tcPr>
          <w:p w:rsidR="00FF1527" w:rsidRPr="00EF5AE7" w:rsidRDefault="00FF1527" w:rsidP="007D099D">
            <w:pPr>
              <w:pStyle w:val="naisf"/>
              <w:spacing w:before="0" w:after="0"/>
              <w:ind w:left="57" w:right="57" w:firstLine="0"/>
              <w:jc w:val="left"/>
              <w:rPr>
                <w:sz w:val="26"/>
                <w:szCs w:val="26"/>
              </w:rPr>
            </w:pPr>
            <w:r w:rsidRPr="00EF5AE7">
              <w:rPr>
                <w:sz w:val="26"/>
                <w:szCs w:val="26"/>
              </w:rPr>
              <w:t>Projekta izpildes ietekme uz pārvaldes institucionālo struktūru.</w:t>
            </w:r>
          </w:p>
          <w:p w:rsidR="00FF1527" w:rsidRPr="00EF5AE7" w:rsidRDefault="00FF1527" w:rsidP="007D099D">
            <w:pPr>
              <w:pStyle w:val="naisf"/>
              <w:spacing w:before="0" w:after="0"/>
              <w:ind w:left="57" w:right="57" w:firstLine="0"/>
              <w:jc w:val="left"/>
              <w:rPr>
                <w:sz w:val="26"/>
                <w:szCs w:val="26"/>
              </w:rPr>
            </w:pPr>
            <w:r w:rsidRPr="00EF5AE7">
              <w:rPr>
                <w:sz w:val="26"/>
                <w:szCs w:val="26"/>
              </w:rPr>
              <w:t>Jaunu institūciju izveide</w:t>
            </w:r>
          </w:p>
        </w:tc>
        <w:tc>
          <w:tcPr>
            <w:tcW w:w="2569" w:type="pct"/>
          </w:tcPr>
          <w:p w:rsidR="00FF1527" w:rsidRPr="00400131" w:rsidRDefault="00FF1527" w:rsidP="007D099D">
            <w:pPr>
              <w:pStyle w:val="naisnod"/>
              <w:spacing w:before="0" w:after="0"/>
              <w:ind w:left="57" w:right="57"/>
              <w:jc w:val="left"/>
              <w:rPr>
                <w:b w:val="0"/>
                <w:sz w:val="26"/>
                <w:szCs w:val="26"/>
              </w:rPr>
            </w:pPr>
            <w:r w:rsidRPr="00400131">
              <w:rPr>
                <w:b w:val="0"/>
                <w:sz w:val="26"/>
                <w:szCs w:val="26"/>
              </w:rPr>
              <w:t>Projekts šo jomu neskar.</w:t>
            </w:r>
          </w:p>
        </w:tc>
      </w:tr>
      <w:tr w:rsidR="00FF1527" w:rsidRPr="00EF5AE7" w:rsidTr="00E2556C">
        <w:trPr>
          <w:trHeight w:val="780"/>
        </w:trPr>
        <w:tc>
          <w:tcPr>
            <w:tcW w:w="249" w:type="pct"/>
          </w:tcPr>
          <w:p w:rsidR="00FF1527" w:rsidRPr="00EF5AE7" w:rsidRDefault="00FF1527" w:rsidP="007D099D">
            <w:pPr>
              <w:pStyle w:val="naisnod"/>
              <w:spacing w:before="0" w:after="0"/>
              <w:ind w:left="57" w:right="57"/>
              <w:jc w:val="left"/>
              <w:rPr>
                <w:b w:val="0"/>
                <w:sz w:val="26"/>
                <w:szCs w:val="26"/>
              </w:rPr>
            </w:pPr>
            <w:r w:rsidRPr="00EF5AE7">
              <w:rPr>
                <w:b w:val="0"/>
                <w:sz w:val="26"/>
                <w:szCs w:val="26"/>
              </w:rPr>
              <w:t>4.</w:t>
            </w:r>
          </w:p>
        </w:tc>
        <w:tc>
          <w:tcPr>
            <w:tcW w:w="2182" w:type="pct"/>
          </w:tcPr>
          <w:p w:rsidR="00FF1527" w:rsidRPr="00EF5AE7" w:rsidRDefault="00FF1527" w:rsidP="007D099D">
            <w:pPr>
              <w:pStyle w:val="naisf"/>
              <w:spacing w:before="0" w:after="0"/>
              <w:ind w:left="57" w:right="57" w:firstLine="0"/>
              <w:jc w:val="left"/>
              <w:rPr>
                <w:sz w:val="26"/>
                <w:szCs w:val="26"/>
              </w:rPr>
            </w:pPr>
            <w:r w:rsidRPr="00EF5AE7">
              <w:rPr>
                <w:sz w:val="26"/>
                <w:szCs w:val="26"/>
              </w:rPr>
              <w:t>Projekta izpildes ietekme uz pārvaldes institucionālo struktūru.</w:t>
            </w:r>
          </w:p>
          <w:p w:rsidR="00FF1527" w:rsidRPr="00EF5AE7" w:rsidRDefault="00FF1527" w:rsidP="007D099D">
            <w:pPr>
              <w:pStyle w:val="naisf"/>
              <w:spacing w:before="0" w:after="0"/>
              <w:ind w:left="57" w:right="57" w:firstLine="0"/>
              <w:jc w:val="left"/>
              <w:rPr>
                <w:sz w:val="26"/>
                <w:szCs w:val="26"/>
              </w:rPr>
            </w:pPr>
            <w:r w:rsidRPr="00EF5AE7">
              <w:rPr>
                <w:sz w:val="26"/>
                <w:szCs w:val="26"/>
              </w:rPr>
              <w:t>Esošu institūciju likvidācija</w:t>
            </w:r>
          </w:p>
        </w:tc>
        <w:tc>
          <w:tcPr>
            <w:tcW w:w="2569" w:type="pct"/>
          </w:tcPr>
          <w:p w:rsidR="00FF1527" w:rsidRPr="00400131" w:rsidRDefault="00FF1527" w:rsidP="007D099D">
            <w:pPr>
              <w:pStyle w:val="naisnod"/>
              <w:spacing w:before="0" w:after="0"/>
              <w:ind w:left="57" w:right="57"/>
              <w:jc w:val="left"/>
              <w:rPr>
                <w:b w:val="0"/>
                <w:sz w:val="26"/>
                <w:szCs w:val="26"/>
              </w:rPr>
            </w:pPr>
            <w:r w:rsidRPr="00400131">
              <w:rPr>
                <w:b w:val="0"/>
                <w:sz w:val="26"/>
                <w:szCs w:val="26"/>
              </w:rPr>
              <w:t>Projekts šo jomu neskar.</w:t>
            </w:r>
          </w:p>
        </w:tc>
      </w:tr>
      <w:tr w:rsidR="00FF1527" w:rsidRPr="00EF5AE7" w:rsidTr="00E2556C">
        <w:trPr>
          <w:trHeight w:val="703"/>
        </w:trPr>
        <w:tc>
          <w:tcPr>
            <w:tcW w:w="249" w:type="pct"/>
          </w:tcPr>
          <w:p w:rsidR="00FF1527" w:rsidRPr="00EF5AE7" w:rsidRDefault="00FF1527" w:rsidP="007D099D">
            <w:pPr>
              <w:pStyle w:val="naisnod"/>
              <w:spacing w:before="0" w:after="0"/>
              <w:ind w:left="57" w:right="57"/>
              <w:jc w:val="left"/>
              <w:rPr>
                <w:b w:val="0"/>
                <w:sz w:val="26"/>
                <w:szCs w:val="26"/>
              </w:rPr>
            </w:pPr>
            <w:r w:rsidRPr="00EF5AE7">
              <w:rPr>
                <w:b w:val="0"/>
                <w:sz w:val="26"/>
                <w:szCs w:val="26"/>
              </w:rPr>
              <w:t>5.</w:t>
            </w:r>
          </w:p>
        </w:tc>
        <w:tc>
          <w:tcPr>
            <w:tcW w:w="2182" w:type="pct"/>
          </w:tcPr>
          <w:p w:rsidR="00FF1527" w:rsidRPr="00EF5AE7" w:rsidRDefault="00FF1527" w:rsidP="007D099D">
            <w:pPr>
              <w:pStyle w:val="naisf"/>
              <w:spacing w:before="0" w:after="0"/>
              <w:ind w:left="57" w:right="57" w:firstLine="0"/>
              <w:jc w:val="left"/>
              <w:rPr>
                <w:sz w:val="26"/>
                <w:szCs w:val="26"/>
              </w:rPr>
            </w:pPr>
            <w:r w:rsidRPr="00EF5AE7">
              <w:rPr>
                <w:sz w:val="26"/>
                <w:szCs w:val="26"/>
              </w:rPr>
              <w:t>Projekta izpildes ietekme uz pārvaldes institucionālo struktūru.</w:t>
            </w:r>
          </w:p>
          <w:p w:rsidR="00FF1527" w:rsidRPr="00EF5AE7" w:rsidRDefault="00FF1527" w:rsidP="007D099D">
            <w:pPr>
              <w:pStyle w:val="naisf"/>
              <w:spacing w:before="0" w:after="0"/>
              <w:ind w:left="57" w:right="57" w:firstLine="0"/>
              <w:jc w:val="left"/>
              <w:rPr>
                <w:sz w:val="26"/>
                <w:szCs w:val="26"/>
              </w:rPr>
            </w:pPr>
            <w:r w:rsidRPr="00EF5AE7">
              <w:rPr>
                <w:sz w:val="26"/>
                <w:szCs w:val="26"/>
              </w:rPr>
              <w:t>Esošu institūciju reorganizācija</w:t>
            </w:r>
          </w:p>
        </w:tc>
        <w:tc>
          <w:tcPr>
            <w:tcW w:w="2569" w:type="pct"/>
          </w:tcPr>
          <w:p w:rsidR="00FF1527" w:rsidRPr="00400131" w:rsidRDefault="00FF1527" w:rsidP="007D099D">
            <w:pPr>
              <w:pStyle w:val="naisnod"/>
              <w:spacing w:before="0" w:after="0"/>
              <w:ind w:left="57" w:right="57"/>
              <w:jc w:val="left"/>
              <w:rPr>
                <w:b w:val="0"/>
                <w:sz w:val="26"/>
                <w:szCs w:val="26"/>
              </w:rPr>
            </w:pPr>
            <w:r w:rsidRPr="00400131">
              <w:rPr>
                <w:b w:val="0"/>
                <w:sz w:val="26"/>
                <w:szCs w:val="26"/>
              </w:rPr>
              <w:t>Projekts šo jomu neskar.</w:t>
            </w:r>
          </w:p>
        </w:tc>
      </w:tr>
      <w:tr w:rsidR="00FF1527" w:rsidRPr="00EF5AE7" w:rsidTr="00E2556C">
        <w:trPr>
          <w:trHeight w:val="476"/>
        </w:trPr>
        <w:tc>
          <w:tcPr>
            <w:tcW w:w="249" w:type="pct"/>
          </w:tcPr>
          <w:p w:rsidR="00FF1527" w:rsidRPr="00EF5AE7" w:rsidRDefault="00FF1527" w:rsidP="007D099D">
            <w:pPr>
              <w:pStyle w:val="naiskr"/>
              <w:spacing w:before="0" w:after="0"/>
              <w:ind w:left="57" w:right="57"/>
              <w:rPr>
                <w:sz w:val="26"/>
                <w:szCs w:val="26"/>
              </w:rPr>
            </w:pPr>
            <w:r w:rsidRPr="00EF5AE7">
              <w:rPr>
                <w:sz w:val="26"/>
                <w:szCs w:val="26"/>
              </w:rPr>
              <w:t>6.</w:t>
            </w:r>
          </w:p>
        </w:tc>
        <w:tc>
          <w:tcPr>
            <w:tcW w:w="2182" w:type="pct"/>
          </w:tcPr>
          <w:p w:rsidR="00FF1527" w:rsidRPr="00EF5AE7" w:rsidRDefault="00FF1527" w:rsidP="007D099D">
            <w:pPr>
              <w:pStyle w:val="naiskr"/>
              <w:spacing w:before="0" w:after="0"/>
              <w:ind w:left="57" w:right="57"/>
              <w:rPr>
                <w:sz w:val="26"/>
                <w:szCs w:val="26"/>
              </w:rPr>
            </w:pPr>
            <w:r w:rsidRPr="00EF5AE7">
              <w:rPr>
                <w:sz w:val="26"/>
                <w:szCs w:val="26"/>
              </w:rPr>
              <w:t>Cita informācija</w:t>
            </w:r>
          </w:p>
        </w:tc>
        <w:tc>
          <w:tcPr>
            <w:tcW w:w="2569" w:type="pct"/>
          </w:tcPr>
          <w:p w:rsidR="00FF1527" w:rsidRPr="00EF5AE7" w:rsidRDefault="00FF1527" w:rsidP="007D099D">
            <w:pPr>
              <w:pStyle w:val="naiskr"/>
              <w:spacing w:before="0" w:after="0"/>
              <w:ind w:left="57" w:right="57"/>
              <w:rPr>
                <w:sz w:val="26"/>
                <w:szCs w:val="26"/>
              </w:rPr>
            </w:pPr>
            <w:r w:rsidRPr="00EF5AE7">
              <w:rPr>
                <w:sz w:val="26"/>
                <w:szCs w:val="26"/>
              </w:rPr>
              <w:t>Nav</w:t>
            </w:r>
          </w:p>
        </w:tc>
      </w:tr>
    </w:tbl>
    <w:p w:rsidR="00FF1527" w:rsidRPr="00EF5AE7" w:rsidRDefault="00FF1527" w:rsidP="00065314">
      <w:pPr>
        <w:ind w:firstLine="426"/>
        <w:rPr>
          <w:sz w:val="26"/>
          <w:szCs w:val="26"/>
        </w:rPr>
      </w:pPr>
    </w:p>
    <w:p w:rsidR="00FF1527" w:rsidRPr="00EF5AE7" w:rsidRDefault="00FF1527" w:rsidP="0077033B">
      <w:pPr>
        <w:rPr>
          <w:sz w:val="26"/>
          <w:szCs w:val="26"/>
        </w:rPr>
      </w:pPr>
    </w:p>
    <w:p w:rsidR="00FF1527" w:rsidRPr="00EF5AE7" w:rsidRDefault="00FF1527" w:rsidP="00214FA9">
      <w:pPr>
        <w:ind w:firstLine="426"/>
        <w:rPr>
          <w:sz w:val="26"/>
          <w:szCs w:val="26"/>
        </w:rPr>
      </w:pPr>
      <w:r w:rsidRPr="00EF5AE7">
        <w:rPr>
          <w:sz w:val="26"/>
          <w:szCs w:val="26"/>
        </w:rPr>
        <w:t>Satiksmes ministrs</w:t>
      </w:r>
      <w:r w:rsidRPr="00EF5AE7">
        <w:rPr>
          <w:sz w:val="26"/>
          <w:szCs w:val="26"/>
        </w:rPr>
        <w:tab/>
      </w:r>
      <w:r w:rsidRPr="00EF5AE7">
        <w:rPr>
          <w:sz w:val="26"/>
          <w:szCs w:val="26"/>
        </w:rPr>
        <w:tab/>
      </w:r>
      <w:r w:rsidRPr="00EF5AE7">
        <w:rPr>
          <w:sz w:val="26"/>
          <w:szCs w:val="26"/>
        </w:rPr>
        <w:tab/>
      </w:r>
      <w:r w:rsidRPr="00EF5AE7">
        <w:rPr>
          <w:sz w:val="26"/>
          <w:szCs w:val="26"/>
        </w:rPr>
        <w:tab/>
      </w:r>
      <w:r w:rsidRPr="00EF5AE7">
        <w:rPr>
          <w:sz w:val="26"/>
          <w:szCs w:val="26"/>
        </w:rPr>
        <w:tab/>
      </w:r>
      <w:r w:rsidRPr="00EF5AE7">
        <w:rPr>
          <w:sz w:val="26"/>
          <w:szCs w:val="26"/>
        </w:rPr>
        <w:tab/>
      </w:r>
      <w:r w:rsidRPr="00EF5AE7">
        <w:rPr>
          <w:sz w:val="26"/>
          <w:szCs w:val="26"/>
        </w:rPr>
        <w:tab/>
      </w:r>
      <w:r w:rsidRPr="00EF5AE7">
        <w:rPr>
          <w:sz w:val="26"/>
          <w:szCs w:val="26"/>
        </w:rPr>
        <w:tab/>
        <w:t>A.Ronis</w:t>
      </w:r>
    </w:p>
    <w:p w:rsidR="00FF1527" w:rsidRPr="00EF5AE7" w:rsidRDefault="00FF1527" w:rsidP="00446C27">
      <w:pPr>
        <w:rPr>
          <w:sz w:val="26"/>
          <w:szCs w:val="26"/>
        </w:rPr>
      </w:pPr>
    </w:p>
    <w:p w:rsidR="00FF1527" w:rsidRPr="00EF5AE7" w:rsidRDefault="00FF1527" w:rsidP="000075C2">
      <w:pPr>
        <w:ind w:firstLine="426"/>
        <w:rPr>
          <w:sz w:val="26"/>
          <w:szCs w:val="26"/>
        </w:rPr>
      </w:pPr>
      <w:r w:rsidRPr="00EF5AE7">
        <w:rPr>
          <w:sz w:val="26"/>
          <w:szCs w:val="26"/>
        </w:rPr>
        <w:t>Vīza: Valsts sekretārs</w:t>
      </w:r>
      <w:r w:rsidRPr="00EF5AE7">
        <w:rPr>
          <w:sz w:val="26"/>
          <w:szCs w:val="26"/>
        </w:rPr>
        <w:tab/>
      </w:r>
      <w:r w:rsidRPr="00EF5AE7">
        <w:rPr>
          <w:sz w:val="26"/>
          <w:szCs w:val="26"/>
        </w:rPr>
        <w:tab/>
      </w:r>
      <w:r w:rsidRPr="00EF5AE7">
        <w:rPr>
          <w:sz w:val="26"/>
          <w:szCs w:val="26"/>
        </w:rPr>
        <w:tab/>
      </w:r>
      <w:r w:rsidRPr="00EF5AE7">
        <w:rPr>
          <w:sz w:val="26"/>
          <w:szCs w:val="26"/>
        </w:rPr>
        <w:tab/>
      </w:r>
      <w:r w:rsidRPr="00EF5AE7">
        <w:rPr>
          <w:sz w:val="26"/>
          <w:szCs w:val="26"/>
        </w:rPr>
        <w:tab/>
        <w:t xml:space="preserve"> </w:t>
      </w:r>
      <w:r w:rsidRPr="00EF5AE7">
        <w:rPr>
          <w:sz w:val="26"/>
          <w:szCs w:val="26"/>
        </w:rPr>
        <w:tab/>
      </w:r>
      <w:r w:rsidRPr="00EF5AE7">
        <w:rPr>
          <w:sz w:val="26"/>
          <w:szCs w:val="26"/>
        </w:rPr>
        <w:tab/>
      </w:r>
      <w:bookmarkStart w:id="3" w:name="OLE_LINK1"/>
      <w:bookmarkStart w:id="4" w:name="OLE_LINK2"/>
      <w:r w:rsidRPr="00EF5AE7">
        <w:rPr>
          <w:sz w:val="26"/>
          <w:szCs w:val="26"/>
        </w:rPr>
        <w:tab/>
        <w:t>A.Matīss</w:t>
      </w:r>
    </w:p>
    <w:p w:rsidR="00FF1527" w:rsidRPr="00EF5AE7" w:rsidRDefault="00FF1527" w:rsidP="00B069D7">
      <w:pPr>
        <w:pStyle w:val="Header"/>
        <w:tabs>
          <w:tab w:val="left" w:pos="720"/>
        </w:tabs>
        <w:rPr>
          <w:sz w:val="26"/>
          <w:szCs w:val="26"/>
        </w:rPr>
      </w:pPr>
    </w:p>
    <w:p w:rsidR="00FF1527" w:rsidRDefault="00FF1527" w:rsidP="00B069D7">
      <w:pPr>
        <w:pStyle w:val="Header"/>
        <w:tabs>
          <w:tab w:val="left" w:pos="720"/>
        </w:tabs>
        <w:rPr>
          <w:sz w:val="22"/>
          <w:szCs w:val="22"/>
        </w:rPr>
      </w:pPr>
    </w:p>
    <w:bookmarkEnd w:id="3"/>
    <w:bookmarkEnd w:id="4"/>
    <w:p w:rsidR="00FF1527" w:rsidRPr="00EE1725" w:rsidRDefault="00FF1527" w:rsidP="00653C2F">
      <w:pPr>
        <w:pStyle w:val="Header"/>
        <w:tabs>
          <w:tab w:val="clear" w:pos="4153"/>
          <w:tab w:val="clear" w:pos="8306"/>
        </w:tabs>
        <w:rPr>
          <w:sz w:val="22"/>
          <w:szCs w:val="22"/>
        </w:rPr>
      </w:pPr>
      <w:r>
        <w:rPr>
          <w:sz w:val="22"/>
          <w:szCs w:val="22"/>
        </w:rPr>
        <w:fldChar w:fldCharType="begin"/>
      </w:r>
      <w:r>
        <w:rPr>
          <w:sz w:val="22"/>
          <w:szCs w:val="22"/>
        </w:rPr>
        <w:instrText xml:space="preserve"> DATE  \@ "yyyy.MM.dd. H:mm"  \* MERGEFORMAT </w:instrText>
      </w:r>
      <w:r>
        <w:rPr>
          <w:sz w:val="22"/>
          <w:szCs w:val="22"/>
        </w:rPr>
        <w:fldChar w:fldCharType="separate"/>
      </w:r>
      <w:r>
        <w:rPr>
          <w:noProof/>
          <w:sz w:val="22"/>
          <w:szCs w:val="22"/>
        </w:rPr>
        <w:t>2012.12.14. 11:55</w:t>
      </w:r>
      <w:r>
        <w:rPr>
          <w:sz w:val="22"/>
          <w:szCs w:val="22"/>
        </w:rPr>
        <w:fldChar w:fldCharType="end"/>
      </w:r>
    </w:p>
    <w:p w:rsidR="00FF1527" w:rsidRPr="00224AA1" w:rsidRDefault="00FF1527" w:rsidP="00653C2F">
      <w:pPr>
        <w:pStyle w:val="Header"/>
        <w:tabs>
          <w:tab w:val="clear" w:pos="4153"/>
          <w:tab w:val="clear" w:pos="8306"/>
        </w:tabs>
        <w:jc w:val="both"/>
        <w:rPr>
          <w:sz w:val="22"/>
          <w:szCs w:val="22"/>
        </w:rPr>
      </w:pPr>
      <w:r>
        <w:rPr>
          <w:sz w:val="22"/>
          <w:szCs w:val="22"/>
        </w:rPr>
        <w:t>870</w:t>
      </w:r>
    </w:p>
    <w:p w:rsidR="00FF1527" w:rsidRPr="0098064B" w:rsidRDefault="00FF1527" w:rsidP="00653C2F">
      <w:pPr>
        <w:rPr>
          <w:sz w:val="22"/>
          <w:szCs w:val="22"/>
        </w:rPr>
      </w:pPr>
      <w:r>
        <w:rPr>
          <w:sz w:val="22"/>
          <w:szCs w:val="22"/>
        </w:rPr>
        <w:t>I.Girucka</w:t>
      </w:r>
    </w:p>
    <w:p w:rsidR="00FF1527" w:rsidRDefault="00FF1527" w:rsidP="00653C2F">
      <w:pPr>
        <w:rPr>
          <w:sz w:val="22"/>
          <w:szCs w:val="22"/>
        </w:rPr>
      </w:pPr>
      <w:r w:rsidRPr="0098064B">
        <w:rPr>
          <w:sz w:val="22"/>
          <w:szCs w:val="22"/>
        </w:rPr>
        <w:t xml:space="preserve">Tālr. </w:t>
      </w:r>
      <w:r>
        <w:rPr>
          <w:sz w:val="22"/>
          <w:szCs w:val="22"/>
        </w:rPr>
        <w:t>67028381</w:t>
      </w:r>
    </w:p>
    <w:p w:rsidR="00FF1527" w:rsidRPr="00EE1725" w:rsidRDefault="00FF1527" w:rsidP="00653C2F">
      <w:pPr>
        <w:jc w:val="both"/>
        <w:rPr>
          <w:sz w:val="22"/>
          <w:szCs w:val="22"/>
        </w:rPr>
      </w:pPr>
      <w:hyperlink r:id="rId7" w:history="1">
        <w:r>
          <w:rPr>
            <w:rStyle w:val="Hyperlink"/>
            <w:sz w:val="22"/>
            <w:szCs w:val="22"/>
          </w:rPr>
          <w:t>iveta.girucka@sam.gov.lv</w:t>
        </w:r>
      </w:hyperlink>
    </w:p>
    <w:p w:rsidR="00FF1527" w:rsidRPr="000075C2" w:rsidRDefault="00FF1527" w:rsidP="00653C2F">
      <w:pPr>
        <w:pStyle w:val="Header"/>
        <w:tabs>
          <w:tab w:val="left" w:pos="720"/>
        </w:tabs>
        <w:rPr>
          <w:sz w:val="22"/>
          <w:szCs w:val="22"/>
        </w:rPr>
      </w:pPr>
    </w:p>
    <w:sectPr w:rsidR="00FF1527" w:rsidRPr="000075C2" w:rsidSect="004C2265">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27" w:rsidRDefault="00FF1527">
      <w:r>
        <w:separator/>
      </w:r>
    </w:p>
  </w:endnote>
  <w:endnote w:type="continuationSeparator" w:id="0">
    <w:p w:rsidR="00FF1527" w:rsidRDefault="00FF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27" w:rsidRDefault="00FF1527" w:rsidP="00E2556C">
    <w:pPr>
      <w:pStyle w:val="Footer"/>
      <w:jc w:val="both"/>
      <w:rPr>
        <w:sz w:val="22"/>
        <w:szCs w:val="22"/>
      </w:rPr>
    </w:pPr>
    <w:r w:rsidRPr="00E2556C">
      <w:rPr>
        <w:sz w:val="22"/>
        <w:szCs w:val="22"/>
      </w:rPr>
      <w:fldChar w:fldCharType="begin"/>
    </w:r>
    <w:r w:rsidRPr="00E2556C">
      <w:rPr>
        <w:sz w:val="22"/>
        <w:szCs w:val="22"/>
      </w:rPr>
      <w:instrText xml:space="preserve"> FILENAME </w:instrText>
    </w:r>
    <w:r w:rsidRPr="00E2556C">
      <w:rPr>
        <w:sz w:val="22"/>
        <w:szCs w:val="22"/>
      </w:rPr>
      <w:fldChar w:fldCharType="separate"/>
    </w:r>
    <w:r>
      <w:rPr>
        <w:noProof/>
        <w:sz w:val="22"/>
        <w:szCs w:val="22"/>
      </w:rPr>
      <w:t>SAMAnot_121212_zaud</w:t>
    </w:r>
    <w:r w:rsidRPr="00E2556C">
      <w:rPr>
        <w:sz w:val="22"/>
        <w:szCs w:val="22"/>
      </w:rPr>
      <w:fldChar w:fldCharType="end"/>
    </w:r>
    <w:fldSimple w:instr=" DOCPROPERTY  Title  \* MERGEFORMAT ">
      <w:r w:rsidRPr="00EF5AE7">
        <w:rPr>
          <w:sz w:val="22"/>
          <w:szCs w:val="22"/>
        </w:rPr>
        <w:t>;  Ministru kabineta rīkojuma projekta "Par finanšu līdzekļu piešķiršanu no valsts budžeta programmas "Līdzekļi neparedzētiem gadījumiem"" sākotnējās ietekmes novērtējuma ziņojums (anotācija)</w:t>
      </w:r>
    </w:fldSimple>
  </w:p>
  <w:p w:rsidR="00FF1527" w:rsidRPr="00E2556C" w:rsidRDefault="00FF1527" w:rsidP="00E2556C">
    <w:pPr>
      <w:pStyle w:val="Footer"/>
      <w:jc w:val="both"/>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27" w:rsidRPr="00E2556C" w:rsidRDefault="00FF1527" w:rsidP="00E2556C">
    <w:pPr>
      <w:pStyle w:val="Footer"/>
      <w:jc w:val="both"/>
      <w:rPr>
        <w:sz w:val="22"/>
        <w:szCs w:val="22"/>
      </w:rPr>
    </w:pPr>
    <w:r w:rsidRPr="00E2556C">
      <w:rPr>
        <w:sz w:val="22"/>
        <w:szCs w:val="22"/>
      </w:rPr>
      <w:fldChar w:fldCharType="begin"/>
    </w:r>
    <w:r w:rsidRPr="00E2556C">
      <w:rPr>
        <w:sz w:val="22"/>
        <w:szCs w:val="22"/>
      </w:rPr>
      <w:instrText xml:space="preserve"> FILENAME </w:instrText>
    </w:r>
    <w:r w:rsidRPr="00E2556C">
      <w:rPr>
        <w:sz w:val="22"/>
        <w:szCs w:val="22"/>
      </w:rPr>
      <w:fldChar w:fldCharType="separate"/>
    </w:r>
    <w:r>
      <w:rPr>
        <w:noProof/>
        <w:sz w:val="22"/>
        <w:szCs w:val="22"/>
      </w:rPr>
      <w:t>SAMAnot_121212_zaud</w:t>
    </w:r>
    <w:r w:rsidRPr="00E2556C">
      <w:rPr>
        <w:sz w:val="22"/>
        <w:szCs w:val="22"/>
      </w:rPr>
      <w:fldChar w:fldCharType="end"/>
    </w:r>
    <w:fldSimple w:instr=" DOCPROPERTY  Title  \* MERGEFORMAT ">
      <w:r w:rsidRPr="00EF5AE7">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27" w:rsidRDefault="00FF1527">
      <w:r>
        <w:separator/>
      </w:r>
    </w:p>
  </w:footnote>
  <w:footnote w:type="continuationSeparator" w:id="0">
    <w:p w:rsidR="00FF1527" w:rsidRDefault="00FF1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27" w:rsidRDefault="00FF152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527" w:rsidRDefault="00FF1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27" w:rsidRPr="00E2556C" w:rsidRDefault="00FF1527" w:rsidP="003C449B">
    <w:pPr>
      <w:pStyle w:val="Header"/>
      <w:framePr w:wrap="around" w:vAnchor="text" w:hAnchor="margin" w:xAlign="center" w:y="1"/>
      <w:rPr>
        <w:rStyle w:val="PageNumber"/>
        <w:sz w:val="22"/>
        <w:szCs w:val="22"/>
      </w:rPr>
    </w:pPr>
    <w:r w:rsidRPr="00E2556C">
      <w:rPr>
        <w:rStyle w:val="PageNumber"/>
        <w:sz w:val="22"/>
        <w:szCs w:val="22"/>
      </w:rPr>
      <w:fldChar w:fldCharType="begin"/>
    </w:r>
    <w:r w:rsidRPr="00E2556C">
      <w:rPr>
        <w:rStyle w:val="PageNumber"/>
        <w:sz w:val="22"/>
        <w:szCs w:val="22"/>
      </w:rPr>
      <w:instrText xml:space="preserve">PAGE  </w:instrText>
    </w:r>
    <w:r w:rsidRPr="00E2556C">
      <w:rPr>
        <w:rStyle w:val="PageNumber"/>
        <w:sz w:val="22"/>
        <w:szCs w:val="22"/>
      </w:rPr>
      <w:fldChar w:fldCharType="separate"/>
    </w:r>
    <w:r>
      <w:rPr>
        <w:rStyle w:val="PageNumber"/>
        <w:noProof/>
        <w:sz w:val="22"/>
        <w:szCs w:val="22"/>
      </w:rPr>
      <w:t>4</w:t>
    </w:r>
    <w:r w:rsidRPr="00E2556C">
      <w:rPr>
        <w:rStyle w:val="PageNumber"/>
        <w:sz w:val="22"/>
        <w:szCs w:val="22"/>
      </w:rPr>
      <w:fldChar w:fldCharType="end"/>
    </w:r>
  </w:p>
  <w:p w:rsidR="00FF1527" w:rsidRDefault="00FF1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75C2"/>
    <w:rsid w:val="00011D24"/>
    <w:rsid w:val="00013FF4"/>
    <w:rsid w:val="00020FE1"/>
    <w:rsid w:val="00022E13"/>
    <w:rsid w:val="00027D88"/>
    <w:rsid w:val="00032388"/>
    <w:rsid w:val="00034C8A"/>
    <w:rsid w:val="00035CE2"/>
    <w:rsid w:val="00037FD3"/>
    <w:rsid w:val="00043D65"/>
    <w:rsid w:val="000459AF"/>
    <w:rsid w:val="00046D14"/>
    <w:rsid w:val="000508F8"/>
    <w:rsid w:val="0005553B"/>
    <w:rsid w:val="000604D2"/>
    <w:rsid w:val="00065314"/>
    <w:rsid w:val="00067517"/>
    <w:rsid w:val="00071885"/>
    <w:rsid w:val="0007695D"/>
    <w:rsid w:val="0009005E"/>
    <w:rsid w:val="00090B3A"/>
    <w:rsid w:val="000937C6"/>
    <w:rsid w:val="000941C5"/>
    <w:rsid w:val="00095C4C"/>
    <w:rsid w:val="000A26EC"/>
    <w:rsid w:val="000A3956"/>
    <w:rsid w:val="000A4853"/>
    <w:rsid w:val="000A6451"/>
    <w:rsid w:val="000B064E"/>
    <w:rsid w:val="000B69CF"/>
    <w:rsid w:val="000C169B"/>
    <w:rsid w:val="000C767E"/>
    <w:rsid w:val="000C790C"/>
    <w:rsid w:val="000D04C8"/>
    <w:rsid w:val="000D1A41"/>
    <w:rsid w:val="000D20AB"/>
    <w:rsid w:val="000E01B7"/>
    <w:rsid w:val="000E4C63"/>
    <w:rsid w:val="000F061D"/>
    <w:rsid w:val="000F215D"/>
    <w:rsid w:val="000F4794"/>
    <w:rsid w:val="000F5D2A"/>
    <w:rsid w:val="00100399"/>
    <w:rsid w:val="00101947"/>
    <w:rsid w:val="001059C3"/>
    <w:rsid w:val="00107CE8"/>
    <w:rsid w:val="00111002"/>
    <w:rsid w:val="00111B91"/>
    <w:rsid w:val="001121C1"/>
    <w:rsid w:val="00113D2D"/>
    <w:rsid w:val="00114464"/>
    <w:rsid w:val="00124F12"/>
    <w:rsid w:val="00127FA9"/>
    <w:rsid w:val="0013052A"/>
    <w:rsid w:val="00142EB5"/>
    <w:rsid w:val="00143088"/>
    <w:rsid w:val="00144E3A"/>
    <w:rsid w:val="00144FB0"/>
    <w:rsid w:val="0015060C"/>
    <w:rsid w:val="001554B6"/>
    <w:rsid w:val="0016018A"/>
    <w:rsid w:val="001605AB"/>
    <w:rsid w:val="00161F0E"/>
    <w:rsid w:val="001646D8"/>
    <w:rsid w:val="00164F6E"/>
    <w:rsid w:val="001655C6"/>
    <w:rsid w:val="00170E2A"/>
    <w:rsid w:val="00173C94"/>
    <w:rsid w:val="00177394"/>
    <w:rsid w:val="00182C18"/>
    <w:rsid w:val="0018328E"/>
    <w:rsid w:val="00183CC2"/>
    <w:rsid w:val="001866EE"/>
    <w:rsid w:val="00187DFA"/>
    <w:rsid w:val="001900E4"/>
    <w:rsid w:val="00190F88"/>
    <w:rsid w:val="0019339A"/>
    <w:rsid w:val="0019670B"/>
    <w:rsid w:val="001A4066"/>
    <w:rsid w:val="001A6581"/>
    <w:rsid w:val="001A6AE4"/>
    <w:rsid w:val="001A7FE4"/>
    <w:rsid w:val="001B01FD"/>
    <w:rsid w:val="001B3421"/>
    <w:rsid w:val="001B4A71"/>
    <w:rsid w:val="001D5502"/>
    <w:rsid w:val="001D5B54"/>
    <w:rsid w:val="001D5BA3"/>
    <w:rsid w:val="001E1DBF"/>
    <w:rsid w:val="001E2689"/>
    <w:rsid w:val="001E4639"/>
    <w:rsid w:val="001E4A7D"/>
    <w:rsid w:val="001F0440"/>
    <w:rsid w:val="001F39A2"/>
    <w:rsid w:val="001F4209"/>
    <w:rsid w:val="001F43A8"/>
    <w:rsid w:val="001F5CD6"/>
    <w:rsid w:val="0020042B"/>
    <w:rsid w:val="0021263D"/>
    <w:rsid w:val="00213F0C"/>
    <w:rsid w:val="00214094"/>
    <w:rsid w:val="00214FA9"/>
    <w:rsid w:val="0021592D"/>
    <w:rsid w:val="00222D76"/>
    <w:rsid w:val="00223EB1"/>
    <w:rsid w:val="00224AA1"/>
    <w:rsid w:val="00231344"/>
    <w:rsid w:val="0023436E"/>
    <w:rsid w:val="002347C0"/>
    <w:rsid w:val="002352CA"/>
    <w:rsid w:val="00241A6C"/>
    <w:rsid w:val="00242D2B"/>
    <w:rsid w:val="0024308C"/>
    <w:rsid w:val="00250D16"/>
    <w:rsid w:val="00253797"/>
    <w:rsid w:val="00261703"/>
    <w:rsid w:val="00262E2B"/>
    <w:rsid w:val="00264968"/>
    <w:rsid w:val="002676A6"/>
    <w:rsid w:val="00270429"/>
    <w:rsid w:val="002723E9"/>
    <w:rsid w:val="00277929"/>
    <w:rsid w:val="00277AD3"/>
    <w:rsid w:val="00283B82"/>
    <w:rsid w:val="002846E9"/>
    <w:rsid w:val="00284C34"/>
    <w:rsid w:val="0029066C"/>
    <w:rsid w:val="002B0273"/>
    <w:rsid w:val="002B08D1"/>
    <w:rsid w:val="002B469C"/>
    <w:rsid w:val="002B50DB"/>
    <w:rsid w:val="002C0532"/>
    <w:rsid w:val="002C12AB"/>
    <w:rsid w:val="002C59E1"/>
    <w:rsid w:val="002C7CAC"/>
    <w:rsid w:val="002C7E7D"/>
    <w:rsid w:val="002C7F41"/>
    <w:rsid w:val="002D1AAF"/>
    <w:rsid w:val="002D3306"/>
    <w:rsid w:val="002D47B8"/>
    <w:rsid w:val="002D48AA"/>
    <w:rsid w:val="002D7BAA"/>
    <w:rsid w:val="002D7F54"/>
    <w:rsid w:val="002E394B"/>
    <w:rsid w:val="002E3FF4"/>
    <w:rsid w:val="002F3BE4"/>
    <w:rsid w:val="002F78C8"/>
    <w:rsid w:val="00301CF3"/>
    <w:rsid w:val="00305CD4"/>
    <w:rsid w:val="00312FAD"/>
    <w:rsid w:val="00313BDE"/>
    <w:rsid w:val="003155F1"/>
    <w:rsid w:val="0032715C"/>
    <w:rsid w:val="00337CA5"/>
    <w:rsid w:val="003404D1"/>
    <w:rsid w:val="00342952"/>
    <w:rsid w:val="00344E26"/>
    <w:rsid w:val="0034795A"/>
    <w:rsid w:val="00347B01"/>
    <w:rsid w:val="00362478"/>
    <w:rsid w:val="00365E7F"/>
    <w:rsid w:val="00373121"/>
    <w:rsid w:val="00375B25"/>
    <w:rsid w:val="0037756E"/>
    <w:rsid w:val="0038132C"/>
    <w:rsid w:val="00390AAA"/>
    <w:rsid w:val="0039316C"/>
    <w:rsid w:val="00396542"/>
    <w:rsid w:val="0039685B"/>
    <w:rsid w:val="003A31A6"/>
    <w:rsid w:val="003A43BB"/>
    <w:rsid w:val="003A66D1"/>
    <w:rsid w:val="003A7F0C"/>
    <w:rsid w:val="003A7F79"/>
    <w:rsid w:val="003B2124"/>
    <w:rsid w:val="003B513C"/>
    <w:rsid w:val="003B6404"/>
    <w:rsid w:val="003C3568"/>
    <w:rsid w:val="003C449B"/>
    <w:rsid w:val="003C7874"/>
    <w:rsid w:val="003D21FF"/>
    <w:rsid w:val="003D3B4A"/>
    <w:rsid w:val="003E3966"/>
    <w:rsid w:val="003F0112"/>
    <w:rsid w:val="003F04A6"/>
    <w:rsid w:val="003F071A"/>
    <w:rsid w:val="003F1137"/>
    <w:rsid w:val="003F160B"/>
    <w:rsid w:val="003F55BC"/>
    <w:rsid w:val="00400032"/>
    <w:rsid w:val="00400131"/>
    <w:rsid w:val="004004CD"/>
    <w:rsid w:val="00400B5B"/>
    <w:rsid w:val="00405A00"/>
    <w:rsid w:val="004070D7"/>
    <w:rsid w:val="004162B2"/>
    <w:rsid w:val="00416575"/>
    <w:rsid w:val="00416904"/>
    <w:rsid w:val="00420870"/>
    <w:rsid w:val="00422063"/>
    <w:rsid w:val="00432D0C"/>
    <w:rsid w:val="0043791B"/>
    <w:rsid w:val="00441483"/>
    <w:rsid w:val="00441BCB"/>
    <w:rsid w:val="00446C27"/>
    <w:rsid w:val="004503BE"/>
    <w:rsid w:val="0045176A"/>
    <w:rsid w:val="00456332"/>
    <w:rsid w:val="004617ED"/>
    <w:rsid w:val="00461826"/>
    <w:rsid w:val="00461B3C"/>
    <w:rsid w:val="004639C3"/>
    <w:rsid w:val="00473CEF"/>
    <w:rsid w:val="00477559"/>
    <w:rsid w:val="004800F9"/>
    <w:rsid w:val="0049134A"/>
    <w:rsid w:val="0049261C"/>
    <w:rsid w:val="004948A3"/>
    <w:rsid w:val="004A18FC"/>
    <w:rsid w:val="004A58CB"/>
    <w:rsid w:val="004B1795"/>
    <w:rsid w:val="004B56DD"/>
    <w:rsid w:val="004C020F"/>
    <w:rsid w:val="004C1AFD"/>
    <w:rsid w:val="004C2265"/>
    <w:rsid w:val="004C558B"/>
    <w:rsid w:val="004D04DE"/>
    <w:rsid w:val="004E6641"/>
    <w:rsid w:val="004F117E"/>
    <w:rsid w:val="004F1F88"/>
    <w:rsid w:val="004F5F1B"/>
    <w:rsid w:val="004F7CD1"/>
    <w:rsid w:val="00501A67"/>
    <w:rsid w:val="00502374"/>
    <w:rsid w:val="0050584F"/>
    <w:rsid w:val="005060A1"/>
    <w:rsid w:val="00511843"/>
    <w:rsid w:val="00516072"/>
    <w:rsid w:val="0052105F"/>
    <w:rsid w:val="00521595"/>
    <w:rsid w:val="00523A96"/>
    <w:rsid w:val="0052452B"/>
    <w:rsid w:val="005256C1"/>
    <w:rsid w:val="00526327"/>
    <w:rsid w:val="0053186B"/>
    <w:rsid w:val="005332EC"/>
    <w:rsid w:val="00534418"/>
    <w:rsid w:val="005353AB"/>
    <w:rsid w:val="00543EA7"/>
    <w:rsid w:val="00544B71"/>
    <w:rsid w:val="005468F1"/>
    <w:rsid w:val="005560BC"/>
    <w:rsid w:val="005573BE"/>
    <w:rsid w:val="00560AA5"/>
    <w:rsid w:val="00572700"/>
    <w:rsid w:val="00577AC1"/>
    <w:rsid w:val="00580468"/>
    <w:rsid w:val="00581BBE"/>
    <w:rsid w:val="00582231"/>
    <w:rsid w:val="0058310B"/>
    <w:rsid w:val="0058603B"/>
    <w:rsid w:val="0059431B"/>
    <w:rsid w:val="005947C5"/>
    <w:rsid w:val="00594B6F"/>
    <w:rsid w:val="005A39CC"/>
    <w:rsid w:val="005A3B94"/>
    <w:rsid w:val="005A4EE7"/>
    <w:rsid w:val="005A53B8"/>
    <w:rsid w:val="005B0F41"/>
    <w:rsid w:val="005B4730"/>
    <w:rsid w:val="005C62AD"/>
    <w:rsid w:val="005C7000"/>
    <w:rsid w:val="005C795B"/>
    <w:rsid w:val="005D4A6E"/>
    <w:rsid w:val="005D6031"/>
    <w:rsid w:val="005D7A15"/>
    <w:rsid w:val="005E05D7"/>
    <w:rsid w:val="005E1FE5"/>
    <w:rsid w:val="005E29B4"/>
    <w:rsid w:val="005E3DB8"/>
    <w:rsid w:val="005E41E7"/>
    <w:rsid w:val="005E450F"/>
    <w:rsid w:val="005F267D"/>
    <w:rsid w:val="005F763C"/>
    <w:rsid w:val="006017ED"/>
    <w:rsid w:val="00603FAD"/>
    <w:rsid w:val="00617C91"/>
    <w:rsid w:val="00621650"/>
    <w:rsid w:val="0062298A"/>
    <w:rsid w:val="00625EF2"/>
    <w:rsid w:val="00626514"/>
    <w:rsid w:val="00626589"/>
    <w:rsid w:val="006305BC"/>
    <w:rsid w:val="006339A0"/>
    <w:rsid w:val="006413A8"/>
    <w:rsid w:val="00642E56"/>
    <w:rsid w:val="00651E00"/>
    <w:rsid w:val="00653C2F"/>
    <w:rsid w:val="00657239"/>
    <w:rsid w:val="0066452B"/>
    <w:rsid w:val="00666385"/>
    <w:rsid w:val="006715E9"/>
    <w:rsid w:val="00674572"/>
    <w:rsid w:val="00675CC7"/>
    <w:rsid w:val="0068434B"/>
    <w:rsid w:val="00687763"/>
    <w:rsid w:val="00692B0D"/>
    <w:rsid w:val="0069360D"/>
    <w:rsid w:val="00693E0E"/>
    <w:rsid w:val="00697C6E"/>
    <w:rsid w:val="006A1AE3"/>
    <w:rsid w:val="006A6E7E"/>
    <w:rsid w:val="006B6A79"/>
    <w:rsid w:val="006B7527"/>
    <w:rsid w:val="006C1870"/>
    <w:rsid w:val="006C30E1"/>
    <w:rsid w:val="006C4607"/>
    <w:rsid w:val="006D0181"/>
    <w:rsid w:val="006D48F1"/>
    <w:rsid w:val="006E42C0"/>
    <w:rsid w:val="006E6A7B"/>
    <w:rsid w:val="006F2457"/>
    <w:rsid w:val="006F4589"/>
    <w:rsid w:val="006F45BE"/>
    <w:rsid w:val="007004FC"/>
    <w:rsid w:val="0070221E"/>
    <w:rsid w:val="00704267"/>
    <w:rsid w:val="00706670"/>
    <w:rsid w:val="00711F59"/>
    <w:rsid w:val="0072417C"/>
    <w:rsid w:val="00726F0A"/>
    <w:rsid w:val="00727043"/>
    <w:rsid w:val="007338FC"/>
    <w:rsid w:val="00734450"/>
    <w:rsid w:val="0074171F"/>
    <w:rsid w:val="00745F67"/>
    <w:rsid w:val="0075039E"/>
    <w:rsid w:val="00752D9D"/>
    <w:rsid w:val="00754784"/>
    <w:rsid w:val="00757C6E"/>
    <w:rsid w:val="00762BDA"/>
    <w:rsid w:val="00763DB9"/>
    <w:rsid w:val="007701DE"/>
    <w:rsid w:val="0077033B"/>
    <w:rsid w:val="00774021"/>
    <w:rsid w:val="007805FD"/>
    <w:rsid w:val="00784422"/>
    <w:rsid w:val="00787D46"/>
    <w:rsid w:val="00792D79"/>
    <w:rsid w:val="00794411"/>
    <w:rsid w:val="0079482A"/>
    <w:rsid w:val="0079527F"/>
    <w:rsid w:val="00797BEF"/>
    <w:rsid w:val="007A5E80"/>
    <w:rsid w:val="007B3B54"/>
    <w:rsid w:val="007B3FA0"/>
    <w:rsid w:val="007C07D9"/>
    <w:rsid w:val="007C0F2C"/>
    <w:rsid w:val="007C23D5"/>
    <w:rsid w:val="007C2BCC"/>
    <w:rsid w:val="007C3582"/>
    <w:rsid w:val="007C4EF0"/>
    <w:rsid w:val="007C5BBA"/>
    <w:rsid w:val="007C6348"/>
    <w:rsid w:val="007D099D"/>
    <w:rsid w:val="007E2664"/>
    <w:rsid w:val="007E3ABF"/>
    <w:rsid w:val="007E5BFA"/>
    <w:rsid w:val="007E6689"/>
    <w:rsid w:val="007E731C"/>
    <w:rsid w:val="007F0224"/>
    <w:rsid w:val="007F0A03"/>
    <w:rsid w:val="00802A27"/>
    <w:rsid w:val="008059B5"/>
    <w:rsid w:val="00810040"/>
    <w:rsid w:val="00811DD4"/>
    <w:rsid w:val="008137B6"/>
    <w:rsid w:val="00814DFD"/>
    <w:rsid w:val="00816423"/>
    <w:rsid w:val="0082023A"/>
    <w:rsid w:val="00821907"/>
    <w:rsid w:val="00821A7A"/>
    <w:rsid w:val="008225EE"/>
    <w:rsid w:val="008253F8"/>
    <w:rsid w:val="0082626E"/>
    <w:rsid w:val="00831438"/>
    <w:rsid w:val="008325E4"/>
    <w:rsid w:val="00832720"/>
    <w:rsid w:val="00832A2B"/>
    <w:rsid w:val="00832D69"/>
    <w:rsid w:val="00843277"/>
    <w:rsid w:val="00845811"/>
    <w:rsid w:val="008458A6"/>
    <w:rsid w:val="00846994"/>
    <w:rsid w:val="00850451"/>
    <w:rsid w:val="00851705"/>
    <w:rsid w:val="00852042"/>
    <w:rsid w:val="00852F92"/>
    <w:rsid w:val="008534C9"/>
    <w:rsid w:val="00853665"/>
    <w:rsid w:val="008538CA"/>
    <w:rsid w:val="0085599D"/>
    <w:rsid w:val="0087328C"/>
    <w:rsid w:val="00873C8E"/>
    <w:rsid w:val="0087510C"/>
    <w:rsid w:val="0088077B"/>
    <w:rsid w:val="008843CE"/>
    <w:rsid w:val="00885CEA"/>
    <w:rsid w:val="008968D2"/>
    <w:rsid w:val="0089738E"/>
    <w:rsid w:val="008A10CB"/>
    <w:rsid w:val="008A32FF"/>
    <w:rsid w:val="008B3C09"/>
    <w:rsid w:val="008B5FDB"/>
    <w:rsid w:val="008C50F4"/>
    <w:rsid w:val="008C5649"/>
    <w:rsid w:val="008C697B"/>
    <w:rsid w:val="008D4DEC"/>
    <w:rsid w:val="008D5E5E"/>
    <w:rsid w:val="008E44A2"/>
    <w:rsid w:val="008E50A8"/>
    <w:rsid w:val="008E697D"/>
    <w:rsid w:val="008E6FBE"/>
    <w:rsid w:val="00902B15"/>
    <w:rsid w:val="00903263"/>
    <w:rsid w:val="00906A21"/>
    <w:rsid w:val="009079C3"/>
    <w:rsid w:val="00910462"/>
    <w:rsid w:val="00910C41"/>
    <w:rsid w:val="009114CD"/>
    <w:rsid w:val="00915AB1"/>
    <w:rsid w:val="00915EAB"/>
    <w:rsid w:val="00917532"/>
    <w:rsid w:val="009202EE"/>
    <w:rsid w:val="009235BA"/>
    <w:rsid w:val="00924023"/>
    <w:rsid w:val="00924CE2"/>
    <w:rsid w:val="00925B9F"/>
    <w:rsid w:val="00927257"/>
    <w:rsid w:val="00931AED"/>
    <w:rsid w:val="00933E07"/>
    <w:rsid w:val="00934D4F"/>
    <w:rsid w:val="00941409"/>
    <w:rsid w:val="00944FAE"/>
    <w:rsid w:val="009476A3"/>
    <w:rsid w:val="009503E1"/>
    <w:rsid w:val="0095334F"/>
    <w:rsid w:val="009543EC"/>
    <w:rsid w:val="00965897"/>
    <w:rsid w:val="0096765C"/>
    <w:rsid w:val="009677ED"/>
    <w:rsid w:val="009727E4"/>
    <w:rsid w:val="0097297B"/>
    <w:rsid w:val="00974C45"/>
    <w:rsid w:val="0097584A"/>
    <w:rsid w:val="0098064B"/>
    <w:rsid w:val="0098141A"/>
    <w:rsid w:val="009934C5"/>
    <w:rsid w:val="00994C0F"/>
    <w:rsid w:val="009A0C8E"/>
    <w:rsid w:val="009A5A45"/>
    <w:rsid w:val="009A6361"/>
    <w:rsid w:val="009B0FF5"/>
    <w:rsid w:val="009B1BF6"/>
    <w:rsid w:val="009B22D7"/>
    <w:rsid w:val="009B2745"/>
    <w:rsid w:val="009B3244"/>
    <w:rsid w:val="009B59C9"/>
    <w:rsid w:val="009B72ED"/>
    <w:rsid w:val="009C20B6"/>
    <w:rsid w:val="009C53DB"/>
    <w:rsid w:val="009C5FF3"/>
    <w:rsid w:val="009C6DEB"/>
    <w:rsid w:val="009D3AE9"/>
    <w:rsid w:val="009D6504"/>
    <w:rsid w:val="009D7AAD"/>
    <w:rsid w:val="009D7D50"/>
    <w:rsid w:val="009E12D7"/>
    <w:rsid w:val="009E661A"/>
    <w:rsid w:val="009F7769"/>
    <w:rsid w:val="00A06781"/>
    <w:rsid w:val="00A071B2"/>
    <w:rsid w:val="00A074C3"/>
    <w:rsid w:val="00A11462"/>
    <w:rsid w:val="00A1509C"/>
    <w:rsid w:val="00A16F4B"/>
    <w:rsid w:val="00A20B20"/>
    <w:rsid w:val="00A20F9C"/>
    <w:rsid w:val="00A249B9"/>
    <w:rsid w:val="00A34260"/>
    <w:rsid w:val="00A4190A"/>
    <w:rsid w:val="00A44467"/>
    <w:rsid w:val="00A46D3C"/>
    <w:rsid w:val="00A5232E"/>
    <w:rsid w:val="00A609E7"/>
    <w:rsid w:val="00A65375"/>
    <w:rsid w:val="00A65476"/>
    <w:rsid w:val="00A70BF6"/>
    <w:rsid w:val="00A70CFD"/>
    <w:rsid w:val="00A70F16"/>
    <w:rsid w:val="00A714E9"/>
    <w:rsid w:val="00A72A0B"/>
    <w:rsid w:val="00A74E07"/>
    <w:rsid w:val="00A80518"/>
    <w:rsid w:val="00A81E42"/>
    <w:rsid w:val="00A864FE"/>
    <w:rsid w:val="00A86F41"/>
    <w:rsid w:val="00A87D04"/>
    <w:rsid w:val="00A950C5"/>
    <w:rsid w:val="00AA107D"/>
    <w:rsid w:val="00AA19F9"/>
    <w:rsid w:val="00AA1D25"/>
    <w:rsid w:val="00AA31BB"/>
    <w:rsid w:val="00AA5AA2"/>
    <w:rsid w:val="00AA5F5C"/>
    <w:rsid w:val="00AB11BA"/>
    <w:rsid w:val="00AB2B1A"/>
    <w:rsid w:val="00AB397F"/>
    <w:rsid w:val="00AB5832"/>
    <w:rsid w:val="00AC4FF3"/>
    <w:rsid w:val="00AC51F2"/>
    <w:rsid w:val="00AC7B48"/>
    <w:rsid w:val="00AD1E34"/>
    <w:rsid w:val="00AD3269"/>
    <w:rsid w:val="00AD62A1"/>
    <w:rsid w:val="00AD6528"/>
    <w:rsid w:val="00AE1FDB"/>
    <w:rsid w:val="00AE4599"/>
    <w:rsid w:val="00AE5066"/>
    <w:rsid w:val="00AE5E24"/>
    <w:rsid w:val="00AE61B7"/>
    <w:rsid w:val="00AE6CBA"/>
    <w:rsid w:val="00AE79AD"/>
    <w:rsid w:val="00AF35E4"/>
    <w:rsid w:val="00AF4F1F"/>
    <w:rsid w:val="00AF5CDE"/>
    <w:rsid w:val="00B069D7"/>
    <w:rsid w:val="00B07682"/>
    <w:rsid w:val="00B11A57"/>
    <w:rsid w:val="00B13208"/>
    <w:rsid w:val="00B171A4"/>
    <w:rsid w:val="00B17C99"/>
    <w:rsid w:val="00B211C3"/>
    <w:rsid w:val="00B2317D"/>
    <w:rsid w:val="00B23F47"/>
    <w:rsid w:val="00B2400B"/>
    <w:rsid w:val="00B244D1"/>
    <w:rsid w:val="00B25597"/>
    <w:rsid w:val="00B267B9"/>
    <w:rsid w:val="00B2698D"/>
    <w:rsid w:val="00B33E09"/>
    <w:rsid w:val="00B34D14"/>
    <w:rsid w:val="00B47C62"/>
    <w:rsid w:val="00B50708"/>
    <w:rsid w:val="00B50C68"/>
    <w:rsid w:val="00B51293"/>
    <w:rsid w:val="00B52B1E"/>
    <w:rsid w:val="00B55481"/>
    <w:rsid w:val="00B56C32"/>
    <w:rsid w:val="00B57ACF"/>
    <w:rsid w:val="00B64BB1"/>
    <w:rsid w:val="00B73166"/>
    <w:rsid w:val="00B8426C"/>
    <w:rsid w:val="00B915CF"/>
    <w:rsid w:val="00B91B8D"/>
    <w:rsid w:val="00B9481A"/>
    <w:rsid w:val="00B94E90"/>
    <w:rsid w:val="00BA4296"/>
    <w:rsid w:val="00BA6308"/>
    <w:rsid w:val="00BA7FB2"/>
    <w:rsid w:val="00BB0A82"/>
    <w:rsid w:val="00BB1850"/>
    <w:rsid w:val="00BB405A"/>
    <w:rsid w:val="00BB7C94"/>
    <w:rsid w:val="00BC0A9D"/>
    <w:rsid w:val="00BD447A"/>
    <w:rsid w:val="00BE1B4A"/>
    <w:rsid w:val="00BE707A"/>
    <w:rsid w:val="00BF01DB"/>
    <w:rsid w:val="00BF37BD"/>
    <w:rsid w:val="00BF40ED"/>
    <w:rsid w:val="00BF5BC2"/>
    <w:rsid w:val="00C1133D"/>
    <w:rsid w:val="00C2127F"/>
    <w:rsid w:val="00C27A08"/>
    <w:rsid w:val="00C31312"/>
    <w:rsid w:val="00C31E36"/>
    <w:rsid w:val="00C326C6"/>
    <w:rsid w:val="00C35295"/>
    <w:rsid w:val="00C36ADD"/>
    <w:rsid w:val="00C36E74"/>
    <w:rsid w:val="00C401C7"/>
    <w:rsid w:val="00C40595"/>
    <w:rsid w:val="00C41621"/>
    <w:rsid w:val="00C41861"/>
    <w:rsid w:val="00C43476"/>
    <w:rsid w:val="00C449FA"/>
    <w:rsid w:val="00C472EA"/>
    <w:rsid w:val="00C50194"/>
    <w:rsid w:val="00C52F74"/>
    <w:rsid w:val="00C5384F"/>
    <w:rsid w:val="00C55C4B"/>
    <w:rsid w:val="00C55CF3"/>
    <w:rsid w:val="00C56964"/>
    <w:rsid w:val="00C627F0"/>
    <w:rsid w:val="00C656D5"/>
    <w:rsid w:val="00C67103"/>
    <w:rsid w:val="00C71BB9"/>
    <w:rsid w:val="00C90BBC"/>
    <w:rsid w:val="00C93F0D"/>
    <w:rsid w:val="00C94C28"/>
    <w:rsid w:val="00CA24B4"/>
    <w:rsid w:val="00CB0247"/>
    <w:rsid w:val="00CB3440"/>
    <w:rsid w:val="00CB47C7"/>
    <w:rsid w:val="00CC1692"/>
    <w:rsid w:val="00CC1E0A"/>
    <w:rsid w:val="00CC2A1B"/>
    <w:rsid w:val="00CC4263"/>
    <w:rsid w:val="00CC5236"/>
    <w:rsid w:val="00CC6BE7"/>
    <w:rsid w:val="00CD1346"/>
    <w:rsid w:val="00CD138B"/>
    <w:rsid w:val="00CD315E"/>
    <w:rsid w:val="00CD3E31"/>
    <w:rsid w:val="00CD74A3"/>
    <w:rsid w:val="00CE0527"/>
    <w:rsid w:val="00CE4665"/>
    <w:rsid w:val="00CE5B23"/>
    <w:rsid w:val="00CE5EF3"/>
    <w:rsid w:val="00CE671C"/>
    <w:rsid w:val="00CF0725"/>
    <w:rsid w:val="00CF70AD"/>
    <w:rsid w:val="00CF7729"/>
    <w:rsid w:val="00D00059"/>
    <w:rsid w:val="00D072A9"/>
    <w:rsid w:val="00D107FA"/>
    <w:rsid w:val="00D12275"/>
    <w:rsid w:val="00D126EF"/>
    <w:rsid w:val="00D12766"/>
    <w:rsid w:val="00D14869"/>
    <w:rsid w:val="00D17071"/>
    <w:rsid w:val="00D17D2C"/>
    <w:rsid w:val="00D20DC4"/>
    <w:rsid w:val="00D20FF4"/>
    <w:rsid w:val="00D2417D"/>
    <w:rsid w:val="00D24C1C"/>
    <w:rsid w:val="00D24D2C"/>
    <w:rsid w:val="00D256E8"/>
    <w:rsid w:val="00D34C25"/>
    <w:rsid w:val="00D34F56"/>
    <w:rsid w:val="00D35881"/>
    <w:rsid w:val="00D36317"/>
    <w:rsid w:val="00D4004D"/>
    <w:rsid w:val="00D54B10"/>
    <w:rsid w:val="00D54BCE"/>
    <w:rsid w:val="00D62374"/>
    <w:rsid w:val="00D65367"/>
    <w:rsid w:val="00D657D7"/>
    <w:rsid w:val="00D76C6A"/>
    <w:rsid w:val="00D82DB6"/>
    <w:rsid w:val="00D83B61"/>
    <w:rsid w:val="00D948BC"/>
    <w:rsid w:val="00D96128"/>
    <w:rsid w:val="00DA34A8"/>
    <w:rsid w:val="00DA6846"/>
    <w:rsid w:val="00DA6AF4"/>
    <w:rsid w:val="00DA7DA5"/>
    <w:rsid w:val="00DB055F"/>
    <w:rsid w:val="00DB073B"/>
    <w:rsid w:val="00DB0BC2"/>
    <w:rsid w:val="00DB4D26"/>
    <w:rsid w:val="00DB7074"/>
    <w:rsid w:val="00DB78F0"/>
    <w:rsid w:val="00DC0CEA"/>
    <w:rsid w:val="00DC2E43"/>
    <w:rsid w:val="00DD095C"/>
    <w:rsid w:val="00DD1020"/>
    <w:rsid w:val="00DD1330"/>
    <w:rsid w:val="00DD2BEA"/>
    <w:rsid w:val="00DE0B83"/>
    <w:rsid w:val="00DE1A81"/>
    <w:rsid w:val="00DE1C13"/>
    <w:rsid w:val="00DE4E10"/>
    <w:rsid w:val="00DF1C51"/>
    <w:rsid w:val="00DF2C9F"/>
    <w:rsid w:val="00E02ABF"/>
    <w:rsid w:val="00E07E54"/>
    <w:rsid w:val="00E1132E"/>
    <w:rsid w:val="00E11467"/>
    <w:rsid w:val="00E14995"/>
    <w:rsid w:val="00E179CD"/>
    <w:rsid w:val="00E21307"/>
    <w:rsid w:val="00E23E8D"/>
    <w:rsid w:val="00E2556C"/>
    <w:rsid w:val="00E317CE"/>
    <w:rsid w:val="00E37F98"/>
    <w:rsid w:val="00E46559"/>
    <w:rsid w:val="00E503DC"/>
    <w:rsid w:val="00E55F9E"/>
    <w:rsid w:val="00E5736A"/>
    <w:rsid w:val="00E62786"/>
    <w:rsid w:val="00E6670C"/>
    <w:rsid w:val="00E776E8"/>
    <w:rsid w:val="00E9069A"/>
    <w:rsid w:val="00E92C1F"/>
    <w:rsid w:val="00E946E7"/>
    <w:rsid w:val="00E95D4B"/>
    <w:rsid w:val="00EA2A60"/>
    <w:rsid w:val="00EA3DAA"/>
    <w:rsid w:val="00EB199F"/>
    <w:rsid w:val="00EC23F7"/>
    <w:rsid w:val="00EC4BD8"/>
    <w:rsid w:val="00EC58D2"/>
    <w:rsid w:val="00EC63EB"/>
    <w:rsid w:val="00ED412F"/>
    <w:rsid w:val="00EE1725"/>
    <w:rsid w:val="00EF35C3"/>
    <w:rsid w:val="00EF36B2"/>
    <w:rsid w:val="00EF5AE7"/>
    <w:rsid w:val="00EF6727"/>
    <w:rsid w:val="00F1246B"/>
    <w:rsid w:val="00F12AF2"/>
    <w:rsid w:val="00F13273"/>
    <w:rsid w:val="00F201EC"/>
    <w:rsid w:val="00F208A9"/>
    <w:rsid w:val="00F2552A"/>
    <w:rsid w:val="00F30A4D"/>
    <w:rsid w:val="00F41D75"/>
    <w:rsid w:val="00F42BDA"/>
    <w:rsid w:val="00F45A52"/>
    <w:rsid w:val="00F45B3B"/>
    <w:rsid w:val="00F5139D"/>
    <w:rsid w:val="00F53ABD"/>
    <w:rsid w:val="00F55E53"/>
    <w:rsid w:val="00F613F1"/>
    <w:rsid w:val="00F63DAC"/>
    <w:rsid w:val="00F66191"/>
    <w:rsid w:val="00F7454F"/>
    <w:rsid w:val="00F77988"/>
    <w:rsid w:val="00F77F48"/>
    <w:rsid w:val="00F846C7"/>
    <w:rsid w:val="00F929BF"/>
    <w:rsid w:val="00F97C00"/>
    <w:rsid w:val="00FB2199"/>
    <w:rsid w:val="00FB30F1"/>
    <w:rsid w:val="00FB53E7"/>
    <w:rsid w:val="00FD2A8A"/>
    <w:rsid w:val="00FD4389"/>
    <w:rsid w:val="00FD78E1"/>
    <w:rsid w:val="00FE429D"/>
    <w:rsid w:val="00FF152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B069D7"/>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8B50DE"/>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8B50DE"/>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8B50DE"/>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50DE"/>
    <w:rPr>
      <w:sz w:val="0"/>
      <w:szCs w:val="0"/>
    </w:rPr>
  </w:style>
  <w:style w:type="paragraph" w:styleId="BodyTextIndent2">
    <w:name w:val="Body Text Indent 2"/>
    <w:basedOn w:val="Normal"/>
    <w:link w:val="BodyTextIndent2Char"/>
    <w:uiPriority w:val="99"/>
    <w:rsid w:val="008059B5"/>
    <w:pPr>
      <w:spacing w:after="120" w:line="480" w:lineRule="auto"/>
      <w:ind w:left="283"/>
    </w:pPr>
  </w:style>
  <w:style w:type="character" w:customStyle="1" w:styleId="BodyTextIndent2Char">
    <w:name w:val="Body Text Indent 2 Char"/>
    <w:basedOn w:val="DefaultParagraphFont"/>
    <w:link w:val="BodyTextIndent2"/>
    <w:uiPriority w:val="99"/>
    <w:locked/>
    <w:rsid w:val="008059B5"/>
    <w:rPr>
      <w:rFonts w:eastAsia="Times New Roman" w:cs="Times New Roman"/>
      <w:sz w:val="24"/>
      <w:szCs w:val="24"/>
    </w:rPr>
  </w:style>
  <w:style w:type="paragraph" w:styleId="BodyText2">
    <w:name w:val="Body Text 2"/>
    <w:basedOn w:val="Normal"/>
    <w:link w:val="BodyText2Char"/>
    <w:uiPriority w:val="99"/>
    <w:rsid w:val="00E21307"/>
    <w:pPr>
      <w:spacing w:after="120" w:line="480" w:lineRule="auto"/>
    </w:pPr>
  </w:style>
  <w:style w:type="character" w:customStyle="1" w:styleId="BodyText2Char">
    <w:name w:val="Body Text 2 Char"/>
    <w:basedOn w:val="DefaultParagraphFont"/>
    <w:link w:val="BodyText2"/>
    <w:uiPriority w:val="99"/>
    <w:locked/>
    <w:rsid w:val="00E2130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59498639">
      <w:marLeft w:val="0"/>
      <w:marRight w:val="0"/>
      <w:marTop w:val="0"/>
      <w:marBottom w:val="0"/>
      <w:divBdr>
        <w:top w:val="none" w:sz="0" w:space="0" w:color="auto"/>
        <w:left w:val="none" w:sz="0" w:space="0" w:color="auto"/>
        <w:bottom w:val="none" w:sz="0" w:space="0" w:color="auto"/>
        <w:right w:val="none" w:sz="0" w:space="0" w:color="auto"/>
      </w:divBdr>
    </w:div>
    <w:div w:id="459498640">
      <w:marLeft w:val="0"/>
      <w:marRight w:val="0"/>
      <w:marTop w:val="0"/>
      <w:marBottom w:val="0"/>
      <w:divBdr>
        <w:top w:val="none" w:sz="0" w:space="0" w:color="auto"/>
        <w:left w:val="none" w:sz="0" w:space="0" w:color="auto"/>
        <w:bottom w:val="none" w:sz="0" w:space="0" w:color="auto"/>
        <w:right w:val="none" w:sz="0" w:space="0" w:color="auto"/>
      </w:divBdr>
    </w:div>
    <w:div w:id="459498641">
      <w:marLeft w:val="0"/>
      <w:marRight w:val="0"/>
      <w:marTop w:val="0"/>
      <w:marBottom w:val="0"/>
      <w:divBdr>
        <w:top w:val="none" w:sz="0" w:space="0" w:color="auto"/>
        <w:left w:val="none" w:sz="0" w:space="0" w:color="auto"/>
        <w:bottom w:val="none" w:sz="0" w:space="0" w:color="auto"/>
        <w:right w:val="none" w:sz="0" w:space="0" w:color="auto"/>
      </w:divBdr>
    </w:div>
    <w:div w:id="459498642">
      <w:marLeft w:val="0"/>
      <w:marRight w:val="0"/>
      <w:marTop w:val="0"/>
      <w:marBottom w:val="0"/>
      <w:divBdr>
        <w:top w:val="none" w:sz="0" w:space="0" w:color="auto"/>
        <w:left w:val="none" w:sz="0" w:space="0" w:color="auto"/>
        <w:bottom w:val="none" w:sz="0" w:space="0" w:color="auto"/>
        <w:right w:val="none" w:sz="0" w:space="0" w:color="auto"/>
      </w:divBdr>
    </w:div>
    <w:div w:id="459498643">
      <w:marLeft w:val="0"/>
      <w:marRight w:val="0"/>
      <w:marTop w:val="0"/>
      <w:marBottom w:val="0"/>
      <w:divBdr>
        <w:top w:val="none" w:sz="0" w:space="0" w:color="auto"/>
        <w:left w:val="none" w:sz="0" w:space="0" w:color="auto"/>
        <w:bottom w:val="none" w:sz="0" w:space="0" w:color="auto"/>
        <w:right w:val="none" w:sz="0" w:space="0" w:color="auto"/>
      </w:divBdr>
    </w:div>
    <w:div w:id="459498644">
      <w:marLeft w:val="45"/>
      <w:marRight w:val="45"/>
      <w:marTop w:val="90"/>
      <w:marBottom w:val="90"/>
      <w:divBdr>
        <w:top w:val="none" w:sz="0" w:space="0" w:color="auto"/>
        <w:left w:val="none" w:sz="0" w:space="0" w:color="auto"/>
        <w:bottom w:val="none" w:sz="0" w:space="0" w:color="auto"/>
        <w:right w:val="none" w:sz="0" w:space="0" w:color="auto"/>
      </w:divBdr>
      <w:divsChild>
        <w:div w:id="459498646">
          <w:marLeft w:val="0"/>
          <w:marRight w:val="0"/>
          <w:marTop w:val="0"/>
          <w:marBottom w:val="567"/>
          <w:divBdr>
            <w:top w:val="none" w:sz="0" w:space="0" w:color="auto"/>
            <w:left w:val="none" w:sz="0" w:space="0" w:color="auto"/>
            <w:bottom w:val="none" w:sz="0" w:space="0" w:color="auto"/>
            <w:right w:val="none" w:sz="0" w:space="0" w:color="auto"/>
          </w:divBdr>
        </w:div>
      </w:divsChild>
    </w:div>
    <w:div w:id="459498645">
      <w:marLeft w:val="0"/>
      <w:marRight w:val="0"/>
      <w:marTop w:val="0"/>
      <w:marBottom w:val="0"/>
      <w:divBdr>
        <w:top w:val="none" w:sz="0" w:space="0" w:color="auto"/>
        <w:left w:val="none" w:sz="0" w:space="0" w:color="auto"/>
        <w:bottom w:val="none" w:sz="0" w:space="0" w:color="auto"/>
        <w:right w:val="none" w:sz="0" w:space="0" w:color="auto"/>
      </w:divBdr>
    </w:div>
    <w:div w:id="459498647">
      <w:marLeft w:val="0"/>
      <w:marRight w:val="0"/>
      <w:marTop w:val="0"/>
      <w:marBottom w:val="0"/>
      <w:divBdr>
        <w:top w:val="none" w:sz="0" w:space="0" w:color="auto"/>
        <w:left w:val="none" w:sz="0" w:space="0" w:color="auto"/>
        <w:bottom w:val="none" w:sz="0" w:space="0" w:color="auto"/>
        <w:right w:val="none" w:sz="0" w:space="0" w:color="auto"/>
      </w:divBdr>
    </w:div>
    <w:div w:id="459498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ara.Bul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900</Words>
  <Characters>5853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I.Girucka</dc:creator>
  <cp:keywords/>
  <dc:description>iveta.girucka@sam.gov.lv67028381</dc:description>
  <cp:lastModifiedBy>Baiba Šterna</cp:lastModifiedBy>
  <cp:revision>8</cp:revision>
  <cp:lastPrinted>2012-12-13T08:26:00Z</cp:lastPrinted>
  <dcterms:created xsi:type="dcterms:W3CDTF">2012-12-13T07:58:00Z</dcterms:created>
  <dcterms:modified xsi:type="dcterms:W3CDTF">2012-12-14T09:55:00Z</dcterms:modified>
</cp:coreProperties>
</file>