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14" w:rsidRPr="004D2D03" w:rsidRDefault="00C52D14" w:rsidP="00C52D14">
      <w:pPr>
        <w:jc w:val="center"/>
        <w:rPr>
          <w:rFonts w:eastAsia="Calibri" w:cs="Times New Roman"/>
          <w:b/>
          <w:sz w:val="26"/>
          <w:szCs w:val="26"/>
          <w:lang w:eastAsia="lv-LV"/>
        </w:rPr>
      </w:pPr>
      <w:bookmarkStart w:id="0" w:name="_GoBack"/>
      <w:bookmarkEnd w:id="0"/>
      <w:r w:rsidRPr="004D2D03">
        <w:rPr>
          <w:rFonts w:eastAsia="Calibri" w:cs="Times New Roman"/>
          <w:b/>
          <w:sz w:val="26"/>
          <w:szCs w:val="26"/>
          <w:lang w:eastAsia="lv-LV"/>
        </w:rPr>
        <w:t>Ministru kabineta noteikumu projekta „Grozījum</w:t>
      </w:r>
      <w:r w:rsidR="00272823" w:rsidRPr="004D2D03">
        <w:rPr>
          <w:rFonts w:eastAsia="Calibri" w:cs="Times New Roman"/>
          <w:b/>
          <w:sz w:val="26"/>
          <w:szCs w:val="26"/>
          <w:lang w:eastAsia="lv-LV"/>
        </w:rPr>
        <w:t>s</w:t>
      </w:r>
      <w:r w:rsidRPr="004D2D03">
        <w:rPr>
          <w:rFonts w:eastAsia="Calibri" w:cs="Times New Roman"/>
          <w:b/>
          <w:sz w:val="26"/>
          <w:szCs w:val="26"/>
          <w:lang w:eastAsia="lv-LV"/>
        </w:rPr>
        <w:t xml:space="preserve"> Ministru kabineta 2008. gada </w:t>
      </w:r>
      <w:r w:rsidR="00272823" w:rsidRPr="004D2D03">
        <w:rPr>
          <w:rFonts w:eastAsia="Calibri" w:cs="Times New Roman"/>
          <w:b/>
          <w:sz w:val="26"/>
          <w:szCs w:val="26"/>
          <w:lang w:eastAsia="lv-LV"/>
        </w:rPr>
        <w:t>7</w:t>
      </w:r>
      <w:r w:rsidRPr="004D2D03">
        <w:rPr>
          <w:rFonts w:eastAsia="Calibri" w:cs="Times New Roman"/>
          <w:b/>
          <w:sz w:val="26"/>
          <w:szCs w:val="26"/>
          <w:lang w:eastAsia="lv-LV"/>
        </w:rPr>
        <w:t xml:space="preserve">. </w:t>
      </w:r>
      <w:r w:rsidR="00272823" w:rsidRPr="004D2D03">
        <w:rPr>
          <w:rFonts w:eastAsia="Calibri" w:cs="Times New Roman"/>
          <w:b/>
          <w:sz w:val="26"/>
          <w:szCs w:val="26"/>
          <w:lang w:eastAsia="lv-LV"/>
        </w:rPr>
        <w:t>jūlija</w:t>
      </w:r>
      <w:r w:rsidRPr="004D2D03">
        <w:rPr>
          <w:rFonts w:eastAsia="Calibri" w:cs="Times New Roman"/>
          <w:b/>
          <w:sz w:val="26"/>
          <w:szCs w:val="26"/>
          <w:lang w:eastAsia="lv-LV"/>
        </w:rPr>
        <w:t xml:space="preserve"> noteikumos Nr. </w:t>
      </w:r>
      <w:r w:rsidR="00272823" w:rsidRPr="004D2D03">
        <w:rPr>
          <w:rFonts w:eastAsia="Calibri" w:cs="Times New Roman"/>
          <w:b/>
          <w:sz w:val="26"/>
          <w:szCs w:val="26"/>
          <w:lang w:eastAsia="lv-LV"/>
        </w:rPr>
        <w:t>504</w:t>
      </w:r>
      <w:r w:rsidRPr="004D2D03">
        <w:rPr>
          <w:rFonts w:eastAsia="Calibri" w:cs="Times New Roman"/>
          <w:b/>
          <w:sz w:val="26"/>
          <w:szCs w:val="26"/>
          <w:lang w:eastAsia="lv-LV"/>
        </w:rPr>
        <w:t xml:space="preserve"> „</w:t>
      </w:r>
      <w:r w:rsidRPr="004D2D03">
        <w:rPr>
          <w:rFonts w:eastAsia="Calibri" w:cs="Times New Roman"/>
          <w:b/>
          <w:bCs/>
          <w:color w:val="000000"/>
          <w:sz w:val="26"/>
          <w:szCs w:val="26"/>
        </w:rPr>
        <w:t xml:space="preserve">Valsts </w:t>
      </w:r>
      <w:r w:rsidR="00272823" w:rsidRPr="004D2D03">
        <w:rPr>
          <w:rFonts w:eastAsia="Calibri" w:cs="Times New Roman"/>
          <w:b/>
          <w:bCs/>
          <w:color w:val="000000"/>
          <w:sz w:val="26"/>
          <w:szCs w:val="26"/>
        </w:rPr>
        <w:t>autoceļu un pašvaldību ceļu vērtības noteikšanas kārtība</w:t>
      </w:r>
      <w:r w:rsidRPr="004D2D03">
        <w:rPr>
          <w:rFonts w:eastAsia="Calibri" w:cs="Times New Roman"/>
          <w:b/>
          <w:sz w:val="26"/>
          <w:szCs w:val="26"/>
          <w:lang w:eastAsia="lv-LV"/>
        </w:rPr>
        <w:t xml:space="preserve">””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4D2D03">
          <w:rPr>
            <w:rFonts w:eastAsia="Calibri" w:cs="Times New Roman"/>
            <w:b/>
            <w:sz w:val="26"/>
            <w:szCs w:val="26"/>
            <w:lang w:eastAsia="lv-LV"/>
          </w:rPr>
          <w:t>ziņojums</w:t>
        </w:r>
      </w:smartTag>
      <w:r w:rsidRPr="004D2D03">
        <w:rPr>
          <w:rFonts w:eastAsia="Calibri" w:cs="Times New Roman"/>
          <w:b/>
          <w:sz w:val="26"/>
          <w:szCs w:val="26"/>
          <w:lang w:eastAsia="lv-LV"/>
        </w:rPr>
        <w:t xml:space="preserve"> (anotācija)</w:t>
      </w:r>
    </w:p>
    <w:p w:rsidR="00C52D14" w:rsidRPr="004D2D03" w:rsidRDefault="00C52D14" w:rsidP="00C52D14">
      <w:pPr>
        <w:rPr>
          <w:rFonts w:eastAsia="Calibri" w:cs="Times New Roman"/>
          <w:sz w:val="26"/>
          <w:szCs w:val="26"/>
          <w:lang w:eastAsia="lv-LV"/>
        </w:rPr>
      </w:pPr>
    </w:p>
    <w:tbl>
      <w:tblPr>
        <w:tblW w:w="0" w:type="auto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5537"/>
      </w:tblGrid>
      <w:tr w:rsidR="00C52D14" w:rsidRPr="004D2D03" w:rsidTr="004374AB">
        <w:trPr>
          <w:tblCellSpacing w:w="0" w:type="dxa"/>
        </w:trPr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14" w:rsidRPr="004D2D03" w:rsidRDefault="00C52D14" w:rsidP="00C52D14">
            <w:pPr>
              <w:jc w:val="center"/>
              <w:rPr>
                <w:rFonts w:eastAsia="Calibri" w:cs="Times New Roman"/>
                <w:sz w:val="26"/>
                <w:szCs w:val="26"/>
                <w:lang w:eastAsia="lv-LV"/>
              </w:rPr>
            </w:pPr>
            <w:r w:rsidRPr="004D2D03">
              <w:rPr>
                <w:rFonts w:eastAsia="Calibri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C52D14" w:rsidRPr="004D2D03" w:rsidTr="004D2D03">
        <w:trPr>
          <w:trHeight w:val="630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4" w:rsidRPr="004D2D03" w:rsidRDefault="00C52D14" w:rsidP="00C52D14">
            <w:pPr>
              <w:jc w:val="center"/>
              <w:rPr>
                <w:rFonts w:eastAsia="Calibri" w:cs="Times New Roman"/>
                <w:sz w:val="26"/>
                <w:szCs w:val="26"/>
                <w:lang w:eastAsia="lv-LV"/>
              </w:rPr>
            </w:pPr>
            <w:r w:rsidRPr="004D2D03">
              <w:rPr>
                <w:rFonts w:eastAsia="Calibri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4" w:rsidRPr="004D2D03" w:rsidRDefault="00C52D14" w:rsidP="00C52D14">
            <w:pPr>
              <w:rPr>
                <w:rFonts w:eastAsia="Calibri" w:cs="Times New Roman"/>
                <w:sz w:val="26"/>
                <w:szCs w:val="26"/>
                <w:lang w:eastAsia="lv-LV"/>
              </w:rPr>
            </w:pPr>
            <w:r w:rsidRPr="004D2D03">
              <w:rPr>
                <w:rFonts w:eastAsia="Calibri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4" w:rsidRPr="004D2D03" w:rsidRDefault="00C52D14" w:rsidP="00C52D14">
            <w:pPr>
              <w:jc w:val="both"/>
              <w:rPr>
                <w:rFonts w:eastAsia="Calibri" w:cs="Times New Roman"/>
                <w:color w:val="000000"/>
                <w:sz w:val="26"/>
                <w:szCs w:val="26"/>
                <w:lang w:eastAsia="lv-LV"/>
              </w:rPr>
            </w:pPr>
            <w:r w:rsidRPr="004D2D03">
              <w:rPr>
                <w:rFonts w:eastAsia="Calibri" w:cs="Times New Roman"/>
                <w:i/>
                <w:color w:val="000000" w:themeColor="text1"/>
                <w:sz w:val="26"/>
                <w:szCs w:val="26"/>
              </w:rPr>
              <w:t xml:space="preserve">Euro </w:t>
            </w:r>
            <w:r w:rsidRPr="004D2D03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ieviešanas kārtības likuma 30.panta pirmā daļa, Ministru kabineta 2012. gada 27. jūnija rīkojuma Nr. 282 „Par „Koncepciju par normatīvo aktu sakārtošanu saistībā ar </w:t>
            </w:r>
            <w:r w:rsidR="00565678">
              <w:rPr>
                <w:rFonts w:eastAsia="Calibri" w:cs="Times New Roman"/>
                <w:color w:val="000000" w:themeColor="text1"/>
                <w:sz w:val="26"/>
                <w:szCs w:val="26"/>
              </w:rPr>
              <w:t>eiro ieviešanu Latvijā”” 7.1.</w:t>
            </w:r>
            <w:r w:rsidRPr="004D2D03">
              <w:rPr>
                <w:rFonts w:eastAsia="Calibri" w:cs="Times New Roman"/>
                <w:color w:val="000000" w:themeColor="text1"/>
                <w:sz w:val="26"/>
                <w:szCs w:val="26"/>
              </w:rPr>
              <w:t>apakšpunkts.</w:t>
            </w:r>
          </w:p>
        </w:tc>
      </w:tr>
      <w:tr w:rsidR="00C52D14" w:rsidRPr="004D2D03" w:rsidTr="004D2D03">
        <w:trPr>
          <w:trHeight w:val="472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4" w:rsidRPr="004D2D03" w:rsidRDefault="00C52D14" w:rsidP="00C52D14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  <w:lang w:eastAsia="lv-LV"/>
              </w:rPr>
            </w:pPr>
            <w:r w:rsidRPr="004D2D03">
              <w:rPr>
                <w:rFonts w:eastAsia="Calibri" w:cs="Times New Roman"/>
                <w:color w:val="000000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4" w:rsidRPr="004D2D03" w:rsidRDefault="00C52D14" w:rsidP="00C52D14">
            <w:pPr>
              <w:rPr>
                <w:rFonts w:eastAsia="Calibri" w:cs="Times New Roman"/>
                <w:color w:val="000000"/>
                <w:sz w:val="26"/>
                <w:szCs w:val="26"/>
                <w:lang w:eastAsia="lv-LV"/>
              </w:rPr>
            </w:pPr>
            <w:r w:rsidRPr="004D2D03">
              <w:rPr>
                <w:rFonts w:eastAsia="Calibri" w:cs="Times New Roman"/>
                <w:color w:val="000000"/>
                <w:sz w:val="26"/>
                <w:szCs w:val="26"/>
                <w:lang w:eastAsia="lv-LV"/>
              </w:rPr>
              <w:t>Pašreizējā situācija un problēmas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4" w:rsidRPr="004D2D03" w:rsidRDefault="00C52D14" w:rsidP="002A0E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4D2D03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Ņemot vērā, ka ar 2014. gada 1. janvāri Latvijā plānots ieviest </w:t>
            </w:r>
            <w:r w:rsidRPr="004D2D03">
              <w:rPr>
                <w:rFonts w:eastAsia="Times New Roman" w:cs="Times New Roman"/>
                <w:i/>
                <w:sz w:val="26"/>
                <w:szCs w:val="26"/>
                <w:lang w:eastAsia="lv-LV"/>
              </w:rPr>
              <w:t>euro</w:t>
            </w:r>
            <w:r w:rsidRPr="004D2D03">
              <w:rPr>
                <w:rFonts w:eastAsia="Times New Roman" w:cs="Times New Roman"/>
                <w:sz w:val="26"/>
                <w:szCs w:val="26"/>
                <w:lang w:eastAsia="lv-LV"/>
              </w:rPr>
              <w:t>, ir nepieciešams veikt grozījumus Ministru kabineta 2008. gada 7. jūlija noteikumos Nr. 504 „Valsts autoceļu un pašvaldību ceļu vērtības noteikšanas kārtība”, aizstājot tajā vārdu „lati”</w:t>
            </w:r>
            <w:r w:rsidR="002A0EE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un vārdu „Ls”</w:t>
            </w:r>
            <w:r w:rsidRPr="004D2D03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ar vārdu „</w:t>
            </w:r>
            <w:r w:rsidRPr="004D2D03">
              <w:rPr>
                <w:rFonts w:eastAsia="Times New Roman" w:cs="Times New Roman"/>
                <w:i/>
                <w:sz w:val="26"/>
                <w:szCs w:val="26"/>
                <w:lang w:eastAsia="lv-LV"/>
              </w:rPr>
              <w:t>euro</w:t>
            </w:r>
            <w:r w:rsidRPr="004D2D03">
              <w:rPr>
                <w:rFonts w:eastAsia="Times New Roman" w:cs="Times New Roman"/>
                <w:sz w:val="26"/>
                <w:szCs w:val="26"/>
                <w:lang w:eastAsia="lv-LV"/>
              </w:rPr>
              <w:t>”.</w:t>
            </w:r>
          </w:p>
        </w:tc>
      </w:tr>
      <w:tr w:rsidR="00C52D14" w:rsidRPr="004D2D03" w:rsidTr="004D2D03">
        <w:trPr>
          <w:trHeight w:val="1071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4" w:rsidRPr="004D2D03" w:rsidRDefault="00C52D14" w:rsidP="00C52D14">
            <w:pPr>
              <w:jc w:val="center"/>
              <w:rPr>
                <w:rFonts w:eastAsia="Calibri" w:cs="Times New Roman"/>
                <w:sz w:val="26"/>
                <w:szCs w:val="26"/>
                <w:lang w:eastAsia="lv-LV"/>
              </w:rPr>
            </w:pPr>
            <w:r w:rsidRPr="004D2D03">
              <w:rPr>
                <w:rFonts w:eastAsia="Calibri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4" w:rsidRPr="004D2D03" w:rsidRDefault="00C52D14" w:rsidP="00C52D14">
            <w:pPr>
              <w:rPr>
                <w:rFonts w:eastAsia="Calibri" w:cs="Times New Roman"/>
                <w:sz w:val="26"/>
                <w:szCs w:val="26"/>
                <w:lang w:eastAsia="lv-LV"/>
              </w:rPr>
            </w:pPr>
            <w:r w:rsidRPr="004D2D03">
              <w:rPr>
                <w:rFonts w:eastAsia="Calibri" w:cs="Times New Roman"/>
                <w:sz w:val="26"/>
                <w:szCs w:val="26"/>
                <w:lang w:eastAsia="lv-LV"/>
              </w:rPr>
              <w:t>Saistītie politikas ietekmes novērtējumi un pētījumi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4" w:rsidRPr="004D2D03" w:rsidRDefault="00C52D14" w:rsidP="00C52D14">
            <w:pPr>
              <w:rPr>
                <w:rFonts w:eastAsia="Calibri" w:cs="Times New Roman"/>
                <w:sz w:val="26"/>
                <w:szCs w:val="26"/>
                <w:lang w:eastAsia="lv-LV"/>
              </w:rPr>
            </w:pPr>
            <w:r w:rsidRPr="004D2D03">
              <w:rPr>
                <w:rFonts w:eastAsia="Calibri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C52D14" w:rsidRPr="004D2D03" w:rsidTr="004D2D03">
        <w:trPr>
          <w:trHeight w:val="384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4" w:rsidRPr="004D2D03" w:rsidRDefault="00C52D14" w:rsidP="00C52D14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  <w:lang w:eastAsia="lv-LV"/>
              </w:rPr>
            </w:pPr>
            <w:r w:rsidRPr="004D2D03">
              <w:rPr>
                <w:rFonts w:eastAsia="Calibri" w:cs="Times New Roman"/>
                <w:color w:val="000000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4" w:rsidRPr="004D2D03" w:rsidRDefault="00C52D14" w:rsidP="00C52D14">
            <w:pPr>
              <w:rPr>
                <w:rFonts w:eastAsia="Calibri" w:cs="Times New Roman"/>
                <w:color w:val="000000"/>
                <w:sz w:val="26"/>
                <w:szCs w:val="26"/>
                <w:lang w:eastAsia="lv-LV"/>
              </w:rPr>
            </w:pPr>
            <w:r w:rsidRPr="004D2D03">
              <w:rPr>
                <w:rFonts w:eastAsia="Calibri" w:cs="Times New Roman"/>
                <w:color w:val="000000"/>
                <w:sz w:val="26"/>
                <w:szCs w:val="26"/>
                <w:lang w:eastAsia="lv-LV"/>
              </w:rPr>
              <w:t>Tiesiskā regulējuma mērķis un būtība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4" w:rsidRPr="004D2D03" w:rsidRDefault="00C52D14" w:rsidP="00C52D14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4D2D03">
              <w:rPr>
                <w:rFonts w:eastAsia="Times New Roman" w:cs="Times New Roman"/>
                <w:sz w:val="26"/>
                <w:szCs w:val="26"/>
                <w:lang w:eastAsia="lv-LV"/>
              </w:rPr>
              <w:t>Šis projekts paredz aizstāt attiecīgajā normatīvajā aktā vārdu „lati”</w:t>
            </w:r>
            <w:r w:rsidR="002A0EE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un vārdu „Ls”</w:t>
            </w:r>
            <w:r w:rsidRPr="004D2D03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ar vārdu „</w:t>
            </w:r>
            <w:r w:rsidRPr="004D2D03">
              <w:rPr>
                <w:rFonts w:eastAsia="Times New Roman" w:cs="Times New Roman"/>
                <w:i/>
                <w:sz w:val="26"/>
                <w:szCs w:val="26"/>
                <w:lang w:eastAsia="lv-LV"/>
              </w:rPr>
              <w:t>euro</w:t>
            </w:r>
            <w:r w:rsidRPr="004D2D03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”. </w:t>
            </w:r>
          </w:p>
        </w:tc>
      </w:tr>
      <w:tr w:rsidR="00C52D14" w:rsidRPr="004D2D03" w:rsidTr="004D2D03">
        <w:trPr>
          <w:trHeight w:val="476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4" w:rsidRPr="004D2D03" w:rsidRDefault="00C52D14" w:rsidP="00C52D14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  <w:lang w:eastAsia="lv-LV"/>
              </w:rPr>
            </w:pPr>
            <w:r w:rsidRPr="004D2D03">
              <w:rPr>
                <w:rFonts w:eastAsia="Calibri" w:cs="Times New Roman"/>
                <w:color w:val="000000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4" w:rsidRPr="004D2D03" w:rsidRDefault="00C52D14" w:rsidP="00C52D14">
            <w:pPr>
              <w:rPr>
                <w:rFonts w:eastAsia="Calibri" w:cs="Times New Roman"/>
                <w:color w:val="000000"/>
                <w:sz w:val="26"/>
                <w:szCs w:val="26"/>
                <w:lang w:eastAsia="lv-LV"/>
              </w:rPr>
            </w:pPr>
            <w:r w:rsidRPr="004D2D03">
              <w:rPr>
                <w:rFonts w:eastAsia="Calibri" w:cs="Times New Roman"/>
                <w:color w:val="000000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4" w:rsidRPr="004D2D03" w:rsidRDefault="004D2D03" w:rsidP="00C52D14">
            <w:pPr>
              <w:jc w:val="both"/>
              <w:rPr>
                <w:rFonts w:eastAsia="Calibri" w:cs="Times New Roman"/>
                <w:color w:val="000000"/>
                <w:sz w:val="26"/>
                <w:szCs w:val="26"/>
                <w:lang w:eastAsia="lv-LV"/>
              </w:rPr>
            </w:pPr>
            <w:r w:rsidRPr="004D2D03">
              <w:rPr>
                <w:rFonts w:eastAsia="Calibri" w:cs="Times New Roman"/>
                <w:color w:val="000000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C52D14" w:rsidRPr="004D2D03" w:rsidTr="004D2D03">
        <w:trPr>
          <w:trHeight w:val="1340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4" w:rsidRPr="004D2D03" w:rsidRDefault="00C52D14" w:rsidP="00C52D14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  <w:lang w:eastAsia="lv-LV"/>
              </w:rPr>
            </w:pPr>
            <w:r w:rsidRPr="004D2D03">
              <w:rPr>
                <w:rFonts w:eastAsia="Calibri" w:cs="Times New Roman"/>
                <w:color w:val="000000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4" w:rsidRPr="004D2D03" w:rsidRDefault="00C52D14" w:rsidP="004D2D03">
            <w:pPr>
              <w:rPr>
                <w:rFonts w:eastAsia="Calibri" w:cs="Times New Roman"/>
                <w:color w:val="000000"/>
                <w:sz w:val="26"/>
                <w:szCs w:val="26"/>
                <w:lang w:eastAsia="lv-LV"/>
              </w:rPr>
            </w:pPr>
            <w:r w:rsidRPr="004D2D03">
              <w:rPr>
                <w:rFonts w:eastAsia="Calibri" w:cs="Times New Roman"/>
                <w:color w:val="000000"/>
                <w:sz w:val="26"/>
                <w:szCs w:val="26"/>
                <w:lang w:eastAsia="lv-LV"/>
              </w:rPr>
              <w:t>Iemesli, kādēļ netika nodrošināta sabiedrības līdzdalība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4" w:rsidRPr="004D2D03" w:rsidRDefault="00C52D14" w:rsidP="004D2D03">
            <w:pPr>
              <w:jc w:val="both"/>
              <w:rPr>
                <w:rFonts w:eastAsia="Calibri" w:cs="Times New Roman"/>
                <w:color w:val="000000"/>
                <w:sz w:val="26"/>
                <w:szCs w:val="26"/>
                <w:lang w:eastAsia="lv-LV"/>
              </w:rPr>
            </w:pPr>
            <w:r w:rsidRPr="004D2D03">
              <w:rPr>
                <w:rFonts w:eastAsia="Calibri" w:cs="Times New Roman"/>
                <w:sz w:val="26"/>
                <w:szCs w:val="26"/>
              </w:rPr>
              <w:t>Sabiedrības līdzdalība projekta izstrādē netika nodrošināta, jo projekts nemaina pastāvošo t</w:t>
            </w:r>
            <w:r w:rsidR="00B557C6" w:rsidRPr="004D2D03">
              <w:rPr>
                <w:rFonts w:eastAsia="Calibri" w:cs="Times New Roman"/>
                <w:sz w:val="26"/>
                <w:szCs w:val="26"/>
              </w:rPr>
              <w:t>iesisko regulējumu pēc būtības.</w:t>
            </w:r>
          </w:p>
        </w:tc>
      </w:tr>
      <w:tr w:rsidR="00C52D14" w:rsidRPr="004D2D03" w:rsidTr="004D2D03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4" w:rsidRPr="004D2D03" w:rsidRDefault="00C52D14" w:rsidP="00C52D14">
            <w:pPr>
              <w:jc w:val="center"/>
              <w:rPr>
                <w:rFonts w:eastAsia="Calibri" w:cs="Times New Roman"/>
                <w:sz w:val="26"/>
                <w:szCs w:val="26"/>
                <w:lang w:eastAsia="lv-LV"/>
              </w:rPr>
            </w:pPr>
            <w:r w:rsidRPr="004D2D03">
              <w:rPr>
                <w:rFonts w:eastAsia="Calibri" w:cs="Times New Roman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4" w:rsidRPr="004D2D03" w:rsidRDefault="00C52D14" w:rsidP="00C52D14">
            <w:pPr>
              <w:rPr>
                <w:rFonts w:eastAsia="Calibri" w:cs="Times New Roman"/>
                <w:sz w:val="26"/>
                <w:szCs w:val="26"/>
                <w:lang w:eastAsia="lv-LV"/>
              </w:rPr>
            </w:pPr>
            <w:r w:rsidRPr="004D2D03">
              <w:rPr>
                <w:rFonts w:eastAsia="Calibri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4" w:rsidRPr="004D2D03" w:rsidRDefault="00C52D14" w:rsidP="004D2D03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4D2D03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Šis projekts tiks virzīts izskatīšanai Ministru kabinetā pēc tam, kad Eiropas Savienības Padomē saskaņā ar Līguma par Eiropas Savienības darbību 140.panta 2.punktu tiks pieņemts lēmums par izņēmuma statusa atcelšanu Latvijas </w:t>
            </w:r>
            <w:r w:rsidR="004D2D03" w:rsidRPr="004D2D03">
              <w:rPr>
                <w:rFonts w:eastAsia="Times New Roman" w:cs="Times New Roman"/>
                <w:sz w:val="26"/>
                <w:szCs w:val="26"/>
                <w:lang w:eastAsia="lv-LV"/>
              </w:rPr>
              <w:t>Republikai.</w:t>
            </w:r>
          </w:p>
        </w:tc>
      </w:tr>
    </w:tbl>
    <w:p w:rsidR="00C52D14" w:rsidRPr="004D2D03" w:rsidRDefault="00C52D14" w:rsidP="00C52D14">
      <w:pPr>
        <w:rPr>
          <w:rFonts w:eastAsia="Calibri" w:cs="Times New Roman"/>
          <w:sz w:val="26"/>
          <w:szCs w:val="26"/>
          <w:lang w:eastAsia="lv-LV"/>
        </w:rPr>
      </w:pPr>
    </w:p>
    <w:p w:rsidR="00C52D14" w:rsidRPr="004D2D03" w:rsidRDefault="00C52D14" w:rsidP="00C52D14">
      <w:pPr>
        <w:ind w:firstLine="684"/>
        <w:jc w:val="both"/>
        <w:outlineLvl w:val="0"/>
        <w:rPr>
          <w:rFonts w:eastAsia="Calibri" w:cs="Times New Roman"/>
          <w:sz w:val="26"/>
          <w:szCs w:val="26"/>
          <w:lang w:eastAsia="lv-LV"/>
        </w:rPr>
      </w:pPr>
    </w:p>
    <w:p w:rsidR="00C52D14" w:rsidRPr="004D2D03" w:rsidRDefault="00C52D14" w:rsidP="00C52D14">
      <w:pPr>
        <w:ind w:firstLine="684"/>
        <w:jc w:val="both"/>
        <w:outlineLvl w:val="0"/>
        <w:rPr>
          <w:rFonts w:eastAsia="Calibri" w:cs="Times New Roman"/>
          <w:color w:val="000000"/>
          <w:sz w:val="28"/>
          <w:szCs w:val="28"/>
        </w:rPr>
      </w:pPr>
      <w:r w:rsidRPr="004D2D03">
        <w:rPr>
          <w:rFonts w:eastAsia="Calibri" w:cs="Times New Roman"/>
          <w:sz w:val="28"/>
          <w:szCs w:val="28"/>
          <w:lang w:eastAsia="lv-LV"/>
        </w:rPr>
        <w:t>A</w:t>
      </w:r>
      <w:r w:rsidRPr="004D2D03">
        <w:rPr>
          <w:rFonts w:eastAsia="Calibri" w:cs="Times New Roman"/>
          <w:color w:val="000000"/>
          <w:sz w:val="28"/>
          <w:szCs w:val="28"/>
        </w:rPr>
        <w:t>notācijas II, III, IV, V, VI un VII sadaļa – projekts šīs jomas neskar.</w:t>
      </w:r>
    </w:p>
    <w:p w:rsidR="004D2D03" w:rsidRPr="004D2D03" w:rsidRDefault="004D2D03" w:rsidP="00C52D14">
      <w:pPr>
        <w:ind w:firstLine="684"/>
        <w:jc w:val="both"/>
        <w:outlineLvl w:val="0"/>
        <w:rPr>
          <w:rFonts w:eastAsia="Calibri" w:cs="Times New Roman"/>
          <w:color w:val="000000"/>
          <w:sz w:val="28"/>
          <w:szCs w:val="28"/>
        </w:rPr>
      </w:pPr>
    </w:p>
    <w:p w:rsidR="00C52D14" w:rsidRPr="004D2D03" w:rsidRDefault="00C52D14" w:rsidP="00C52D14">
      <w:pPr>
        <w:ind w:firstLine="684"/>
        <w:rPr>
          <w:rFonts w:eastAsia="Calibri" w:cs="Times New Roman"/>
          <w:sz w:val="28"/>
          <w:szCs w:val="28"/>
          <w:lang w:eastAsia="lv-LV"/>
        </w:rPr>
      </w:pPr>
    </w:p>
    <w:p w:rsidR="00C52D14" w:rsidRPr="004D2D03" w:rsidRDefault="00C52D14" w:rsidP="00C52D14">
      <w:pPr>
        <w:ind w:firstLine="684"/>
        <w:rPr>
          <w:rFonts w:eastAsia="Calibri" w:cs="Times New Roman"/>
          <w:sz w:val="28"/>
          <w:szCs w:val="28"/>
          <w:lang w:eastAsia="lv-LV"/>
        </w:rPr>
      </w:pPr>
      <w:r w:rsidRPr="004D2D03">
        <w:rPr>
          <w:rFonts w:eastAsia="Calibri" w:cs="Times New Roman"/>
          <w:sz w:val="28"/>
          <w:szCs w:val="28"/>
          <w:lang w:eastAsia="lv-LV"/>
        </w:rPr>
        <w:t>Satiksmes ministrs</w:t>
      </w:r>
      <w:r w:rsidRPr="004D2D03">
        <w:rPr>
          <w:rFonts w:eastAsia="Calibri" w:cs="Times New Roman"/>
          <w:sz w:val="28"/>
          <w:szCs w:val="28"/>
          <w:lang w:eastAsia="lv-LV"/>
        </w:rPr>
        <w:tab/>
      </w:r>
      <w:r w:rsidRPr="004D2D03">
        <w:rPr>
          <w:rFonts w:eastAsia="Calibri" w:cs="Times New Roman"/>
          <w:sz w:val="28"/>
          <w:szCs w:val="28"/>
          <w:lang w:eastAsia="lv-LV"/>
        </w:rPr>
        <w:tab/>
      </w:r>
      <w:r w:rsidRPr="004D2D03">
        <w:rPr>
          <w:rFonts w:eastAsia="Calibri" w:cs="Times New Roman"/>
          <w:sz w:val="28"/>
          <w:szCs w:val="28"/>
          <w:lang w:eastAsia="lv-LV"/>
        </w:rPr>
        <w:tab/>
      </w:r>
      <w:r w:rsidRPr="004D2D03">
        <w:rPr>
          <w:rFonts w:eastAsia="Calibri" w:cs="Times New Roman"/>
          <w:sz w:val="28"/>
          <w:szCs w:val="28"/>
          <w:lang w:eastAsia="lv-LV"/>
        </w:rPr>
        <w:tab/>
      </w:r>
      <w:r w:rsidRPr="004D2D03">
        <w:rPr>
          <w:rFonts w:eastAsia="Calibri" w:cs="Times New Roman"/>
          <w:sz w:val="28"/>
          <w:szCs w:val="28"/>
          <w:lang w:eastAsia="lv-LV"/>
        </w:rPr>
        <w:tab/>
      </w:r>
      <w:r w:rsidRPr="004D2D03">
        <w:rPr>
          <w:rFonts w:eastAsia="Calibri" w:cs="Times New Roman"/>
          <w:sz w:val="28"/>
          <w:szCs w:val="28"/>
          <w:lang w:eastAsia="lv-LV"/>
        </w:rPr>
        <w:tab/>
      </w:r>
      <w:r w:rsidRPr="004D2D03">
        <w:rPr>
          <w:rFonts w:eastAsia="Calibri" w:cs="Times New Roman"/>
          <w:sz w:val="28"/>
          <w:szCs w:val="28"/>
          <w:lang w:eastAsia="lv-LV"/>
        </w:rPr>
        <w:tab/>
        <w:t>A. Matīss</w:t>
      </w:r>
    </w:p>
    <w:p w:rsidR="00C52D14" w:rsidRPr="004D2D03" w:rsidRDefault="00C52D14" w:rsidP="00C52D14">
      <w:pPr>
        <w:ind w:firstLine="684"/>
        <w:jc w:val="both"/>
        <w:rPr>
          <w:rFonts w:eastAsia="Calibri" w:cs="Times New Roman"/>
          <w:sz w:val="28"/>
          <w:szCs w:val="28"/>
          <w:lang w:eastAsia="lv-LV"/>
        </w:rPr>
      </w:pPr>
    </w:p>
    <w:p w:rsidR="00C52D14" w:rsidRPr="004D2D03" w:rsidRDefault="00C52D14" w:rsidP="00C52D14">
      <w:pPr>
        <w:ind w:firstLine="684"/>
        <w:jc w:val="both"/>
        <w:rPr>
          <w:rFonts w:eastAsia="Calibri" w:cs="Times New Roman"/>
          <w:sz w:val="28"/>
          <w:szCs w:val="28"/>
          <w:lang w:eastAsia="lv-LV"/>
        </w:rPr>
      </w:pPr>
      <w:r w:rsidRPr="004D2D03">
        <w:rPr>
          <w:rFonts w:eastAsia="Calibri" w:cs="Times New Roman"/>
          <w:sz w:val="28"/>
          <w:szCs w:val="28"/>
          <w:lang w:eastAsia="lv-LV"/>
        </w:rPr>
        <w:t>Vizē: Valst</w:t>
      </w:r>
      <w:r w:rsidR="002A0EEA">
        <w:rPr>
          <w:rFonts w:eastAsia="Calibri" w:cs="Times New Roman"/>
          <w:sz w:val="28"/>
          <w:szCs w:val="28"/>
          <w:lang w:eastAsia="lv-LV"/>
        </w:rPr>
        <w:t>s sekretārs</w:t>
      </w:r>
      <w:r w:rsidR="002A0EEA">
        <w:rPr>
          <w:rFonts w:eastAsia="Calibri" w:cs="Times New Roman"/>
          <w:sz w:val="28"/>
          <w:szCs w:val="28"/>
          <w:lang w:eastAsia="lv-LV"/>
        </w:rPr>
        <w:tab/>
      </w:r>
      <w:r w:rsidR="002A0EEA">
        <w:rPr>
          <w:rFonts w:eastAsia="Calibri" w:cs="Times New Roman"/>
          <w:sz w:val="28"/>
          <w:szCs w:val="28"/>
          <w:lang w:eastAsia="lv-LV"/>
        </w:rPr>
        <w:tab/>
      </w:r>
      <w:r w:rsidR="002A0EEA">
        <w:rPr>
          <w:rFonts w:eastAsia="Calibri" w:cs="Times New Roman"/>
          <w:sz w:val="28"/>
          <w:szCs w:val="28"/>
          <w:lang w:eastAsia="lv-LV"/>
        </w:rPr>
        <w:tab/>
      </w:r>
      <w:r w:rsidR="002A0EEA">
        <w:rPr>
          <w:rFonts w:eastAsia="Calibri" w:cs="Times New Roman"/>
          <w:sz w:val="28"/>
          <w:szCs w:val="28"/>
          <w:lang w:eastAsia="lv-LV"/>
        </w:rPr>
        <w:tab/>
      </w:r>
      <w:r w:rsidR="002A0EEA">
        <w:rPr>
          <w:rFonts w:eastAsia="Calibri" w:cs="Times New Roman"/>
          <w:sz w:val="28"/>
          <w:szCs w:val="28"/>
          <w:lang w:eastAsia="lv-LV"/>
        </w:rPr>
        <w:tab/>
      </w:r>
      <w:r w:rsidR="002A0EEA">
        <w:rPr>
          <w:rFonts w:eastAsia="Calibri" w:cs="Times New Roman"/>
          <w:sz w:val="28"/>
          <w:szCs w:val="28"/>
          <w:lang w:eastAsia="lv-LV"/>
        </w:rPr>
        <w:tab/>
        <w:t>K. Ozoliņš</w:t>
      </w:r>
    </w:p>
    <w:p w:rsidR="004D2D03" w:rsidRPr="004D2D03" w:rsidRDefault="004D2D03" w:rsidP="00C52D14">
      <w:pPr>
        <w:ind w:firstLine="684"/>
        <w:jc w:val="both"/>
        <w:rPr>
          <w:rFonts w:eastAsia="Calibri" w:cs="Times New Roman"/>
          <w:sz w:val="26"/>
          <w:szCs w:val="26"/>
          <w:lang w:eastAsia="lv-LV"/>
        </w:rPr>
      </w:pPr>
    </w:p>
    <w:p w:rsidR="004D2D03" w:rsidRPr="004D2D03" w:rsidRDefault="004D2D03" w:rsidP="00C52D14">
      <w:pPr>
        <w:jc w:val="both"/>
        <w:rPr>
          <w:rFonts w:eastAsia="Calibri" w:cs="Times New Roman"/>
          <w:sz w:val="26"/>
          <w:szCs w:val="26"/>
          <w:lang w:eastAsia="lv-LV"/>
        </w:rPr>
      </w:pPr>
    </w:p>
    <w:p w:rsidR="004D2D03" w:rsidRPr="004D2D03" w:rsidRDefault="002A0EEA" w:rsidP="00C52D14">
      <w:pPr>
        <w:jc w:val="both"/>
        <w:rPr>
          <w:rFonts w:eastAsia="Calibri" w:cs="Times New Roman"/>
          <w:sz w:val="20"/>
          <w:szCs w:val="20"/>
          <w:lang w:eastAsia="lv-LV"/>
        </w:rPr>
      </w:pPr>
      <w:r>
        <w:rPr>
          <w:rFonts w:eastAsia="Calibri" w:cs="Times New Roman"/>
          <w:sz w:val="20"/>
          <w:szCs w:val="20"/>
          <w:lang w:eastAsia="lv-LV"/>
        </w:rPr>
        <w:t>2013.07.15. 12:21</w:t>
      </w:r>
    </w:p>
    <w:p w:rsidR="00C52D14" w:rsidRPr="004D2D03" w:rsidRDefault="002A0EEA" w:rsidP="00C52D14">
      <w:pPr>
        <w:jc w:val="both"/>
        <w:rPr>
          <w:rFonts w:eastAsia="Calibri" w:cs="Times New Roman"/>
          <w:sz w:val="20"/>
          <w:szCs w:val="20"/>
          <w:lang w:eastAsia="lv-LV"/>
        </w:rPr>
      </w:pPr>
      <w:r>
        <w:rPr>
          <w:rFonts w:eastAsia="Calibri" w:cs="Times New Roman"/>
          <w:sz w:val="20"/>
          <w:szCs w:val="20"/>
          <w:lang w:eastAsia="lv-LV"/>
        </w:rPr>
        <w:fldChar w:fldCharType="begin"/>
      </w:r>
      <w:r>
        <w:rPr>
          <w:rFonts w:eastAsia="Calibri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eastAsia="Calibri" w:cs="Times New Roman"/>
          <w:sz w:val="20"/>
          <w:szCs w:val="20"/>
          <w:lang w:eastAsia="lv-LV"/>
        </w:rPr>
        <w:fldChar w:fldCharType="separate"/>
      </w:r>
      <w:r w:rsidR="00F00BB5">
        <w:rPr>
          <w:rFonts w:eastAsia="Calibri" w:cs="Times New Roman"/>
          <w:noProof/>
          <w:sz w:val="20"/>
          <w:szCs w:val="20"/>
          <w:lang w:eastAsia="lv-LV"/>
        </w:rPr>
        <w:t>236</w:t>
      </w:r>
      <w:r>
        <w:rPr>
          <w:rFonts w:eastAsia="Calibri" w:cs="Times New Roman"/>
          <w:sz w:val="20"/>
          <w:szCs w:val="20"/>
          <w:lang w:eastAsia="lv-LV"/>
        </w:rPr>
        <w:fldChar w:fldCharType="end"/>
      </w:r>
    </w:p>
    <w:p w:rsidR="00C52D14" w:rsidRPr="004D2D03" w:rsidRDefault="00C52D14" w:rsidP="00C52D14">
      <w:pPr>
        <w:jc w:val="both"/>
        <w:rPr>
          <w:rFonts w:eastAsia="Calibri" w:cs="Times New Roman"/>
          <w:sz w:val="20"/>
          <w:szCs w:val="20"/>
          <w:lang w:eastAsia="lv-LV"/>
        </w:rPr>
      </w:pPr>
      <w:r w:rsidRPr="004D2D03">
        <w:rPr>
          <w:rFonts w:eastAsia="Calibri" w:cs="Times New Roman"/>
          <w:sz w:val="20"/>
          <w:szCs w:val="20"/>
          <w:lang w:eastAsia="lv-LV"/>
        </w:rPr>
        <w:t>A. Granīta</w:t>
      </w:r>
    </w:p>
    <w:p w:rsidR="00315C54" w:rsidRPr="004D2D03" w:rsidRDefault="00C52D14" w:rsidP="00B557C6">
      <w:pPr>
        <w:jc w:val="both"/>
        <w:rPr>
          <w:sz w:val="20"/>
          <w:szCs w:val="20"/>
        </w:rPr>
      </w:pPr>
      <w:r w:rsidRPr="004D2D03">
        <w:rPr>
          <w:rFonts w:eastAsia="Calibri" w:cs="Times New Roman"/>
          <w:sz w:val="20"/>
          <w:szCs w:val="20"/>
          <w:lang w:eastAsia="lv-LV"/>
        </w:rPr>
        <w:t xml:space="preserve">67028157, </w:t>
      </w:r>
      <w:hyperlink r:id="rId7" w:history="1">
        <w:r w:rsidRPr="004D2D03">
          <w:rPr>
            <w:rFonts w:eastAsia="Calibri" w:cs="Times New Roman"/>
            <w:color w:val="0000FF"/>
            <w:sz w:val="20"/>
            <w:szCs w:val="20"/>
            <w:u w:val="single"/>
            <w:lang w:eastAsia="lv-LV"/>
          </w:rPr>
          <w:t>Andra.Granita@lvceli.lv</w:t>
        </w:r>
      </w:hyperlink>
      <w:r w:rsidRPr="004D2D03">
        <w:rPr>
          <w:rFonts w:eastAsia="Calibri" w:cs="Times New Roman"/>
          <w:sz w:val="20"/>
          <w:szCs w:val="20"/>
          <w:lang w:eastAsia="lv-LV"/>
        </w:rPr>
        <w:t xml:space="preserve"> </w:t>
      </w:r>
    </w:p>
    <w:sectPr w:rsidR="00315C54" w:rsidRPr="004D2D03" w:rsidSect="004D2D0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274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4D" w:rsidRDefault="00DE084D" w:rsidP="00C52D14">
      <w:r>
        <w:separator/>
      </w:r>
    </w:p>
  </w:endnote>
  <w:endnote w:type="continuationSeparator" w:id="0">
    <w:p w:rsidR="00DE084D" w:rsidRDefault="00DE084D" w:rsidP="00C5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DC" w:rsidRPr="0089315D" w:rsidRDefault="007D7FD0" w:rsidP="0028582E">
    <w:pPr>
      <w:jc w:val="both"/>
      <w:rPr>
        <w:sz w:val="20"/>
        <w:szCs w:val="20"/>
      </w:rPr>
    </w:pPr>
    <w:r w:rsidRPr="0089315D">
      <w:rPr>
        <w:sz w:val="20"/>
        <w:szCs w:val="20"/>
      </w:rPr>
      <w:t>SAMAnot_2</w:t>
    </w:r>
    <w:r w:rsidR="00F77784">
      <w:rPr>
        <w:sz w:val="20"/>
        <w:szCs w:val="20"/>
      </w:rPr>
      <w:t>9</w:t>
    </w:r>
    <w:r w:rsidRPr="0089315D">
      <w:rPr>
        <w:sz w:val="20"/>
        <w:szCs w:val="20"/>
      </w:rPr>
      <w:t>0413_euro</w:t>
    </w:r>
    <w:r w:rsidR="00C64105">
      <w:rPr>
        <w:sz w:val="20"/>
        <w:szCs w:val="20"/>
      </w:rPr>
      <w:t>_vert</w:t>
    </w:r>
    <w:r w:rsidRPr="0089315D">
      <w:rPr>
        <w:sz w:val="20"/>
        <w:szCs w:val="20"/>
      </w:rPr>
      <w:t>; Ministru kabineta noteikumu projekta „Grozījum</w:t>
    </w:r>
    <w:r>
      <w:rPr>
        <w:sz w:val="20"/>
        <w:szCs w:val="20"/>
      </w:rPr>
      <w:t>i</w:t>
    </w:r>
    <w:r w:rsidRPr="0089315D">
      <w:rPr>
        <w:sz w:val="20"/>
        <w:szCs w:val="20"/>
      </w:rPr>
      <w:t xml:space="preserve"> Ministru kabineta 2008. gada </w:t>
    </w:r>
    <w:r w:rsidR="00C52D14">
      <w:rPr>
        <w:sz w:val="20"/>
        <w:szCs w:val="20"/>
      </w:rPr>
      <w:t>7</w:t>
    </w:r>
    <w:r w:rsidRPr="0089315D">
      <w:rPr>
        <w:sz w:val="20"/>
        <w:szCs w:val="20"/>
      </w:rPr>
      <w:t xml:space="preserve">. </w:t>
    </w:r>
    <w:r w:rsidR="00C52D14">
      <w:rPr>
        <w:sz w:val="20"/>
        <w:szCs w:val="20"/>
      </w:rPr>
      <w:t>jūlija</w:t>
    </w:r>
    <w:r w:rsidRPr="0089315D">
      <w:rPr>
        <w:sz w:val="20"/>
        <w:szCs w:val="20"/>
      </w:rPr>
      <w:t xml:space="preserve"> noteikumos Nr. </w:t>
    </w:r>
    <w:r w:rsidR="00C52D14">
      <w:rPr>
        <w:sz w:val="20"/>
        <w:szCs w:val="20"/>
      </w:rPr>
      <w:t>504</w:t>
    </w:r>
    <w:r w:rsidRPr="0089315D">
      <w:rPr>
        <w:sz w:val="20"/>
        <w:szCs w:val="20"/>
      </w:rPr>
      <w:t xml:space="preserve"> „</w:t>
    </w:r>
    <w:r w:rsidRPr="0089315D">
      <w:rPr>
        <w:bCs/>
        <w:color w:val="000000"/>
        <w:sz w:val="20"/>
        <w:szCs w:val="20"/>
      </w:rPr>
      <w:t xml:space="preserve">Valsts </w:t>
    </w:r>
    <w:r w:rsidR="00C52D14">
      <w:rPr>
        <w:bCs/>
        <w:color w:val="000000"/>
        <w:sz w:val="20"/>
        <w:szCs w:val="20"/>
      </w:rPr>
      <w:t xml:space="preserve">autoceļu un pašvaldību ceļu vērtības noteikšanas </w:t>
    </w:r>
    <w:r w:rsidRPr="0089315D">
      <w:rPr>
        <w:bCs/>
        <w:color w:val="000000"/>
        <w:sz w:val="20"/>
        <w:szCs w:val="20"/>
      </w:rPr>
      <w:t>kārtība</w:t>
    </w:r>
    <w:r w:rsidRPr="0089315D">
      <w:rPr>
        <w:sz w:val="20"/>
        <w:szCs w:val="20"/>
      </w:rPr>
      <w:t xml:space="preserve">””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89315D">
        <w:rPr>
          <w:sz w:val="20"/>
          <w:szCs w:val="20"/>
        </w:rPr>
        <w:t>ziņojums</w:t>
      </w:r>
    </w:smartTag>
    <w:r w:rsidRPr="0089315D">
      <w:rPr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DC" w:rsidRPr="00C52D14" w:rsidRDefault="00C52D14" w:rsidP="00C52D14">
    <w:pPr>
      <w:jc w:val="both"/>
      <w:rPr>
        <w:sz w:val="20"/>
        <w:szCs w:val="20"/>
      </w:rPr>
    </w:pPr>
    <w:r w:rsidRPr="0089315D">
      <w:rPr>
        <w:sz w:val="20"/>
        <w:szCs w:val="20"/>
      </w:rPr>
      <w:t>SAMAnot_</w:t>
    </w:r>
    <w:r w:rsidR="002A0EEA">
      <w:rPr>
        <w:sz w:val="20"/>
        <w:szCs w:val="20"/>
      </w:rPr>
      <w:t>1507</w:t>
    </w:r>
    <w:r w:rsidRPr="0089315D">
      <w:rPr>
        <w:sz w:val="20"/>
        <w:szCs w:val="20"/>
      </w:rPr>
      <w:t>13_euro</w:t>
    </w:r>
    <w:r w:rsidR="00C64105">
      <w:rPr>
        <w:sz w:val="20"/>
        <w:szCs w:val="20"/>
      </w:rPr>
      <w:t>_vert</w:t>
    </w:r>
    <w:r w:rsidRPr="0089315D">
      <w:rPr>
        <w:sz w:val="20"/>
        <w:szCs w:val="20"/>
      </w:rPr>
      <w:t>; Ministru kabineta noteikumu projekta „Grozījum</w:t>
    </w:r>
    <w:r>
      <w:rPr>
        <w:sz w:val="20"/>
        <w:szCs w:val="20"/>
      </w:rPr>
      <w:t>i</w:t>
    </w:r>
    <w:r w:rsidRPr="0089315D">
      <w:rPr>
        <w:sz w:val="20"/>
        <w:szCs w:val="20"/>
      </w:rPr>
      <w:t xml:space="preserve"> Ministru kabineta 2008. gada </w:t>
    </w:r>
    <w:r>
      <w:rPr>
        <w:sz w:val="20"/>
        <w:szCs w:val="20"/>
      </w:rPr>
      <w:t>7</w:t>
    </w:r>
    <w:r w:rsidRPr="0089315D">
      <w:rPr>
        <w:sz w:val="20"/>
        <w:szCs w:val="20"/>
      </w:rPr>
      <w:t xml:space="preserve">. </w:t>
    </w:r>
    <w:r>
      <w:rPr>
        <w:sz w:val="20"/>
        <w:szCs w:val="20"/>
      </w:rPr>
      <w:t>jūlija</w:t>
    </w:r>
    <w:r w:rsidRPr="0089315D">
      <w:rPr>
        <w:sz w:val="20"/>
        <w:szCs w:val="20"/>
      </w:rPr>
      <w:t xml:space="preserve"> noteikumos Nr. </w:t>
    </w:r>
    <w:r>
      <w:rPr>
        <w:sz w:val="20"/>
        <w:szCs w:val="20"/>
      </w:rPr>
      <w:t>504</w:t>
    </w:r>
    <w:r w:rsidRPr="0089315D">
      <w:rPr>
        <w:sz w:val="20"/>
        <w:szCs w:val="20"/>
      </w:rPr>
      <w:t xml:space="preserve"> „</w:t>
    </w:r>
    <w:r w:rsidRPr="0089315D">
      <w:rPr>
        <w:bCs/>
        <w:color w:val="000000"/>
        <w:sz w:val="20"/>
        <w:szCs w:val="20"/>
      </w:rPr>
      <w:t xml:space="preserve">Valsts </w:t>
    </w:r>
    <w:r>
      <w:rPr>
        <w:bCs/>
        <w:color w:val="000000"/>
        <w:sz w:val="20"/>
        <w:szCs w:val="20"/>
      </w:rPr>
      <w:t xml:space="preserve">autoceļu un pašvaldību ceļu vērtības noteikšanas </w:t>
    </w:r>
    <w:r w:rsidRPr="0089315D">
      <w:rPr>
        <w:bCs/>
        <w:color w:val="000000"/>
        <w:sz w:val="20"/>
        <w:szCs w:val="20"/>
      </w:rPr>
      <w:t>kārtība</w:t>
    </w:r>
    <w:r w:rsidRPr="0089315D">
      <w:rPr>
        <w:sz w:val="20"/>
        <w:szCs w:val="20"/>
      </w:rPr>
      <w:t xml:space="preserve">””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89315D">
        <w:rPr>
          <w:sz w:val="20"/>
          <w:szCs w:val="20"/>
        </w:rPr>
        <w:t>ziņojums</w:t>
      </w:r>
    </w:smartTag>
    <w:r w:rsidRPr="0089315D">
      <w:rPr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4D" w:rsidRDefault="00DE084D" w:rsidP="00C52D14">
      <w:r>
        <w:separator/>
      </w:r>
    </w:p>
  </w:footnote>
  <w:footnote w:type="continuationSeparator" w:id="0">
    <w:p w:rsidR="00DE084D" w:rsidRDefault="00DE084D" w:rsidP="00C52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DC" w:rsidRDefault="007D7FD0" w:rsidP="002274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2ADC" w:rsidRDefault="00DE0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DC" w:rsidRPr="00C802BA" w:rsidRDefault="007D7FD0" w:rsidP="002274F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C802BA">
      <w:rPr>
        <w:rStyle w:val="PageNumber"/>
        <w:sz w:val="20"/>
        <w:szCs w:val="20"/>
      </w:rPr>
      <w:fldChar w:fldCharType="begin"/>
    </w:r>
    <w:r w:rsidRPr="00C802BA">
      <w:rPr>
        <w:rStyle w:val="PageNumber"/>
        <w:sz w:val="20"/>
        <w:szCs w:val="20"/>
      </w:rPr>
      <w:instrText xml:space="preserve">PAGE  </w:instrText>
    </w:r>
    <w:r w:rsidRPr="00C802BA">
      <w:rPr>
        <w:rStyle w:val="PageNumber"/>
        <w:sz w:val="20"/>
        <w:szCs w:val="20"/>
      </w:rPr>
      <w:fldChar w:fldCharType="separate"/>
    </w:r>
    <w:r w:rsidR="004D2D03">
      <w:rPr>
        <w:rStyle w:val="PageNumber"/>
        <w:noProof/>
        <w:sz w:val="20"/>
        <w:szCs w:val="20"/>
      </w:rPr>
      <w:t>2</w:t>
    </w:r>
    <w:r w:rsidRPr="00C802BA">
      <w:rPr>
        <w:rStyle w:val="PageNumber"/>
        <w:sz w:val="20"/>
        <w:szCs w:val="20"/>
      </w:rPr>
      <w:fldChar w:fldCharType="end"/>
    </w:r>
  </w:p>
  <w:p w:rsidR="00152ADC" w:rsidRDefault="00DE0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14"/>
    <w:rsid w:val="00211878"/>
    <w:rsid w:val="00272823"/>
    <w:rsid w:val="002A0EEA"/>
    <w:rsid w:val="00315C54"/>
    <w:rsid w:val="004D2D03"/>
    <w:rsid w:val="00565678"/>
    <w:rsid w:val="00565B4F"/>
    <w:rsid w:val="005E3237"/>
    <w:rsid w:val="005E53CC"/>
    <w:rsid w:val="006557FE"/>
    <w:rsid w:val="006773A4"/>
    <w:rsid w:val="00700373"/>
    <w:rsid w:val="007974BD"/>
    <w:rsid w:val="007D621A"/>
    <w:rsid w:val="007D7FD0"/>
    <w:rsid w:val="00A42598"/>
    <w:rsid w:val="00B557C6"/>
    <w:rsid w:val="00BE1FCC"/>
    <w:rsid w:val="00C52D14"/>
    <w:rsid w:val="00C64105"/>
    <w:rsid w:val="00C73A3D"/>
    <w:rsid w:val="00DE084D"/>
    <w:rsid w:val="00F00BB5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2D14"/>
    <w:pPr>
      <w:tabs>
        <w:tab w:val="center" w:pos="4153"/>
        <w:tab w:val="right" w:pos="8306"/>
      </w:tabs>
      <w:ind w:firstLine="720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52D14"/>
    <w:rPr>
      <w:rFonts w:eastAsia="Calibri" w:cs="Times New Roman"/>
    </w:rPr>
  </w:style>
  <w:style w:type="character" w:styleId="PageNumber">
    <w:name w:val="page number"/>
    <w:uiPriority w:val="99"/>
    <w:rsid w:val="00C52D1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52D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2D14"/>
    <w:pPr>
      <w:tabs>
        <w:tab w:val="center" w:pos="4153"/>
        <w:tab w:val="right" w:pos="8306"/>
      </w:tabs>
      <w:ind w:firstLine="720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52D14"/>
    <w:rPr>
      <w:rFonts w:eastAsia="Calibri" w:cs="Times New Roman"/>
    </w:rPr>
  </w:style>
  <w:style w:type="character" w:styleId="PageNumber">
    <w:name w:val="page number"/>
    <w:uiPriority w:val="99"/>
    <w:rsid w:val="00C52D1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52D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a.Granita@lvceli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„Grozījums Ministru kabineta 2008. gada 7. jūlija noteikumos Nr. 504 „Valsts autoceļu un pašvaldību ceļu vērtības noteikšanas kārtība”” sākotnējās ietekmes novērtējuma ziņojums (anotācija)</vt:lpstr>
    </vt:vector>
  </TitlesOfParts>
  <Manager>A.Driksna</Manager>
  <Company>Satiksmes ministrija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2008. gada 7. jūlija noteikumos Nr. 504 „Valsts autoceļu un pašvaldību ceļu vērtības noteikšanas kārtība”</dc:title>
  <dc:subject>Anotācija</dc:subject>
  <dc:creator>Andra Granīta</dc:creator>
  <dc:description>A. Granīta
67028157, Andra.Granita@lvceli.lv
A.Driksna
67028020
Agnis.driksna@sam.gov.lv</dc:description>
  <cp:lastModifiedBy>Baiba Šterna</cp:lastModifiedBy>
  <cp:revision>2</cp:revision>
  <dcterms:created xsi:type="dcterms:W3CDTF">2013-08-09T11:04:00Z</dcterms:created>
  <dcterms:modified xsi:type="dcterms:W3CDTF">2013-08-09T11:04:00Z</dcterms:modified>
</cp:coreProperties>
</file>