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5E" w:rsidRPr="002E455E" w:rsidRDefault="004D70CE" w:rsidP="002E45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5E">
        <w:rPr>
          <w:rFonts w:ascii="Times New Roman" w:hAnsi="Times New Roman" w:cs="Times New Roman"/>
          <w:b/>
          <w:sz w:val="28"/>
          <w:szCs w:val="28"/>
        </w:rPr>
        <w:t>Ministru kabineta n</w:t>
      </w:r>
      <w:r w:rsidR="002E455E" w:rsidRPr="002E455E">
        <w:rPr>
          <w:rFonts w:ascii="Times New Roman" w:hAnsi="Times New Roman" w:cs="Times New Roman"/>
          <w:b/>
          <w:sz w:val="28"/>
          <w:szCs w:val="28"/>
        </w:rPr>
        <w:t>oteikumu projekta</w:t>
      </w:r>
    </w:p>
    <w:p w:rsidR="00E16A0C" w:rsidRDefault="00446D0F" w:rsidP="002E45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55E">
        <w:rPr>
          <w:rFonts w:ascii="Times New Roman" w:hAnsi="Times New Roman" w:cs="Times New Roman"/>
          <w:b/>
          <w:sz w:val="28"/>
          <w:szCs w:val="28"/>
        </w:rPr>
        <w:t>„Klasifikācijas sabiedrību (atzīto organizāciju) uzraudzības kārtība” sākotnējās ietekmes novērtējuma ziņojums (anotācija)</w:t>
      </w:r>
    </w:p>
    <w:p w:rsidR="002E455E" w:rsidRPr="002E455E" w:rsidRDefault="002E455E" w:rsidP="002E455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39" w:type="dxa"/>
        <w:tblLook w:val="04A0"/>
      </w:tblPr>
      <w:tblGrid>
        <w:gridCol w:w="675"/>
        <w:gridCol w:w="3261"/>
        <w:gridCol w:w="5103"/>
      </w:tblGrid>
      <w:tr w:rsidR="00FA5EE9" w:rsidRPr="000C5000" w:rsidTr="00310342">
        <w:tc>
          <w:tcPr>
            <w:tcW w:w="9039" w:type="dxa"/>
            <w:gridSpan w:val="3"/>
          </w:tcPr>
          <w:p w:rsidR="00FA5EE9" w:rsidRPr="000C5000" w:rsidRDefault="00146267" w:rsidP="00146267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AE4A25"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EE9"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izstrādes nepieciešamība</w:t>
            </w:r>
          </w:p>
        </w:tc>
      </w:tr>
      <w:tr w:rsidR="00FA5EE9" w:rsidRPr="000C5000" w:rsidTr="00403F61">
        <w:tc>
          <w:tcPr>
            <w:tcW w:w="675" w:type="dxa"/>
          </w:tcPr>
          <w:p w:rsidR="00FA5EE9" w:rsidRPr="000C5000" w:rsidRDefault="00D371AC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0342"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FA5EE9" w:rsidRPr="000C5000" w:rsidRDefault="00D371AC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Pamatojums</w:t>
            </w:r>
          </w:p>
          <w:p w:rsidR="000809BB" w:rsidRPr="000C5000" w:rsidRDefault="000809BB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F7E4C" w:rsidRDefault="00AF7E4C" w:rsidP="0008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Deklarācijā par Ministru kabineta iecerēto darbību 2.5.punktā ietvertais uzdevums vienkāršot valsts un pašvaldību pakalpojumu procedūras, samazinot administratīvo slogu.</w:t>
            </w:r>
          </w:p>
          <w:p w:rsidR="004700AF" w:rsidRPr="000C5000" w:rsidRDefault="00087FF5" w:rsidP="0008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Jūrlietu pārvaldes un jūras drošības likuma 18.panta ceturtā daļa</w:t>
            </w:r>
            <w:r w:rsidR="002E4FE5"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792F" w:rsidRPr="000C5000" w:rsidRDefault="004700AF" w:rsidP="00AF7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Eiropas Parlamenta un Padomes 2009.gada 23.aprīļa Direktīvas 2009/15/EK par kopīgiem noteikumiem un standartiem attiecībā uz organizācijām, kas pilnvarotas veikt kuģu inspekcijas un apskates, un attiecīgajām darbībām, kuras veic valsts administrācijas jūras lietu jomā (turpmāk</w:t>
            </w:r>
            <w:r w:rsidR="00D90D7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tekstā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– Direktīva</w:t>
            </w:r>
            <w:r w:rsidR="00F3708D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2009/15/EK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) 13.panta 1.punkts.</w:t>
            </w:r>
          </w:p>
        </w:tc>
      </w:tr>
      <w:tr w:rsidR="000809BB" w:rsidRPr="000C5000" w:rsidTr="00403F61">
        <w:tc>
          <w:tcPr>
            <w:tcW w:w="675" w:type="dxa"/>
          </w:tcPr>
          <w:p w:rsidR="000809BB" w:rsidRPr="000C5000" w:rsidRDefault="00310342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0809BB" w:rsidRPr="000C5000" w:rsidRDefault="00310342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Pašreizējā situācija un problēmas</w:t>
            </w:r>
          </w:p>
        </w:tc>
        <w:tc>
          <w:tcPr>
            <w:tcW w:w="5103" w:type="dxa"/>
          </w:tcPr>
          <w:p w:rsidR="001F7290" w:rsidRPr="000C5000" w:rsidRDefault="004F2E06" w:rsidP="00A34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C17057" w:rsidRPr="000C50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B3D24" w:rsidRPr="000C50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7057" w:rsidRPr="000C5000">
              <w:rPr>
                <w:rFonts w:ascii="Times New Roman" w:hAnsi="Times New Roman" w:cs="Times New Roman"/>
                <w:sz w:val="24"/>
                <w:szCs w:val="24"/>
              </w:rPr>
              <w:t>šr</w:t>
            </w:r>
            <w:r w:rsidR="0075772B" w:rsidRPr="000C5000">
              <w:rPr>
                <w:rFonts w:ascii="Times New Roman" w:hAnsi="Times New Roman" w:cs="Times New Roman"/>
                <w:sz w:val="24"/>
                <w:szCs w:val="24"/>
              </w:rPr>
              <w:t>eiz klasifikācijas sabiedrību (atzīto organizāciju) uzraudzību</w:t>
            </w:r>
            <w:r w:rsidR="00312799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nosaka </w:t>
            </w:r>
            <w:r w:rsidR="00FB3D2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>2006.gada 9.maija noteikumi</w:t>
            </w:r>
            <w:r w:rsidR="00403F61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Nr. 373 „Klasifikācijas sabiedrību (atzīto organizāciju) uzraudzības kārtība”</w:t>
            </w:r>
            <w:r w:rsidR="007F0B1B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(turpmāk</w:t>
            </w:r>
            <w:r w:rsidR="00D90D7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tekstā</w:t>
            </w:r>
            <w:r w:rsidR="007F0B1B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– spēkā esošie noteikumi)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. Saskaņā ar </w:t>
            </w:r>
            <w:r w:rsidR="00BD6CF6" w:rsidRPr="000C5000">
              <w:rPr>
                <w:rFonts w:ascii="Times New Roman" w:hAnsi="Times New Roman" w:cs="Times New Roman"/>
                <w:sz w:val="24"/>
                <w:szCs w:val="24"/>
              </w:rPr>
              <w:t>Direktīvas</w:t>
            </w:r>
            <w:r w:rsidR="006E4EEB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2009/15/EK</w:t>
            </w:r>
            <w:r w:rsidR="00B36AF5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13.pantu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, Eiropas Savienības dalībvalstīm līdz 2011.gada 17.jūnijam jātransponē </w:t>
            </w:r>
            <w:r w:rsidR="009049E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nacionālajos 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>normatīvajos aktos Direktīvas 2009/15/EK</w:t>
            </w:r>
            <w:r w:rsidR="00F40E42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tiesību </w:t>
            </w:r>
            <w:r w:rsidR="00347A5C" w:rsidRPr="000C5000">
              <w:rPr>
                <w:rFonts w:ascii="Times New Roman" w:hAnsi="Times New Roman" w:cs="Times New Roman"/>
                <w:sz w:val="24"/>
                <w:szCs w:val="24"/>
              </w:rPr>
              <w:t>normas.</w:t>
            </w:r>
            <w:r w:rsidR="00A23E95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0576" w:rsidRPr="000C5000">
              <w:rPr>
                <w:rFonts w:ascii="Times New Roman" w:hAnsi="Times New Roman" w:cs="Times New Roman"/>
                <w:sz w:val="24"/>
                <w:szCs w:val="24"/>
              </w:rPr>
              <w:t>Tāpēc s</w:t>
            </w:r>
            <w:r w:rsidR="007F0B1B" w:rsidRPr="000C5000">
              <w:rPr>
                <w:rFonts w:ascii="Times New Roman" w:hAnsi="Times New Roman" w:cs="Times New Roman"/>
                <w:sz w:val="24"/>
                <w:szCs w:val="24"/>
              </w:rPr>
              <w:t>pēkā esošos n</w:t>
            </w:r>
            <w:r w:rsidR="00A23E95" w:rsidRPr="000C5000">
              <w:rPr>
                <w:rFonts w:ascii="Times New Roman" w:hAnsi="Times New Roman" w:cs="Times New Roman"/>
                <w:sz w:val="24"/>
                <w:szCs w:val="24"/>
              </w:rPr>
              <w:t>oteikumus nepieciešams papildināt ar Direktīvas 2009/15/EK tiesību normām.</w:t>
            </w:r>
          </w:p>
          <w:p w:rsidR="00604525" w:rsidRPr="00550EC2" w:rsidRDefault="004F2E06" w:rsidP="0056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1F7290" w:rsidRPr="000C5000">
              <w:rPr>
                <w:rFonts w:ascii="Times New Roman" w:hAnsi="Times New Roman" w:cs="Times New Roman"/>
                <w:sz w:val="24"/>
                <w:szCs w:val="24"/>
              </w:rPr>
              <w:t>Atbilstoši spēkā esošajiem noteikumiem,</w:t>
            </w:r>
            <w:r w:rsidR="007E26C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Satiksmes ministrija izsniedz klasifikācijas sabiedrībai (atzītajai organizācijai) atbilstības sertifikātu</w:t>
            </w:r>
            <w:r w:rsidR="008A1980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, un </w:t>
            </w:r>
            <w:r w:rsidR="001F7290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šo sabiedrību </w:t>
            </w:r>
            <w:r w:rsidR="008A1980" w:rsidRPr="000C5000">
              <w:rPr>
                <w:rFonts w:ascii="Times New Roman" w:hAnsi="Times New Roman" w:cs="Times New Roman"/>
                <w:sz w:val="24"/>
                <w:szCs w:val="24"/>
              </w:rPr>
              <w:t>uzraudzību veic Latvijas Jūras administrācija.</w:t>
            </w:r>
            <w:r w:rsidR="007E26C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19F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Lai </w:t>
            </w:r>
            <w:r w:rsidR="004A5D7B" w:rsidRPr="000C5000">
              <w:rPr>
                <w:rFonts w:ascii="Times New Roman" w:hAnsi="Times New Roman" w:cs="Times New Roman"/>
                <w:sz w:val="24"/>
                <w:szCs w:val="24"/>
              </w:rPr>
              <w:t>īstenotu</w:t>
            </w:r>
            <w:r w:rsidR="002F24CD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vienas pieturas aģentūras ideju iestādē, </w:t>
            </w:r>
            <w:r w:rsidR="0061121D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klasifikācijas </w:t>
            </w:r>
            <w:r w:rsidR="002F24CD" w:rsidRPr="000C5000">
              <w:rPr>
                <w:rFonts w:ascii="Times New Roman" w:hAnsi="Times New Roman" w:cs="Times New Roman"/>
                <w:sz w:val="24"/>
                <w:szCs w:val="24"/>
              </w:rPr>
              <w:t>sabiedrību</w:t>
            </w:r>
            <w:r w:rsidR="0061121D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(atzīto organizāciju) </w:t>
            </w:r>
            <w:r w:rsidR="002F24CD" w:rsidRPr="000C5000">
              <w:rPr>
                <w:rFonts w:ascii="Times New Roman" w:hAnsi="Times New Roman" w:cs="Times New Roman"/>
                <w:sz w:val="24"/>
                <w:szCs w:val="24"/>
              </w:rPr>
              <w:t>uzraudzību</w:t>
            </w:r>
            <w:r w:rsidR="008A1980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DC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turpmāk </w:t>
            </w:r>
            <w:r w:rsidR="008A1980" w:rsidRPr="000C5000">
              <w:rPr>
                <w:rFonts w:ascii="Times New Roman" w:hAnsi="Times New Roman" w:cs="Times New Roman"/>
                <w:sz w:val="24"/>
                <w:szCs w:val="24"/>
              </w:rPr>
              <w:t>varētu veikt vienas iestādes – Latvijas Jūras administrācijas – ietvaros.</w:t>
            </w:r>
            <w:r w:rsidR="00C46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8F9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Attiecīgas izmaiņas </w:t>
            </w:r>
            <w:r w:rsidR="00B61BC7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Satiksmes ministrijas kompetencē </w:t>
            </w:r>
            <w:r w:rsidR="0056315C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F508F9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veiktas </w:t>
            </w:r>
            <w:r w:rsidR="00B61BC7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F508F9" w:rsidRPr="000C5000">
              <w:rPr>
                <w:rFonts w:ascii="Times New Roman" w:hAnsi="Times New Roman" w:cs="Times New Roman"/>
                <w:sz w:val="24"/>
                <w:szCs w:val="24"/>
              </w:rPr>
              <w:t>Jūrlietu pārvaldes un jūras drošības likum</w:t>
            </w:r>
            <w:r w:rsidR="00C46E4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604525" w:rsidRPr="00550EC2">
              <w:rPr>
                <w:rFonts w:ascii="Times New Roman" w:hAnsi="Times New Roman" w:cs="Times New Roman"/>
                <w:sz w:val="24"/>
                <w:szCs w:val="24"/>
              </w:rPr>
              <w:t>(turpmāk – JPJDL)</w:t>
            </w:r>
            <w:r w:rsidR="00604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E4E">
              <w:rPr>
                <w:rFonts w:ascii="Times New Roman" w:hAnsi="Times New Roman" w:cs="Times New Roman"/>
                <w:sz w:val="24"/>
                <w:szCs w:val="24"/>
              </w:rPr>
              <w:t xml:space="preserve">grozījumu </w:t>
            </w:r>
            <w:r w:rsidR="00B61BC7" w:rsidRPr="000C5000">
              <w:rPr>
                <w:rFonts w:ascii="Times New Roman" w:hAnsi="Times New Roman" w:cs="Times New Roman"/>
                <w:sz w:val="24"/>
                <w:szCs w:val="24"/>
              </w:rPr>
              <w:t>projektu,</w:t>
            </w:r>
            <w:r w:rsidR="00514B2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8EB" w:rsidRPr="000C5000">
              <w:rPr>
                <w:rFonts w:ascii="Times New Roman" w:hAnsi="Times New Roman" w:cs="Times New Roman"/>
                <w:sz w:val="24"/>
                <w:szCs w:val="24"/>
              </w:rPr>
              <w:t>kas</w:t>
            </w:r>
            <w:r w:rsidR="00514B2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C1A" w:rsidRPr="000C5000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514B2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, ka Satiksmes ministrija vairs neizsniegs </w:t>
            </w:r>
            <w:r w:rsidR="005C549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klasifikācijas sabiedrībām (atzītajām organizācijām) </w:t>
            </w:r>
            <w:r w:rsidR="00514B2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atbilstības sertifikātu. </w:t>
            </w:r>
            <w:r w:rsidR="008E2626" w:rsidRPr="00550EC2">
              <w:rPr>
                <w:rFonts w:ascii="Times New Roman" w:hAnsi="Times New Roman" w:cs="Times New Roman"/>
                <w:sz w:val="24"/>
                <w:szCs w:val="24"/>
              </w:rPr>
              <w:t xml:space="preserve">JPJDL </w:t>
            </w:r>
            <w:r w:rsidR="008E2626" w:rsidRPr="00550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grozījumu projekts izsludināts š</w:t>
            </w:r>
            <w:r w:rsidR="00BC4A78" w:rsidRPr="00550EC2">
              <w:rPr>
                <w:rFonts w:ascii="Times New Roman" w:hAnsi="Times New Roman" w:cs="Times New Roman"/>
                <w:sz w:val="24"/>
                <w:szCs w:val="24"/>
              </w:rPr>
              <w:t>ā gada</w:t>
            </w:r>
            <w:r w:rsidR="008E2626" w:rsidRPr="00550EC2">
              <w:rPr>
                <w:rFonts w:ascii="Times New Roman" w:hAnsi="Times New Roman" w:cs="Times New Roman"/>
                <w:sz w:val="24"/>
                <w:szCs w:val="24"/>
              </w:rPr>
              <w:t xml:space="preserve"> 10.februāra Valsts sekretāru sanāksmē (VSS-140)</w:t>
            </w:r>
            <w:r w:rsidR="004778F5" w:rsidRPr="00550E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C4A78" w:rsidRPr="00550EC2">
              <w:rPr>
                <w:rFonts w:ascii="Times New Roman" w:hAnsi="Times New Roman" w:cs="Times New Roman"/>
                <w:sz w:val="24"/>
                <w:szCs w:val="24"/>
              </w:rPr>
              <w:t xml:space="preserve">un šā gada </w:t>
            </w:r>
            <w:r w:rsidR="008E2626" w:rsidRPr="00550EC2">
              <w:rPr>
                <w:rFonts w:ascii="Times New Roman" w:hAnsi="Times New Roman" w:cs="Times New Roman"/>
                <w:sz w:val="24"/>
                <w:szCs w:val="24"/>
              </w:rPr>
              <w:t>1.aprīlī saskaņotais JPJDL grozījumu projekts iesniegts Valsts kancelejā.</w:t>
            </w:r>
          </w:p>
          <w:p w:rsidR="004A2E29" w:rsidRPr="000C5000" w:rsidRDefault="004A2E29" w:rsidP="00563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9BB" w:rsidRPr="000C5000" w:rsidTr="00403F61">
        <w:tc>
          <w:tcPr>
            <w:tcW w:w="675" w:type="dxa"/>
          </w:tcPr>
          <w:p w:rsidR="000809BB" w:rsidRPr="000C5000" w:rsidRDefault="00497A43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261" w:type="dxa"/>
          </w:tcPr>
          <w:p w:rsidR="000809BB" w:rsidRPr="000C5000" w:rsidRDefault="00497A43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Saistītie politikas ietekmes novērtējumi un pētījumi</w:t>
            </w:r>
          </w:p>
        </w:tc>
        <w:tc>
          <w:tcPr>
            <w:tcW w:w="5103" w:type="dxa"/>
          </w:tcPr>
          <w:p w:rsidR="008456BC" w:rsidRPr="000C5000" w:rsidRDefault="004A2E29" w:rsidP="00FA5EE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Projekts šo jomu neskar.</w:t>
            </w:r>
          </w:p>
          <w:p w:rsidR="008456BC" w:rsidRPr="000C5000" w:rsidRDefault="008456BC" w:rsidP="00FA5E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97A43" w:rsidRPr="000C5000" w:rsidTr="00403F61">
        <w:tc>
          <w:tcPr>
            <w:tcW w:w="675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61" w:type="dxa"/>
          </w:tcPr>
          <w:p w:rsidR="00497A43" w:rsidRPr="000C5000" w:rsidRDefault="00497A43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Tiesiskā regulējuma mērķis un būtība</w:t>
            </w:r>
          </w:p>
        </w:tc>
        <w:tc>
          <w:tcPr>
            <w:tcW w:w="5103" w:type="dxa"/>
          </w:tcPr>
          <w:p w:rsidR="00C44D99" w:rsidRPr="000C5000" w:rsidRDefault="00C44D99" w:rsidP="00C4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projekts papildina un precizē pašreiz spēkā esošo</w:t>
            </w:r>
            <w:r w:rsidR="007F0B1B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noteikumu</w:t>
            </w:r>
            <w:r w:rsidR="0030248F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tiesību normas atbilstoši </w:t>
            </w:r>
            <w:r w:rsidR="00D92392" w:rsidRPr="000C5000">
              <w:rPr>
                <w:rFonts w:ascii="Times New Roman" w:hAnsi="Times New Roman" w:cs="Times New Roman"/>
                <w:sz w:val="24"/>
                <w:szCs w:val="24"/>
              </w:rPr>
              <w:t>Direktīv</w:t>
            </w:r>
            <w:r w:rsidR="00780DFA" w:rsidRPr="000C5000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2009/15/EK</w:t>
            </w:r>
            <w:r w:rsidR="00780DF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tiesību normām.</w:t>
            </w:r>
          </w:p>
          <w:p w:rsidR="002D1F51" w:rsidRPr="000C5000" w:rsidRDefault="002D1F51" w:rsidP="00C4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projekts </w:t>
            </w:r>
            <w:r w:rsidR="00780DF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arī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vairs neparedz Satiksmes ministrijai izdot atbilstības sertifikātu klasifikācijas sabied</w:t>
            </w:r>
            <w:r w:rsidR="006D4CD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rībām (atzītajām organizācijām), tādējādi turpmāk klasifikācijas sabiedrību (atzīto organizāciju) uzraudzība </w:t>
            </w:r>
            <w:r w:rsidR="002B5E50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tiks īstenota </w:t>
            </w:r>
            <w:r w:rsidR="006D4CD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vienas iestādes – Latvijas Jūras administrācijas – ietvaros, </w:t>
            </w:r>
            <w:r w:rsidR="00214E53" w:rsidRPr="000C5000">
              <w:rPr>
                <w:rFonts w:ascii="Times New Roman" w:hAnsi="Times New Roman" w:cs="Times New Roman"/>
                <w:sz w:val="24"/>
                <w:szCs w:val="24"/>
              </w:rPr>
              <w:t>ar ko</w:t>
            </w:r>
            <w:r w:rsidR="006D4CD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savukārt </w:t>
            </w:r>
            <w:r w:rsidR="00214E53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tiks </w:t>
            </w:r>
            <w:r w:rsidR="00A3000D" w:rsidRPr="000C5000">
              <w:rPr>
                <w:rFonts w:ascii="Times New Roman" w:hAnsi="Times New Roman" w:cs="Times New Roman"/>
                <w:sz w:val="24"/>
                <w:szCs w:val="24"/>
              </w:rPr>
              <w:t>īsteno</w:t>
            </w:r>
            <w:r w:rsidR="00214E53" w:rsidRPr="000C5000">
              <w:rPr>
                <w:rFonts w:ascii="Times New Roman" w:hAnsi="Times New Roman" w:cs="Times New Roman"/>
                <w:sz w:val="24"/>
                <w:szCs w:val="24"/>
              </w:rPr>
              <w:t>ta ideja</w:t>
            </w:r>
            <w:r w:rsidR="000C01A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par vienas pieturas aģentūru iestādē.</w:t>
            </w:r>
          </w:p>
          <w:p w:rsidR="00831738" w:rsidRDefault="00C44D99" w:rsidP="00C44D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tiesību normu, kurās izdarāmi grozījumi, apjoms pārsniedz pusi no spēkā esošo noteikumu tiesību normu apjoma, pamatojoties uz Ministru kabineta 2009.gada 3.februāra noteikumu Nr. 108 „Normatīvo aktu </w:t>
            </w:r>
            <w:r w:rsidR="00E62F16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projektu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sagatavošanas noteikumi” 140.punktu, ir sagatavots jauns noteikumu projekts.</w:t>
            </w:r>
          </w:p>
          <w:p w:rsidR="00E31E91" w:rsidRPr="000C5000" w:rsidRDefault="00E31E91" w:rsidP="00C44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A43" w:rsidRPr="000C5000" w:rsidTr="00403F61">
        <w:tc>
          <w:tcPr>
            <w:tcW w:w="675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1" w:type="dxa"/>
          </w:tcPr>
          <w:p w:rsidR="00497A43" w:rsidRPr="000C5000" w:rsidRDefault="00497A43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5103" w:type="dxa"/>
          </w:tcPr>
          <w:p w:rsidR="001B762F" w:rsidRDefault="0014151E" w:rsidP="001B7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504047" w:rsidRPr="000C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alsts akciju sabiedrība „Latvijas Jūras administrācija”</w:t>
            </w:r>
            <w:r w:rsidR="004D3849" w:rsidRPr="000C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E31E91" w:rsidRPr="000C5000" w:rsidRDefault="00E31E91" w:rsidP="001B76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7A43" w:rsidRPr="000C5000" w:rsidTr="00403F61">
        <w:tc>
          <w:tcPr>
            <w:tcW w:w="675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61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Iemesli, kādēļ netika nodrošināta sabiedrības līdzdalība</w:t>
            </w:r>
          </w:p>
        </w:tc>
        <w:tc>
          <w:tcPr>
            <w:tcW w:w="5103" w:type="dxa"/>
          </w:tcPr>
          <w:p w:rsidR="00497A43" w:rsidRPr="000C5000" w:rsidRDefault="00273852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97A43" w:rsidRPr="000C5000" w:rsidTr="00403F61">
        <w:tc>
          <w:tcPr>
            <w:tcW w:w="675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1" w:type="dxa"/>
          </w:tcPr>
          <w:p w:rsidR="00497A43" w:rsidRPr="000C5000" w:rsidRDefault="00497A43" w:rsidP="0049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103" w:type="dxa"/>
          </w:tcPr>
          <w:p w:rsidR="005777A7" w:rsidRDefault="005777A7" w:rsidP="004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4A2741">
              <w:rPr>
                <w:rFonts w:ascii="Times New Roman" w:hAnsi="Times New Roman" w:cs="Times New Roman"/>
                <w:sz w:val="24"/>
                <w:szCs w:val="24"/>
              </w:rPr>
              <w:t xml:space="preserve"> šo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projektu un </w:t>
            </w:r>
            <w:r w:rsidR="004A2741">
              <w:rPr>
                <w:rFonts w:ascii="Times New Roman" w:hAnsi="Times New Roman" w:cs="Times New Roman"/>
                <w:sz w:val="24"/>
                <w:szCs w:val="24"/>
              </w:rPr>
              <w:t xml:space="preserve">Jūrlietu pārvaldes un jūras drošības likumu tiek pilnībā pārņemtas </w:t>
            </w:r>
            <w:r w:rsidR="004A2741"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</w:t>
            </w:r>
            <w:r w:rsidR="004A2741">
              <w:rPr>
                <w:rFonts w:ascii="Times New Roman" w:hAnsi="Times New Roman" w:cs="Times New Roman"/>
                <w:sz w:val="24"/>
                <w:szCs w:val="24"/>
              </w:rPr>
              <w:t xml:space="preserve"> tiesību normas</w:t>
            </w:r>
            <w:r w:rsidR="004A2741"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7A7" w:rsidRPr="000C5000" w:rsidRDefault="005777A7" w:rsidP="004A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E3D" w:rsidRDefault="00803E3D" w:rsidP="00FA5EE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39" w:type="dxa"/>
        <w:tblLook w:val="04A0"/>
      </w:tblPr>
      <w:tblGrid>
        <w:gridCol w:w="675"/>
        <w:gridCol w:w="3261"/>
        <w:gridCol w:w="5103"/>
      </w:tblGrid>
      <w:tr w:rsidR="00146267" w:rsidRPr="000C5000" w:rsidTr="00AE4A25">
        <w:tc>
          <w:tcPr>
            <w:tcW w:w="9039" w:type="dxa"/>
            <w:gridSpan w:val="3"/>
          </w:tcPr>
          <w:p w:rsidR="00146267" w:rsidRPr="000C5000" w:rsidRDefault="00146267" w:rsidP="00146267">
            <w:pPr>
              <w:pStyle w:val="ListParagraph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="00AE4A25"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ietekme uz sabiedrību</w:t>
            </w: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AE4A25" w:rsidP="00AE4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E4A25" w:rsidRPr="000C5000" w:rsidRDefault="00AE4A25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Sabiedrības </w:t>
            </w:r>
            <w:proofErr w:type="spellStart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mērķgrupa</w:t>
            </w:r>
            <w:proofErr w:type="spellEnd"/>
          </w:p>
        </w:tc>
        <w:tc>
          <w:tcPr>
            <w:tcW w:w="5103" w:type="dxa"/>
          </w:tcPr>
          <w:p w:rsidR="004158AC" w:rsidRDefault="001521FC" w:rsidP="0095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Klasifikācijas sabiedrības (atzītās organizācijas)</w:t>
            </w:r>
            <w:r w:rsidR="0010363B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(to skaits ir 6).</w:t>
            </w:r>
          </w:p>
          <w:p w:rsidR="00E31E91" w:rsidRPr="000C5000" w:rsidRDefault="00E31E91" w:rsidP="00957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4158AC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E4A25" w:rsidRPr="000C5000" w:rsidRDefault="004158AC" w:rsidP="00415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Citas sabiedrības grupas (bez </w:t>
            </w:r>
            <w:proofErr w:type="spellStart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mērķgrupas</w:t>
            </w:r>
            <w:proofErr w:type="spellEnd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), kuras tiesiskais regulējums arī ietekmē vai varētu ietekmēt</w:t>
            </w:r>
            <w:r w:rsidR="003C1CD5"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AE4A25" w:rsidRPr="000C5000" w:rsidRDefault="00F67F31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Tiesiskā regulējuma finansiālā ietekme</w:t>
            </w:r>
          </w:p>
        </w:tc>
        <w:tc>
          <w:tcPr>
            <w:tcW w:w="5103" w:type="dxa"/>
          </w:tcPr>
          <w:p w:rsidR="00121FDE" w:rsidRPr="000C5000" w:rsidRDefault="00F67F31" w:rsidP="002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61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Tiesiskā regulējuma nefinansiālā ietekme</w:t>
            </w:r>
          </w:p>
        </w:tc>
        <w:tc>
          <w:tcPr>
            <w:tcW w:w="5103" w:type="dxa"/>
          </w:tcPr>
          <w:p w:rsidR="00902ACC" w:rsidRPr="000C5000" w:rsidRDefault="00B20FD5" w:rsidP="00CF3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projekts nodrošinās klasifikācijas sabiedrību (atzīto organizāciju) uzraudzību</w:t>
            </w:r>
            <w:r w:rsidR="00BC0833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, tai skaitā, </w:t>
            </w:r>
            <w:r w:rsidR="001B3D07" w:rsidRPr="000C5000">
              <w:rPr>
                <w:rFonts w:ascii="Times New Roman" w:hAnsi="Times New Roman" w:cs="Times New Roman"/>
                <w:sz w:val="24"/>
                <w:szCs w:val="24"/>
              </w:rPr>
              <w:t>šīm sabiedrībām izvirzīto prasību atbilstību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Eiropas Savienības </w:t>
            </w:r>
            <w:r w:rsidR="00B47FAE" w:rsidRPr="000C5000">
              <w:rPr>
                <w:rFonts w:ascii="Times New Roman" w:hAnsi="Times New Roman" w:cs="Times New Roman"/>
                <w:sz w:val="24"/>
                <w:szCs w:val="24"/>
              </w:rPr>
              <w:t>tiesību aktu prasībām.</w:t>
            </w: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Administratīvās procedūras raksturojums</w:t>
            </w:r>
          </w:p>
        </w:tc>
        <w:tc>
          <w:tcPr>
            <w:tcW w:w="5103" w:type="dxa"/>
          </w:tcPr>
          <w:p w:rsidR="00AE4A25" w:rsidRDefault="00E77419" w:rsidP="0054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Tā kā</w:t>
            </w:r>
            <w:r w:rsidR="00A439CE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projekts vairs neparedz Satiksmes ministrijai izdot atbilstības sertifikātu</w:t>
            </w:r>
            <w:r w:rsidR="0054233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klasifikācijas sabiedrībām (atzītajām organizācijām)</w:t>
            </w:r>
            <w:r w:rsidR="005B3DF9" w:rsidRPr="000C5000">
              <w:rPr>
                <w:rFonts w:ascii="Times New Roman" w:hAnsi="Times New Roman" w:cs="Times New Roman"/>
                <w:sz w:val="24"/>
                <w:szCs w:val="24"/>
              </w:rPr>
              <w:t>, kā tas paredzēts spēkā esošajos</w:t>
            </w:r>
            <w:r w:rsidR="00902ACC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noteikumos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5351F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tiks atvieglotas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administratīvās procedūras</w:t>
            </w:r>
            <w:r w:rsidR="00FF43EF" w:rsidRPr="000C5000">
              <w:rPr>
                <w:rFonts w:ascii="Times New Roman" w:hAnsi="Times New Roman" w:cs="Times New Roman"/>
                <w:sz w:val="24"/>
                <w:szCs w:val="24"/>
              </w:rPr>
              <w:t>, jo klas</w:t>
            </w:r>
            <w:r w:rsidR="00B634AA" w:rsidRPr="000C5000">
              <w:rPr>
                <w:rFonts w:ascii="Times New Roman" w:hAnsi="Times New Roman" w:cs="Times New Roman"/>
                <w:sz w:val="24"/>
                <w:szCs w:val="24"/>
              </w:rPr>
              <w:t>ifikāciju sabiedrību (atzīto organizāciju) uzraudzība tiks nodrošināta vienas iestādes</w:t>
            </w:r>
            <w:r w:rsidR="00E323F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–Latvijas </w:t>
            </w:r>
            <w:r w:rsidR="001F56A9" w:rsidRPr="000C5000">
              <w:rPr>
                <w:rFonts w:ascii="Times New Roman" w:hAnsi="Times New Roman" w:cs="Times New Roman"/>
                <w:sz w:val="24"/>
                <w:szCs w:val="24"/>
              </w:rPr>
              <w:t>Jūras administrācijas</w:t>
            </w:r>
            <w:r w:rsidR="00E323F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F43EF" w:rsidRPr="000C5000">
              <w:rPr>
                <w:rFonts w:ascii="Times New Roman" w:hAnsi="Times New Roman" w:cs="Times New Roman"/>
                <w:sz w:val="24"/>
                <w:szCs w:val="24"/>
              </w:rPr>
              <w:t>ietvaros.</w:t>
            </w:r>
          </w:p>
          <w:p w:rsidR="00E31E91" w:rsidRPr="000C5000" w:rsidRDefault="00E31E91" w:rsidP="00542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103" w:type="dxa"/>
          </w:tcPr>
          <w:p w:rsidR="00AE4A25" w:rsidRPr="000C5000" w:rsidRDefault="00F20975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AE4A25" w:rsidRPr="000C5000" w:rsidTr="000019D0">
        <w:tc>
          <w:tcPr>
            <w:tcW w:w="675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E4A25" w:rsidRPr="000C5000" w:rsidRDefault="00EE2576" w:rsidP="00FA5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103" w:type="dxa"/>
          </w:tcPr>
          <w:p w:rsidR="00AE4A25" w:rsidRPr="000C5000" w:rsidRDefault="0064505D" w:rsidP="0027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273852"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207F7" w:rsidRDefault="006207F7" w:rsidP="00A024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74" w:tblpY="2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4"/>
        <w:gridCol w:w="3118"/>
        <w:gridCol w:w="5088"/>
      </w:tblGrid>
      <w:tr w:rsidR="005F5A43" w:rsidRPr="00711F59" w:rsidTr="00EF430C">
        <w:tc>
          <w:tcPr>
            <w:tcW w:w="8930" w:type="dxa"/>
            <w:gridSpan w:val="3"/>
          </w:tcPr>
          <w:p w:rsidR="005F5A43" w:rsidRPr="007C0F2C" w:rsidRDefault="005F5A43" w:rsidP="00EF430C">
            <w:pPr>
              <w:pStyle w:val="naisnod"/>
              <w:spacing w:before="0" w:after="0"/>
            </w:pPr>
            <w:r w:rsidRPr="007C0F2C">
              <w:t>IV. Tiesību akta projekta ietekme uz spēkā esošo tiesību normu sistēmu</w:t>
            </w:r>
          </w:p>
        </w:tc>
      </w:tr>
      <w:tr w:rsidR="005F5A43" w:rsidRPr="00711F59" w:rsidTr="00EF430C">
        <w:tc>
          <w:tcPr>
            <w:tcW w:w="724" w:type="dxa"/>
          </w:tcPr>
          <w:p w:rsidR="005F5A43" w:rsidRPr="00711F59" w:rsidRDefault="005F5A43" w:rsidP="00EF430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iCs/>
              </w:rPr>
              <w:t>1.</w:t>
            </w:r>
          </w:p>
        </w:tc>
        <w:tc>
          <w:tcPr>
            <w:tcW w:w="3118" w:type="dxa"/>
          </w:tcPr>
          <w:p w:rsidR="005F5A43" w:rsidRPr="00711F59" w:rsidRDefault="005F5A43" w:rsidP="00EF430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sz w:val="22"/>
                <w:szCs w:val="22"/>
              </w:rPr>
              <w:t>Nepieciešamie saistītie tiesību aktu projekti</w:t>
            </w:r>
          </w:p>
        </w:tc>
        <w:tc>
          <w:tcPr>
            <w:tcW w:w="5088" w:type="dxa"/>
          </w:tcPr>
          <w:p w:rsidR="0096039B" w:rsidRPr="00550EC2" w:rsidRDefault="0096039B" w:rsidP="00EF430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JPJDL grozījumu projekts:</w:t>
            </w:r>
          </w:p>
          <w:p w:rsidR="008C3B2C" w:rsidRPr="00550EC2" w:rsidRDefault="00E92360" w:rsidP="00EF430C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JPJDL 5.pantā precizēta Satiksmes ministrijas kompetence, paredzot, ka Satiksmes ministrija turpmāk vairs neizsniegs atbilstības sertifikātu klasifikācijas sabiedrībām (atzītajām organizācijām).</w:t>
            </w:r>
            <w:r w:rsidR="00EF430C"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F5A43"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JPJDL grozījumu projekts tika izsludināts šā gada 10.februāra Valsts sekretāru sanāksmē (VSS – 140), un šā gada 1.aprīlī iesniegts Valsts kancelejā.</w:t>
            </w:r>
            <w:r w:rsidR="0096039B"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EAD"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Termiņš, kad tiesību aktam jāstājas spēkā – 2011.gada 17.jūnijs.</w:t>
            </w:r>
            <w:r w:rsidR="0096039B" w:rsidRPr="0055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Atbildīgā par JPJDL izstrādi ir Satiksmes ministrija.</w:t>
            </w:r>
          </w:p>
          <w:p w:rsidR="005F5A43" w:rsidRPr="00D342A4" w:rsidRDefault="005F5A43" w:rsidP="00EF430C">
            <w:pPr>
              <w:pStyle w:val="NoSpacing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5A43" w:rsidRPr="00711F59" w:rsidTr="00EF430C">
        <w:tc>
          <w:tcPr>
            <w:tcW w:w="724" w:type="dxa"/>
          </w:tcPr>
          <w:p w:rsidR="005F5A43" w:rsidRPr="00711F59" w:rsidRDefault="005F5A43" w:rsidP="00EF430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iCs/>
              </w:rPr>
              <w:t>2.</w:t>
            </w:r>
          </w:p>
        </w:tc>
        <w:tc>
          <w:tcPr>
            <w:tcW w:w="3118" w:type="dxa"/>
          </w:tcPr>
          <w:p w:rsidR="005F5A43" w:rsidRPr="00711F59" w:rsidRDefault="005F5A43" w:rsidP="00EF430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711F59">
              <w:rPr>
                <w:sz w:val="22"/>
                <w:szCs w:val="22"/>
              </w:rPr>
              <w:t>Cita informācija</w:t>
            </w:r>
          </w:p>
        </w:tc>
        <w:tc>
          <w:tcPr>
            <w:tcW w:w="5088" w:type="dxa"/>
          </w:tcPr>
          <w:p w:rsidR="005F5A43" w:rsidRDefault="005F5A43" w:rsidP="00EF430C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Nav.</w:t>
            </w:r>
          </w:p>
          <w:p w:rsidR="005F5A43" w:rsidRDefault="005F5A43" w:rsidP="00EF430C">
            <w:pPr>
              <w:pStyle w:val="naiskr"/>
              <w:spacing w:before="0" w:after="0"/>
              <w:jc w:val="both"/>
              <w:rPr>
                <w:sz w:val="22"/>
                <w:szCs w:val="22"/>
              </w:rPr>
            </w:pPr>
          </w:p>
          <w:p w:rsidR="005F5A43" w:rsidRPr="007E058D" w:rsidRDefault="005F5A43" w:rsidP="00EF430C">
            <w:pPr>
              <w:pStyle w:val="naiskr"/>
              <w:spacing w:before="0" w:after="0"/>
              <w:jc w:val="both"/>
            </w:pPr>
          </w:p>
        </w:tc>
      </w:tr>
    </w:tbl>
    <w:p w:rsidR="006B7F75" w:rsidRDefault="006B7F75" w:rsidP="00A024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47"/>
        <w:tblW w:w="9039" w:type="dxa"/>
        <w:tblLook w:val="04A0"/>
      </w:tblPr>
      <w:tblGrid>
        <w:gridCol w:w="675"/>
        <w:gridCol w:w="3261"/>
        <w:gridCol w:w="5103"/>
      </w:tblGrid>
      <w:tr w:rsidR="00741F9C" w:rsidRPr="000C5000" w:rsidTr="00EF430C">
        <w:tc>
          <w:tcPr>
            <w:tcW w:w="9039" w:type="dxa"/>
            <w:gridSpan w:val="3"/>
          </w:tcPr>
          <w:p w:rsidR="00741F9C" w:rsidRPr="000C5000" w:rsidRDefault="00741F9C" w:rsidP="00EF4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="00741F9C" w:rsidRPr="000C5000" w:rsidTr="00EF430C">
        <w:tc>
          <w:tcPr>
            <w:tcW w:w="675" w:type="dxa"/>
          </w:tcPr>
          <w:p w:rsidR="00741F9C" w:rsidRPr="000C5000" w:rsidRDefault="00741F9C" w:rsidP="00EF43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F9C" w:rsidRPr="000C5000" w:rsidRDefault="00741F9C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Saistības pret Eiropas Savienību</w:t>
            </w:r>
          </w:p>
        </w:tc>
        <w:tc>
          <w:tcPr>
            <w:tcW w:w="5103" w:type="dxa"/>
          </w:tcPr>
          <w:p w:rsidR="00741F9C" w:rsidRDefault="00741F9C" w:rsidP="00E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Eiropas Parlamenta un Padomes 2009.gada 23.aprīļa Direktīva 2009/15/EK par kopīgiem noteikumiem un standartiem attiecībā uz organizācijām, kas pilnvarotas veikt kuģu inspekcijas un apskates, un attiecīgajām darbībām, kuras veic valsts administrācijas jūras lietu jomā (Direktīva 2009/15/EK).</w:t>
            </w:r>
          </w:p>
          <w:p w:rsidR="00A319D9" w:rsidRPr="000C5000" w:rsidRDefault="00A319D9" w:rsidP="00EF43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1F9C" w:rsidRPr="000C5000" w:rsidTr="00EF430C">
        <w:tc>
          <w:tcPr>
            <w:tcW w:w="675" w:type="dxa"/>
          </w:tcPr>
          <w:p w:rsidR="00741F9C" w:rsidRPr="000C5000" w:rsidRDefault="00741F9C" w:rsidP="00EF43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F9C" w:rsidRPr="000C5000" w:rsidRDefault="00741F9C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Citas starptautiskās saistības</w:t>
            </w:r>
          </w:p>
        </w:tc>
        <w:tc>
          <w:tcPr>
            <w:tcW w:w="5103" w:type="dxa"/>
          </w:tcPr>
          <w:p w:rsidR="00741F9C" w:rsidRPr="000C5000" w:rsidRDefault="00741F9C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  <w:tr w:rsidR="00741F9C" w:rsidRPr="000C5000" w:rsidTr="00EF430C">
        <w:tc>
          <w:tcPr>
            <w:tcW w:w="675" w:type="dxa"/>
          </w:tcPr>
          <w:p w:rsidR="00741F9C" w:rsidRPr="000C5000" w:rsidRDefault="00741F9C" w:rsidP="00EF430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41F9C" w:rsidRPr="000C5000" w:rsidRDefault="00741F9C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5103" w:type="dxa"/>
          </w:tcPr>
          <w:p w:rsidR="00741F9C" w:rsidRPr="000C5000" w:rsidRDefault="00741F9C" w:rsidP="00EF43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Nav.</w:t>
            </w:r>
          </w:p>
        </w:tc>
      </w:tr>
    </w:tbl>
    <w:p w:rsidR="006B7F75" w:rsidRPr="008F0094" w:rsidRDefault="006B7F75" w:rsidP="00A024C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39" w:type="dxa"/>
        <w:tblLook w:val="04A0"/>
      </w:tblPr>
      <w:tblGrid>
        <w:gridCol w:w="2077"/>
        <w:gridCol w:w="16"/>
        <w:gridCol w:w="779"/>
        <w:gridCol w:w="1576"/>
        <w:gridCol w:w="2489"/>
        <w:gridCol w:w="2102"/>
      </w:tblGrid>
      <w:tr w:rsidR="00E56673" w:rsidRPr="000C5000" w:rsidTr="00CF046F">
        <w:tc>
          <w:tcPr>
            <w:tcW w:w="9039" w:type="dxa"/>
            <w:gridSpan w:val="6"/>
          </w:tcPr>
          <w:p w:rsidR="00E56673" w:rsidRPr="000C5000" w:rsidRDefault="00E56673" w:rsidP="00E5667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tabula</w:t>
            </w:r>
          </w:p>
          <w:p w:rsidR="00E56673" w:rsidRPr="000C5000" w:rsidRDefault="00E56673" w:rsidP="00E56673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atbilstība ES tiesību aktiem</w:t>
            </w:r>
          </w:p>
        </w:tc>
      </w:tr>
      <w:tr w:rsidR="00E56673" w:rsidRPr="000C5000" w:rsidTr="00CF046F">
        <w:tc>
          <w:tcPr>
            <w:tcW w:w="2872" w:type="dxa"/>
            <w:gridSpan w:val="3"/>
          </w:tcPr>
          <w:p w:rsidR="00E56673" w:rsidRPr="000C5000" w:rsidRDefault="00E56673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6167" w:type="dxa"/>
            <w:gridSpan w:val="3"/>
          </w:tcPr>
          <w:p w:rsidR="00E56673" w:rsidRPr="000C5000" w:rsidRDefault="00D87238" w:rsidP="00D872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Eiropas Parlamenta un Padome</w:t>
            </w:r>
            <w:r w:rsidR="00A96CF1"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s 2009.gada 23.aprīļa Direktīva</w:t>
            </w: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2009/15/EK par kopīgiem noteikumiem un standartiem attiecībā uz organizācijām, kas pilnvarotas veikt kuģu inspekcijas un apskates, un attiecīgajām darbībām, kuras veic valsts administrācijas jūras lietu jomā (Direktīva 2009/15/EK).</w:t>
            </w:r>
          </w:p>
        </w:tc>
      </w:tr>
      <w:tr w:rsidR="00322313" w:rsidRPr="000C5000" w:rsidTr="00CF046F">
        <w:tc>
          <w:tcPr>
            <w:tcW w:w="2077" w:type="dxa"/>
          </w:tcPr>
          <w:p w:rsidR="00E56673" w:rsidRPr="000C5000" w:rsidRDefault="00E56673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71" w:type="dxa"/>
            <w:gridSpan w:val="3"/>
          </w:tcPr>
          <w:p w:rsidR="00E56673" w:rsidRPr="000C5000" w:rsidRDefault="00E56673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489" w:type="dxa"/>
          </w:tcPr>
          <w:p w:rsidR="00E56673" w:rsidRPr="000C5000" w:rsidRDefault="00E56673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102" w:type="dxa"/>
          </w:tcPr>
          <w:p w:rsidR="00E56673" w:rsidRPr="000C5000" w:rsidRDefault="00E56673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C2AC2" w:rsidRPr="000C5000" w:rsidTr="00CF046F">
        <w:tc>
          <w:tcPr>
            <w:tcW w:w="2077" w:type="dxa"/>
          </w:tcPr>
          <w:p w:rsidR="001C2AC2" w:rsidRPr="000C5000" w:rsidRDefault="001C2AC2" w:rsidP="001C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2371" w:type="dxa"/>
            <w:gridSpan w:val="3"/>
          </w:tcPr>
          <w:p w:rsidR="001C2AC2" w:rsidRPr="000C5000" w:rsidRDefault="001C2AC2" w:rsidP="001C2A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489" w:type="dxa"/>
          </w:tcPr>
          <w:p w:rsidR="001C2AC2" w:rsidRPr="000C5000" w:rsidRDefault="00593FEB" w:rsidP="005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A ailē minētās ES tiesību akta vienības tiek pārņemtas vai ieviestas pilnībā vai daļēji.</w:t>
            </w:r>
          </w:p>
          <w:p w:rsidR="00593FEB" w:rsidRPr="000C5000" w:rsidRDefault="00593FEB" w:rsidP="005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B" w:rsidRPr="000C5000" w:rsidRDefault="00593FEB" w:rsidP="005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EA2749" w:rsidRPr="000C5000" w:rsidRDefault="00EA2749" w:rsidP="00593F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FEB" w:rsidRPr="000C5000" w:rsidRDefault="00EA2749" w:rsidP="00EA27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Norāda institūciju, kas ir atbildīga par šo saistību izpildi pilnībā</w:t>
            </w:r>
          </w:p>
        </w:tc>
        <w:tc>
          <w:tcPr>
            <w:tcW w:w="2102" w:type="dxa"/>
          </w:tcPr>
          <w:p w:rsidR="001C2AC2" w:rsidRPr="000C5000" w:rsidRDefault="00C92E80" w:rsidP="00C9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Informācija par to, vai šīs tabulas B ailē minētās projekta vienības paredz stingrākas prasības nekā šīs tabulas A ailē minētās ES tiesību akta vienības.</w:t>
            </w:r>
          </w:p>
          <w:p w:rsidR="00C92E80" w:rsidRPr="000C5000" w:rsidRDefault="00C92E80" w:rsidP="00C9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80" w:rsidRPr="000C5000" w:rsidRDefault="00C92E80" w:rsidP="00C9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:rsidR="00C92E80" w:rsidRPr="000C5000" w:rsidRDefault="00C92E80" w:rsidP="00C92E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758" w:rsidRPr="000C5000" w:rsidRDefault="00DE5758" w:rsidP="00A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AC2" w:rsidRDefault="00156D57" w:rsidP="00A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  <w:p w:rsidR="00A319D9" w:rsidRPr="000C5000" w:rsidRDefault="00A319D9" w:rsidP="00AD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13" w:rsidRPr="000C5000" w:rsidTr="00CF046F">
        <w:tc>
          <w:tcPr>
            <w:tcW w:w="2077" w:type="dxa"/>
          </w:tcPr>
          <w:p w:rsidR="00304921" w:rsidRPr="000C5000" w:rsidRDefault="00F93853" w:rsidP="009D4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  <w:r w:rsidR="00052807"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1.pants (2.teikums)</w:t>
            </w:r>
          </w:p>
        </w:tc>
        <w:tc>
          <w:tcPr>
            <w:tcW w:w="2371" w:type="dxa"/>
            <w:gridSpan w:val="3"/>
          </w:tcPr>
          <w:p w:rsidR="00304921" w:rsidRPr="000C5000" w:rsidRDefault="00052807" w:rsidP="009B0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projekta </w:t>
            </w:r>
            <w:r w:rsidR="00B06C0E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2.7.apakšpunkts un </w:t>
            </w:r>
            <w:r w:rsidR="009B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un 20. </w:t>
            </w:r>
            <w:r w:rsidR="00B06C0E" w:rsidRPr="000C5000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  <w:tc>
          <w:tcPr>
            <w:tcW w:w="2489" w:type="dxa"/>
          </w:tcPr>
          <w:p w:rsidR="00304921" w:rsidRPr="000C5000" w:rsidRDefault="00322313" w:rsidP="003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Direktīvas 2009/15/EK 1.panta 2.teikums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pārņemts pilnībā.</w:t>
            </w:r>
          </w:p>
          <w:p w:rsidR="00DF211D" w:rsidRPr="000C5000" w:rsidRDefault="00DF211D" w:rsidP="003223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04921" w:rsidRPr="000C5000" w:rsidRDefault="00322313" w:rsidP="0032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Stingrākas prasības netiek paredzētas</w:t>
            </w:r>
          </w:p>
        </w:tc>
      </w:tr>
      <w:tr w:rsidR="00322313" w:rsidRPr="000C5000" w:rsidTr="00CF046F">
        <w:tc>
          <w:tcPr>
            <w:tcW w:w="2077" w:type="dxa"/>
          </w:tcPr>
          <w:p w:rsidR="00304921" w:rsidRPr="000C5000" w:rsidRDefault="007D2D25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Direktīvas 2009/15/EK 2.panta a) apakšpunkts</w:t>
            </w:r>
          </w:p>
          <w:p w:rsidR="00304921" w:rsidRPr="000C5000" w:rsidRDefault="00304921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304921" w:rsidRPr="000C5000" w:rsidRDefault="007D2D25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2.3.apakšpunkts</w:t>
            </w:r>
          </w:p>
        </w:tc>
        <w:tc>
          <w:tcPr>
            <w:tcW w:w="2489" w:type="dxa"/>
          </w:tcPr>
          <w:p w:rsidR="00372D4A" w:rsidRPr="000C5000" w:rsidRDefault="00372D4A" w:rsidP="003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 2.panta a) </w:t>
            </w:r>
            <w:r w:rsidR="00532FBA" w:rsidRPr="000C5000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A63045" w:rsidRPr="000C50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304921" w:rsidRPr="000C5000" w:rsidRDefault="00A63045" w:rsidP="003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pārņemts</w:t>
            </w:r>
            <w:r w:rsidR="00372D4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pilnībā</w:t>
            </w:r>
          </w:p>
        </w:tc>
        <w:tc>
          <w:tcPr>
            <w:tcW w:w="2102" w:type="dxa"/>
          </w:tcPr>
          <w:p w:rsidR="00304921" w:rsidRPr="000C5000" w:rsidRDefault="00F56A6D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A732CE" w:rsidRPr="000C5000" w:rsidTr="00CF046F">
        <w:tc>
          <w:tcPr>
            <w:tcW w:w="2077" w:type="dxa"/>
          </w:tcPr>
          <w:p w:rsidR="00A732CE" w:rsidRPr="000C5000" w:rsidRDefault="00A732CE" w:rsidP="00A31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c) apakšpunkts</w:t>
            </w:r>
          </w:p>
        </w:tc>
        <w:tc>
          <w:tcPr>
            <w:tcW w:w="2371" w:type="dxa"/>
            <w:gridSpan w:val="3"/>
          </w:tcPr>
          <w:p w:rsidR="00A732CE" w:rsidRPr="000C5000" w:rsidRDefault="00A732CE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2.8.apakšpunkts</w:t>
            </w:r>
          </w:p>
        </w:tc>
        <w:tc>
          <w:tcPr>
            <w:tcW w:w="2489" w:type="dxa"/>
          </w:tcPr>
          <w:p w:rsidR="00A732CE" w:rsidRPr="000C5000" w:rsidRDefault="00A732CE" w:rsidP="0037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c) apakšpunkts pārņemts pilnībā</w:t>
            </w:r>
          </w:p>
        </w:tc>
        <w:tc>
          <w:tcPr>
            <w:tcW w:w="2102" w:type="dxa"/>
          </w:tcPr>
          <w:p w:rsidR="00A732CE" w:rsidRPr="000C5000" w:rsidRDefault="00B05EC8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B05EC8" w:rsidRPr="000C5000" w:rsidTr="00CF046F">
        <w:tc>
          <w:tcPr>
            <w:tcW w:w="2077" w:type="dxa"/>
          </w:tcPr>
          <w:p w:rsidR="00B05EC8" w:rsidRDefault="00B05EC8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  <w:r w:rsidR="00B930C2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2.panta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d) apakšpunkts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B05EC8" w:rsidRPr="000C5000" w:rsidRDefault="00B05EC8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2.2.apakšpunkts</w:t>
            </w:r>
          </w:p>
        </w:tc>
        <w:tc>
          <w:tcPr>
            <w:tcW w:w="2489" w:type="dxa"/>
          </w:tcPr>
          <w:p w:rsidR="00B05EC8" w:rsidRPr="000C5000" w:rsidRDefault="00B05EC8" w:rsidP="00B05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  <w:r w:rsidR="0015753A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2.panta 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d) apakšpunkts pārņemts pilnībā</w:t>
            </w:r>
          </w:p>
          <w:p w:rsidR="00B05EC8" w:rsidRPr="000C5000" w:rsidRDefault="00B05EC8" w:rsidP="00372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05EC8" w:rsidRPr="000C5000" w:rsidRDefault="00B930C2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B930C2" w:rsidRPr="000C5000" w:rsidTr="00CF046F">
        <w:tc>
          <w:tcPr>
            <w:tcW w:w="2077" w:type="dxa"/>
          </w:tcPr>
          <w:p w:rsidR="00B930C2" w:rsidRDefault="00B930C2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  <w:r w:rsidR="002A4B8F" w:rsidRPr="000C5000">
              <w:rPr>
                <w:rFonts w:ascii="Times New Roman" w:hAnsi="Times New Roman" w:cs="Times New Roman"/>
                <w:sz w:val="24"/>
                <w:szCs w:val="24"/>
              </w:rPr>
              <w:t>2.panta g) apakšpunkts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B930C2" w:rsidRPr="000C5000" w:rsidRDefault="00E52F7B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2.1.</w:t>
            </w:r>
            <w:r w:rsidR="002A4B8F" w:rsidRPr="000C5000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2489" w:type="dxa"/>
          </w:tcPr>
          <w:p w:rsidR="000875F5" w:rsidRPr="000C5000" w:rsidRDefault="000875F5" w:rsidP="0008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2.panta 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g) apakšpunkts pārņemts pilnībā</w:t>
            </w:r>
          </w:p>
          <w:p w:rsidR="00B930C2" w:rsidRPr="000C5000" w:rsidRDefault="00B930C2" w:rsidP="00B05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B930C2" w:rsidRPr="000C5000" w:rsidRDefault="00EF3379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ākas prasības netiek paredzētas</w:t>
            </w:r>
          </w:p>
          <w:p w:rsidR="00050A54" w:rsidRPr="000C5000" w:rsidRDefault="00050A54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54" w:rsidRPr="000C5000" w:rsidRDefault="00050A54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379" w:rsidRPr="000C5000" w:rsidTr="00CF046F">
        <w:tc>
          <w:tcPr>
            <w:tcW w:w="2077" w:type="dxa"/>
          </w:tcPr>
          <w:p w:rsidR="00EF3379" w:rsidRDefault="00EF3379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h) apakšpunkts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EF3379" w:rsidRPr="00550EC2" w:rsidRDefault="00EF3379" w:rsidP="00456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21023E" w:rsidRPr="00550E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C2A" w:rsidRPr="00550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023E" w:rsidRPr="0055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71B82" w:rsidRPr="00550EC2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2489" w:type="dxa"/>
          </w:tcPr>
          <w:p w:rsidR="00D71B82" w:rsidRPr="000C5000" w:rsidRDefault="00D71B82" w:rsidP="00D71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h) apakšpunkts</w:t>
            </w:r>
          </w:p>
          <w:p w:rsidR="00050A54" w:rsidRPr="000C5000" w:rsidRDefault="00D71B82" w:rsidP="00087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pārņemts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pilnībā</w:t>
            </w:r>
          </w:p>
          <w:p w:rsidR="00050A54" w:rsidRPr="000C5000" w:rsidRDefault="00050A54" w:rsidP="00087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EF3379" w:rsidRPr="000C5000" w:rsidRDefault="00050A54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050A54" w:rsidRPr="000C5000" w:rsidTr="00CF046F">
        <w:tc>
          <w:tcPr>
            <w:tcW w:w="2077" w:type="dxa"/>
          </w:tcPr>
          <w:p w:rsidR="00050A54" w:rsidRDefault="00050A54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i) apakšpunkts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050A54" w:rsidRPr="00550EC2" w:rsidRDefault="0021023E" w:rsidP="0042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Noteikumu projekta 2.</w:t>
            </w:r>
            <w:r w:rsidR="00427A4D" w:rsidRPr="00550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0A54" w:rsidRPr="00550EC2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</w:p>
        </w:tc>
        <w:tc>
          <w:tcPr>
            <w:tcW w:w="2489" w:type="dxa"/>
          </w:tcPr>
          <w:p w:rsidR="00050A54" w:rsidRPr="000C5000" w:rsidRDefault="00221592" w:rsidP="008E5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i) apakšpunkts pārņemts pilnībā</w:t>
            </w:r>
          </w:p>
        </w:tc>
        <w:tc>
          <w:tcPr>
            <w:tcW w:w="2102" w:type="dxa"/>
          </w:tcPr>
          <w:p w:rsidR="00050A54" w:rsidRPr="000C5000" w:rsidRDefault="008E56DF" w:rsidP="00F5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C15605" w:rsidRPr="000C5000" w:rsidTr="00CF046F">
        <w:tc>
          <w:tcPr>
            <w:tcW w:w="2077" w:type="dxa"/>
          </w:tcPr>
          <w:p w:rsidR="00C15605" w:rsidRDefault="00C15605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j) apakšpunkts</w:t>
            </w:r>
          </w:p>
          <w:p w:rsidR="008157DF" w:rsidRPr="000C5000" w:rsidRDefault="008157DF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C15605" w:rsidRPr="00550EC2" w:rsidRDefault="00C15605" w:rsidP="00D63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Noteikumu projekta 2.</w:t>
            </w:r>
            <w:r w:rsidR="00D63FE0" w:rsidRPr="00550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.apakšpunkts</w:t>
            </w:r>
          </w:p>
        </w:tc>
        <w:tc>
          <w:tcPr>
            <w:tcW w:w="2489" w:type="dxa"/>
          </w:tcPr>
          <w:p w:rsidR="00C15605" w:rsidRPr="000C5000" w:rsidRDefault="00C15605" w:rsidP="002C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j) apakšpunkts pārņemts pilnībā</w:t>
            </w:r>
          </w:p>
        </w:tc>
        <w:tc>
          <w:tcPr>
            <w:tcW w:w="2102" w:type="dxa"/>
          </w:tcPr>
          <w:p w:rsidR="00C15605" w:rsidRPr="000C5000" w:rsidRDefault="00C15605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C15605" w:rsidRPr="000C5000" w:rsidTr="00CF046F">
        <w:tc>
          <w:tcPr>
            <w:tcW w:w="2077" w:type="dxa"/>
          </w:tcPr>
          <w:p w:rsidR="00C15605" w:rsidRDefault="00C15605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k) apakšpunkts</w:t>
            </w:r>
          </w:p>
          <w:p w:rsidR="008157DF" w:rsidRDefault="008157DF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7DF" w:rsidRPr="000C5000" w:rsidRDefault="008157DF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C15605" w:rsidRPr="00550EC2" w:rsidRDefault="00C15605" w:rsidP="0063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Noteikumu projekta 2.</w:t>
            </w:r>
            <w:r w:rsidR="0063305F" w:rsidRPr="00550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0EC2">
              <w:rPr>
                <w:rFonts w:ascii="Times New Roman" w:hAnsi="Times New Roman" w:cs="Times New Roman"/>
                <w:sz w:val="24"/>
                <w:szCs w:val="24"/>
              </w:rPr>
              <w:t>.apakšpunkts</w:t>
            </w:r>
          </w:p>
        </w:tc>
        <w:tc>
          <w:tcPr>
            <w:tcW w:w="2489" w:type="dxa"/>
          </w:tcPr>
          <w:p w:rsidR="00C15605" w:rsidRPr="000C5000" w:rsidRDefault="00C15605" w:rsidP="00AE5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2.panta k) apakšpunkts pārņemts pilnībā</w:t>
            </w:r>
          </w:p>
        </w:tc>
        <w:tc>
          <w:tcPr>
            <w:tcW w:w="2102" w:type="dxa"/>
          </w:tcPr>
          <w:p w:rsidR="00C15605" w:rsidRPr="000C5000" w:rsidRDefault="002C3FA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2C3FA3" w:rsidRPr="000C5000" w:rsidTr="00CF046F">
        <w:tc>
          <w:tcPr>
            <w:tcW w:w="2077" w:type="dxa"/>
          </w:tcPr>
          <w:p w:rsidR="002C3FA3" w:rsidRDefault="009B5E93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</w:t>
            </w:r>
            <w:r w:rsidR="00DE3FF8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3.panta 1.punkts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2C3FA3" w:rsidRPr="000C5000" w:rsidRDefault="009B5E93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Noteikumu projekta </w:t>
            </w:r>
            <w:r w:rsidR="007C7F3A" w:rsidRPr="000C50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.pants</w:t>
            </w:r>
          </w:p>
        </w:tc>
        <w:tc>
          <w:tcPr>
            <w:tcW w:w="2489" w:type="dxa"/>
          </w:tcPr>
          <w:p w:rsidR="002C3FA3" w:rsidRPr="000C5000" w:rsidRDefault="0054253A" w:rsidP="0054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3.panta 1.punkts </w:t>
            </w:r>
            <w:r w:rsidR="009B5E93" w:rsidRPr="000C5000">
              <w:rPr>
                <w:rFonts w:ascii="Times New Roman" w:hAnsi="Times New Roman" w:cs="Times New Roman"/>
                <w:sz w:val="24"/>
                <w:szCs w:val="24"/>
              </w:rPr>
              <w:t>pārņemts pilnībā</w:t>
            </w:r>
          </w:p>
        </w:tc>
        <w:tc>
          <w:tcPr>
            <w:tcW w:w="2102" w:type="dxa"/>
          </w:tcPr>
          <w:p w:rsidR="002C3FA3" w:rsidRPr="000C5000" w:rsidRDefault="009B5E9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9B5E93" w:rsidRPr="000C5000" w:rsidTr="00CF046F">
        <w:tc>
          <w:tcPr>
            <w:tcW w:w="2077" w:type="dxa"/>
          </w:tcPr>
          <w:p w:rsidR="009B5E93" w:rsidRDefault="00DE3FF8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3.panta 2.punkts</w:t>
            </w:r>
          </w:p>
          <w:p w:rsidR="008776C2" w:rsidRPr="000C5000" w:rsidRDefault="008776C2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9B5E93" w:rsidRPr="000C5000" w:rsidRDefault="00DE3FF8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projekta </w:t>
            </w:r>
            <w:r w:rsidR="007C7F3A" w:rsidRPr="000C50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. un </w:t>
            </w:r>
            <w:r w:rsidR="007C7F3A" w:rsidRPr="000C50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</w:p>
        </w:tc>
        <w:tc>
          <w:tcPr>
            <w:tcW w:w="2489" w:type="dxa"/>
          </w:tcPr>
          <w:p w:rsidR="009B5E93" w:rsidRPr="000C5000" w:rsidRDefault="007F3802" w:rsidP="009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3.panta 2.punkts 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pārņemts pilnībā</w:t>
            </w:r>
          </w:p>
        </w:tc>
        <w:tc>
          <w:tcPr>
            <w:tcW w:w="2102" w:type="dxa"/>
          </w:tcPr>
          <w:p w:rsidR="009B5E93" w:rsidRPr="000C5000" w:rsidRDefault="009B728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Direktīvas 2009/15/EK 3.panta 3.punkt</w:t>
            </w:r>
            <w:r w:rsidR="00DD11C9" w:rsidRPr="000C500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8.punkts</w:t>
            </w:r>
          </w:p>
        </w:tc>
        <w:tc>
          <w:tcPr>
            <w:tcW w:w="2489" w:type="dxa"/>
          </w:tcPr>
          <w:p w:rsidR="00752C7B" w:rsidRPr="000C5000" w:rsidRDefault="00752C7B" w:rsidP="009B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3.panta 3.punkts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4.panta 1.punkts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9.punkts</w:t>
            </w:r>
          </w:p>
        </w:tc>
        <w:tc>
          <w:tcPr>
            <w:tcW w:w="2489" w:type="dxa"/>
          </w:tcPr>
          <w:p w:rsidR="00752C7B" w:rsidRPr="000C5000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4.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panta 1.punkts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4.panta 2.punkts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10.punkts</w:t>
            </w:r>
          </w:p>
        </w:tc>
        <w:tc>
          <w:tcPr>
            <w:tcW w:w="2489" w:type="dxa"/>
          </w:tcPr>
          <w:p w:rsidR="00752C7B" w:rsidRPr="000C5000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4.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panta 2.punkts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Pr="000C5000" w:rsidRDefault="00752C7B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</w:t>
            </w:r>
          </w:p>
          <w:p w:rsidR="00752C7B" w:rsidRPr="000C5000" w:rsidRDefault="00752C7B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2009/15/EK</w:t>
            </w:r>
          </w:p>
          <w:p w:rsidR="00752C7B" w:rsidRPr="000C5000" w:rsidRDefault="00752C7B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5.panta 1.punkts</w:t>
            </w:r>
          </w:p>
          <w:p w:rsidR="00752C7B" w:rsidRPr="000C5000" w:rsidRDefault="00752C7B" w:rsidP="007D2D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7C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11.punkts</w:t>
            </w:r>
          </w:p>
        </w:tc>
        <w:tc>
          <w:tcPr>
            <w:tcW w:w="2489" w:type="dxa"/>
          </w:tcPr>
          <w:p w:rsidR="00752C7B" w:rsidRPr="000C5000" w:rsidRDefault="00752C7B" w:rsidP="002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</w:t>
            </w:r>
          </w:p>
          <w:p w:rsidR="00752C7B" w:rsidRPr="000C5000" w:rsidRDefault="00752C7B" w:rsidP="0024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2009/15/EK</w:t>
            </w:r>
          </w:p>
          <w:p w:rsidR="00752C7B" w:rsidRDefault="004C2D6D" w:rsidP="004C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5.panta 1. </w:t>
            </w:r>
            <w:r w:rsidR="00752C7B" w:rsidRPr="000C5000">
              <w:rPr>
                <w:rFonts w:ascii="Times New Roman" w:hAnsi="Times New Roman" w:cs="Times New Roman"/>
                <w:sz w:val="24"/>
                <w:szCs w:val="24"/>
              </w:rPr>
              <w:t>punkts pārņemts pilnībā</w:t>
            </w:r>
          </w:p>
          <w:p w:rsidR="0015411E" w:rsidRPr="000C5000" w:rsidRDefault="0015411E" w:rsidP="004C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2009/15/EK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5.panta 2.punkts: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2.punkta a)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2.punkta b) apakšpunkts:</w:t>
            </w:r>
          </w:p>
          <w:p w:rsidR="008B0743" w:rsidRPr="000C5000" w:rsidRDefault="008B074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b) i) punkts</w:t>
            </w: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) 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) 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64" w:rsidRDefault="00070C6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64" w:rsidRDefault="00070C6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64" w:rsidRDefault="00070C6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53" w:rsidRDefault="0097195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53" w:rsidRDefault="0097195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6" w:rsidRDefault="00EB61D6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2.punkta c)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Default="0034743D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2.punkta d)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Default="0034743D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Default="00752C7B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2.punkta e) apakšpunkts</w:t>
            </w:r>
          </w:p>
          <w:p w:rsidR="008157DF" w:rsidRPr="000C5000" w:rsidRDefault="008157DF" w:rsidP="008776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 projekta 11.punkts: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11.1.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11.2.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43" w:rsidRDefault="008B074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11.2.1.apakšpunkts</w:t>
            </w: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0" w:rsidRDefault="007F0C80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11.2.1.1.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11.2.1.2. apakšpunkts</w:t>
            </w:r>
          </w:p>
          <w:p w:rsidR="008B0743" w:rsidRDefault="008B074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43" w:rsidRDefault="008B074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43" w:rsidRDefault="008B074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64" w:rsidRDefault="00070C6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C64" w:rsidRDefault="00070C6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8F4" w:rsidRDefault="002F08F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6804" w:rsidRDefault="006868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53" w:rsidRDefault="0097195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953" w:rsidRDefault="00971953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61D6" w:rsidRDefault="00EB61D6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11.3.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Default="0034743D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11.4. apakšpunkts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Default="0034743D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11.5. apakšpunkts</w:t>
            </w:r>
          </w:p>
        </w:tc>
        <w:tc>
          <w:tcPr>
            <w:tcW w:w="2489" w:type="dxa"/>
          </w:tcPr>
          <w:p w:rsidR="00752C7B" w:rsidRPr="006B4A8F" w:rsidRDefault="00752C7B" w:rsidP="00A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Direktīvas</w:t>
            </w:r>
          </w:p>
          <w:p w:rsidR="00752C7B" w:rsidRPr="006B4A8F" w:rsidRDefault="00752C7B" w:rsidP="00A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2009/15/EK</w:t>
            </w:r>
          </w:p>
          <w:p w:rsidR="006A6E0F" w:rsidRPr="006B4A8F" w:rsidRDefault="006A6E0F" w:rsidP="00A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5.pantā:</w:t>
            </w:r>
          </w:p>
          <w:p w:rsidR="006A6E0F" w:rsidRPr="006B4A8F" w:rsidRDefault="006A6E0F" w:rsidP="00AF1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C7B" w:rsidRPr="006B4A8F" w:rsidRDefault="006A6E0F" w:rsidP="00AF1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2.punkta a) apakšpunkts</w:t>
            </w:r>
            <w:r w:rsidR="00752C7B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pārņemts 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piln</w:t>
            </w:r>
            <w:r w:rsidR="00752C7B" w:rsidRPr="006B4A8F">
              <w:rPr>
                <w:rFonts w:ascii="Times New Roman" w:hAnsi="Times New Roman" w:cs="Times New Roman"/>
                <w:sz w:val="24"/>
                <w:szCs w:val="24"/>
              </w:rPr>
              <w:t>ībā</w:t>
            </w:r>
          </w:p>
          <w:p w:rsidR="00F12AE2" w:rsidRPr="006B4A8F" w:rsidRDefault="00F12AE2" w:rsidP="00AA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E2" w:rsidRPr="006B4A8F" w:rsidRDefault="00F12AE2" w:rsidP="00AA2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43" w:rsidRPr="006B4A8F" w:rsidRDefault="008B0743" w:rsidP="007F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AE2" w:rsidRPr="006B4A8F" w:rsidRDefault="00F12AE2" w:rsidP="007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2.punkta b) i) </w:t>
            </w:r>
            <w:r w:rsidR="007F0C80" w:rsidRPr="006B4A8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pakšpunkts pārņemts </w:t>
            </w:r>
            <w:r w:rsidR="007F0C80" w:rsidRPr="006B4A8F">
              <w:rPr>
                <w:rFonts w:ascii="Times New Roman" w:hAnsi="Times New Roman" w:cs="Times New Roman"/>
                <w:sz w:val="24"/>
                <w:szCs w:val="24"/>
              </w:rPr>
              <w:t>pilnībā</w:t>
            </w:r>
          </w:p>
          <w:p w:rsidR="007F0C80" w:rsidRPr="006B4A8F" w:rsidRDefault="007F0C80" w:rsidP="007F0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C80" w:rsidRPr="006B4A8F" w:rsidRDefault="00386BBD" w:rsidP="007F0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2.punkta b) </w:t>
            </w:r>
            <w:proofErr w:type="spellStart"/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17DE0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un b) </w:t>
            </w:r>
            <w:proofErr w:type="spellStart"/>
            <w:r w:rsidR="00217DE0" w:rsidRPr="006B4A8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="00217DE0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apakšpunkt</w:t>
            </w:r>
            <w:r w:rsidR="00217DE0" w:rsidRPr="006B4A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036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ar šo noteikumu projektu 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pārņemt</w:t>
            </w:r>
            <w:r w:rsidR="00217DE0" w:rsidRPr="006B4A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daļēji</w:t>
            </w:r>
            <w:r w:rsidR="00070C64" w:rsidRPr="006B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C64" w:rsidRPr="006B4A8F" w:rsidRDefault="00EB6036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Attiecīgo punktu tiesību </w:t>
            </w:r>
            <w:r w:rsidR="009D62B5" w:rsidRPr="006B4A8F">
              <w:rPr>
                <w:rFonts w:ascii="Times New Roman" w:hAnsi="Times New Roman" w:cs="Times New Roman"/>
                <w:sz w:val="24"/>
                <w:szCs w:val="24"/>
              </w:rPr>
              <w:t>normas</w:t>
            </w: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, kas nosaka atbildības </w:t>
            </w:r>
            <w:r w:rsidR="009D62B5" w:rsidRPr="006B4A8F">
              <w:rPr>
                <w:rFonts w:ascii="Times New Roman" w:hAnsi="Times New Roman" w:cs="Times New Roman"/>
                <w:sz w:val="24"/>
                <w:szCs w:val="24"/>
              </w:rPr>
              <w:t>maksimālās summas apmēru</w:t>
            </w:r>
            <w:r w:rsidR="009042F0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, kas attiecīgi nevar būt mazāks par </w:t>
            </w:r>
            <w:r w:rsidR="009D62B5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2 un 4 miljoni EUR – </w:t>
            </w:r>
            <w:r w:rsidR="009042F0" w:rsidRPr="006B4A8F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9D62B5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64" w:rsidRPr="006B4A8F">
              <w:rPr>
                <w:rFonts w:ascii="Times New Roman" w:hAnsi="Times New Roman" w:cs="Times New Roman"/>
                <w:sz w:val="24"/>
                <w:szCs w:val="24"/>
              </w:rPr>
              <w:t>iestrādātas</w:t>
            </w:r>
            <w:r w:rsidR="009042F0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C64" w:rsidRPr="006B4A8F">
              <w:rPr>
                <w:rFonts w:ascii="Times New Roman" w:hAnsi="Times New Roman" w:cs="Times New Roman"/>
                <w:sz w:val="24"/>
                <w:szCs w:val="24"/>
              </w:rPr>
              <w:t>Jūrlietu pārvaldes un jūras drošības likuma 18</w:t>
            </w:r>
            <w:r w:rsidR="00070C64" w:rsidRPr="006B4A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070C64" w:rsidRPr="006B4A8F">
              <w:rPr>
                <w:rFonts w:ascii="Times New Roman" w:hAnsi="Times New Roman" w:cs="Times New Roman"/>
                <w:sz w:val="24"/>
                <w:szCs w:val="24"/>
              </w:rPr>
              <w:t xml:space="preserve"> pantā</w:t>
            </w:r>
            <w:r w:rsidR="009D62B5" w:rsidRPr="006B4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953" w:rsidRPr="006B4A8F" w:rsidRDefault="00971953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Atbildīgā institūcija – Satiksmes ministrija.</w:t>
            </w: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2.punkta c) apakšpunkts pārņemts pilnībā.</w:t>
            </w: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2.punkta d) apakšpunkts pārņemts pilnībā.</w:t>
            </w: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43D" w:rsidRPr="006B4A8F" w:rsidRDefault="0034743D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4A8F">
              <w:rPr>
                <w:rFonts w:ascii="Times New Roman" w:hAnsi="Times New Roman" w:cs="Times New Roman"/>
                <w:sz w:val="24"/>
                <w:szCs w:val="24"/>
              </w:rPr>
              <w:t>2.punkta e) apakšpunkts pārņemts pilnībā.</w:t>
            </w:r>
          </w:p>
          <w:p w:rsidR="0015411E" w:rsidRPr="00070C64" w:rsidRDefault="0015411E" w:rsidP="00904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Direktīvas 2009/15/EK 5.panta 3.punkts</w:t>
            </w:r>
          </w:p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55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11.6. apakšpunkts</w:t>
            </w:r>
          </w:p>
        </w:tc>
        <w:tc>
          <w:tcPr>
            <w:tcW w:w="2489" w:type="dxa"/>
          </w:tcPr>
          <w:p w:rsidR="00752C7B" w:rsidRPr="000C5000" w:rsidRDefault="00752C7B" w:rsidP="0092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</w:t>
            </w:r>
          </w:p>
          <w:p w:rsidR="00752C7B" w:rsidRDefault="00752C7B" w:rsidP="0087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2009/15/EK 5.panta 3.punkts pārņemts pilnībā</w:t>
            </w:r>
          </w:p>
          <w:p w:rsidR="0015411E" w:rsidRPr="000C5000" w:rsidRDefault="0015411E" w:rsidP="008744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</w:t>
            </w:r>
          </w:p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5.panta 4.punkts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55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12.punkts</w:t>
            </w:r>
          </w:p>
        </w:tc>
        <w:tc>
          <w:tcPr>
            <w:tcW w:w="2489" w:type="dxa"/>
          </w:tcPr>
          <w:p w:rsidR="00752C7B" w:rsidRPr="000C5000" w:rsidRDefault="00752C7B" w:rsidP="0032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</w:t>
            </w:r>
          </w:p>
          <w:p w:rsidR="00752C7B" w:rsidRPr="000C5000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5.panta 4.punkts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8.pants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555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11.9. apakšpunkts un 16.punkts</w:t>
            </w:r>
          </w:p>
        </w:tc>
        <w:tc>
          <w:tcPr>
            <w:tcW w:w="2489" w:type="dxa"/>
          </w:tcPr>
          <w:p w:rsidR="00752C7B" w:rsidRPr="000C5000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/15/EK 8.pants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9.panta 1.punkts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C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13.punkts</w:t>
            </w:r>
          </w:p>
        </w:tc>
        <w:tc>
          <w:tcPr>
            <w:tcW w:w="2489" w:type="dxa"/>
          </w:tcPr>
          <w:p w:rsidR="00752C7B" w:rsidRPr="000C5000" w:rsidRDefault="00752C7B" w:rsidP="0087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9.panta 1.punkts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9.panta 2.punkts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CC4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15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.punkts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</w:tcPr>
          <w:p w:rsidR="00752C7B" w:rsidRPr="000C5000" w:rsidRDefault="00752C7B" w:rsidP="0026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9.panta 2.punkts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</w:p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10.pants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5A2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17. un 18.punkts</w:t>
            </w:r>
          </w:p>
        </w:tc>
        <w:tc>
          <w:tcPr>
            <w:tcW w:w="2489" w:type="dxa"/>
          </w:tcPr>
          <w:p w:rsidR="00752C7B" w:rsidRPr="000C5000" w:rsidRDefault="00752C7B" w:rsidP="00227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Direktīvas 2009/15/EK </w:t>
            </w:r>
          </w:p>
          <w:p w:rsidR="00BA58DF" w:rsidRPr="000C5000" w:rsidRDefault="00752C7B" w:rsidP="002D2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10.pants pārņemts pilnībā</w:t>
            </w:r>
          </w:p>
        </w:tc>
        <w:tc>
          <w:tcPr>
            <w:tcW w:w="2102" w:type="dxa"/>
          </w:tcPr>
          <w:p w:rsidR="00752C7B" w:rsidRPr="00A51D55" w:rsidRDefault="00BA513C" w:rsidP="00A76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D55">
              <w:rPr>
                <w:rFonts w:ascii="Times New Roman" w:hAnsi="Times New Roman" w:cs="Times New Roman"/>
                <w:sz w:val="24"/>
                <w:szCs w:val="24"/>
              </w:rPr>
              <w:t>Noteikumu projekta 18.punkts paredz stingrākas prasības kā Direktīvas 2009/15/EK 10.pants attiecībā uz Jūras administrācijas ziņošanu</w:t>
            </w:r>
            <w:r w:rsidR="005424D8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 Eiropas Komisijai </w:t>
            </w:r>
            <w:r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par atzītās </w:t>
            </w:r>
            <w:r w:rsidRPr="00A51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organizācijas nolaidīgu rīc</w:t>
            </w:r>
            <w:r w:rsidR="005424D8" w:rsidRPr="00A51D55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Pr="00A51D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5424D8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. Jūras administrācija ziņos par katru nolaidīgu rīcības gadījumu, taču saskaņā ar Direktīvas 2009/15/EK prasībām ir jāziņo par </w:t>
            </w:r>
            <w:r w:rsidR="00606063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atzītās organizācijas </w:t>
            </w:r>
            <w:r w:rsidR="005424D8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īpaši nolaidīgu rīcību. Latvijas likumdošanā </w:t>
            </w:r>
            <w:r w:rsidR="00A765F0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tiek lietots </w:t>
            </w:r>
            <w:r w:rsidR="005424D8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jēdziens „nolaidīga”, </w:t>
            </w:r>
            <w:r w:rsidR="00A765F0" w:rsidRPr="00A51D55">
              <w:rPr>
                <w:rFonts w:ascii="Times New Roman" w:hAnsi="Times New Roman" w:cs="Times New Roman"/>
                <w:sz w:val="24"/>
                <w:szCs w:val="24"/>
              </w:rPr>
              <w:t>un nav noteiktu kritēriju, ar ko no nolaidīgas rīcības atšķir</w:t>
            </w:r>
            <w:r w:rsidR="00FE5AB8" w:rsidRPr="00A51D5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765F0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 īpaš</w:t>
            </w:r>
            <w:r w:rsidR="00FE5AB8" w:rsidRPr="00A51D5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765F0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 nolaid</w:t>
            </w:r>
            <w:r w:rsidR="00FE5AB8" w:rsidRPr="00A51D55">
              <w:rPr>
                <w:rFonts w:ascii="Times New Roman" w:hAnsi="Times New Roman" w:cs="Times New Roman"/>
                <w:sz w:val="24"/>
                <w:szCs w:val="24"/>
              </w:rPr>
              <w:t>īga</w:t>
            </w:r>
            <w:r w:rsidR="00A765F0" w:rsidRPr="00A51D55">
              <w:rPr>
                <w:rFonts w:ascii="Times New Roman" w:hAnsi="Times New Roman" w:cs="Times New Roman"/>
                <w:sz w:val="24"/>
                <w:szCs w:val="24"/>
              </w:rPr>
              <w:t xml:space="preserve"> rīcība.</w:t>
            </w:r>
          </w:p>
          <w:p w:rsidR="0015411E" w:rsidRPr="00BA513C" w:rsidRDefault="0015411E" w:rsidP="00A765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Direktīvas 2009/15/EK 11.panta 1.punkts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441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19.punkts</w:t>
            </w:r>
          </w:p>
        </w:tc>
        <w:tc>
          <w:tcPr>
            <w:tcW w:w="2489" w:type="dxa"/>
          </w:tcPr>
          <w:p w:rsidR="00752C7B" w:rsidRPr="000C5000" w:rsidRDefault="00752C7B" w:rsidP="009C4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11.panta 1.punkts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11.panta 2.punkts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9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21.punkts</w:t>
            </w:r>
          </w:p>
        </w:tc>
        <w:tc>
          <w:tcPr>
            <w:tcW w:w="2489" w:type="dxa"/>
          </w:tcPr>
          <w:p w:rsidR="00752C7B" w:rsidRPr="000C5000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11.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panta 2.punkts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752C7B" w:rsidRPr="000C5000" w:rsidTr="00CF046F">
        <w:tc>
          <w:tcPr>
            <w:tcW w:w="2077" w:type="dxa"/>
          </w:tcPr>
          <w:p w:rsidR="00752C7B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11.panta 3.punkts</w:t>
            </w:r>
          </w:p>
          <w:p w:rsidR="008157DF" w:rsidRPr="000C5000" w:rsidRDefault="008157DF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gridSpan w:val="3"/>
          </w:tcPr>
          <w:p w:rsidR="00752C7B" w:rsidRPr="000C5000" w:rsidRDefault="00752C7B" w:rsidP="0091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Noteikumu projekta 20.punkts</w:t>
            </w:r>
          </w:p>
        </w:tc>
        <w:tc>
          <w:tcPr>
            <w:tcW w:w="2489" w:type="dxa"/>
          </w:tcPr>
          <w:p w:rsidR="00752C7B" w:rsidRPr="000C5000" w:rsidRDefault="00752C7B" w:rsidP="004C2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Direktīvas 2009/15/EK 11.</w:t>
            </w:r>
            <w:r w:rsidR="00BA378E" w:rsidRPr="000C5000">
              <w:rPr>
                <w:rFonts w:ascii="Times New Roman" w:hAnsi="Times New Roman" w:cs="Times New Roman"/>
                <w:sz w:val="24"/>
                <w:szCs w:val="24"/>
              </w:rPr>
              <w:t>panta 3.punkta pārņemts pilnībā</w:t>
            </w:r>
          </w:p>
        </w:tc>
        <w:tc>
          <w:tcPr>
            <w:tcW w:w="2102" w:type="dxa"/>
          </w:tcPr>
          <w:p w:rsidR="00752C7B" w:rsidRPr="000C5000" w:rsidRDefault="00752C7B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Stingrākas prasības netiek paredzētas</w:t>
            </w:r>
          </w:p>
        </w:tc>
      </w:tr>
      <w:tr w:rsidR="00CF046F" w:rsidRPr="000C5000" w:rsidTr="00CF046F">
        <w:tc>
          <w:tcPr>
            <w:tcW w:w="2093" w:type="dxa"/>
            <w:gridSpan w:val="2"/>
          </w:tcPr>
          <w:p w:rsidR="00CF046F" w:rsidRPr="000C5000" w:rsidRDefault="00CF046F" w:rsidP="00CF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dalībvalstij pārņemt vai ieviest noteiktas ES tiesību akta normas?</w:t>
            </w:r>
          </w:p>
          <w:p w:rsidR="00CF046F" w:rsidRPr="000C5000" w:rsidRDefault="00CF046F" w:rsidP="00CF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6F" w:rsidRDefault="00CF046F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  <w:p w:rsidR="009C3B86" w:rsidRPr="000C5000" w:rsidRDefault="009C3B86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27E" w:rsidRPr="000C5000" w:rsidRDefault="0088027E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CF046F" w:rsidRPr="000C5000" w:rsidRDefault="00F75139" w:rsidP="00CF0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CF046F" w:rsidRPr="000C5000" w:rsidTr="00CF046F">
        <w:tc>
          <w:tcPr>
            <w:tcW w:w="2093" w:type="dxa"/>
            <w:gridSpan w:val="2"/>
          </w:tcPr>
          <w:p w:rsidR="00CF046F" w:rsidRPr="000C5000" w:rsidRDefault="0088027E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946" w:type="dxa"/>
            <w:gridSpan w:val="4"/>
          </w:tcPr>
          <w:p w:rsidR="00CF046F" w:rsidRPr="000C5000" w:rsidRDefault="00F75139" w:rsidP="00E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12D0F" w:rsidRPr="000C5000" w:rsidTr="00CF046F">
        <w:tc>
          <w:tcPr>
            <w:tcW w:w="2093" w:type="dxa"/>
            <w:gridSpan w:val="2"/>
          </w:tcPr>
          <w:p w:rsidR="00B12D0F" w:rsidRDefault="00B12D0F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  <w:p w:rsidR="00B12D0F" w:rsidRPr="000C5000" w:rsidRDefault="00B12D0F" w:rsidP="00880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4"/>
          </w:tcPr>
          <w:p w:rsidR="00B12D0F" w:rsidRPr="000C5000" w:rsidRDefault="00B12D0F" w:rsidP="00EF4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CB7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13FBD" w:rsidRDefault="00513FBD" w:rsidP="00A0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39" w:type="dxa"/>
        <w:tblLook w:val="04A0"/>
      </w:tblPr>
      <w:tblGrid>
        <w:gridCol w:w="675"/>
        <w:gridCol w:w="2410"/>
        <w:gridCol w:w="5954"/>
      </w:tblGrid>
      <w:tr w:rsidR="0061196E" w:rsidRPr="000C5000" w:rsidTr="00461421">
        <w:tc>
          <w:tcPr>
            <w:tcW w:w="9039" w:type="dxa"/>
            <w:gridSpan w:val="3"/>
          </w:tcPr>
          <w:p w:rsidR="0061196E" w:rsidRPr="000C5000" w:rsidRDefault="0061196E" w:rsidP="00A02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šīs līdzdalības rezultāti</w:t>
            </w:r>
          </w:p>
        </w:tc>
      </w:tr>
      <w:tr w:rsidR="00461421" w:rsidRPr="000C5000" w:rsidTr="00934D68">
        <w:tc>
          <w:tcPr>
            <w:tcW w:w="675" w:type="dxa"/>
          </w:tcPr>
          <w:p w:rsidR="00461421" w:rsidRPr="000C5000" w:rsidRDefault="00461421" w:rsidP="004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61421" w:rsidRPr="000C5000" w:rsidRDefault="00934D68" w:rsidP="0093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Sabiedrības informēšana par projekta izstrādes uzsākšanu</w:t>
            </w:r>
          </w:p>
        </w:tc>
        <w:tc>
          <w:tcPr>
            <w:tcW w:w="5954" w:type="dxa"/>
          </w:tcPr>
          <w:p w:rsidR="00461421" w:rsidRPr="000C5000" w:rsidRDefault="001532EC" w:rsidP="003A2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Par noteikumu projekta izstrādes uzsākšanu tika informētas klasifikācijas sabiedrības</w:t>
            </w:r>
            <w:r w:rsidR="003A2B7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(atzītās organizācijas).</w:t>
            </w:r>
          </w:p>
        </w:tc>
      </w:tr>
      <w:tr w:rsidR="00461421" w:rsidRPr="000C5000" w:rsidTr="00934D68">
        <w:tc>
          <w:tcPr>
            <w:tcW w:w="675" w:type="dxa"/>
          </w:tcPr>
          <w:p w:rsidR="00461421" w:rsidRPr="000C5000" w:rsidRDefault="00461421" w:rsidP="004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410" w:type="dxa"/>
          </w:tcPr>
          <w:p w:rsidR="00934D68" w:rsidRPr="000C5000" w:rsidRDefault="00934D68" w:rsidP="00F20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5954" w:type="dxa"/>
          </w:tcPr>
          <w:p w:rsidR="00AE43BE" w:rsidRDefault="00250299" w:rsidP="0025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Notikušas pārrunas ar k</w:t>
            </w:r>
            <w:r w:rsidR="000B3AFB" w:rsidRPr="000C500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asifikācijas sabiedrībām</w:t>
            </w:r>
            <w:r w:rsidR="0096490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(atzītajām organizācijām)</w:t>
            </w:r>
          </w:p>
          <w:p w:rsidR="00461421" w:rsidRPr="000C5000" w:rsidRDefault="00250299" w:rsidP="00250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1421" w:rsidRPr="000C5000" w:rsidTr="00934D68">
        <w:tc>
          <w:tcPr>
            <w:tcW w:w="675" w:type="dxa"/>
          </w:tcPr>
          <w:p w:rsidR="00461421" w:rsidRPr="000C5000" w:rsidRDefault="00461421" w:rsidP="004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934D68" w:rsidRPr="000C5000" w:rsidRDefault="008D1AE4" w:rsidP="00A110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Sabiedrības līdzdalības rezultāts</w:t>
            </w:r>
          </w:p>
        </w:tc>
        <w:tc>
          <w:tcPr>
            <w:tcW w:w="5954" w:type="dxa"/>
          </w:tcPr>
          <w:p w:rsidR="00461421" w:rsidRDefault="00250299" w:rsidP="00C06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Klasifikācijas sabiedrības</w:t>
            </w:r>
            <w:r w:rsidR="00964904"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(atzītās organizācijas)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626" w:rsidRPr="000C5000">
              <w:rPr>
                <w:rFonts w:ascii="Times New Roman" w:hAnsi="Times New Roman" w:cs="Times New Roman"/>
                <w:sz w:val="24"/>
                <w:szCs w:val="24"/>
              </w:rPr>
              <w:t>noteikumu projektu atbalsta</w:t>
            </w: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43BE" w:rsidRPr="000C5000" w:rsidRDefault="00AE43BE" w:rsidP="00C06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421" w:rsidRPr="000C5000" w:rsidTr="00934D68">
        <w:tc>
          <w:tcPr>
            <w:tcW w:w="675" w:type="dxa"/>
          </w:tcPr>
          <w:p w:rsidR="00461421" w:rsidRPr="000C5000" w:rsidRDefault="00461421" w:rsidP="004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61421" w:rsidRPr="000C5000" w:rsidRDefault="008D1AE4" w:rsidP="008D1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Saeimas un ekspertu līdzdalība</w:t>
            </w:r>
          </w:p>
        </w:tc>
        <w:tc>
          <w:tcPr>
            <w:tcW w:w="5954" w:type="dxa"/>
          </w:tcPr>
          <w:p w:rsidR="00461421" w:rsidRPr="000C5000" w:rsidRDefault="00CB7E95" w:rsidP="001F6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461421" w:rsidRPr="000C5000" w:rsidTr="00934D68">
        <w:tc>
          <w:tcPr>
            <w:tcW w:w="675" w:type="dxa"/>
          </w:tcPr>
          <w:p w:rsidR="00461421" w:rsidRPr="000C5000" w:rsidRDefault="00461421" w:rsidP="0046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</w:tcPr>
          <w:p w:rsidR="00461421" w:rsidRPr="000C5000" w:rsidRDefault="008D1AE4" w:rsidP="007A0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  <w:p w:rsidR="007A0F3B" w:rsidRPr="000C5000" w:rsidRDefault="007A0F3B" w:rsidP="00A0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61421" w:rsidRPr="000C5000" w:rsidRDefault="00EF62B3" w:rsidP="00EF6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000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D52B58" w:rsidRDefault="00D52B58" w:rsidP="00A02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39" w:type="dxa"/>
        <w:tblLook w:val="04A0"/>
      </w:tblPr>
      <w:tblGrid>
        <w:gridCol w:w="675"/>
        <w:gridCol w:w="2694"/>
        <w:gridCol w:w="5670"/>
      </w:tblGrid>
      <w:tr w:rsidR="00B22E04" w:rsidRPr="001E6247" w:rsidTr="00EF430C">
        <w:tc>
          <w:tcPr>
            <w:tcW w:w="9039" w:type="dxa"/>
            <w:gridSpan w:val="3"/>
          </w:tcPr>
          <w:p w:rsidR="00B22E04" w:rsidRPr="001E6247" w:rsidRDefault="00B22E04" w:rsidP="00B90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</w:t>
            </w:r>
            <w:r w:rsidR="00B90BC9" w:rsidRPr="001E6247">
              <w:rPr>
                <w:rFonts w:ascii="Times New Roman" w:hAnsi="Times New Roman" w:cs="Times New Roman"/>
                <w:b/>
                <w:sz w:val="24"/>
                <w:szCs w:val="24"/>
              </w:rPr>
              <w:t>Tiesību akta projekta izpildes nodrošināšana un tās ietekme uz institūcijām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B22E04" w:rsidRPr="001E6247" w:rsidRDefault="006F6FD4" w:rsidP="006F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5670" w:type="dxa"/>
          </w:tcPr>
          <w:p w:rsidR="00BC336D" w:rsidRDefault="00B47D2E" w:rsidP="00B4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Projekta izpildi nodrošinās Satiksmes ministrija un valsts akciju sabiedrība „Latvijas Jūras administrācija”</w:t>
            </w:r>
          </w:p>
          <w:p w:rsidR="00B22E04" w:rsidRPr="001E6247" w:rsidRDefault="00B47D2E" w:rsidP="00B47D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94" w:type="dxa"/>
          </w:tcPr>
          <w:p w:rsidR="00B22E04" w:rsidRPr="001E6247" w:rsidRDefault="006F6FD4" w:rsidP="006F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funkcijām</w:t>
            </w:r>
          </w:p>
        </w:tc>
        <w:tc>
          <w:tcPr>
            <w:tcW w:w="5670" w:type="dxa"/>
          </w:tcPr>
          <w:p w:rsidR="00BC336D" w:rsidRDefault="00C06995" w:rsidP="0055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 xml:space="preserve">Satiksmes ministrija turpmāk vairs neizdos atbilstības sertifikātu </w:t>
            </w:r>
            <w:r w:rsidR="00296B26" w:rsidRPr="001E6247">
              <w:rPr>
                <w:rFonts w:ascii="Times New Roman" w:hAnsi="Times New Roman" w:cs="Times New Roman"/>
                <w:sz w:val="24"/>
                <w:szCs w:val="24"/>
              </w:rPr>
              <w:t>klasifikācijas sabiedrībām (atzītajām organizācijām)</w:t>
            </w:r>
          </w:p>
          <w:p w:rsidR="00B22E04" w:rsidRPr="001E6247" w:rsidRDefault="00296B26" w:rsidP="00550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B22E04" w:rsidRPr="001E6247" w:rsidRDefault="006F6FD4" w:rsidP="006F6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 xml:space="preserve">Projekta izpildes ietekme uz pārvaldes </w:t>
            </w:r>
            <w:r w:rsidRPr="001E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institucionālo struktūru.</w:t>
            </w:r>
          </w:p>
          <w:p w:rsidR="006F6FD4" w:rsidRPr="001E6247" w:rsidRDefault="006F6FD4" w:rsidP="006F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Jaunu institūciju izveide.</w:t>
            </w:r>
          </w:p>
        </w:tc>
        <w:tc>
          <w:tcPr>
            <w:tcW w:w="5670" w:type="dxa"/>
          </w:tcPr>
          <w:p w:rsidR="00B22E04" w:rsidRPr="001E6247" w:rsidRDefault="007A4DC3" w:rsidP="008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0B7EBC" w:rsidRPr="001E6247" w:rsidRDefault="000B7EBC" w:rsidP="000B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 xml:space="preserve">Projekta izpildes ietekme uz pārvaldes institucionālo struktūru. </w:t>
            </w:r>
          </w:p>
          <w:p w:rsidR="006F6FD4" w:rsidRDefault="000B7EBC" w:rsidP="00A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Esošu institūciju likvidācija.</w:t>
            </w:r>
          </w:p>
          <w:p w:rsidR="005A274D" w:rsidRPr="001E6247" w:rsidRDefault="005A274D" w:rsidP="00AD7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2E04" w:rsidRPr="001E6247" w:rsidRDefault="007A4DC3" w:rsidP="008D7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:rsidR="00B22E04" w:rsidRPr="001E6247" w:rsidRDefault="00D47E10" w:rsidP="00D4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Projekta izpildes ietekme uz pārvaldes institucionālo struktūru.</w:t>
            </w:r>
          </w:p>
          <w:p w:rsidR="00D47E10" w:rsidRDefault="00D47E10" w:rsidP="00AD7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Esošu institūciju reorganizācija.</w:t>
            </w:r>
          </w:p>
          <w:p w:rsidR="00A02FFB" w:rsidRDefault="00A02FFB" w:rsidP="00A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6D" w:rsidRDefault="00BC336D" w:rsidP="00AD7E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36D" w:rsidRPr="001E6247" w:rsidRDefault="00BC336D" w:rsidP="00AD7E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B22E04" w:rsidRPr="001E6247" w:rsidRDefault="007107D1" w:rsidP="00F26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B22E04" w:rsidRPr="001E6247" w:rsidTr="00EF430C">
        <w:tc>
          <w:tcPr>
            <w:tcW w:w="675" w:type="dxa"/>
          </w:tcPr>
          <w:p w:rsidR="00B22E04" w:rsidRPr="001E6247" w:rsidRDefault="00B22E04" w:rsidP="00EF4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:rsidR="00B22E04" w:rsidRDefault="00D47E10" w:rsidP="00D47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Cita informācija.</w:t>
            </w:r>
          </w:p>
          <w:p w:rsidR="005A274D" w:rsidRPr="001E6247" w:rsidRDefault="005A274D" w:rsidP="00D47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22E04" w:rsidRPr="001E6247" w:rsidRDefault="00F80DB1" w:rsidP="00F8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47">
              <w:rPr>
                <w:rFonts w:ascii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:rsidR="00BC336D" w:rsidRDefault="00BC336D" w:rsidP="007877B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7C60" w:rsidRDefault="00AD0C1B" w:rsidP="007877B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Anotācijas III un</w:t>
      </w:r>
      <w:r w:rsidR="008B7B39" w:rsidRPr="002277AA">
        <w:rPr>
          <w:rFonts w:ascii="Times New Roman" w:hAnsi="Times New Roman" w:cs="Times New Roman"/>
          <w:i/>
          <w:sz w:val="28"/>
          <w:szCs w:val="28"/>
        </w:rPr>
        <w:t xml:space="preserve"> V sadaļas 2. tabula </w:t>
      </w:r>
      <w:r w:rsidR="00DD0668" w:rsidRPr="00227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0668" w:rsidRPr="00227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–  </w:t>
      </w:r>
      <w:r w:rsidR="00237C60" w:rsidRPr="002277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projekts šīs jomas neskar.</w:t>
      </w:r>
    </w:p>
    <w:p w:rsidR="00BC336D" w:rsidRDefault="00BC336D" w:rsidP="00237C60">
      <w:pPr>
        <w:ind w:firstLine="720"/>
        <w:rPr>
          <w:rFonts w:ascii="Times New Roman" w:hAnsi="Times New Roman" w:cs="Times New Roman"/>
          <w:i/>
          <w:sz w:val="28"/>
          <w:szCs w:val="28"/>
        </w:rPr>
      </w:pPr>
    </w:p>
    <w:p w:rsidR="00186110" w:rsidRPr="002277AA" w:rsidRDefault="00237C60" w:rsidP="00237C6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277AA">
        <w:rPr>
          <w:rFonts w:ascii="Times New Roman" w:hAnsi="Times New Roman" w:cs="Times New Roman"/>
          <w:i/>
          <w:sz w:val="28"/>
          <w:szCs w:val="28"/>
        </w:rPr>
        <w:t>S</w:t>
      </w:r>
      <w:r w:rsidR="00186110" w:rsidRPr="002277AA">
        <w:rPr>
          <w:rFonts w:ascii="Times New Roman" w:hAnsi="Times New Roman" w:cs="Times New Roman"/>
          <w:sz w:val="28"/>
          <w:szCs w:val="28"/>
        </w:rPr>
        <w:t>atiksmes ministrs</w:t>
      </w:r>
      <w:r w:rsidR="00186110" w:rsidRPr="002277AA">
        <w:rPr>
          <w:rFonts w:ascii="Times New Roman" w:hAnsi="Times New Roman" w:cs="Times New Roman"/>
          <w:sz w:val="28"/>
          <w:szCs w:val="28"/>
        </w:rPr>
        <w:tab/>
      </w:r>
      <w:r w:rsidR="00186110" w:rsidRPr="002277AA">
        <w:rPr>
          <w:rFonts w:ascii="Times New Roman" w:hAnsi="Times New Roman" w:cs="Times New Roman"/>
          <w:sz w:val="28"/>
          <w:szCs w:val="28"/>
        </w:rPr>
        <w:tab/>
      </w:r>
      <w:r w:rsidR="00186110" w:rsidRPr="002277AA">
        <w:rPr>
          <w:rFonts w:ascii="Times New Roman" w:hAnsi="Times New Roman" w:cs="Times New Roman"/>
          <w:sz w:val="28"/>
          <w:szCs w:val="28"/>
        </w:rPr>
        <w:tab/>
      </w:r>
      <w:r w:rsidR="00186110" w:rsidRPr="002277AA">
        <w:rPr>
          <w:rFonts w:ascii="Times New Roman" w:hAnsi="Times New Roman" w:cs="Times New Roman"/>
          <w:sz w:val="28"/>
          <w:szCs w:val="28"/>
        </w:rPr>
        <w:tab/>
      </w:r>
      <w:r w:rsidR="00186110" w:rsidRPr="002277AA">
        <w:rPr>
          <w:rFonts w:ascii="Times New Roman" w:hAnsi="Times New Roman" w:cs="Times New Roman"/>
          <w:sz w:val="28"/>
          <w:szCs w:val="28"/>
        </w:rPr>
        <w:tab/>
        <w:t xml:space="preserve">U. </w:t>
      </w:r>
      <w:proofErr w:type="spellStart"/>
      <w:r w:rsidR="00186110" w:rsidRPr="002277AA">
        <w:rPr>
          <w:rFonts w:ascii="Times New Roman" w:hAnsi="Times New Roman" w:cs="Times New Roman"/>
          <w:sz w:val="28"/>
          <w:szCs w:val="28"/>
        </w:rPr>
        <w:t>Augulis</w:t>
      </w:r>
      <w:proofErr w:type="spellEnd"/>
    </w:p>
    <w:p w:rsidR="00BC336D" w:rsidRDefault="00BC336D" w:rsidP="00682E8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6110" w:rsidRPr="002277AA" w:rsidRDefault="00186110" w:rsidP="00682E8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77AA">
        <w:rPr>
          <w:rFonts w:ascii="Times New Roman" w:hAnsi="Times New Roman" w:cs="Times New Roman"/>
          <w:sz w:val="28"/>
          <w:szCs w:val="28"/>
        </w:rPr>
        <w:t>Vīza:</w:t>
      </w:r>
    </w:p>
    <w:p w:rsidR="00186110" w:rsidRPr="002277AA" w:rsidRDefault="00274584" w:rsidP="00682E86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Valsts sekretārs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A. Matīss</w:t>
      </w:r>
    </w:p>
    <w:p w:rsidR="00787E93" w:rsidRDefault="00787E93" w:rsidP="00F261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36D" w:rsidRDefault="00BC336D" w:rsidP="00F261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36D" w:rsidRDefault="00BC336D" w:rsidP="00F261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C336D" w:rsidRDefault="00BC336D" w:rsidP="00F261B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A3044" w:rsidRPr="009B6138" w:rsidRDefault="008F69B1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A3044" w:rsidRPr="009B6138">
        <w:rPr>
          <w:rFonts w:ascii="Times New Roman" w:hAnsi="Times New Roman" w:cs="Times New Roman"/>
          <w:sz w:val="24"/>
          <w:szCs w:val="24"/>
        </w:rPr>
        <w:t>.</w:t>
      </w:r>
      <w:r w:rsidR="009A4B12">
        <w:rPr>
          <w:rFonts w:ascii="Times New Roman" w:hAnsi="Times New Roman" w:cs="Times New Roman"/>
          <w:sz w:val="24"/>
          <w:szCs w:val="24"/>
        </w:rPr>
        <w:t>04</w:t>
      </w:r>
      <w:r w:rsidR="000A3044" w:rsidRPr="009B6138">
        <w:rPr>
          <w:rFonts w:ascii="Times New Roman" w:hAnsi="Times New Roman" w:cs="Times New Roman"/>
          <w:sz w:val="24"/>
          <w:szCs w:val="24"/>
        </w:rPr>
        <w:t>.2011  14:30</w:t>
      </w:r>
    </w:p>
    <w:p w:rsidR="000A3044" w:rsidRPr="009B6138" w:rsidRDefault="00084AB7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1754</w:t>
      </w:r>
    </w:p>
    <w:p w:rsidR="00E15D42" w:rsidRDefault="0055232B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L</w:t>
      </w:r>
      <w:r w:rsidR="00204961" w:rsidRPr="009B6138">
        <w:rPr>
          <w:rFonts w:ascii="Times New Roman" w:hAnsi="Times New Roman" w:cs="Times New Roman"/>
          <w:sz w:val="24"/>
          <w:szCs w:val="24"/>
        </w:rPr>
        <w:t>aima</w:t>
      </w:r>
      <w:r w:rsidR="00F261BA" w:rsidRPr="009B6138">
        <w:rPr>
          <w:rFonts w:ascii="Times New Roman" w:hAnsi="Times New Roman" w:cs="Times New Roman"/>
          <w:sz w:val="24"/>
          <w:szCs w:val="24"/>
        </w:rPr>
        <w:t xml:space="preserve"> Rituma</w:t>
      </w:r>
      <w:r w:rsidR="002277AA" w:rsidRPr="009B6138">
        <w:rPr>
          <w:rFonts w:ascii="Times New Roman" w:hAnsi="Times New Roman" w:cs="Times New Roman"/>
          <w:sz w:val="24"/>
          <w:szCs w:val="24"/>
        </w:rPr>
        <w:t>,</w:t>
      </w:r>
    </w:p>
    <w:p w:rsidR="00F261BA" w:rsidRPr="009B6138" w:rsidRDefault="00F261BA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67028198</w:t>
      </w:r>
    </w:p>
    <w:p w:rsidR="00F261BA" w:rsidRPr="009B6138" w:rsidRDefault="00F261BA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laima.rituma@sam.gov.lv</w:t>
      </w:r>
      <w:r w:rsidR="002277AA" w:rsidRPr="009B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431" w:rsidRDefault="00765431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89B" w:rsidRPr="009B6138" w:rsidRDefault="00F261BA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J</w:t>
      </w:r>
      <w:r w:rsidR="00204961" w:rsidRPr="009B6138">
        <w:rPr>
          <w:rFonts w:ascii="Times New Roman" w:hAnsi="Times New Roman" w:cs="Times New Roman"/>
          <w:sz w:val="24"/>
          <w:szCs w:val="24"/>
        </w:rPr>
        <w:t xml:space="preserve">ana </w:t>
      </w:r>
      <w:proofErr w:type="spellStart"/>
      <w:r w:rsidR="00204961" w:rsidRPr="009B6138">
        <w:rPr>
          <w:rFonts w:ascii="Times New Roman" w:hAnsi="Times New Roman" w:cs="Times New Roman"/>
          <w:sz w:val="24"/>
          <w:szCs w:val="24"/>
        </w:rPr>
        <w:t>J</w:t>
      </w:r>
      <w:r w:rsidRPr="009B6138">
        <w:rPr>
          <w:rFonts w:ascii="Times New Roman" w:hAnsi="Times New Roman" w:cs="Times New Roman"/>
          <w:sz w:val="24"/>
          <w:szCs w:val="24"/>
        </w:rPr>
        <w:t>ankoviča</w:t>
      </w:r>
      <w:proofErr w:type="spellEnd"/>
      <w:r w:rsidR="00765431" w:rsidRPr="009B6138">
        <w:rPr>
          <w:rFonts w:ascii="Times New Roman" w:hAnsi="Times New Roman" w:cs="Times New Roman"/>
          <w:sz w:val="24"/>
          <w:szCs w:val="24"/>
        </w:rPr>
        <w:t>,</w:t>
      </w:r>
    </w:p>
    <w:p w:rsidR="005F389B" w:rsidRPr="009B6138" w:rsidRDefault="00F261BA" w:rsidP="00F261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67062133</w:t>
      </w:r>
      <w:r w:rsidR="00765431" w:rsidRPr="009B6138">
        <w:rPr>
          <w:rFonts w:ascii="Times New Roman" w:hAnsi="Times New Roman" w:cs="Times New Roman"/>
          <w:sz w:val="24"/>
          <w:szCs w:val="24"/>
        </w:rPr>
        <w:t>,</w:t>
      </w:r>
    </w:p>
    <w:p w:rsidR="00F261BA" w:rsidRPr="009B6138" w:rsidRDefault="00F261BA" w:rsidP="00F261BA">
      <w:pPr>
        <w:pStyle w:val="NoSpacing"/>
        <w:rPr>
          <w:sz w:val="24"/>
          <w:szCs w:val="24"/>
        </w:rPr>
      </w:pPr>
      <w:r w:rsidRPr="009B6138">
        <w:rPr>
          <w:rFonts w:ascii="Times New Roman" w:hAnsi="Times New Roman" w:cs="Times New Roman"/>
          <w:sz w:val="24"/>
          <w:szCs w:val="24"/>
        </w:rPr>
        <w:t>jana.jankovica@lja.lv</w:t>
      </w:r>
    </w:p>
    <w:sectPr w:rsidR="00F261BA" w:rsidRPr="009B6138" w:rsidSect="002A2A9E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767" w:rsidRDefault="000B7767" w:rsidP="00C053E9">
      <w:pPr>
        <w:spacing w:after="0" w:line="240" w:lineRule="auto"/>
      </w:pPr>
      <w:r>
        <w:separator/>
      </w:r>
    </w:p>
  </w:endnote>
  <w:endnote w:type="continuationSeparator" w:id="0">
    <w:p w:rsidR="000B7767" w:rsidRDefault="000B7767" w:rsidP="00C0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C" w:rsidRPr="005A397B" w:rsidRDefault="00EF430C" w:rsidP="005A397B">
    <w:pPr>
      <w:pStyle w:val="Footer"/>
      <w:jc w:val="both"/>
      <w:rPr>
        <w:rFonts w:ascii="Times New Roman" w:hAnsi="Times New Roman" w:cs="Times New Roman"/>
      </w:rPr>
    </w:pPr>
    <w:r w:rsidRPr="005A397B">
      <w:rPr>
        <w:rFonts w:ascii="Times New Roman" w:hAnsi="Times New Roman" w:cs="Times New Roman"/>
      </w:rPr>
      <w:t>SAMAnot_</w:t>
    </w:r>
    <w:r w:rsidR="008F69B1">
      <w:rPr>
        <w:rFonts w:ascii="Times New Roman" w:hAnsi="Times New Roman" w:cs="Times New Roman"/>
      </w:rPr>
      <w:t>21</w:t>
    </w:r>
    <w:r>
      <w:rPr>
        <w:rFonts w:ascii="Times New Roman" w:hAnsi="Times New Roman" w:cs="Times New Roman"/>
      </w:rPr>
      <w:t>04</w:t>
    </w:r>
    <w:r w:rsidRPr="005A397B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_klasifikacsab</w:t>
    </w:r>
    <w:r w:rsidRPr="005A397B">
      <w:rPr>
        <w:rFonts w:ascii="Times New Roman" w:hAnsi="Times New Roman" w:cs="Times New Roman"/>
      </w:rPr>
      <w:t xml:space="preserve">; </w:t>
    </w:r>
    <w:r w:rsidR="004D70CE">
      <w:rPr>
        <w:rFonts w:ascii="Times New Roman" w:hAnsi="Times New Roman" w:cs="Times New Roman"/>
      </w:rPr>
      <w:t>Ministru kabineta n</w:t>
    </w:r>
    <w:r w:rsidRPr="005A397B">
      <w:rPr>
        <w:rFonts w:ascii="Times New Roman" w:hAnsi="Times New Roman" w:cs="Times New Roman"/>
      </w:rPr>
      <w:t>oteikumu projekta „Klasifikācijas sabiedrību (atzīto organizāciju) uzraudzības kārtība” sākotnējās ietekmes novērtējuma ziņojums (anotācija)</w:t>
    </w:r>
  </w:p>
  <w:p w:rsidR="00EF430C" w:rsidRPr="005A397B" w:rsidRDefault="00EF430C" w:rsidP="005A397B">
    <w:pPr>
      <w:jc w:val="both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0C" w:rsidRPr="005A397B" w:rsidRDefault="00EF430C" w:rsidP="008F6A15">
    <w:pPr>
      <w:pStyle w:val="Footer"/>
      <w:jc w:val="both"/>
      <w:rPr>
        <w:rFonts w:ascii="Times New Roman" w:hAnsi="Times New Roman" w:cs="Times New Roman"/>
      </w:rPr>
    </w:pPr>
    <w:r w:rsidRPr="005A397B">
      <w:rPr>
        <w:rFonts w:ascii="Times New Roman" w:hAnsi="Times New Roman" w:cs="Times New Roman"/>
      </w:rPr>
      <w:t>SAMAnot_</w:t>
    </w:r>
    <w:r w:rsidR="008F69B1">
      <w:rPr>
        <w:rFonts w:ascii="Times New Roman" w:hAnsi="Times New Roman" w:cs="Times New Roman"/>
      </w:rPr>
      <w:t>21</w:t>
    </w:r>
    <w:r>
      <w:rPr>
        <w:rFonts w:ascii="Times New Roman" w:hAnsi="Times New Roman" w:cs="Times New Roman"/>
      </w:rPr>
      <w:t>04</w:t>
    </w:r>
    <w:r w:rsidRPr="005A397B">
      <w:rPr>
        <w:rFonts w:ascii="Times New Roman" w:hAnsi="Times New Roman" w:cs="Times New Roman"/>
      </w:rPr>
      <w:t>11</w:t>
    </w:r>
    <w:r>
      <w:rPr>
        <w:rFonts w:ascii="Times New Roman" w:hAnsi="Times New Roman" w:cs="Times New Roman"/>
      </w:rPr>
      <w:t>_klasifikacsab</w:t>
    </w:r>
    <w:r w:rsidRPr="005A397B">
      <w:rPr>
        <w:rFonts w:ascii="Times New Roman" w:hAnsi="Times New Roman" w:cs="Times New Roman"/>
      </w:rPr>
      <w:t xml:space="preserve">; </w:t>
    </w:r>
    <w:r w:rsidR="004D70CE">
      <w:rPr>
        <w:rFonts w:ascii="Times New Roman" w:hAnsi="Times New Roman" w:cs="Times New Roman"/>
      </w:rPr>
      <w:t>Ministru kabineta n</w:t>
    </w:r>
    <w:r w:rsidRPr="005A397B">
      <w:rPr>
        <w:rFonts w:ascii="Times New Roman" w:hAnsi="Times New Roman" w:cs="Times New Roman"/>
      </w:rPr>
      <w:t>oteikumu projekta „Klasifikācijas sabiedrību (atzīto organizāciju) uzraudzības kārtība” sākotnējās ietekmes novērtējuma ziņojums (anotācija)</w:t>
    </w:r>
  </w:p>
  <w:p w:rsidR="00EF430C" w:rsidRPr="005A397B" w:rsidRDefault="00EF430C" w:rsidP="008F6A15">
    <w:pPr>
      <w:jc w:val="both"/>
      <w:rPr>
        <w:rFonts w:ascii="Times New Roman" w:hAnsi="Times New Roman" w:cs="Times New Roman"/>
      </w:rPr>
    </w:pPr>
  </w:p>
  <w:p w:rsidR="00EF430C" w:rsidRDefault="00EF43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767" w:rsidRDefault="000B7767" w:rsidP="00C053E9">
      <w:pPr>
        <w:spacing w:after="0" w:line="240" w:lineRule="auto"/>
      </w:pPr>
      <w:r>
        <w:separator/>
      </w:r>
    </w:p>
  </w:footnote>
  <w:footnote w:type="continuationSeparator" w:id="0">
    <w:p w:rsidR="000B7767" w:rsidRDefault="000B7767" w:rsidP="00C05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73013"/>
      <w:docPartObj>
        <w:docPartGallery w:val="Page Numbers (Top of Page)"/>
        <w:docPartUnique/>
      </w:docPartObj>
    </w:sdtPr>
    <w:sdtContent>
      <w:p w:rsidR="00EF430C" w:rsidRDefault="00FC4918">
        <w:pPr>
          <w:pStyle w:val="Header"/>
          <w:jc w:val="center"/>
        </w:pPr>
        <w:fldSimple w:instr=" PAGE   \* MERGEFORMAT ">
          <w:r w:rsidR="00FF77D5">
            <w:rPr>
              <w:noProof/>
            </w:rPr>
            <w:t>10</w:t>
          </w:r>
        </w:fldSimple>
      </w:p>
    </w:sdtContent>
  </w:sdt>
  <w:p w:rsidR="00EF430C" w:rsidRDefault="00EF43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EE5"/>
    <w:multiLevelType w:val="hybridMultilevel"/>
    <w:tmpl w:val="8CBC8170"/>
    <w:lvl w:ilvl="0" w:tplc="402A1E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664C"/>
    <w:multiLevelType w:val="hybridMultilevel"/>
    <w:tmpl w:val="AC442BA2"/>
    <w:lvl w:ilvl="0" w:tplc="4D38F5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0124CE"/>
    <w:multiLevelType w:val="hybridMultilevel"/>
    <w:tmpl w:val="78FA7AB8"/>
    <w:lvl w:ilvl="0" w:tplc="E4761D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14A29"/>
    <w:multiLevelType w:val="hybridMultilevel"/>
    <w:tmpl w:val="06649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8622B"/>
    <w:multiLevelType w:val="hybridMultilevel"/>
    <w:tmpl w:val="066498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53F14"/>
    <w:multiLevelType w:val="hybridMultilevel"/>
    <w:tmpl w:val="24E24E64"/>
    <w:lvl w:ilvl="0" w:tplc="DC0E8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635E4"/>
    <w:multiLevelType w:val="hybridMultilevel"/>
    <w:tmpl w:val="45809C9C"/>
    <w:lvl w:ilvl="0" w:tplc="AA46B9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446D0F"/>
    <w:rsid w:val="000019D0"/>
    <w:rsid w:val="000100BB"/>
    <w:rsid w:val="00020670"/>
    <w:rsid w:val="00025A05"/>
    <w:rsid w:val="00026DEE"/>
    <w:rsid w:val="000444A0"/>
    <w:rsid w:val="000451B3"/>
    <w:rsid w:val="00050A54"/>
    <w:rsid w:val="00052807"/>
    <w:rsid w:val="00057C7F"/>
    <w:rsid w:val="000700B6"/>
    <w:rsid w:val="00070C64"/>
    <w:rsid w:val="000809BB"/>
    <w:rsid w:val="00084AB7"/>
    <w:rsid w:val="000875F5"/>
    <w:rsid w:val="00087FF5"/>
    <w:rsid w:val="0009234C"/>
    <w:rsid w:val="00097B42"/>
    <w:rsid w:val="000A3044"/>
    <w:rsid w:val="000A3396"/>
    <w:rsid w:val="000A3662"/>
    <w:rsid w:val="000B3AFB"/>
    <w:rsid w:val="000B7767"/>
    <w:rsid w:val="000B7EBC"/>
    <w:rsid w:val="000C01AA"/>
    <w:rsid w:val="000C5000"/>
    <w:rsid w:val="000D6F5C"/>
    <w:rsid w:val="000F0F9D"/>
    <w:rsid w:val="000F2977"/>
    <w:rsid w:val="000F6F8A"/>
    <w:rsid w:val="000F74B5"/>
    <w:rsid w:val="0010363B"/>
    <w:rsid w:val="00110726"/>
    <w:rsid w:val="001108F7"/>
    <w:rsid w:val="00117C67"/>
    <w:rsid w:val="00121FDE"/>
    <w:rsid w:val="0014151E"/>
    <w:rsid w:val="00146267"/>
    <w:rsid w:val="001521FC"/>
    <w:rsid w:val="001532EC"/>
    <w:rsid w:val="0015411E"/>
    <w:rsid w:val="00156D57"/>
    <w:rsid w:val="0015753A"/>
    <w:rsid w:val="00166EE1"/>
    <w:rsid w:val="00182BC3"/>
    <w:rsid w:val="00186110"/>
    <w:rsid w:val="001B0BB8"/>
    <w:rsid w:val="001B3D07"/>
    <w:rsid w:val="001B6E67"/>
    <w:rsid w:val="001B762F"/>
    <w:rsid w:val="001C2AC2"/>
    <w:rsid w:val="001D64CB"/>
    <w:rsid w:val="001D73B7"/>
    <w:rsid w:val="001D7C47"/>
    <w:rsid w:val="001E6247"/>
    <w:rsid w:val="001F56A9"/>
    <w:rsid w:val="001F6FAF"/>
    <w:rsid w:val="001F7290"/>
    <w:rsid w:val="001F7607"/>
    <w:rsid w:val="001F7DAB"/>
    <w:rsid w:val="00201F84"/>
    <w:rsid w:val="00202466"/>
    <w:rsid w:val="00203069"/>
    <w:rsid w:val="00203A06"/>
    <w:rsid w:val="00204961"/>
    <w:rsid w:val="0021023E"/>
    <w:rsid w:val="00210AA9"/>
    <w:rsid w:val="0021386B"/>
    <w:rsid w:val="00214E53"/>
    <w:rsid w:val="00217DE0"/>
    <w:rsid w:val="00221592"/>
    <w:rsid w:val="00227388"/>
    <w:rsid w:val="002277AA"/>
    <w:rsid w:val="00237C60"/>
    <w:rsid w:val="0024163D"/>
    <w:rsid w:val="00250299"/>
    <w:rsid w:val="00252623"/>
    <w:rsid w:val="00254E7D"/>
    <w:rsid w:val="0026194F"/>
    <w:rsid w:val="00263C4A"/>
    <w:rsid w:val="0027304F"/>
    <w:rsid w:val="00273852"/>
    <w:rsid w:val="00274584"/>
    <w:rsid w:val="00275B0F"/>
    <w:rsid w:val="00281701"/>
    <w:rsid w:val="002876EA"/>
    <w:rsid w:val="00290322"/>
    <w:rsid w:val="00292071"/>
    <w:rsid w:val="00295100"/>
    <w:rsid w:val="00296B26"/>
    <w:rsid w:val="002A051B"/>
    <w:rsid w:val="002A2A9E"/>
    <w:rsid w:val="002A4B8F"/>
    <w:rsid w:val="002B5E50"/>
    <w:rsid w:val="002C3FA3"/>
    <w:rsid w:val="002C6054"/>
    <w:rsid w:val="002C60B2"/>
    <w:rsid w:val="002C6636"/>
    <w:rsid w:val="002D1F51"/>
    <w:rsid w:val="002D2555"/>
    <w:rsid w:val="002D4CC5"/>
    <w:rsid w:val="002E1510"/>
    <w:rsid w:val="002E40D4"/>
    <w:rsid w:val="002E455E"/>
    <w:rsid w:val="002E4FE5"/>
    <w:rsid w:val="002E51DF"/>
    <w:rsid w:val="002F08F4"/>
    <w:rsid w:val="002F24A4"/>
    <w:rsid w:val="002F24CD"/>
    <w:rsid w:val="002F7644"/>
    <w:rsid w:val="0030248F"/>
    <w:rsid w:val="00304921"/>
    <w:rsid w:val="00307520"/>
    <w:rsid w:val="00310342"/>
    <w:rsid w:val="00312799"/>
    <w:rsid w:val="0031352D"/>
    <w:rsid w:val="00314BE4"/>
    <w:rsid w:val="00314DDA"/>
    <w:rsid w:val="00315BFB"/>
    <w:rsid w:val="00320BDC"/>
    <w:rsid w:val="00322313"/>
    <w:rsid w:val="0033230B"/>
    <w:rsid w:val="00334726"/>
    <w:rsid w:val="0034743D"/>
    <w:rsid w:val="00347A5C"/>
    <w:rsid w:val="00351127"/>
    <w:rsid w:val="003614E5"/>
    <w:rsid w:val="003644DF"/>
    <w:rsid w:val="0036686B"/>
    <w:rsid w:val="00372D4A"/>
    <w:rsid w:val="003731F6"/>
    <w:rsid w:val="00374521"/>
    <w:rsid w:val="003760F7"/>
    <w:rsid w:val="0038287F"/>
    <w:rsid w:val="0038333E"/>
    <w:rsid w:val="00383EE3"/>
    <w:rsid w:val="00386BBD"/>
    <w:rsid w:val="00390FF0"/>
    <w:rsid w:val="003951A3"/>
    <w:rsid w:val="003A2B74"/>
    <w:rsid w:val="003B540F"/>
    <w:rsid w:val="003B546E"/>
    <w:rsid w:val="003C1CD5"/>
    <w:rsid w:val="003D087D"/>
    <w:rsid w:val="003D1FE6"/>
    <w:rsid w:val="003D41FC"/>
    <w:rsid w:val="003F17FB"/>
    <w:rsid w:val="003F573F"/>
    <w:rsid w:val="00400614"/>
    <w:rsid w:val="00403F61"/>
    <w:rsid w:val="00411477"/>
    <w:rsid w:val="004158AC"/>
    <w:rsid w:val="004246E3"/>
    <w:rsid w:val="00425740"/>
    <w:rsid w:val="00427A4D"/>
    <w:rsid w:val="00435FE6"/>
    <w:rsid w:val="004413AD"/>
    <w:rsid w:val="00446D0F"/>
    <w:rsid w:val="00456C2A"/>
    <w:rsid w:val="00461421"/>
    <w:rsid w:val="00461C7A"/>
    <w:rsid w:val="0046705A"/>
    <w:rsid w:val="0046714E"/>
    <w:rsid w:val="004700AF"/>
    <w:rsid w:val="004778F5"/>
    <w:rsid w:val="00481626"/>
    <w:rsid w:val="00481A80"/>
    <w:rsid w:val="00497A43"/>
    <w:rsid w:val="004A2741"/>
    <w:rsid w:val="004A2E29"/>
    <w:rsid w:val="004A5D7B"/>
    <w:rsid w:val="004B299B"/>
    <w:rsid w:val="004C0495"/>
    <w:rsid w:val="004C24A7"/>
    <w:rsid w:val="004C2D6D"/>
    <w:rsid w:val="004C57EE"/>
    <w:rsid w:val="004C6DB5"/>
    <w:rsid w:val="004D3849"/>
    <w:rsid w:val="004D70CE"/>
    <w:rsid w:val="004F2E06"/>
    <w:rsid w:val="004F49FC"/>
    <w:rsid w:val="004F739A"/>
    <w:rsid w:val="004F7A89"/>
    <w:rsid w:val="00501064"/>
    <w:rsid w:val="00504047"/>
    <w:rsid w:val="00513FBD"/>
    <w:rsid w:val="00514B2C"/>
    <w:rsid w:val="00532FBA"/>
    <w:rsid w:val="0054233A"/>
    <w:rsid w:val="005424D8"/>
    <w:rsid w:val="0054253A"/>
    <w:rsid w:val="00542994"/>
    <w:rsid w:val="00550081"/>
    <w:rsid w:val="00550EC2"/>
    <w:rsid w:val="0055232B"/>
    <w:rsid w:val="0055351F"/>
    <w:rsid w:val="00553F08"/>
    <w:rsid w:val="00555AF2"/>
    <w:rsid w:val="00561658"/>
    <w:rsid w:val="0056315C"/>
    <w:rsid w:val="00572016"/>
    <w:rsid w:val="00572D79"/>
    <w:rsid w:val="00577042"/>
    <w:rsid w:val="005777A7"/>
    <w:rsid w:val="00582CB9"/>
    <w:rsid w:val="0058543A"/>
    <w:rsid w:val="00586DCC"/>
    <w:rsid w:val="005933DC"/>
    <w:rsid w:val="00593FEB"/>
    <w:rsid w:val="005A2144"/>
    <w:rsid w:val="005A274D"/>
    <w:rsid w:val="005A397B"/>
    <w:rsid w:val="005A5CE4"/>
    <w:rsid w:val="005A7954"/>
    <w:rsid w:val="005B1388"/>
    <w:rsid w:val="005B3DF9"/>
    <w:rsid w:val="005C549C"/>
    <w:rsid w:val="005D2045"/>
    <w:rsid w:val="005D4132"/>
    <w:rsid w:val="005F1072"/>
    <w:rsid w:val="005F389B"/>
    <w:rsid w:val="005F5A43"/>
    <w:rsid w:val="00604525"/>
    <w:rsid w:val="00604C7E"/>
    <w:rsid w:val="00606063"/>
    <w:rsid w:val="0061121D"/>
    <w:rsid w:val="0061196E"/>
    <w:rsid w:val="00611FAC"/>
    <w:rsid w:val="00617323"/>
    <w:rsid w:val="006207F7"/>
    <w:rsid w:val="0063305F"/>
    <w:rsid w:val="0064505D"/>
    <w:rsid w:val="006552B2"/>
    <w:rsid w:val="00661019"/>
    <w:rsid w:val="00681A83"/>
    <w:rsid w:val="00682874"/>
    <w:rsid w:val="00682E86"/>
    <w:rsid w:val="00684D4B"/>
    <w:rsid w:val="00686804"/>
    <w:rsid w:val="006A5763"/>
    <w:rsid w:val="006A6125"/>
    <w:rsid w:val="006A6E0F"/>
    <w:rsid w:val="006B2F35"/>
    <w:rsid w:val="006B42F0"/>
    <w:rsid w:val="006B4A8F"/>
    <w:rsid w:val="006B5E4D"/>
    <w:rsid w:val="006B7F75"/>
    <w:rsid w:val="006C400D"/>
    <w:rsid w:val="006D4CDC"/>
    <w:rsid w:val="006E0F05"/>
    <w:rsid w:val="006E4EEB"/>
    <w:rsid w:val="006F2CC0"/>
    <w:rsid w:val="006F6FD4"/>
    <w:rsid w:val="00707413"/>
    <w:rsid w:val="007107D1"/>
    <w:rsid w:val="00714457"/>
    <w:rsid w:val="00741F9C"/>
    <w:rsid w:val="00752C7B"/>
    <w:rsid w:val="0075772B"/>
    <w:rsid w:val="007627DB"/>
    <w:rsid w:val="00765431"/>
    <w:rsid w:val="007720F9"/>
    <w:rsid w:val="00780DFA"/>
    <w:rsid w:val="00786965"/>
    <w:rsid w:val="007877BD"/>
    <w:rsid w:val="00787E93"/>
    <w:rsid w:val="00794F7C"/>
    <w:rsid w:val="007A0F3B"/>
    <w:rsid w:val="007A4DC3"/>
    <w:rsid w:val="007A722A"/>
    <w:rsid w:val="007B5D77"/>
    <w:rsid w:val="007C7F3A"/>
    <w:rsid w:val="007D2D25"/>
    <w:rsid w:val="007E26CA"/>
    <w:rsid w:val="007E61C6"/>
    <w:rsid w:val="007F0B1B"/>
    <w:rsid w:val="007F0C80"/>
    <w:rsid w:val="007F3802"/>
    <w:rsid w:val="007F3C00"/>
    <w:rsid w:val="0080266A"/>
    <w:rsid w:val="00803E3D"/>
    <w:rsid w:val="008054A7"/>
    <w:rsid w:val="00805BFC"/>
    <w:rsid w:val="008157DF"/>
    <w:rsid w:val="00820DFC"/>
    <w:rsid w:val="008258A5"/>
    <w:rsid w:val="00831738"/>
    <w:rsid w:val="00832BCD"/>
    <w:rsid w:val="00842A5D"/>
    <w:rsid w:val="008456BC"/>
    <w:rsid w:val="00850BA5"/>
    <w:rsid w:val="00852ABF"/>
    <w:rsid w:val="0085525A"/>
    <w:rsid w:val="00855DE5"/>
    <w:rsid w:val="00860153"/>
    <w:rsid w:val="00864115"/>
    <w:rsid w:val="008710FF"/>
    <w:rsid w:val="00874477"/>
    <w:rsid w:val="008776C2"/>
    <w:rsid w:val="0087792F"/>
    <w:rsid w:val="0088027E"/>
    <w:rsid w:val="008878EE"/>
    <w:rsid w:val="0089613D"/>
    <w:rsid w:val="0089688B"/>
    <w:rsid w:val="008A1980"/>
    <w:rsid w:val="008A3585"/>
    <w:rsid w:val="008B0743"/>
    <w:rsid w:val="008B7B39"/>
    <w:rsid w:val="008B7E8F"/>
    <w:rsid w:val="008C20AF"/>
    <w:rsid w:val="008C3B2C"/>
    <w:rsid w:val="008D1AE4"/>
    <w:rsid w:val="008D7B40"/>
    <w:rsid w:val="008E2626"/>
    <w:rsid w:val="008E56DF"/>
    <w:rsid w:val="008F0094"/>
    <w:rsid w:val="008F69B1"/>
    <w:rsid w:val="008F6A15"/>
    <w:rsid w:val="009011A3"/>
    <w:rsid w:val="00902ACC"/>
    <w:rsid w:val="009042F0"/>
    <w:rsid w:val="009049E4"/>
    <w:rsid w:val="00914A14"/>
    <w:rsid w:val="00917EF7"/>
    <w:rsid w:val="00922E91"/>
    <w:rsid w:val="00923232"/>
    <w:rsid w:val="00927C2F"/>
    <w:rsid w:val="00933A79"/>
    <w:rsid w:val="00934D68"/>
    <w:rsid w:val="00934DD5"/>
    <w:rsid w:val="009576C6"/>
    <w:rsid w:val="0096018A"/>
    <w:rsid w:val="0096039B"/>
    <w:rsid w:val="009647E1"/>
    <w:rsid w:val="00964904"/>
    <w:rsid w:val="00971953"/>
    <w:rsid w:val="00976156"/>
    <w:rsid w:val="00991701"/>
    <w:rsid w:val="009A17D0"/>
    <w:rsid w:val="009A4B12"/>
    <w:rsid w:val="009B06B7"/>
    <w:rsid w:val="009B5C1F"/>
    <w:rsid w:val="009B5E93"/>
    <w:rsid w:val="009B6138"/>
    <w:rsid w:val="009B728B"/>
    <w:rsid w:val="009C3B86"/>
    <w:rsid w:val="009C4A96"/>
    <w:rsid w:val="009D4DFB"/>
    <w:rsid w:val="009D5644"/>
    <w:rsid w:val="009D56D7"/>
    <w:rsid w:val="009D62B5"/>
    <w:rsid w:val="009E4141"/>
    <w:rsid w:val="009F20D0"/>
    <w:rsid w:val="00A024CC"/>
    <w:rsid w:val="00A02FFB"/>
    <w:rsid w:val="00A11054"/>
    <w:rsid w:val="00A128E9"/>
    <w:rsid w:val="00A13A36"/>
    <w:rsid w:val="00A20BAB"/>
    <w:rsid w:val="00A214A9"/>
    <w:rsid w:val="00A23E95"/>
    <w:rsid w:val="00A258BF"/>
    <w:rsid w:val="00A3000D"/>
    <w:rsid w:val="00A30A63"/>
    <w:rsid w:val="00A319D9"/>
    <w:rsid w:val="00A32CEC"/>
    <w:rsid w:val="00A34300"/>
    <w:rsid w:val="00A35B1A"/>
    <w:rsid w:val="00A41C1A"/>
    <w:rsid w:val="00A4376B"/>
    <w:rsid w:val="00A439CE"/>
    <w:rsid w:val="00A4588E"/>
    <w:rsid w:val="00A51D55"/>
    <w:rsid w:val="00A602DD"/>
    <w:rsid w:val="00A63045"/>
    <w:rsid w:val="00A732CE"/>
    <w:rsid w:val="00A765F0"/>
    <w:rsid w:val="00A84CCF"/>
    <w:rsid w:val="00A95DF6"/>
    <w:rsid w:val="00A96CF1"/>
    <w:rsid w:val="00AA0B81"/>
    <w:rsid w:val="00AA2954"/>
    <w:rsid w:val="00AB2ED1"/>
    <w:rsid w:val="00AD0C1B"/>
    <w:rsid w:val="00AD19F9"/>
    <w:rsid w:val="00AD7497"/>
    <w:rsid w:val="00AD7E36"/>
    <w:rsid w:val="00AE1BF9"/>
    <w:rsid w:val="00AE43BE"/>
    <w:rsid w:val="00AE4A25"/>
    <w:rsid w:val="00AE5F7B"/>
    <w:rsid w:val="00AF19A3"/>
    <w:rsid w:val="00AF7E4C"/>
    <w:rsid w:val="00B05EC8"/>
    <w:rsid w:val="00B06C0E"/>
    <w:rsid w:val="00B1045A"/>
    <w:rsid w:val="00B12D0F"/>
    <w:rsid w:val="00B20FD5"/>
    <w:rsid w:val="00B22E04"/>
    <w:rsid w:val="00B311E4"/>
    <w:rsid w:val="00B331D2"/>
    <w:rsid w:val="00B36AF5"/>
    <w:rsid w:val="00B44C1A"/>
    <w:rsid w:val="00B47742"/>
    <w:rsid w:val="00B47D2E"/>
    <w:rsid w:val="00B47FAE"/>
    <w:rsid w:val="00B54935"/>
    <w:rsid w:val="00B61BC7"/>
    <w:rsid w:val="00B634AA"/>
    <w:rsid w:val="00B67241"/>
    <w:rsid w:val="00B75D30"/>
    <w:rsid w:val="00B8119F"/>
    <w:rsid w:val="00B90BC9"/>
    <w:rsid w:val="00B930C2"/>
    <w:rsid w:val="00B94341"/>
    <w:rsid w:val="00BA378E"/>
    <w:rsid w:val="00BA404B"/>
    <w:rsid w:val="00BA513C"/>
    <w:rsid w:val="00BA58DF"/>
    <w:rsid w:val="00BA5D53"/>
    <w:rsid w:val="00BA793A"/>
    <w:rsid w:val="00BB0837"/>
    <w:rsid w:val="00BB2839"/>
    <w:rsid w:val="00BC0833"/>
    <w:rsid w:val="00BC336D"/>
    <w:rsid w:val="00BC4A78"/>
    <w:rsid w:val="00BD62C1"/>
    <w:rsid w:val="00BD6CF6"/>
    <w:rsid w:val="00BE0394"/>
    <w:rsid w:val="00BE1100"/>
    <w:rsid w:val="00BE6476"/>
    <w:rsid w:val="00BF6F50"/>
    <w:rsid w:val="00C03292"/>
    <w:rsid w:val="00C053E9"/>
    <w:rsid w:val="00C064B8"/>
    <w:rsid w:val="00C06995"/>
    <w:rsid w:val="00C103A1"/>
    <w:rsid w:val="00C15605"/>
    <w:rsid w:val="00C16645"/>
    <w:rsid w:val="00C17057"/>
    <w:rsid w:val="00C32D9F"/>
    <w:rsid w:val="00C42465"/>
    <w:rsid w:val="00C43D1F"/>
    <w:rsid w:val="00C44D99"/>
    <w:rsid w:val="00C46E4E"/>
    <w:rsid w:val="00C47480"/>
    <w:rsid w:val="00C648EB"/>
    <w:rsid w:val="00C66DB8"/>
    <w:rsid w:val="00C821B9"/>
    <w:rsid w:val="00C90D1F"/>
    <w:rsid w:val="00C91EAD"/>
    <w:rsid w:val="00C92E80"/>
    <w:rsid w:val="00CA41AA"/>
    <w:rsid w:val="00CB088A"/>
    <w:rsid w:val="00CB7E95"/>
    <w:rsid w:val="00CC2723"/>
    <w:rsid w:val="00CC4767"/>
    <w:rsid w:val="00CE09DA"/>
    <w:rsid w:val="00CF046F"/>
    <w:rsid w:val="00CF346D"/>
    <w:rsid w:val="00CF5F65"/>
    <w:rsid w:val="00D1346E"/>
    <w:rsid w:val="00D25702"/>
    <w:rsid w:val="00D311FE"/>
    <w:rsid w:val="00D33BF2"/>
    <w:rsid w:val="00D3614D"/>
    <w:rsid w:val="00D36A95"/>
    <w:rsid w:val="00D371AC"/>
    <w:rsid w:val="00D47E10"/>
    <w:rsid w:val="00D52B58"/>
    <w:rsid w:val="00D6005D"/>
    <w:rsid w:val="00D600CC"/>
    <w:rsid w:val="00D63FE0"/>
    <w:rsid w:val="00D71B82"/>
    <w:rsid w:val="00D72778"/>
    <w:rsid w:val="00D765DD"/>
    <w:rsid w:val="00D838AB"/>
    <w:rsid w:val="00D8429C"/>
    <w:rsid w:val="00D87238"/>
    <w:rsid w:val="00D9041D"/>
    <w:rsid w:val="00D90D74"/>
    <w:rsid w:val="00D92392"/>
    <w:rsid w:val="00DA78DE"/>
    <w:rsid w:val="00DB4011"/>
    <w:rsid w:val="00DD0668"/>
    <w:rsid w:val="00DD11C9"/>
    <w:rsid w:val="00DD2C2E"/>
    <w:rsid w:val="00DD59B7"/>
    <w:rsid w:val="00DD7037"/>
    <w:rsid w:val="00DE3FF8"/>
    <w:rsid w:val="00DE5758"/>
    <w:rsid w:val="00DF0576"/>
    <w:rsid w:val="00DF0A60"/>
    <w:rsid w:val="00DF211D"/>
    <w:rsid w:val="00DF30F3"/>
    <w:rsid w:val="00E1014F"/>
    <w:rsid w:val="00E121B6"/>
    <w:rsid w:val="00E14FF6"/>
    <w:rsid w:val="00E15D42"/>
    <w:rsid w:val="00E16A0C"/>
    <w:rsid w:val="00E31E91"/>
    <w:rsid w:val="00E323F4"/>
    <w:rsid w:val="00E34939"/>
    <w:rsid w:val="00E40530"/>
    <w:rsid w:val="00E43258"/>
    <w:rsid w:val="00E52F7B"/>
    <w:rsid w:val="00E56673"/>
    <w:rsid w:val="00E607DF"/>
    <w:rsid w:val="00E62F16"/>
    <w:rsid w:val="00E72A7A"/>
    <w:rsid w:val="00E77419"/>
    <w:rsid w:val="00E80BEA"/>
    <w:rsid w:val="00E86B0C"/>
    <w:rsid w:val="00E92360"/>
    <w:rsid w:val="00E9753F"/>
    <w:rsid w:val="00EA2749"/>
    <w:rsid w:val="00EB6036"/>
    <w:rsid w:val="00EB61D6"/>
    <w:rsid w:val="00EB795B"/>
    <w:rsid w:val="00EC0110"/>
    <w:rsid w:val="00EC464E"/>
    <w:rsid w:val="00EC549E"/>
    <w:rsid w:val="00EC6D20"/>
    <w:rsid w:val="00ED2DB0"/>
    <w:rsid w:val="00ED6AC5"/>
    <w:rsid w:val="00ED7FC8"/>
    <w:rsid w:val="00EE17FA"/>
    <w:rsid w:val="00EE2576"/>
    <w:rsid w:val="00EF3379"/>
    <w:rsid w:val="00EF430C"/>
    <w:rsid w:val="00EF62B3"/>
    <w:rsid w:val="00EF7CD4"/>
    <w:rsid w:val="00F07675"/>
    <w:rsid w:val="00F12866"/>
    <w:rsid w:val="00F12AE2"/>
    <w:rsid w:val="00F17617"/>
    <w:rsid w:val="00F2029B"/>
    <w:rsid w:val="00F20975"/>
    <w:rsid w:val="00F24DF2"/>
    <w:rsid w:val="00F261BA"/>
    <w:rsid w:val="00F269C2"/>
    <w:rsid w:val="00F26D48"/>
    <w:rsid w:val="00F31F57"/>
    <w:rsid w:val="00F3708D"/>
    <w:rsid w:val="00F40E42"/>
    <w:rsid w:val="00F508F9"/>
    <w:rsid w:val="00F56A6D"/>
    <w:rsid w:val="00F60BCF"/>
    <w:rsid w:val="00F60CF8"/>
    <w:rsid w:val="00F67F31"/>
    <w:rsid w:val="00F75139"/>
    <w:rsid w:val="00F80DB1"/>
    <w:rsid w:val="00F862EE"/>
    <w:rsid w:val="00F93853"/>
    <w:rsid w:val="00FA5EE9"/>
    <w:rsid w:val="00FA7305"/>
    <w:rsid w:val="00FB07D0"/>
    <w:rsid w:val="00FB3459"/>
    <w:rsid w:val="00FB3D24"/>
    <w:rsid w:val="00FC392A"/>
    <w:rsid w:val="00FC4918"/>
    <w:rsid w:val="00FD6207"/>
    <w:rsid w:val="00FE00C9"/>
    <w:rsid w:val="00FE5AB8"/>
    <w:rsid w:val="00FE7A10"/>
    <w:rsid w:val="00FF2983"/>
    <w:rsid w:val="00FF43EF"/>
    <w:rsid w:val="00FF49C8"/>
    <w:rsid w:val="00FF4F64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5EE9"/>
    <w:pPr>
      <w:ind w:left="720"/>
      <w:contextualSpacing/>
    </w:pPr>
  </w:style>
  <w:style w:type="paragraph" w:styleId="NoSpacing">
    <w:name w:val="No Spacing"/>
    <w:uiPriority w:val="1"/>
    <w:qFormat/>
    <w:rsid w:val="00F261B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61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3E9"/>
  </w:style>
  <w:style w:type="paragraph" w:styleId="Footer">
    <w:name w:val="footer"/>
    <w:basedOn w:val="Normal"/>
    <w:link w:val="FooterChar"/>
    <w:uiPriority w:val="99"/>
    <w:unhideWhenUsed/>
    <w:rsid w:val="00C053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3E9"/>
  </w:style>
  <w:style w:type="paragraph" w:customStyle="1" w:styleId="naiskr">
    <w:name w:val="naiskr"/>
    <w:basedOn w:val="Normal"/>
    <w:uiPriority w:val="99"/>
    <w:rsid w:val="00F31F57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F31F57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76051-8BB8-478C-AD52-3C7CC6F6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10</Pages>
  <Words>1754</Words>
  <Characters>13094</Characters>
  <Application>Microsoft Office Word</Application>
  <DocSecurity>0</DocSecurity>
  <Lines>845</Lines>
  <Paragraphs>284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projekta "Klasifikācijas sabiedrīobu (atzīto organizāciju) uzraudzības kārtība" sākotnējās ietekmes novērtējuma ziņojums (anotācija)</vt:lpstr>
    </vt:vector>
  </TitlesOfParts>
  <Company>Hewlett-Packard Company</Company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projekta "Klasifikācijas sabiedrīobu (atzīto organizāciju) uzraudzības kārtība" sākotnējās ietekmes novērtējuma ziņojums (anotācija)</dc:title>
  <dc:subject>anotācija</dc:subject>
  <dc:creator>Laima Rituma, Jana Jankoviča</dc:creator>
  <dc:description>laima.rituma@sam.gov.lv; 67028198; jana.jankovica@lja.lv; 67062133.</dc:description>
  <cp:lastModifiedBy>jana.jankovica</cp:lastModifiedBy>
  <cp:revision>470</cp:revision>
  <cp:lastPrinted>2011-04-14T12:30:00Z</cp:lastPrinted>
  <dcterms:created xsi:type="dcterms:W3CDTF">2011-03-04T10:57:00Z</dcterms:created>
  <dcterms:modified xsi:type="dcterms:W3CDTF">2011-05-09T13:31:00Z</dcterms:modified>
  <cp:category>Satiksmes ministrija</cp:category>
</cp:coreProperties>
</file>