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0A" w:rsidRPr="007835FA" w:rsidRDefault="00AD6D0A" w:rsidP="00A07DA2">
      <w:pPr>
        <w:spacing w:after="0" w:line="240" w:lineRule="auto"/>
        <w:jc w:val="center"/>
        <w:rPr>
          <w:b/>
          <w:sz w:val="26"/>
          <w:szCs w:val="26"/>
          <w:lang w:eastAsia="lv-LV"/>
        </w:rPr>
      </w:pPr>
      <w:r w:rsidRPr="007835FA">
        <w:rPr>
          <w:b/>
          <w:bCs/>
          <w:sz w:val="26"/>
          <w:szCs w:val="26"/>
          <w:lang w:eastAsia="lv-LV"/>
        </w:rPr>
        <w:t>Ministru kabineta rīkojuma projekta</w:t>
      </w:r>
    </w:p>
    <w:p w:rsidR="00AD6D0A" w:rsidRDefault="00AD6D0A" w:rsidP="00A07DA2">
      <w:pPr>
        <w:spacing w:after="0" w:line="240" w:lineRule="auto"/>
        <w:jc w:val="center"/>
        <w:rPr>
          <w:b/>
          <w:sz w:val="26"/>
          <w:szCs w:val="26"/>
        </w:rPr>
      </w:pPr>
      <w:r w:rsidRPr="007835FA">
        <w:rPr>
          <w:b/>
          <w:sz w:val="26"/>
          <w:szCs w:val="26"/>
        </w:rPr>
        <w:t>„Par valstij dividendēs izmaksājamo valsts akciju sabiedrības „Ceļu satiksmes drošības direkcija” peļņas daļu”” sākotnējās ietekmes novērtējuma ziņojums (anotācija)</w:t>
      </w:r>
    </w:p>
    <w:p w:rsidR="00AD6D0A" w:rsidRDefault="00AD6D0A" w:rsidP="00A07DA2">
      <w:pPr>
        <w:spacing w:after="0" w:line="240" w:lineRule="auto"/>
        <w:jc w:val="center"/>
        <w:rPr>
          <w:b/>
          <w:sz w:val="26"/>
          <w:szCs w:val="26"/>
        </w:rPr>
      </w:pPr>
    </w:p>
    <w:p w:rsidR="00AD6D0A" w:rsidRPr="007835FA" w:rsidRDefault="00AD6D0A" w:rsidP="00A07DA2">
      <w:pPr>
        <w:spacing w:after="0" w:line="240" w:lineRule="auto"/>
        <w:jc w:val="center"/>
        <w:rPr>
          <w:b/>
          <w:sz w:val="26"/>
          <w:szCs w:val="26"/>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95"/>
        <w:gridCol w:w="176"/>
        <w:gridCol w:w="1698"/>
        <w:gridCol w:w="172"/>
        <w:gridCol w:w="1078"/>
        <w:gridCol w:w="14"/>
        <w:gridCol w:w="1430"/>
        <w:gridCol w:w="1344"/>
        <w:gridCol w:w="1344"/>
        <w:gridCol w:w="1344"/>
      </w:tblGrid>
      <w:tr w:rsidR="00AD6D0A" w:rsidRPr="000273EA" w:rsidTr="003A6369">
        <w:trPr>
          <w:tblCellSpacing w:w="0" w:type="dxa"/>
        </w:trPr>
        <w:tc>
          <w:tcPr>
            <w:tcW w:w="9195" w:type="dxa"/>
            <w:gridSpan w:val="10"/>
            <w:tcBorders>
              <w:top w:val="outset" w:sz="6" w:space="0" w:color="auto"/>
              <w:bottom w:val="outset" w:sz="6" w:space="0" w:color="auto"/>
            </w:tcBorders>
            <w:vAlign w:val="center"/>
          </w:tcPr>
          <w:p w:rsidR="00AD6D0A" w:rsidRPr="000273EA" w:rsidRDefault="00AD6D0A" w:rsidP="003A6369">
            <w:pPr>
              <w:spacing w:after="0" w:line="240" w:lineRule="auto"/>
              <w:jc w:val="center"/>
              <w:rPr>
                <w:sz w:val="26"/>
                <w:szCs w:val="26"/>
                <w:lang w:eastAsia="lv-LV"/>
              </w:rPr>
            </w:pPr>
            <w:r w:rsidRPr="000273EA">
              <w:rPr>
                <w:sz w:val="26"/>
                <w:szCs w:val="26"/>
                <w:lang w:eastAsia="lv-LV"/>
              </w:rPr>
              <w:t> </w:t>
            </w:r>
            <w:r w:rsidRPr="000273EA">
              <w:rPr>
                <w:b/>
                <w:bCs/>
                <w:sz w:val="26"/>
                <w:szCs w:val="26"/>
                <w:lang w:eastAsia="lv-LV"/>
              </w:rPr>
              <w:t> I. Tiesību akta projekta izstrādes nepieciešamība</w:t>
            </w:r>
          </w:p>
        </w:tc>
      </w:tr>
      <w:tr w:rsidR="00AD6D0A" w:rsidRPr="000273EA" w:rsidTr="006D0DCA">
        <w:trPr>
          <w:trHeight w:val="630"/>
          <w:tblCellSpacing w:w="0" w:type="dxa"/>
        </w:trPr>
        <w:tc>
          <w:tcPr>
            <w:tcW w:w="775" w:type="dxa"/>
            <w:gridSpan w:val="2"/>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1.</w:t>
            </w:r>
          </w:p>
        </w:tc>
        <w:tc>
          <w:tcPr>
            <w:tcW w:w="1915"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Pamatojums</w:t>
            </w:r>
          </w:p>
        </w:tc>
        <w:tc>
          <w:tcPr>
            <w:tcW w:w="6505" w:type="dxa"/>
            <w:gridSpan w:val="6"/>
            <w:tcBorders>
              <w:top w:val="outset" w:sz="6" w:space="0" w:color="auto"/>
              <w:left w:val="outset" w:sz="6" w:space="0" w:color="auto"/>
              <w:bottom w:val="outset" w:sz="6" w:space="0" w:color="auto"/>
            </w:tcBorders>
          </w:tcPr>
          <w:p w:rsidR="00AD6D0A" w:rsidRPr="000273EA" w:rsidRDefault="00AD6D0A" w:rsidP="003A6369">
            <w:pPr>
              <w:spacing w:after="0" w:line="240" w:lineRule="auto"/>
              <w:jc w:val="both"/>
              <w:rPr>
                <w:sz w:val="26"/>
                <w:szCs w:val="26"/>
              </w:rPr>
            </w:pPr>
            <w:r w:rsidRPr="000273EA">
              <w:rPr>
                <w:sz w:val="26"/>
                <w:szCs w:val="26"/>
              </w:rPr>
              <w:t>Likuma „Par valsts un pašvaldību kapitāla daļām un kapitālsabiedrībām” 3.panta trešā daļa un Ministru kabineta 2009.gada 15.decembra noteikumu Nr.1471 „Kārtība, kādā tiek noteikta un ieskaitīta valsts budžetā izmaksājamā peļņas daļa par valsts kapitāla izmantošanu” 5.punkts.</w:t>
            </w:r>
          </w:p>
          <w:p w:rsidR="00AD6D0A" w:rsidRPr="000273EA" w:rsidRDefault="00AD6D0A" w:rsidP="003A6369">
            <w:pPr>
              <w:spacing w:after="0" w:line="240" w:lineRule="auto"/>
              <w:jc w:val="both"/>
              <w:rPr>
                <w:color w:val="000000"/>
                <w:sz w:val="26"/>
                <w:szCs w:val="26"/>
              </w:rPr>
            </w:pPr>
            <w:r w:rsidRPr="000273EA">
              <w:rPr>
                <w:sz w:val="26"/>
                <w:szCs w:val="26"/>
              </w:rPr>
              <w:t>Ministru kabineta 2009.gada 15.decembra sēdes protokols Nr.88 104.§ 2.punkts.</w:t>
            </w:r>
          </w:p>
        </w:tc>
      </w:tr>
      <w:tr w:rsidR="00AD6D0A" w:rsidRPr="000273EA" w:rsidTr="006D0DCA">
        <w:trPr>
          <w:trHeight w:val="472"/>
          <w:tblCellSpacing w:w="0" w:type="dxa"/>
        </w:trPr>
        <w:tc>
          <w:tcPr>
            <w:tcW w:w="775" w:type="dxa"/>
            <w:gridSpan w:val="2"/>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2.</w:t>
            </w:r>
          </w:p>
        </w:tc>
        <w:tc>
          <w:tcPr>
            <w:tcW w:w="1915"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Pašreizējā situācija un problēmas</w:t>
            </w:r>
          </w:p>
        </w:tc>
        <w:tc>
          <w:tcPr>
            <w:tcW w:w="6505" w:type="dxa"/>
            <w:gridSpan w:val="6"/>
            <w:tcBorders>
              <w:top w:val="outset" w:sz="6" w:space="0" w:color="auto"/>
              <w:left w:val="outset" w:sz="6" w:space="0" w:color="auto"/>
              <w:bottom w:val="outset" w:sz="6" w:space="0" w:color="auto"/>
            </w:tcBorders>
          </w:tcPr>
          <w:p w:rsidR="00AD6D0A" w:rsidRPr="000273EA" w:rsidRDefault="00AD6D0A" w:rsidP="003A6369">
            <w:pPr>
              <w:pStyle w:val="BodyText"/>
              <w:spacing w:after="0"/>
              <w:jc w:val="both"/>
              <w:rPr>
                <w:sz w:val="26"/>
                <w:szCs w:val="26"/>
                <w:lang w:val="lv-LV"/>
              </w:rPr>
            </w:pPr>
            <w:r w:rsidRPr="000273EA">
              <w:rPr>
                <w:sz w:val="26"/>
                <w:szCs w:val="26"/>
                <w:lang w:val="lv-LV"/>
              </w:rPr>
              <w:t>Valsts akciju sabiedrība „Ceļu satiksmes drošības direkcija” (turpmāk – kapitālsabiedrība) komercdarbību 2011.gadā ir noslēgusi ar peļņu</w:t>
            </w:r>
            <w:r>
              <w:rPr>
                <w:sz w:val="26"/>
                <w:szCs w:val="26"/>
                <w:lang w:val="lv-LV"/>
              </w:rPr>
              <w:t xml:space="preserve"> </w:t>
            </w:r>
            <w:r w:rsidRPr="000273EA">
              <w:rPr>
                <w:sz w:val="26"/>
                <w:szCs w:val="26"/>
                <w:lang w:val="lv-LV"/>
              </w:rPr>
              <w:t>Ls 1 211 137 apmērā.</w:t>
            </w:r>
          </w:p>
          <w:p w:rsidR="00AD6D0A" w:rsidRPr="000273EA" w:rsidRDefault="00AD6D0A" w:rsidP="003A6369">
            <w:pPr>
              <w:pStyle w:val="BodyText"/>
              <w:spacing w:after="0"/>
              <w:jc w:val="both"/>
              <w:rPr>
                <w:sz w:val="26"/>
                <w:szCs w:val="26"/>
                <w:lang w:val="lv-LV"/>
              </w:rPr>
            </w:pPr>
            <w:r w:rsidRPr="000273EA">
              <w:rPr>
                <w:sz w:val="26"/>
                <w:szCs w:val="26"/>
                <w:lang w:val="lv-LV"/>
              </w:rPr>
              <w:t>Saskaņā ar likuma „Par valsts un pašvaldību kapitāla daļām un kapitālsabiedrībām” 3.panta trešo daļu un Ministru kabineta 2009.gada 15.decembra noteikumu Nr.1471 „Kārtība, kādā tiek noteikta valsts budžetā izmaksājamā peļņas daļa par valsts kapitāla izmantošanu” (turpmāk noteikumi Nr.1471)  4.</w:t>
            </w:r>
            <w:r w:rsidRPr="000273EA">
              <w:rPr>
                <w:sz w:val="26"/>
                <w:szCs w:val="26"/>
                <w:vertAlign w:val="superscript"/>
                <w:lang w:val="lv-LV"/>
              </w:rPr>
              <w:t>1</w:t>
            </w:r>
            <w:r w:rsidRPr="000273EA">
              <w:rPr>
                <w:sz w:val="26"/>
                <w:szCs w:val="26"/>
                <w:lang w:val="lv-LV"/>
              </w:rPr>
              <w:t xml:space="preserve"> punktu minimālo dividendēs izmaksājamo peļņas daļu par 2011. pārskata gadu kapitālsabiedrībām, kurās visas kapitāla daļas tieši vai pastarpināti pieder valstij nosaka, – 90 procentu apmērā no attiecīgās kapitālsabiedrības tīrās peļņas, ja valsts budžeta likumā kārtējam gadam nav noteikts citādi. Tādejādi kapitālsabiedrībai pēc lēmuma pieņemšanas par dividenžu sadali Valsts kasē par 2011.gadu būtu jāieskaita dividendes Ls 1 090 023,30 apmērā.</w:t>
            </w:r>
          </w:p>
          <w:p w:rsidR="00AD6D0A" w:rsidRPr="000273EA" w:rsidRDefault="00AD6D0A" w:rsidP="003A6369">
            <w:pPr>
              <w:spacing w:after="0" w:line="240" w:lineRule="auto"/>
              <w:jc w:val="both"/>
              <w:rPr>
                <w:sz w:val="26"/>
                <w:szCs w:val="26"/>
              </w:rPr>
            </w:pPr>
            <w:r w:rsidRPr="000273EA">
              <w:rPr>
                <w:sz w:val="26"/>
                <w:szCs w:val="26"/>
              </w:rPr>
              <w:t>Savukārt, noteikumu Nr.1471 5.punkts noteic,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AD6D0A" w:rsidRPr="000273EA" w:rsidRDefault="00AD6D0A" w:rsidP="003A6369">
            <w:pPr>
              <w:spacing w:after="0" w:line="240" w:lineRule="auto"/>
              <w:jc w:val="both"/>
              <w:rPr>
                <w:sz w:val="26"/>
                <w:szCs w:val="26"/>
                <w:lang w:eastAsia="lv-LV"/>
              </w:rPr>
            </w:pPr>
          </w:p>
        </w:tc>
      </w:tr>
      <w:tr w:rsidR="00AD6D0A" w:rsidRPr="000273EA" w:rsidTr="006D0DCA">
        <w:trPr>
          <w:trHeight w:val="837"/>
          <w:tblCellSpacing w:w="0" w:type="dxa"/>
        </w:trPr>
        <w:tc>
          <w:tcPr>
            <w:tcW w:w="775" w:type="dxa"/>
            <w:gridSpan w:val="2"/>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3.</w:t>
            </w:r>
          </w:p>
        </w:tc>
        <w:tc>
          <w:tcPr>
            <w:tcW w:w="1915"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Saistītie politikas ietekmes novērtējumi un pētījumi</w:t>
            </w:r>
          </w:p>
        </w:tc>
        <w:tc>
          <w:tcPr>
            <w:tcW w:w="6505" w:type="dxa"/>
            <w:gridSpan w:val="6"/>
            <w:tcBorders>
              <w:top w:val="outset" w:sz="6" w:space="0" w:color="auto"/>
              <w:left w:val="outset" w:sz="6" w:space="0" w:color="auto"/>
              <w:bottom w:val="outset" w:sz="6" w:space="0" w:color="auto"/>
            </w:tcBorders>
          </w:tcPr>
          <w:p w:rsidR="00AD6D0A" w:rsidRPr="000273EA" w:rsidRDefault="00AD6D0A" w:rsidP="003A6369">
            <w:pPr>
              <w:spacing w:after="0" w:line="240" w:lineRule="auto"/>
              <w:rPr>
                <w:sz w:val="26"/>
                <w:szCs w:val="26"/>
                <w:lang w:eastAsia="lv-LV"/>
              </w:rPr>
            </w:pPr>
            <w:r w:rsidRPr="000273EA">
              <w:rPr>
                <w:sz w:val="26"/>
                <w:szCs w:val="26"/>
              </w:rPr>
              <w:t>Projekts šo jomu neskar.</w:t>
            </w:r>
          </w:p>
        </w:tc>
      </w:tr>
      <w:tr w:rsidR="00AD6D0A" w:rsidRPr="000273EA" w:rsidTr="006D0DCA">
        <w:trPr>
          <w:trHeight w:val="384"/>
          <w:tblCellSpacing w:w="0" w:type="dxa"/>
        </w:trPr>
        <w:tc>
          <w:tcPr>
            <w:tcW w:w="775" w:type="dxa"/>
            <w:gridSpan w:val="2"/>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4.</w:t>
            </w:r>
          </w:p>
        </w:tc>
        <w:tc>
          <w:tcPr>
            <w:tcW w:w="1915"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Tiesiskā regulējuma mērķis un būtība</w:t>
            </w:r>
          </w:p>
        </w:tc>
        <w:tc>
          <w:tcPr>
            <w:tcW w:w="6505" w:type="dxa"/>
            <w:gridSpan w:val="6"/>
            <w:tcBorders>
              <w:top w:val="outset" w:sz="6" w:space="0" w:color="auto"/>
              <w:left w:val="outset" w:sz="6" w:space="0" w:color="auto"/>
              <w:bottom w:val="outset" w:sz="6" w:space="0" w:color="auto"/>
            </w:tcBorders>
          </w:tcPr>
          <w:p w:rsidR="00AD6D0A" w:rsidRPr="000273EA" w:rsidRDefault="00AD6D0A" w:rsidP="003A6369">
            <w:pPr>
              <w:spacing w:after="0" w:line="240" w:lineRule="auto"/>
              <w:jc w:val="both"/>
              <w:rPr>
                <w:sz w:val="26"/>
                <w:szCs w:val="26"/>
              </w:rPr>
            </w:pPr>
            <w:r w:rsidRPr="000273EA">
              <w:rPr>
                <w:sz w:val="26"/>
                <w:szCs w:val="26"/>
              </w:rPr>
              <w:t xml:space="preserve">Ministru kabineta rīkojuma projekts </w:t>
            </w:r>
            <w:r w:rsidRPr="000273EA">
              <w:rPr>
                <w:b/>
                <w:sz w:val="26"/>
                <w:szCs w:val="26"/>
              </w:rPr>
              <w:t>“</w:t>
            </w:r>
            <w:r w:rsidRPr="000273EA">
              <w:rPr>
                <w:sz w:val="26"/>
                <w:szCs w:val="26"/>
              </w:rPr>
              <w:t>Par valstij dividendēs izmaksājamo valsts akciju sabiedrības „Ceļu satiksmes drošības direkcija” peļņas daļu””</w:t>
            </w:r>
            <w:r w:rsidRPr="000273EA">
              <w:rPr>
                <w:b/>
                <w:sz w:val="26"/>
                <w:szCs w:val="26"/>
              </w:rPr>
              <w:t xml:space="preserve"> </w:t>
            </w:r>
            <w:r w:rsidRPr="000273EA">
              <w:rPr>
                <w:sz w:val="26"/>
                <w:szCs w:val="26"/>
              </w:rPr>
              <w:t>paredz Sabiedrībai par 2011.gadu valsts budžetā dividendēs izmaksājamo peļņas daļu noteikt 0% apmērā no kapitālsabiedrības tīrās peļņas.</w:t>
            </w:r>
          </w:p>
          <w:p w:rsidR="00AD6D0A" w:rsidRPr="000273EA" w:rsidRDefault="00AD6D0A" w:rsidP="003A6369">
            <w:pPr>
              <w:spacing w:after="0" w:line="240" w:lineRule="auto"/>
              <w:jc w:val="both"/>
              <w:rPr>
                <w:sz w:val="26"/>
                <w:szCs w:val="26"/>
              </w:rPr>
            </w:pPr>
            <w:r w:rsidRPr="000273EA">
              <w:rPr>
                <w:sz w:val="26"/>
                <w:szCs w:val="26"/>
              </w:rPr>
              <w:t>Rīkojuma projektam, atbilstoši noteikumu Nr.1471 5.1. apakšpunktam, sniedzam sekojošu ekonomisko pamatojumu:</w:t>
            </w:r>
          </w:p>
          <w:p w:rsidR="00AD6D0A" w:rsidRPr="000273EA" w:rsidRDefault="00AD6D0A" w:rsidP="003A6369">
            <w:pPr>
              <w:spacing w:after="0" w:line="240" w:lineRule="auto"/>
              <w:jc w:val="both"/>
              <w:rPr>
                <w:sz w:val="26"/>
                <w:szCs w:val="26"/>
              </w:rPr>
            </w:pPr>
            <w:r w:rsidRPr="000273EA">
              <w:rPr>
                <w:sz w:val="26"/>
                <w:szCs w:val="26"/>
              </w:rPr>
              <w:t>- 2011.gada 6.jūlijā tika izdarīta atzīme Komercreģistrā par VAS „Ceļu satiksmes drošības direkcija” un VAS „Biķernieku kompleksās sporta bāze” reorganizācijas spēkā stāšanos, kā rezultātā, ievērojot bāzei noteikto nacionālās sporta bāzes statusu, Sabiedrībai ir pienākums saglabāt, nodrošināt un attīstīt bāzes darbību dažāda veida sporta, izglītojošo un satiksmes drošības</w:t>
            </w:r>
            <w:r>
              <w:rPr>
                <w:sz w:val="26"/>
                <w:szCs w:val="26"/>
              </w:rPr>
              <w:t xml:space="preserve"> veicinošo pasākumu īstenošanai.</w:t>
            </w:r>
          </w:p>
          <w:p w:rsidR="00AD6D0A" w:rsidRPr="000273EA" w:rsidRDefault="00AD6D0A" w:rsidP="003A6369">
            <w:pPr>
              <w:spacing w:after="0" w:line="240" w:lineRule="auto"/>
              <w:jc w:val="both"/>
              <w:rPr>
                <w:sz w:val="26"/>
                <w:szCs w:val="26"/>
                <w:u w:val="single"/>
              </w:rPr>
            </w:pPr>
            <w:r w:rsidRPr="000273EA">
              <w:rPr>
                <w:sz w:val="26"/>
                <w:szCs w:val="26"/>
              </w:rPr>
              <w:t>- Biķernieku kompleksajā sporta bāzē nepieciešami ieguldījumi, lai arī turpmāk varētu nodrošināt minēto pienākumu izpildi.</w:t>
            </w:r>
          </w:p>
          <w:p w:rsidR="00AD6D0A" w:rsidRPr="000273EA" w:rsidRDefault="00AD6D0A" w:rsidP="003A6369">
            <w:pPr>
              <w:spacing w:after="0" w:line="240" w:lineRule="auto"/>
              <w:jc w:val="both"/>
              <w:rPr>
                <w:sz w:val="26"/>
                <w:szCs w:val="26"/>
              </w:rPr>
            </w:pPr>
            <w:r w:rsidRPr="000273EA">
              <w:rPr>
                <w:sz w:val="26"/>
                <w:szCs w:val="26"/>
              </w:rPr>
              <w:t>- Pamatojoties uz Eiropas Komisijas Baltajā grāmatā, „Ceļvedis uz Eiropas vienoto transporta telpu – virzība uz konkurētspējīgu un resursefektīvu transporta sistēmu” paredzētos mērķus līdz 2030.gadam uz pusi samazināt ar tradicionālo degvielu darbināmo transportlīdzekļu skaitu pilsētās, bet līdz 2050.gadam to izmantošanu pārtraukt pilnībā.</w:t>
            </w:r>
          </w:p>
          <w:p w:rsidR="00AD6D0A" w:rsidRDefault="00AD6D0A" w:rsidP="003A6369">
            <w:pPr>
              <w:spacing w:after="0" w:line="240" w:lineRule="auto"/>
              <w:jc w:val="both"/>
              <w:rPr>
                <w:sz w:val="26"/>
                <w:szCs w:val="26"/>
              </w:rPr>
            </w:pPr>
            <w:r w:rsidRPr="000273EA">
              <w:rPr>
                <w:sz w:val="26"/>
                <w:szCs w:val="26"/>
              </w:rPr>
              <w:t xml:space="preserve">Latvija ir viena no retajām Eiropas Savienības valstīm, kurā nav izveidota institūcija, kas nodrošinātu ar elektromobilitāti saistīto jautājumu risināšanu, tai skaitā, vienotas attīstības stratēģijas izstrādi, jaunāko tendenču izvērtēšanu elektromobilitātes jomā. </w:t>
            </w:r>
          </w:p>
          <w:p w:rsidR="00AD6D0A" w:rsidRDefault="00AD6D0A" w:rsidP="003A6369">
            <w:pPr>
              <w:spacing w:after="0" w:line="240" w:lineRule="auto"/>
              <w:jc w:val="both"/>
              <w:rPr>
                <w:sz w:val="26"/>
                <w:szCs w:val="26"/>
              </w:rPr>
            </w:pPr>
          </w:p>
          <w:p w:rsidR="00AD6D0A" w:rsidRPr="000273EA" w:rsidRDefault="00AD6D0A" w:rsidP="003A6369">
            <w:pPr>
              <w:spacing w:after="0" w:line="240" w:lineRule="auto"/>
              <w:jc w:val="both"/>
              <w:rPr>
                <w:sz w:val="26"/>
                <w:szCs w:val="26"/>
              </w:rPr>
            </w:pPr>
          </w:p>
        </w:tc>
      </w:tr>
      <w:tr w:rsidR="00AD6D0A" w:rsidRPr="000273EA" w:rsidTr="006D0DCA">
        <w:trPr>
          <w:trHeight w:val="476"/>
          <w:tblCellSpacing w:w="0" w:type="dxa"/>
        </w:trPr>
        <w:tc>
          <w:tcPr>
            <w:tcW w:w="775" w:type="dxa"/>
            <w:gridSpan w:val="2"/>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5.</w:t>
            </w:r>
          </w:p>
        </w:tc>
        <w:tc>
          <w:tcPr>
            <w:tcW w:w="1915"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Projekta izstrādē iesaistītās institūcijas</w:t>
            </w:r>
          </w:p>
        </w:tc>
        <w:tc>
          <w:tcPr>
            <w:tcW w:w="6505" w:type="dxa"/>
            <w:gridSpan w:val="6"/>
            <w:tcBorders>
              <w:top w:val="outset" w:sz="6" w:space="0" w:color="auto"/>
              <w:left w:val="outset" w:sz="6" w:space="0" w:color="auto"/>
              <w:bottom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Satiksmes ministrija un valsts akciju sabiedrība „Ceļu satiksmes drošības direkcija”</w:t>
            </w:r>
          </w:p>
        </w:tc>
      </w:tr>
      <w:tr w:rsidR="00AD6D0A" w:rsidRPr="000273EA" w:rsidTr="006D0DCA">
        <w:trPr>
          <w:trHeight w:val="900"/>
          <w:tblCellSpacing w:w="0" w:type="dxa"/>
        </w:trPr>
        <w:tc>
          <w:tcPr>
            <w:tcW w:w="775" w:type="dxa"/>
            <w:gridSpan w:val="2"/>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6.</w:t>
            </w:r>
          </w:p>
        </w:tc>
        <w:tc>
          <w:tcPr>
            <w:tcW w:w="1915"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Iemesli, kādēļ netika nodrošināta sabiedrības līdzdalība</w:t>
            </w:r>
          </w:p>
        </w:tc>
        <w:tc>
          <w:tcPr>
            <w:tcW w:w="6505" w:type="dxa"/>
            <w:gridSpan w:val="6"/>
            <w:tcBorders>
              <w:top w:val="outset" w:sz="6" w:space="0" w:color="auto"/>
              <w:left w:val="outset" w:sz="6" w:space="0" w:color="auto"/>
              <w:bottom w:val="outset" w:sz="6" w:space="0" w:color="auto"/>
            </w:tcBorders>
          </w:tcPr>
          <w:p w:rsidR="00AD6D0A" w:rsidRPr="000273EA" w:rsidRDefault="00AD6D0A" w:rsidP="003A6369">
            <w:pPr>
              <w:spacing w:after="0" w:line="240" w:lineRule="auto"/>
              <w:rPr>
                <w:sz w:val="26"/>
                <w:szCs w:val="26"/>
                <w:lang w:eastAsia="lv-LV"/>
              </w:rPr>
            </w:pPr>
            <w:r w:rsidRPr="000273EA">
              <w:rPr>
                <w:sz w:val="26"/>
                <w:szCs w:val="26"/>
              </w:rPr>
              <w:t>Projekts šo jomu neskar</w:t>
            </w:r>
          </w:p>
        </w:tc>
      </w:tr>
      <w:tr w:rsidR="00AD6D0A" w:rsidRPr="000273EA" w:rsidTr="006D0DCA">
        <w:trPr>
          <w:tblCellSpacing w:w="0" w:type="dxa"/>
        </w:trPr>
        <w:tc>
          <w:tcPr>
            <w:tcW w:w="775" w:type="dxa"/>
            <w:gridSpan w:val="2"/>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7.</w:t>
            </w:r>
          </w:p>
        </w:tc>
        <w:tc>
          <w:tcPr>
            <w:tcW w:w="1915"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Cita informācija</w:t>
            </w:r>
          </w:p>
        </w:tc>
        <w:tc>
          <w:tcPr>
            <w:tcW w:w="6505" w:type="dxa"/>
            <w:gridSpan w:val="6"/>
            <w:tcBorders>
              <w:top w:val="outset" w:sz="6" w:space="0" w:color="auto"/>
              <w:left w:val="outset" w:sz="6" w:space="0" w:color="auto"/>
              <w:bottom w:val="outset" w:sz="6" w:space="0" w:color="auto"/>
            </w:tcBorders>
          </w:tcPr>
          <w:p w:rsidR="00AD6D0A" w:rsidRPr="000273EA" w:rsidRDefault="00AD6D0A" w:rsidP="003A6369">
            <w:pPr>
              <w:spacing w:after="0" w:line="240" w:lineRule="auto"/>
              <w:ind w:firstLine="142"/>
              <w:jc w:val="both"/>
              <w:rPr>
                <w:sz w:val="26"/>
                <w:szCs w:val="26"/>
                <w:lang w:eastAsia="lv-LV"/>
              </w:rPr>
            </w:pPr>
            <w:r w:rsidRPr="000273EA">
              <w:rPr>
                <w:sz w:val="26"/>
                <w:szCs w:val="26"/>
                <w:lang w:eastAsia="lv-LV"/>
              </w:rPr>
              <w:t xml:space="preserve">    Ņemot vērā ilgstošu finansējuma un saimnieciskas attieksmes trūkumu, Biķernieku sacīkšu trase bija kļuvusi bīstama auto un moto sporta sacensību un treniņu norisei, bet apkalpojošās ēkas nolaistas līdz pilnīgam graustu stāvoklim.  Lai varētu uzsākt 2012.gada vasaras sezonu, tika veikti visneatliekamākie darbi, kas nebija saistīti ar ilgstošu izpēti un projektēšanu. Uzreiz pēc trases pārņemšanas apzinātais investīciju apjoms, lai nodrošinātu minimālās trases ekspluatācijas un drošības prasības bija noteikts vairāk kā 2 miljonu latu. </w:t>
            </w:r>
          </w:p>
          <w:p w:rsidR="00AD6D0A" w:rsidRPr="000273EA" w:rsidRDefault="00AD6D0A" w:rsidP="003A6369">
            <w:pPr>
              <w:spacing w:after="0" w:line="240" w:lineRule="auto"/>
              <w:ind w:firstLine="142"/>
              <w:jc w:val="both"/>
              <w:rPr>
                <w:sz w:val="26"/>
                <w:szCs w:val="26"/>
              </w:rPr>
            </w:pPr>
            <w:r w:rsidRPr="000273EA">
              <w:rPr>
                <w:sz w:val="26"/>
                <w:szCs w:val="26"/>
                <w:lang w:eastAsia="lv-LV"/>
              </w:rPr>
              <w:t xml:space="preserve">    Pateicoties valdības lēmumam par valstij dividendēs izmaksājamo VAS „Ceļu satiksmes drošības direkcija” 2010.gada peļņas daļu, 2011.gada beigās un 2012.gada pirmajā pusē ir realizēti projekti Ls 285 000 apmērā. Par šo summu ir veikti neatliekami remonta darbi, kas nebija saistīti ar iepriekšēju izpēti, projekta dokumentācijas izstrādi un akceptēšanu starptautiskajā autosporta federācijā – remonts trases žogam, tribīnēm, un asfaltbetona segumiem,</w:t>
            </w:r>
            <w:r w:rsidRPr="000273EA">
              <w:rPr>
                <w:sz w:val="26"/>
                <w:szCs w:val="26"/>
              </w:rPr>
              <w:t xml:space="preserve"> atjaunots trases horizontālais marķējums, izcirsti redzamību ierobežojošie krūmi</w:t>
            </w:r>
            <w:r w:rsidRPr="000273EA">
              <w:rPr>
                <w:sz w:val="26"/>
                <w:szCs w:val="26"/>
                <w:lang w:eastAsia="lv-LV"/>
              </w:rPr>
              <w:t>.</w:t>
            </w:r>
            <w:r w:rsidRPr="000273EA">
              <w:rPr>
                <w:sz w:val="26"/>
                <w:szCs w:val="26"/>
              </w:rPr>
              <w:t xml:space="preserve"> </w:t>
            </w:r>
            <w:r w:rsidRPr="000273EA">
              <w:rPr>
                <w:sz w:val="26"/>
                <w:szCs w:val="26"/>
                <w:lang w:eastAsia="lv-LV"/>
              </w:rPr>
              <w:t xml:space="preserve">Tāpat šīs summas ietvaros izstrādāts un realizēts trases tiesnešu mājas renovācijas projekts, </w:t>
            </w:r>
            <w:r w:rsidRPr="000273EA">
              <w:rPr>
                <w:sz w:val="26"/>
                <w:szCs w:val="26"/>
              </w:rPr>
              <w:t xml:space="preserve">tika uzbūvēta un nodota ekspluatācijā jauna starta finiša ēka, kas paredzēta sacensību vadības, tiesnešu un sekretariāta darbam, kā arī laika kontroles, starta procedūras u.c. ar sacensību norisi paredzētu darbību veikšanai. Ēka aprīkota ar modernu luksoforu starta sistēmu, sakaru ierīcēm, stacionāru laika kontroles aparatūru, atbilstošu biroja tehniku, informatīvo sistēmu un nepieciešamām komunikācijām. Iegādāts aprīkojums drošai sacensību un treniņu norisei - distances tiesnešu signālkarogi, ugunsdzēšamie aparāti, rācijas, piesārņojumu absorbējošie materiāli u.c., kā arī traktortehnika trases kopšanai ziemā un vasarā. Sacensību dalībnieku parkā izveidota pagaidu labierīcību ēka ar tualetēm un dušām. Veikto pasākumu rezultātā trase jau atbilst minimālajām prasībām, lai tajā varētu norisināties noteiktu vidējas klases sacīkšu automobiļu Latvijas un Baltijas mēroga sacensības. Veikti arī izpētes un projektēšanas darbi turpmākai trases uzlabošanai – izstrādāts inženiertopgrāfiskais plāns visai trasei, veikta lietus kanalizācijas kolektora uzmērīšana, izstrādāti aprēķini un skices trases elektroapgādes un vājstrāvu tīklu projektu izstrādei, izstrādāts tehniskais projekts trases daļējai asfaltbetona seguma renovācijai un auto apļa drošības zonu pārbūvei. </w:t>
            </w:r>
            <w:r w:rsidRPr="000273EA">
              <w:rPr>
                <w:sz w:val="26"/>
                <w:szCs w:val="26"/>
                <w:lang w:eastAsia="lv-LV"/>
              </w:rPr>
              <w:t>Atlikusī summa Ls 435 000 bija garants nepieciešamo izpētes darbu veikšanai un tikai daļēji nodrošina turpmāko projektu realizēšanas iespējas.</w:t>
            </w:r>
          </w:p>
          <w:p w:rsidR="00AD6D0A" w:rsidRPr="000273EA" w:rsidRDefault="00AD6D0A" w:rsidP="003A6369">
            <w:pPr>
              <w:spacing w:after="0" w:line="240" w:lineRule="auto"/>
              <w:ind w:firstLine="142"/>
              <w:jc w:val="both"/>
              <w:rPr>
                <w:sz w:val="26"/>
                <w:szCs w:val="26"/>
                <w:lang w:eastAsia="lv-LV"/>
              </w:rPr>
            </w:pPr>
            <w:r w:rsidRPr="000273EA">
              <w:rPr>
                <w:sz w:val="26"/>
                <w:szCs w:val="26"/>
                <w:lang w:eastAsia="lv-LV"/>
              </w:rPr>
              <w:t xml:space="preserve">     Šobrīd ir aktualizēti jau 2011.gadā veiktie aprēķini un konstatēts, ka papildus jau realizētajiem pasākumiem, lai īstenotu jau uzsāktos projektus kompleksa sakārtošanā un trases nepieciešamā drošības līmeņa nodrošināšanā, atbilstoši izstrādātajam tehniskajam projektam un veiktajiem izpētes darbiem, ir nepieciešamas investīcijas 2,13milj.Ls apmērā. Ir nepieciešams: </w:t>
            </w:r>
          </w:p>
          <w:p w:rsidR="00AD6D0A" w:rsidRPr="000273EA" w:rsidRDefault="00AD6D0A" w:rsidP="003A6369">
            <w:pPr>
              <w:numPr>
                <w:ilvl w:val="0"/>
                <w:numId w:val="3"/>
              </w:numPr>
              <w:spacing w:line="240" w:lineRule="auto"/>
              <w:ind w:left="426" w:hanging="284"/>
              <w:contextualSpacing/>
              <w:jc w:val="both"/>
              <w:rPr>
                <w:sz w:val="26"/>
                <w:szCs w:val="26"/>
              </w:rPr>
            </w:pPr>
            <w:r w:rsidRPr="000273EA">
              <w:rPr>
                <w:sz w:val="26"/>
                <w:szCs w:val="26"/>
              </w:rPr>
              <w:t xml:space="preserve">Veikt trases renovāciju atbilstoši Starptautiskās automobiļu federācijas (FIA) drošības prasībām. Jau ir izstrādāts tehniskais projekts trases seguma daļējai renovācijai un drošības zonu pārbūvei, saskaņā ar kuru ir paredzēts nomainīt sabrukušo asfaltbetona segumu vairāk nekā 1 km garā posmā, atjaunot oļu materiāla drošību izskrejas zonas trases līkumos, kā arī norakt bīstamos, noslīdējušos zemes aizsargvaļņus, tos aizvietojot ar drošas konstrukcijas norobežojumiem. Savukārt, skatītāju zonas ir nepieciešams norobežot ar dubultu žogu aizsardzībai pret lidojošām automobiļu atlūzām. </w:t>
            </w:r>
          </w:p>
          <w:p w:rsidR="00AD6D0A" w:rsidRPr="000273EA" w:rsidRDefault="00AD6D0A" w:rsidP="003A6369">
            <w:pPr>
              <w:numPr>
                <w:ilvl w:val="0"/>
                <w:numId w:val="4"/>
              </w:numPr>
              <w:spacing w:line="240" w:lineRule="auto"/>
              <w:contextualSpacing/>
              <w:jc w:val="both"/>
              <w:rPr>
                <w:sz w:val="26"/>
                <w:szCs w:val="26"/>
              </w:rPr>
            </w:pPr>
            <w:r w:rsidRPr="000273EA">
              <w:rPr>
                <w:sz w:val="26"/>
                <w:szCs w:val="26"/>
                <w:lang w:eastAsia="lv-LV"/>
              </w:rPr>
              <w:t>auto trases posma (starta – finiša taisne) asfaltbetona seguma renovācija un drošības izskrēju pārbūve visā auto aplī atbilstoši izstrādātajam tehniskajam projektam – Ls 868 589;</w:t>
            </w:r>
          </w:p>
          <w:p w:rsidR="00AD6D0A" w:rsidRPr="000273EA" w:rsidRDefault="00AD6D0A" w:rsidP="003A6369">
            <w:pPr>
              <w:numPr>
                <w:ilvl w:val="0"/>
                <w:numId w:val="4"/>
              </w:numPr>
              <w:spacing w:line="240" w:lineRule="auto"/>
              <w:contextualSpacing/>
              <w:jc w:val="both"/>
              <w:rPr>
                <w:sz w:val="26"/>
                <w:szCs w:val="26"/>
              </w:rPr>
            </w:pPr>
            <w:r w:rsidRPr="000273EA">
              <w:rPr>
                <w:sz w:val="26"/>
                <w:szCs w:val="26"/>
                <w:lang w:eastAsia="lv-LV"/>
              </w:rPr>
              <w:t>atsevišķu lokālu trases posmu asfaltbetona seguma atjaunošana ar pamatnes nostiprināšanu – Ls 70 000;</w:t>
            </w:r>
          </w:p>
          <w:p w:rsidR="00AD6D0A" w:rsidRPr="000273EA" w:rsidRDefault="00AD6D0A" w:rsidP="003A6369">
            <w:pPr>
              <w:numPr>
                <w:ilvl w:val="0"/>
                <w:numId w:val="4"/>
              </w:numPr>
              <w:spacing w:line="240" w:lineRule="auto"/>
              <w:contextualSpacing/>
              <w:jc w:val="both"/>
              <w:rPr>
                <w:sz w:val="26"/>
                <w:szCs w:val="26"/>
              </w:rPr>
            </w:pPr>
            <w:r w:rsidRPr="000273EA">
              <w:rPr>
                <w:sz w:val="26"/>
                <w:szCs w:val="26"/>
                <w:lang w:eastAsia="lv-LV"/>
              </w:rPr>
              <w:t>moto apļa zemes vaļņu norakšana un drošības izskrēju izbūve ar oļu segumu, metāla barjerām un riepu krāvumiem – Ls 180 000;</w:t>
            </w:r>
          </w:p>
          <w:p w:rsidR="00AD6D0A" w:rsidRPr="000273EA" w:rsidRDefault="00AD6D0A" w:rsidP="003A6369">
            <w:pPr>
              <w:numPr>
                <w:ilvl w:val="0"/>
                <w:numId w:val="4"/>
              </w:numPr>
              <w:spacing w:line="240" w:lineRule="auto"/>
              <w:contextualSpacing/>
              <w:jc w:val="both"/>
              <w:rPr>
                <w:sz w:val="26"/>
                <w:szCs w:val="26"/>
              </w:rPr>
            </w:pPr>
            <w:r w:rsidRPr="000273EA">
              <w:rPr>
                <w:sz w:val="26"/>
                <w:szCs w:val="26"/>
                <w:lang w:eastAsia="lv-LV"/>
              </w:rPr>
              <w:t>trases drošības norobežojuma (žoga) remonts un atjaunošana (lokāli posmi kopējā 12 km garajā žogā) – Ls 45 000.</w:t>
            </w:r>
          </w:p>
          <w:p w:rsidR="00AD6D0A" w:rsidRPr="000273EA" w:rsidRDefault="00AD6D0A" w:rsidP="003A6369">
            <w:pPr>
              <w:numPr>
                <w:ilvl w:val="0"/>
                <w:numId w:val="3"/>
              </w:numPr>
              <w:spacing w:line="240" w:lineRule="auto"/>
              <w:ind w:left="426" w:hanging="284"/>
              <w:contextualSpacing/>
              <w:jc w:val="both"/>
              <w:rPr>
                <w:sz w:val="26"/>
                <w:szCs w:val="26"/>
              </w:rPr>
            </w:pPr>
            <w:r w:rsidRPr="000273EA">
              <w:rPr>
                <w:sz w:val="26"/>
                <w:szCs w:val="26"/>
              </w:rPr>
              <w:t xml:space="preserve">Atjaunot kartinga trasi, lai to varētu izmantot bērnu un jauniešu tehnisko sporta veidu treniņiem, kā arī starptautiska mēroga kartinga sacensībām. Jāpiezīmē, ka Biķernieku kartinga trase šobrīd ir vienīgā Latvijā, kuras parametri atbilst FIA Kartingu komisijas prasībām un kur iespējams veikt starptautiska līmeņa sacensības. </w:t>
            </w:r>
          </w:p>
          <w:p w:rsidR="00AD6D0A" w:rsidRPr="000273EA" w:rsidRDefault="00AD6D0A" w:rsidP="003A6369">
            <w:pPr>
              <w:numPr>
                <w:ilvl w:val="0"/>
                <w:numId w:val="5"/>
              </w:numPr>
              <w:spacing w:after="0" w:line="240" w:lineRule="auto"/>
              <w:ind w:left="1099" w:hanging="283"/>
              <w:contextualSpacing/>
              <w:jc w:val="both"/>
              <w:rPr>
                <w:sz w:val="26"/>
                <w:szCs w:val="26"/>
                <w:lang w:eastAsia="lv-LV"/>
              </w:rPr>
            </w:pPr>
            <w:r w:rsidRPr="000273EA">
              <w:rPr>
                <w:sz w:val="26"/>
                <w:szCs w:val="26"/>
                <w:lang w:eastAsia="lv-LV"/>
              </w:rPr>
              <w:t>asfaltbetona seguma renovācija kartinga trasē atbilstoši izstrādātajam tehniskajam projektam – Ls 319 726.</w:t>
            </w:r>
          </w:p>
          <w:p w:rsidR="00AD6D0A" w:rsidRPr="000273EA" w:rsidRDefault="00AD6D0A" w:rsidP="003A6369">
            <w:pPr>
              <w:numPr>
                <w:ilvl w:val="0"/>
                <w:numId w:val="3"/>
              </w:numPr>
              <w:spacing w:line="240" w:lineRule="auto"/>
              <w:ind w:left="426" w:hanging="284"/>
              <w:contextualSpacing/>
              <w:jc w:val="both"/>
              <w:rPr>
                <w:sz w:val="26"/>
                <w:szCs w:val="26"/>
              </w:rPr>
            </w:pPr>
            <w:r w:rsidRPr="000273EA">
              <w:rPr>
                <w:sz w:val="26"/>
                <w:szCs w:val="26"/>
              </w:rPr>
              <w:t xml:space="preserve">Atjaunot trīs centrālās skatītāju tribīnes, kuru nesošās konstrukcijas ir labā stāvoklī, taču ir ievērojami bojāti koka soli un jumti, bez tam tribīnes nav pieejamas cilvēkiem ar īpašām vajadzībām. Jāveic sabiedrisko tualešu izbūve vismaz divos trases punktos, tajā skaitā cilvēkiem ar kustību traucējumiem. </w:t>
            </w:r>
          </w:p>
          <w:p w:rsidR="00AD6D0A" w:rsidRPr="000273EA" w:rsidRDefault="00AD6D0A" w:rsidP="003A6369">
            <w:pPr>
              <w:numPr>
                <w:ilvl w:val="0"/>
                <w:numId w:val="5"/>
              </w:numPr>
              <w:spacing w:after="0" w:line="240" w:lineRule="auto"/>
              <w:ind w:left="1099" w:hanging="283"/>
              <w:contextualSpacing/>
              <w:jc w:val="both"/>
              <w:rPr>
                <w:sz w:val="26"/>
                <w:szCs w:val="26"/>
                <w:lang w:eastAsia="lv-LV"/>
              </w:rPr>
            </w:pPr>
            <w:r w:rsidRPr="000273EA">
              <w:rPr>
                <w:sz w:val="26"/>
                <w:szCs w:val="26"/>
                <w:lang w:eastAsia="lv-LV"/>
              </w:rPr>
              <w:t>trīs centrālo tribīņu renovācija ar jumta remontu un soliņu nomaiņu – Ls 50 000;</w:t>
            </w:r>
          </w:p>
          <w:p w:rsidR="00AD6D0A" w:rsidRPr="000273EA" w:rsidRDefault="00AD6D0A" w:rsidP="003A6369">
            <w:pPr>
              <w:numPr>
                <w:ilvl w:val="0"/>
                <w:numId w:val="5"/>
              </w:numPr>
              <w:spacing w:after="0" w:line="240" w:lineRule="auto"/>
              <w:ind w:left="1099" w:hanging="283"/>
              <w:contextualSpacing/>
              <w:jc w:val="both"/>
              <w:rPr>
                <w:sz w:val="26"/>
                <w:szCs w:val="26"/>
                <w:lang w:eastAsia="lv-LV"/>
              </w:rPr>
            </w:pPr>
            <w:r w:rsidRPr="000273EA">
              <w:rPr>
                <w:sz w:val="26"/>
                <w:szCs w:val="26"/>
                <w:lang w:eastAsia="lv-LV"/>
              </w:rPr>
              <w:t>centrālās tribīnes pārbūve, pielāgojot to cilvēkiem ar kustību traucējumiem – Ls 50 000;</w:t>
            </w:r>
          </w:p>
          <w:p w:rsidR="00AD6D0A" w:rsidRPr="000273EA" w:rsidRDefault="00AD6D0A" w:rsidP="003A6369">
            <w:pPr>
              <w:numPr>
                <w:ilvl w:val="0"/>
                <w:numId w:val="5"/>
              </w:numPr>
              <w:spacing w:after="0" w:line="240" w:lineRule="auto"/>
              <w:ind w:left="1099" w:hanging="283"/>
              <w:contextualSpacing/>
              <w:jc w:val="both"/>
              <w:rPr>
                <w:sz w:val="26"/>
                <w:szCs w:val="26"/>
                <w:lang w:eastAsia="lv-LV"/>
              </w:rPr>
            </w:pPr>
            <w:r w:rsidRPr="000273EA">
              <w:rPr>
                <w:sz w:val="26"/>
                <w:szCs w:val="26"/>
                <w:lang w:eastAsia="lv-LV"/>
              </w:rPr>
              <w:t>sabiedrisko tualešu izbūve vismaz divos trases punktos, tajā skaitā cilvēkiem ar kustību traucējumiem – Ls 25 000.</w:t>
            </w:r>
          </w:p>
          <w:p w:rsidR="00AD6D0A" w:rsidRPr="000273EA" w:rsidRDefault="00AD6D0A" w:rsidP="003A6369">
            <w:pPr>
              <w:numPr>
                <w:ilvl w:val="0"/>
                <w:numId w:val="3"/>
              </w:numPr>
              <w:spacing w:line="240" w:lineRule="auto"/>
              <w:ind w:left="426" w:hanging="284"/>
              <w:contextualSpacing/>
              <w:jc w:val="both"/>
              <w:rPr>
                <w:sz w:val="26"/>
                <w:szCs w:val="26"/>
              </w:rPr>
            </w:pPr>
            <w:r w:rsidRPr="000273EA">
              <w:rPr>
                <w:sz w:val="26"/>
                <w:szCs w:val="26"/>
              </w:rPr>
              <w:t>Veikt kompleksa ēku un teritorijas esošo komunikāciju sakārtošanu un jaunu komunikāciju izveidi. Trases teritorijā šobrīd nav ūdensvada un apkures tīkla, pilnībā ir bojāta un ir kapitāli jāpārbūvē gan lietus, gan saimnieciskā kanalizācija, elektroapgādes tīklam veikti tikai paši nepieciešamākie uzlabojumi, lai novērstu tā bīstamību, bet to nepieciešams pilnībā atjaunot.</w:t>
            </w:r>
          </w:p>
          <w:p w:rsidR="00AD6D0A" w:rsidRPr="000273EA" w:rsidRDefault="00AD6D0A" w:rsidP="003A6369">
            <w:pPr>
              <w:numPr>
                <w:ilvl w:val="0"/>
                <w:numId w:val="5"/>
              </w:numPr>
              <w:spacing w:after="0" w:line="240" w:lineRule="auto"/>
              <w:ind w:left="1099" w:hanging="283"/>
              <w:contextualSpacing/>
              <w:jc w:val="both"/>
              <w:rPr>
                <w:sz w:val="26"/>
                <w:szCs w:val="26"/>
                <w:lang w:eastAsia="lv-LV"/>
              </w:rPr>
            </w:pPr>
            <w:r w:rsidRPr="000273EA">
              <w:rPr>
                <w:sz w:val="26"/>
                <w:szCs w:val="26"/>
                <w:lang w:eastAsia="lv-LV"/>
              </w:rPr>
              <w:t>lietus kanalizācijas kolektora tehniskā projekta izstrāde un daļēja tā realizācija, lai novadītu lietus ūdeni no trases centrālās zonas – Ls 100 000;</w:t>
            </w:r>
          </w:p>
          <w:p w:rsidR="00AD6D0A" w:rsidRPr="000273EA" w:rsidRDefault="00AD6D0A" w:rsidP="003A6369">
            <w:pPr>
              <w:numPr>
                <w:ilvl w:val="0"/>
                <w:numId w:val="5"/>
              </w:numPr>
              <w:spacing w:after="0" w:line="240" w:lineRule="auto"/>
              <w:ind w:left="1099" w:hanging="283"/>
              <w:contextualSpacing/>
              <w:jc w:val="both"/>
              <w:rPr>
                <w:sz w:val="26"/>
                <w:szCs w:val="26"/>
                <w:lang w:eastAsia="lv-LV"/>
              </w:rPr>
            </w:pPr>
            <w:r w:rsidRPr="000273EA">
              <w:rPr>
                <w:sz w:val="26"/>
                <w:szCs w:val="26"/>
                <w:lang w:eastAsia="lv-LV"/>
              </w:rPr>
              <w:t>trases apgaismojuma, vājstrāvu tīkla ar drošības signalizāciju, apziņošanas sistēmu un video novērošanu izbūve, pēc trases rekonstrukcijas projekta izstrādes – Ls 350 000;</w:t>
            </w:r>
          </w:p>
          <w:p w:rsidR="00AD6D0A" w:rsidRPr="000273EA" w:rsidRDefault="00AD6D0A" w:rsidP="003A6369">
            <w:pPr>
              <w:numPr>
                <w:ilvl w:val="0"/>
                <w:numId w:val="5"/>
              </w:numPr>
              <w:spacing w:after="0" w:line="240" w:lineRule="auto"/>
              <w:ind w:left="1099" w:hanging="283"/>
              <w:contextualSpacing/>
              <w:jc w:val="both"/>
              <w:rPr>
                <w:sz w:val="26"/>
                <w:szCs w:val="26"/>
                <w:lang w:eastAsia="lv-LV"/>
              </w:rPr>
            </w:pPr>
            <w:r w:rsidRPr="000273EA">
              <w:rPr>
                <w:sz w:val="26"/>
                <w:szCs w:val="26"/>
                <w:lang w:eastAsia="lv-LV"/>
              </w:rPr>
              <w:t>saimnieciskās kanalizācijas kolektora rekonstrukcijas tehniskā projekta izstrāde un būvdarbi ar pieslēgumu maģistrālajam kolektoram S.Eizenšteina ielā  - Ls 65 000;</w:t>
            </w:r>
          </w:p>
          <w:p w:rsidR="00AD6D0A" w:rsidRPr="000273EA" w:rsidRDefault="00AD6D0A" w:rsidP="003A6369">
            <w:pPr>
              <w:numPr>
                <w:ilvl w:val="0"/>
                <w:numId w:val="5"/>
              </w:numPr>
              <w:spacing w:after="0" w:line="240" w:lineRule="auto"/>
              <w:ind w:left="1099" w:hanging="283"/>
              <w:contextualSpacing/>
              <w:jc w:val="both"/>
              <w:rPr>
                <w:sz w:val="26"/>
                <w:szCs w:val="26"/>
                <w:lang w:eastAsia="lv-LV"/>
              </w:rPr>
            </w:pPr>
            <w:r w:rsidRPr="000273EA">
              <w:rPr>
                <w:sz w:val="26"/>
                <w:szCs w:val="26"/>
                <w:lang w:eastAsia="lv-LV"/>
              </w:rPr>
              <w:t>sportistu pagaidu sanmezgla ar ūdens urbumu izbūve pie tehniskā parka – Ls 8000.</w:t>
            </w:r>
          </w:p>
          <w:p w:rsidR="00AD6D0A" w:rsidRPr="000273EA" w:rsidRDefault="00AD6D0A" w:rsidP="003A6369">
            <w:pPr>
              <w:spacing w:after="0" w:line="240" w:lineRule="auto"/>
              <w:jc w:val="both"/>
              <w:rPr>
                <w:sz w:val="26"/>
                <w:szCs w:val="26"/>
                <w:lang w:eastAsia="lv-LV"/>
              </w:rPr>
            </w:pPr>
          </w:p>
          <w:p w:rsidR="00AD6D0A" w:rsidRPr="000273EA" w:rsidRDefault="00AD6D0A" w:rsidP="003A6369">
            <w:pPr>
              <w:spacing w:after="0" w:line="240" w:lineRule="auto"/>
              <w:contextualSpacing/>
              <w:jc w:val="both"/>
              <w:rPr>
                <w:sz w:val="26"/>
                <w:szCs w:val="26"/>
                <w:lang w:eastAsia="lv-LV"/>
              </w:rPr>
            </w:pPr>
            <w:r w:rsidRPr="000273EA">
              <w:rPr>
                <w:sz w:val="26"/>
                <w:szCs w:val="26"/>
                <w:lang w:eastAsia="lv-LV"/>
              </w:rPr>
              <w:t xml:space="preserve">        Bez tam, lai nodrošinātu kompleksa ilgtspējīgu attīstību, tuvākā gada laikā ir nepieciešams veikt trases rekonstrukcijas projekta daļēju izstrādi atlikušam trases posmam, </w:t>
            </w:r>
            <w:r w:rsidRPr="000273EA">
              <w:rPr>
                <w:sz w:val="26"/>
                <w:szCs w:val="26"/>
              </w:rPr>
              <w:t>paredzot mūsdienu sacīkšu ātrumiem atbilstošu trases konfigurāciju un aprīkojumu, tehniskā parka, kā arī moderna skatītāju un apkalpojošās zonas izveidošanu,</w:t>
            </w:r>
            <w:r w:rsidRPr="000273EA">
              <w:rPr>
                <w:sz w:val="26"/>
                <w:szCs w:val="26"/>
                <w:lang w:eastAsia="lv-LV"/>
              </w:rPr>
              <w:t xml:space="preserve"> ievērtējot starptautiskās prasības sacensību rīkošanai. Šī pasākuma realizēšanai nepieciešami Ls 180 000.</w:t>
            </w:r>
          </w:p>
          <w:p w:rsidR="00AD6D0A" w:rsidRPr="000273EA" w:rsidRDefault="00AD6D0A" w:rsidP="003A6369">
            <w:pPr>
              <w:spacing w:after="0" w:line="240" w:lineRule="auto"/>
              <w:jc w:val="both"/>
              <w:rPr>
                <w:sz w:val="26"/>
                <w:szCs w:val="26"/>
                <w:lang w:eastAsia="lv-LV"/>
              </w:rPr>
            </w:pPr>
          </w:p>
          <w:p w:rsidR="00AD6D0A" w:rsidRPr="000273EA" w:rsidRDefault="00AD6D0A" w:rsidP="003A6369">
            <w:pPr>
              <w:spacing w:after="0" w:line="240" w:lineRule="auto"/>
              <w:jc w:val="both"/>
              <w:rPr>
                <w:sz w:val="26"/>
                <w:szCs w:val="26"/>
              </w:rPr>
            </w:pPr>
            <w:r w:rsidRPr="000273EA">
              <w:rPr>
                <w:sz w:val="26"/>
                <w:szCs w:val="26"/>
                <w:lang w:eastAsia="lv-LV"/>
              </w:rPr>
              <w:t xml:space="preserve">        Lai nodrošinātu Biķernieku kompleksās sporta bāzes un Rīgas Motormuzeja atpazīstamību, kā arī </w:t>
            </w:r>
            <w:r w:rsidRPr="000273EA">
              <w:rPr>
                <w:sz w:val="26"/>
                <w:szCs w:val="26"/>
              </w:rPr>
              <w:t xml:space="preserve">pilsētas iedzīvotāju aktīvās atpūtas veicināšanai, </w:t>
            </w:r>
            <w:r w:rsidRPr="000273EA">
              <w:rPr>
                <w:sz w:val="26"/>
                <w:szCs w:val="26"/>
                <w:lang w:eastAsia="lv-LV"/>
              </w:rPr>
              <w:t xml:space="preserve">teritorijā tiek attīstītas dažādas sporta aktivitātes visā gada periodā </w:t>
            </w:r>
            <w:r w:rsidRPr="000273EA">
              <w:rPr>
                <w:sz w:val="26"/>
                <w:szCs w:val="26"/>
              </w:rPr>
              <w:t>(riteņbraukšana, slēpošana, skrituļošana, skriešana u.c). Minēto pasākumu rīkošanai un teritorijas uzturēšanai un attīstībai nepieciešamais finansējums sastāda Ls20000.</w:t>
            </w:r>
          </w:p>
          <w:p w:rsidR="00AD6D0A" w:rsidRPr="000273EA" w:rsidRDefault="00AD6D0A" w:rsidP="003A6369">
            <w:pPr>
              <w:spacing w:after="0" w:line="240" w:lineRule="auto"/>
              <w:jc w:val="both"/>
              <w:rPr>
                <w:sz w:val="26"/>
                <w:szCs w:val="26"/>
              </w:rPr>
            </w:pPr>
          </w:p>
          <w:p w:rsidR="00AD6D0A" w:rsidRPr="000273EA" w:rsidRDefault="00AD6D0A" w:rsidP="003A6369">
            <w:pPr>
              <w:spacing w:after="0" w:line="240" w:lineRule="auto"/>
              <w:jc w:val="both"/>
              <w:rPr>
                <w:sz w:val="26"/>
                <w:szCs w:val="26"/>
              </w:rPr>
            </w:pPr>
            <w:r w:rsidRPr="000273EA">
              <w:rPr>
                <w:sz w:val="26"/>
                <w:szCs w:val="26"/>
              </w:rPr>
              <w:t>1) Ievērojot Eiropas Komisijas Baltajā grāmatā, „Ceļvedis uz Eiropas vienoto transporta telpu – virzība uz konkurētspējīgu un resursefektīvu transporta sistēmu” paredzētos mērķus līdz 2030.gadam uz pusi samazināt ar tradicionālo degvielu darbināmo transportlīdzekļu skaitu pilsētās, bet līdz 2050.gadam to izmantošanu pārtraukt pilnībā, kā arī pamatojoties uz likuma "Par Latvijas Republikas dalību Kioto protokola elastīgajos mehānismos" 10.panta trešās daļas 1. un 2.punktu Ministru kabinets 2011.gada 2.augustā ir pieņēmis noteikumus Nr.608 „Klimata pārmaiņu finanšu instrumenta finansēto projektu atklāta konkursa "Siltumnīcefekta gāzu emisijas samazinošu tehnoloģiju attīstīšana un pilotprojektu īstenošana" nolikums”.</w:t>
            </w:r>
          </w:p>
          <w:p w:rsidR="00AD6D0A" w:rsidRPr="000273EA" w:rsidRDefault="00AD6D0A" w:rsidP="003A6369">
            <w:pPr>
              <w:spacing w:after="0" w:line="240" w:lineRule="auto"/>
              <w:jc w:val="both"/>
              <w:rPr>
                <w:sz w:val="26"/>
                <w:szCs w:val="26"/>
              </w:rPr>
            </w:pPr>
            <w:r w:rsidRPr="000273EA">
              <w:rPr>
                <w:sz w:val="26"/>
                <w:szCs w:val="26"/>
              </w:rPr>
              <w:t>2) Ņemot vērā Eiropas Savienības stratēģiju 20/20/20 un Pilsētu mēru paktu, kas paredz līdz 2020.gadam par 20% samazināt siltumnīcefektu izraisošo gāzu emisiju tai skaitā CO</w:t>
            </w:r>
            <w:r w:rsidRPr="000273EA">
              <w:rPr>
                <w:sz w:val="26"/>
                <w:szCs w:val="26"/>
                <w:vertAlign w:val="subscript"/>
              </w:rPr>
              <w:t>2</w:t>
            </w:r>
            <w:r w:rsidRPr="000273EA">
              <w:rPr>
                <w:sz w:val="26"/>
                <w:szCs w:val="26"/>
              </w:rPr>
              <w:t xml:space="preserve"> izmešu apjoma, kā arī Latvijas Enerģētikas stratēģijā 2030 noteikto sasniedzamo indikatoru apjomu transporta sektorā, kas paredz, ka 2020.gadā jāsasniedz atjaunojamās enerģijas patēriņš 10% apmērā:</w:t>
            </w:r>
          </w:p>
          <w:p w:rsidR="00AD6D0A" w:rsidRPr="000273EA" w:rsidRDefault="00AD6D0A" w:rsidP="003A6369">
            <w:pPr>
              <w:spacing w:after="0" w:line="240" w:lineRule="auto"/>
              <w:jc w:val="both"/>
              <w:rPr>
                <w:sz w:val="26"/>
                <w:szCs w:val="26"/>
              </w:rPr>
            </w:pPr>
            <w:r w:rsidRPr="000273EA">
              <w:rPr>
                <w:sz w:val="26"/>
                <w:szCs w:val="26"/>
              </w:rPr>
              <w:t>- Lai Latvijā izveidotu institūciju, kas nodrošinātu ar elektromobilitāti saistīto jautājumu ilgtspējīgu risināšanu, tai skaitā, vienotas attīstības stratēģijas izstrādi, jaunāko tendenču izvērtēšanu elektromobilitātes jomā, nodrošinātu sadarbību ar citām Eiropas Savienības valstīm, izvērtētu tehnoloģiju attīstības iespējas Latvijā, kā arī veicinātu elektromobiļu izmantošanu Latvijas tautsaimniecībā ir paredzēts, ka Ceļu satiksmes drošības direkcijas struktūrā tiktu izveidots elektromobilitātes kompetenču centrs. Centrs nodrošinātu ilgtspējīgu jautājuma attīstību, nevis tikai viena projekta realizēšanu un līdzekļu apgūšanu.</w:t>
            </w:r>
          </w:p>
          <w:p w:rsidR="00AD6D0A" w:rsidRPr="000273EA" w:rsidRDefault="00AD6D0A" w:rsidP="003A6369">
            <w:pPr>
              <w:spacing w:after="0" w:line="240" w:lineRule="auto"/>
              <w:jc w:val="both"/>
              <w:rPr>
                <w:sz w:val="26"/>
                <w:szCs w:val="26"/>
              </w:rPr>
            </w:pPr>
            <w:r w:rsidRPr="000273EA">
              <w:rPr>
                <w:sz w:val="26"/>
                <w:szCs w:val="26"/>
              </w:rPr>
              <w:t>Minētā jautājuma risināšanai ir nepieciešams finansējums, kas sākotnēji varētu tikt daļēji segts no Ceļu satiksmes drošības direkcijas valstij paredzētajām dividendēm – 327000 latu apmērā (27 procentu apmērā no tīrās peļņas).</w:t>
            </w:r>
          </w:p>
          <w:p w:rsidR="00AD6D0A" w:rsidRPr="000273EA" w:rsidRDefault="00AD6D0A" w:rsidP="003A6369">
            <w:pPr>
              <w:spacing w:after="0" w:line="240" w:lineRule="auto"/>
              <w:jc w:val="both"/>
              <w:rPr>
                <w:sz w:val="26"/>
                <w:szCs w:val="26"/>
                <w:lang w:eastAsia="lv-LV"/>
              </w:rPr>
            </w:pPr>
          </w:p>
          <w:p w:rsidR="00AD6D0A" w:rsidRPr="000273EA" w:rsidRDefault="00AD6D0A" w:rsidP="003A6369">
            <w:pPr>
              <w:spacing w:after="0" w:line="240" w:lineRule="auto"/>
              <w:jc w:val="both"/>
              <w:rPr>
                <w:sz w:val="26"/>
                <w:szCs w:val="26"/>
                <w:lang w:eastAsia="lv-LV"/>
              </w:rPr>
            </w:pPr>
          </w:p>
        </w:tc>
      </w:tr>
      <w:tr w:rsidR="00AD6D0A" w:rsidRPr="000273EA" w:rsidTr="006D0DCA">
        <w:trPr>
          <w:tblCellSpacing w:w="0" w:type="dxa"/>
        </w:trPr>
        <w:tc>
          <w:tcPr>
            <w:tcW w:w="775" w:type="dxa"/>
            <w:gridSpan w:val="2"/>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Atbilst</w:t>
            </w:r>
          </w:p>
        </w:tc>
        <w:tc>
          <w:tcPr>
            <w:tcW w:w="1915"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p>
        </w:tc>
        <w:tc>
          <w:tcPr>
            <w:tcW w:w="6505" w:type="dxa"/>
            <w:gridSpan w:val="6"/>
            <w:tcBorders>
              <w:top w:val="outset" w:sz="6" w:space="0" w:color="auto"/>
              <w:left w:val="outset" w:sz="6" w:space="0" w:color="auto"/>
              <w:bottom w:val="outset" w:sz="6" w:space="0" w:color="auto"/>
            </w:tcBorders>
          </w:tcPr>
          <w:p w:rsidR="00AD6D0A" w:rsidRPr="000273EA" w:rsidRDefault="00AD6D0A" w:rsidP="003A6369">
            <w:pPr>
              <w:spacing w:after="0" w:line="240" w:lineRule="auto"/>
              <w:jc w:val="both"/>
              <w:rPr>
                <w:sz w:val="26"/>
                <w:szCs w:val="26"/>
                <w:lang w:eastAsia="lv-LV"/>
              </w:rPr>
            </w:pPr>
          </w:p>
        </w:tc>
      </w:tr>
      <w:tr w:rsidR="00AD6D0A" w:rsidRPr="000273EA" w:rsidTr="003A6369">
        <w:trPr>
          <w:trHeight w:val="652"/>
          <w:tblCellSpacing w:w="0" w:type="dxa"/>
        </w:trPr>
        <w:tc>
          <w:tcPr>
            <w:tcW w:w="9195" w:type="dxa"/>
            <w:gridSpan w:val="10"/>
            <w:tcBorders>
              <w:top w:val="outset" w:sz="6" w:space="0" w:color="auto"/>
              <w:bottom w:val="outset" w:sz="6" w:space="0" w:color="auto"/>
            </w:tcBorders>
          </w:tcPr>
          <w:p w:rsidR="00AD6D0A" w:rsidRPr="000273EA" w:rsidRDefault="00AD6D0A" w:rsidP="003A6369">
            <w:pPr>
              <w:spacing w:before="150" w:after="150" w:line="240" w:lineRule="auto"/>
              <w:jc w:val="center"/>
              <w:rPr>
                <w:b/>
                <w:bCs/>
                <w:sz w:val="26"/>
                <w:szCs w:val="26"/>
                <w:lang w:eastAsia="lv-LV"/>
              </w:rPr>
            </w:pPr>
            <w:r w:rsidRPr="000273EA">
              <w:rPr>
                <w:b/>
                <w:bCs/>
                <w:sz w:val="26"/>
                <w:szCs w:val="26"/>
                <w:lang w:eastAsia="lv-LV"/>
              </w:rPr>
              <w:t>III. Tiesību akta projekta ietekme uz valsts budžetu un pašvaldību budžetiem</w:t>
            </w:r>
          </w:p>
        </w:tc>
      </w:tr>
      <w:tr w:rsidR="00AD6D0A" w:rsidRPr="000273EA" w:rsidTr="006D0DCA">
        <w:trPr>
          <w:tblCellSpacing w:w="0" w:type="dxa"/>
        </w:trPr>
        <w:tc>
          <w:tcPr>
            <w:tcW w:w="2518" w:type="dxa"/>
            <w:gridSpan w:val="3"/>
            <w:vMerge w:val="restart"/>
            <w:tcBorders>
              <w:top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w:t>
            </w:r>
            <w:r w:rsidRPr="000273EA">
              <w:rPr>
                <w:b/>
                <w:bCs/>
                <w:sz w:val="26"/>
                <w:szCs w:val="26"/>
                <w:lang w:eastAsia="lv-LV"/>
              </w:rPr>
              <w:t>Rādītāji</w:t>
            </w:r>
          </w:p>
        </w:tc>
        <w:tc>
          <w:tcPr>
            <w:tcW w:w="2717" w:type="dxa"/>
            <w:gridSpan w:val="4"/>
            <w:vMerge w:val="restart"/>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b/>
                <w:sz w:val="26"/>
                <w:szCs w:val="26"/>
                <w:lang w:eastAsia="lv-LV"/>
              </w:rPr>
              <w:t>201</w:t>
            </w:r>
            <w:r>
              <w:rPr>
                <w:b/>
                <w:sz w:val="26"/>
                <w:szCs w:val="26"/>
                <w:lang w:eastAsia="lv-LV"/>
              </w:rPr>
              <w:t>2</w:t>
            </w:r>
            <w:r w:rsidRPr="000273EA">
              <w:rPr>
                <w:b/>
                <w:sz w:val="26"/>
                <w:szCs w:val="26"/>
                <w:lang w:eastAsia="lv-LV"/>
              </w:rPr>
              <w:t>.</w:t>
            </w:r>
            <w:r w:rsidRPr="000273EA">
              <w:rPr>
                <w:b/>
                <w:bCs/>
                <w:sz w:val="26"/>
                <w:szCs w:val="26"/>
                <w:lang w:eastAsia="lv-LV"/>
              </w:rPr>
              <w:t>gads</w:t>
            </w:r>
          </w:p>
        </w:tc>
        <w:tc>
          <w:tcPr>
            <w:tcW w:w="3960" w:type="dxa"/>
            <w:gridSpan w:val="3"/>
            <w:tcBorders>
              <w:top w:val="outset" w:sz="6" w:space="0" w:color="auto"/>
              <w:left w:val="outset" w:sz="6" w:space="0" w:color="auto"/>
              <w:bottom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Turpmākie trīs gadi (tūkst. latu)</w:t>
            </w:r>
          </w:p>
        </w:tc>
      </w:tr>
      <w:tr w:rsidR="00AD6D0A" w:rsidRPr="000273EA" w:rsidTr="006D0DCA">
        <w:trPr>
          <w:tblCellSpacing w:w="0" w:type="dxa"/>
        </w:trPr>
        <w:tc>
          <w:tcPr>
            <w:tcW w:w="0" w:type="auto"/>
            <w:gridSpan w:val="3"/>
            <w:vMerge/>
            <w:tcBorders>
              <w:top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2717" w:type="dxa"/>
            <w:gridSpan w:val="4"/>
            <w:vMerge/>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1272" w:type="dxa"/>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150" w:after="150" w:line="240" w:lineRule="auto"/>
              <w:jc w:val="center"/>
              <w:rPr>
                <w:b/>
                <w:bCs/>
                <w:sz w:val="26"/>
                <w:szCs w:val="26"/>
                <w:lang w:eastAsia="lv-LV"/>
              </w:rPr>
            </w:pPr>
            <w:r w:rsidRPr="000273EA">
              <w:rPr>
                <w:b/>
                <w:bCs/>
                <w:sz w:val="26"/>
                <w:szCs w:val="26"/>
                <w:lang w:eastAsia="lv-LV"/>
              </w:rPr>
              <w:t>201</w:t>
            </w:r>
            <w:r>
              <w:rPr>
                <w:b/>
                <w:bCs/>
                <w:sz w:val="26"/>
                <w:szCs w:val="26"/>
                <w:lang w:eastAsia="lv-LV"/>
              </w:rPr>
              <w:t>3</w:t>
            </w:r>
          </w:p>
        </w:tc>
        <w:tc>
          <w:tcPr>
            <w:tcW w:w="1344" w:type="dxa"/>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150" w:after="150" w:line="240" w:lineRule="auto"/>
              <w:jc w:val="center"/>
              <w:rPr>
                <w:b/>
                <w:bCs/>
                <w:sz w:val="26"/>
                <w:szCs w:val="26"/>
                <w:lang w:eastAsia="lv-LV"/>
              </w:rPr>
            </w:pPr>
            <w:r w:rsidRPr="000273EA">
              <w:rPr>
                <w:b/>
                <w:bCs/>
                <w:sz w:val="26"/>
                <w:szCs w:val="26"/>
                <w:lang w:eastAsia="lv-LV"/>
              </w:rPr>
              <w:t>201</w:t>
            </w:r>
            <w:r>
              <w:rPr>
                <w:b/>
                <w:bCs/>
                <w:sz w:val="26"/>
                <w:szCs w:val="26"/>
                <w:lang w:eastAsia="lv-LV"/>
              </w:rPr>
              <w:t>4</w:t>
            </w:r>
          </w:p>
        </w:tc>
        <w:tc>
          <w:tcPr>
            <w:tcW w:w="1344" w:type="dxa"/>
            <w:tcBorders>
              <w:top w:val="outset" w:sz="6" w:space="0" w:color="auto"/>
              <w:left w:val="outset" w:sz="6" w:space="0" w:color="auto"/>
              <w:bottom w:val="outset" w:sz="6" w:space="0" w:color="auto"/>
            </w:tcBorders>
            <w:vAlign w:val="center"/>
          </w:tcPr>
          <w:p w:rsidR="00AD6D0A" w:rsidRPr="000273EA" w:rsidRDefault="00AD6D0A" w:rsidP="003A6369">
            <w:pPr>
              <w:spacing w:before="150" w:after="150" w:line="240" w:lineRule="auto"/>
              <w:jc w:val="center"/>
              <w:rPr>
                <w:b/>
                <w:bCs/>
                <w:sz w:val="26"/>
                <w:szCs w:val="26"/>
                <w:lang w:eastAsia="lv-LV"/>
              </w:rPr>
            </w:pPr>
            <w:r w:rsidRPr="000273EA">
              <w:rPr>
                <w:b/>
                <w:bCs/>
                <w:sz w:val="26"/>
                <w:szCs w:val="26"/>
                <w:lang w:eastAsia="lv-LV"/>
              </w:rPr>
              <w:t>201</w:t>
            </w:r>
            <w:r>
              <w:rPr>
                <w:b/>
                <w:bCs/>
                <w:sz w:val="26"/>
                <w:szCs w:val="26"/>
                <w:lang w:eastAsia="lv-LV"/>
              </w:rPr>
              <w:t>5</w:t>
            </w:r>
          </w:p>
        </w:tc>
      </w:tr>
      <w:tr w:rsidR="00AD6D0A" w:rsidRPr="000273EA" w:rsidTr="006D0DCA">
        <w:trPr>
          <w:tblCellSpacing w:w="0" w:type="dxa"/>
        </w:trPr>
        <w:tc>
          <w:tcPr>
            <w:tcW w:w="0" w:type="auto"/>
            <w:gridSpan w:val="3"/>
            <w:vMerge/>
            <w:tcBorders>
              <w:top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1250" w:type="dxa"/>
            <w:gridSpan w:val="2"/>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Saskaņā ar valsts budžetu kārtējam gadam</w:t>
            </w:r>
          </w:p>
        </w:tc>
        <w:tc>
          <w:tcPr>
            <w:tcW w:w="1467" w:type="dxa"/>
            <w:gridSpan w:val="2"/>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Izmaiņas kārtējā gadā, salīdzinot ar budžetu kārtējam gadam</w:t>
            </w:r>
          </w:p>
        </w:tc>
        <w:tc>
          <w:tcPr>
            <w:tcW w:w="1272" w:type="dxa"/>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Izmaiņas, salīdzinot ar kārtējo (n) gadu</w:t>
            </w:r>
          </w:p>
        </w:tc>
        <w:tc>
          <w:tcPr>
            <w:tcW w:w="1344" w:type="dxa"/>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Izmaiņas, salīdzinot ar kārtējo (n) gadu</w:t>
            </w:r>
          </w:p>
        </w:tc>
        <w:tc>
          <w:tcPr>
            <w:tcW w:w="1344" w:type="dxa"/>
            <w:tcBorders>
              <w:top w:val="outset" w:sz="6" w:space="0" w:color="auto"/>
              <w:left w:val="outset" w:sz="6" w:space="0" w:color="auto"/>
              <w:bottom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Izmaiņas, salīdzinot ar kārtējo (n) gadu</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1</w:t>
            </w:r>
          </w:p>
        </w:tc>
        <w:tc>
          <w:tcPr>
            <w:tcW w:w="1250" w:type="dxa"/>
            <w:gridSpan w:val="2"/>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2</w:t>
            </w:r>
          </w:p>
        </w:tc>
        <w:tc>
          <w:tcPr>
            <w:tcW w:w="1467" w:type="dxa"/>
            <w:gridSpan w:val="2"/>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3</w:t>
            </w:r>
          </w:p>
        </w:tc>
        <w:tc>
          <w:tcPr>
            <w:tcW w:w="1272" w:type="dxa"/>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4</w:t>
            </w:r>
          </w:p>
        </w:tc>
        <w:tc>
          <w:tcPr>
            <w:tcW w:w="1344" w:type="dxa"/>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5</w:t>
            </w:r>
          </w:p>
        </w:tc>
        <w:tc>
          <w:tcPr>
            <w:tcW w:w="1344" w:type="dxa"/>
            <w:tcBorders>
              <w:top w:val="outset" w:sz="6" w:space="0" w:color="auto"/>
              <w:left w:val="outset" w:sz="6" w:space="0" w:color="auto"/>
              <w:bottom w:val="outset" w:sz="6" w:space="0" w:color="auto"/>
            </w:tcBorders>
            <w:vAlign w:val="center"/>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6</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1. Budžeta ieņēmumi:</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jc w:val="center"/>
              <w:rPr>
                <w:sz w:val="26"/>
                <w:szCs w:val="26"/>
                <w:lang w:eastAsia="lv-LV"/>
              </w:rPr>
            </w:pPr>
            <w:r w:rsidRPr="000273EA">
              <w:rPr>
                <w:sz w:val="26"/>
                <w:szCs w:val="26"/>
              </w:rPr>
              <w:t>117 000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6D0DCA" w:rsidRDefault="00AD6D0A" w:rsidP="006D0DCA">
            <w:pPr>
              <w:spacing w:before="75" w:after="75" w:line="240" w:lineRule="auto"/>
              <w:rPr>
                <w:lang w:eastAsia="lv-LV"/>
              </w:rPr>
            </w:pPr>
            <w:r>
              <w:rPr>
                <w:sz w:val="22"/>
                <w:lang w:eastAsia="lv-LV"/>
              </w:rPr>
              <w:t xml:space="preserve"> -</w:t>
            </w:r>
            <w:r w:rsidRPr="006D0DCA">
              <w:rPr>
                <w:sz w:val="22"/>
              </w:rPr>
              <w:t>1 090 023,30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1.1. valsts pamatbudžets, tai skaitā ieņēmumi no maksas pakalpojumiem un citi pašu ieņēmumi</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jc w:val="center"/>
              <w:rPr>
                <w:sz w:val="26"/>
                <w:szCs w:val="26"/>
                <w:lang w:eastAsia="lv-LV"/>
              </w:rPr>
            </w:pPr>
            <w:r w:rsidRPr="000273EA">
              <w:rPr>
                <w:sz w:val="26"/>
                <w:szCs w:val="26"/>
              </w:rPr>
              <w:t>117 000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6D0DCA" w:rsidRDefault="00AD6D0A" w:rsidP="003A6369">
            <w:pPr>
              <w:spacing w:before="75" w:after="75" w:line="240" w:lineRule="auto"/>
              <w:ind w:firstLine="140"/>
              <w:jc w:val="center"/>
              <w:rPr>
                <w:lang w:eastAsia="lv-LV"/>
              </w:rPr>
            </w:pPr>
            <w:r>
              <w:rPr>
                <w:sz w:val="22"/>
              </w:rPr>
              <w:t>-</w:t>
            </w:r>
            <w:r w:rsidRPr="006D0DCA">
              <w:rPr>
                <w:sz w:val="22"/>
              </w:rPr>
              <w:t>1 090 023,30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1.2. valsts speciālais budžets</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12"/>
              <w:jc w:val="center"/>
              <w:rPr>
                <w:sz w:val="26"/>
                <w:szCs w:val="26"/>
                <w:lang w:eastAsia="lv-LV"/>
              </w:rPr>
            </w:pPr>
            <w:r w:rsidRPr="000273EA">
              <w:rPr>
                <w:sz w:val="26"/>
                <w:szCs w:val="26"/>
                <w:lang w:eastAsia="lv-LV"/>
              </w:rPr>
              <w:t>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1.3. pašvaldību budžets</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2. Budžeta izdevumi:</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2.1. valsts pamatbudžets</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tabs>
                <w:tab w:val="left" w:pos="510"/>
                <w:tab w:val="center" w:pos="624"/>
              </w:tabs>
              <w:spacing w:before="75" w:after="75" w:line="240" w:lineRule="auto"/>
              <w:jc w:val="center"/>
              <w:rPr>
                <w:sz w:val="26"/>
                <w:szCs w:val="26"/>
                <w:lang w:eastAsia="lv-LV"/>
              </w:rPr>
            </w:pPr>
            <w:r w:rsidRPr="000273EA">
              <w:rPr>
                <w:sz w:val="26"/>
                <w:szCs w:val="26"/>
                <w:lang w:eastAsia="lv-LV"/>
              </w:rPr>
              <w:t>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2.2. valsts speciālais budžets</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rPr>
                <w:sz w:val="26"/>
                <w:szCs w:val="26"/>
                <w:lang w:eastAsia="lv-LV"/>
              </w:rPr>
            </w:pPr>
            <w:r w:rsidRPr="000273EA">
              <w:rPr>
                <w:sz w:val="26"/>
                <w:szCs w:val="26"/>
                <w:lang w:eastAsia="lv-LV"/>
              </w:rPr>
              <w:t xml:space="preserve">  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50"/>
              <w:jc w:val="center"/>
              <w:rPr>
                <w:sz w:val="26"/>
                <w:szCs w:val="26"/>
                <w:lang w:eastAsia="lv-LV"/>
              </w:rPr>
            </w:pPr>
            <w:r w:rsidRPr="000273EA">
              <w:rPr>
                <w:sz w:val="26"/>
                <w:szCs w:val="26"/>
                <w:lang w:eastAsia="lv-LV"/>
              </w:rPr>
              <w:t>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 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2.3. pašvaldību budžets</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12"/>
              <w:jc w:val="center"/>
              <w:rPr>
                <w:sz w:val="26"/>
                <w:szCs w:val="26"/>
                <w:lang w:eastAsia="lv-LV"/>
              </w:rPr>
            </w:pPr>
            <w:r w:rsidRPr="000273EA">
              <w:rPr>
                <w:sz w:val="26"/>
                <w:szCs w:val="26"/>
                <w:lang w:eastAsia="lv-LV"/>
              </w:rPr>
              <w:t>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50"/>
              <w:jc w:val="center"/>
              <w:rPr>
                <w:sz w:val="26"/>
                <w:szCs w:val="26"/>
                <w:lang w:eastAsia="lv-LV"/>
              </w:rPr>
            </w:pPr>
            <w:r w:rsidRPr="000273EA">
              <w:rPr>
                <w:sz w:val="26"/>
                <w:szCs w:val="26"/>
                <w:lang w:eastAsia="lv-LV"/>
              </w:rPr>
              <w:t>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3. Finansiālā ietekme:</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61"/>
              <w:jc w:val="center"/>
              <w:rPr>
                <w:sz w:val="26"/>
                <w:szCs w:val="26"/>
                <w:lang w:eastAsia="lv-LV"/>
              </w:rPr>
            </w:pPr>
            <w:r w:rsidRPr="000273EA">
              <w:rPr>
                <w:sz w:val="26"/>
                <w:szCs w:val="26"/>
              </w:rPr>
              <w:t>117 000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6D0DCA" w:rsidRDefault="00AD6D0A" w:rsidP="003A6369">
            <w:pPr>
              <w:spacing w:before="75" w:after="75" w:line="240" w:lineRule="auto"/>
              <w:ind w:firstLine="65"/>
              <w:jc w:val="center"/>
              <w:rPr>
                <w:lang w:eastAsia="lv-LV"/>
              </w:rPr>
            </w:pPr>
            <w:r w:rsidRPr="006D0DCA">
              <w:rPr>
                <w:sz w:val="22"/>
                <w:lang w:eastAsia="lv-LV"/>
              </w:rPr>
              <w:t>-</w:t>
            </w:r>
            <w:r w:rsidRPr="006D0DCA">
              <w:rPr>
                <w:sz w:val="22"/>
              </w:rPr>
              <w:t>1 090 023,30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3.1. valsts pamatbudžets</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61"/>
              <w:jc w:val="center"/>
              <w:rPr>
                <w:sz w:val="26"/>
                <w:szCs w:val="26"/>
                <w:lang w:eastAsia="lv-LV"/>
              </w:rPr>
            </w:pPr>
            <w:r w:rsidRPr="000273EA">
              <w:rPr>
                <w:sz w:val="26"/>
                <w:szCs w:val="26"/>
              </w:rPr>
              <w:t>117 000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6D0DCA" w:rsidRDefault="00AD6D0A" w:rsidP="003A6369">
            <w:pPr>
              <w:spacing w:before="75" w:after="75" w:line="240" w:lineRule="auto"/>
              <w:ind w:firstLine="65"/>
              <w:jc w:val="center"/>
              <w:rPr>
                <w:lang w:eastAsia="lv-LV"/>
              </w:rPr>
            </w:pPr>
            <w:r w:rsidRPr="006D0DCA">
              <w:rPr>
                <w:sz w:val="22"/>
                <w:lang w:eastAsia="lv-LV"/>
              </w:rPr>
              <w:t>-</w:t>
            </w:r>
            <w:r w:rsidRPr="006D0DCA">
              <w:rPr>
                <w:sz w:val="22"/>
              </w:rPr>
              <w:t>1 090 023,30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3.2. speciālais budžets</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61"/>
              <w:jc w:val="center"/>
              <w:rPr>
                <w:sz w:val="26"/>
                <w:szCs w:val="26"/>
                <w:lang w:eastAsia="lv-LV"/>
              </w:rPr>
            </w:pPr>
            <w:r w:rsidRPr="000273EA">
              <w:rPr>
                <w:sz w:val="26"/>
                <w:szCs w:val="26"/>
                <w:lang w:eastAsia="lv-LV"/>
              </w:rPr>
              <w:t>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65"/>
              <w:jc w:val="center"/>
              <w:rPr>
                <w:sz w:val="26"/>
                <w:szCs w:val="26"/>
                <w:lang w:eastAsia="lv-LV"/>
              </w:rPr>
            </w:pPr>
            <w:r w:rsidRPr="000273EA">
              <w:rPr>
                <w:sz w:val="26"/>
                <w:szCs w:val="26"/>
                <w:lang w:eastAsia="lv-LV"/>
              </w:rPr>
              <w:t>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3.3. pašvaldību budžets</w:t>
            </w:r>
          </w:p>
        </w:tc>
        <w:tc>
          <w:tcPr>
            <w:tcW w:w="1250"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0</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65"/>
              <w:jc w:val="center"/>
              <w:rPr>
                <w:sz w:val="26"/>
                <w:szCs w:val="26"/>
                <w:lang w:eastAsia="lv-LV"/>
              </w:rPr>
            </w:pPr>
            <w:r w:rsidRPr="000273EA">
              <w:rPr>
                <w:sz w:val="26"/>
                <w:szCs w:val="26"/>
                <w:lang w:eastAsia="lv-LV"/>
              </w:rPr>
              <w:t>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vMerge w:val="restart"/>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4. Finanšu līdzekļi papildu izde</w:t>
            </w:r>
            <w:r w:rsidRPr="000273EA">
              <w:rPr>
                <w:sz w:val="26"/>
                <w:szCs w:val="26"/>
                <w:lang w:eastAsia="lv-LV"/>
              </w:rPr>
              <w:softHyphen/>
              <w:t>vumu finansēšanai (kompensējošu izdevumu samazinājumu norāda ar "+" zīmi)</w:t>
            </w:r>
          </w:p>
        </w:tc>
        <w:tc>
          <w:tcPr>
            <w:tcW w:w="1250" w:type="dxa"/>
            <w:gridSpan w:val="2"/>
            <w:vMerge w:val="restart"/>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X</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jc w:val="both"/>
              <w:rPr>
                <w:sz w:val="26"/>
                <w:szCs w:val="26"/>
                <w:lang w:eastAsia="lv-LV"/>
              </w:rPr>
            </w:pPr>
            <w:r w:rsidRPr="000273EA">
              <w:rPr>
                <w:sz w:val="26"/>
                <w:szCs w:val="26"/>
                <w:lang w:eastAsia="lv-LV"/>
              </w:rPr>
              <w:t>  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r>
      <w:tr w:rsidR="00AD6D0A" w:rsidRPr="000273EA" w:rsidTr="006D0DCA">
        <w:trPr>
          <w:tblCellSpacing w:w="0" w:type="dxa"/>
        </w:trPr>
        <w:tc>
          <w:tcPr>
            <w:tcW w:w="0" w:type="auto"/>
            <w:gridSpan w:val="3"/>
            <w:vMerge/>
            <w:tcBorders>
              <w:top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jc w:val="both"/>
              <w:rPr>
                <w:sz w:val="26"/>
                <w:szCs w:val="26"/>
                <w:lang w:eastAsia="lv-LV"/>
              </w:rPr>
            </w:pPr>
            <w:r w:rsidRPr="000273EA">
              <w:rPr>
                <w:sz w:val="26"/>
                <w:szCs w:val="26"/>
                <w:lang w:eastAsia="lv-LV"/>
              </w:rPr>
              <w:t>  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0" w:type="auto"/>
            <w:gridSpan w:val="3"/>
            <w:vMerge/>
            <w:tcBorders>
              <w:top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jc w:val="both"/>
              <w:rPr>
                <w:sz w:val="26"/>
                <w:szCs w:val="26"/>
                <w:lang w:eastAsia="lv-LV"/>
              </w:rPr>
            </w:pPr>
            <w:r w:rsidRPr="000273EA">
              <w:rPr>
                <w:sz w:val="26"/>
                <w:szCs w:val="26"/>
                <w:lang w:eastAsia="lv-LV"/>
              </w:rPr>
              <w:t>  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5. Precizēta finansiālā ietekme:</w:t>
            </w:r>
          </w:p>
        </w:tc>
        <w:tc>
          <w:tcPr>
            <w:tcW w:w="1250" w:type="dxa"/>
            <w:gridSpan w:val="2"/>
            <w:vMerge w:val="restart"/>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center"/>
              <w:rPr>
                <w:sz w:val="26"/>
                <w:szCs w:val="26"/>
                <w:lang w:eastAsia="lv-LV"/>
              </w:rPr>
            </w:pPr>
            <w:r w:rsidRPr="000273EA">
              <w:rPr>
                <w:sz w:val="26"/>
                <w:szCs w:val="26"/>
                <w:lang w:eastAsia="lv-LV"/>
              </w:rPr>
              <w:t> X</w:t>
            </w: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jc w:val="both"/>
              <w:rPr>
                <w:sz w:val="26"/>
                <w:szCs w:val="26"/>
                <w:lang w:eastAsia="lv-LV"/>
              </w:rPr>
            </w:pPr>
            <w:r w:rsidRPr="000273EA">
              <w:rPr>
                <w:sz w:val="26"/>
                <w:szCs w:val="26"/>
                <w:lang w:eastAsia="lv-LV"/>
              </w:rPr>
              <w:t>  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jc w:val="both"/>
              <w:rPr>
                <w:sz w:val="26"/>
                <w:szCs w:val="26"/>
                <w:lang w:eastAsia="lv-LV"/>
              </w:rPr>
            </w:pPr>
            <w:r w:rsidRPr="000273EA">
              <w:rPr>
                <w:sz w:val="26"/>
                <w:szCs w:val="26"/>
                <w:lang w:eastAsia="lv-LV"/>
              </w:rPr>
              <w:t>  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  </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jc w:val="both"/>
              <w:rPr>
                <w:sz w:val="26"/>
                <w:szCs w:val="26"/>
                <w:lang w:eastAsia="lv-LV"/>
              </w:rPr>
            </w:pPr>
            <w:r w:rsidRPr="000273EA">
              <w:rPr>
                <w:sz w:val="26"/>
                <w:szCs w:val="26"/>
                <w:lang w:eastAsia="lv-LV"/>
              </w:rPr>
              <w:t>  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D6D0A" w:rsidRPr="000273EA" w:rsidRDefault="00AD6D0A" w:rsidP="003A6369">
            <w:pPr>
              <w:spacing w:after="0" w:line="240" w:lineRule="auto"/>
              <w:rPr>
                <w:sz w:val="26"/>
                <w:szCs w:val="26"/>
                <w:lang w:eastAsia="lv-LV"/>
              </w:rPr>
            </w:pPr>
          </w:p>
        </w:tc>
        <w:tc>
          <w:tcPr>
            <w:tcW w:w="1467" w:type="dxa"/>
            <w:gridSpan w:val="2"/>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ind w:firstLine="375"/>
              <w:jc w:val="both"/>
              <w:rPr>
                <w:sz w:val="26"/>
                <w:szCs w:val="26"/>
                <w:lang w:eastAsia="lv-LV"/>
              </w:rPr>
            </w:pPr>
            <w:r w:rsidRPr="000273EA">
              <w:rPr>
                <w:sz w:val="26"/>
                <w:szCs w:val="26"/>
                <w:lang w:eastAsia="lv-LV"/>
              </w:rPr>
              <w:t>  0</w:t>
            </w:r>
          </w:p>
        </w:tc>
        <w:tc>
          <w:tcPr>
            <w:tcW w:w="1272"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c>
          <w:tcPr>
            <w:tcW w:w="1344" w:type="dxa"/>
            <w:tcBorders>
              <w:top w:val="outset" w:sz="6" w:space="0" w:color="auto"/>
              <w:left w:val="outset" w:sz="6" w:space="0" w:color="auto"/>
              <w:bottom w:val="outset" w:sz="6" w:space="0" w:color="auto"/>
            </w:tcBorders>
          </w:tcPr>
          <w:p w:rsidR="00AD6D0A" w:rsidRPr="000273EA" w:rsidRDefault="00AD6D0A" w:rsidP="003A6369">
            <w:pPr>
              <w:spacing w:before="75" w:after="75" w:line="240" w:lineRule="auto"/>
              <w:jc w:val="both"/>
              <w:rPr>
                <w:sz w:val="26"/>
                <w:szCs w:val="26"/>
                <w:lang w:eastAsia="lv-LV"/>
              </w:rPr>
            </w:pPr>
            <w:r w:rsidRPr="000273EA">
              <w:rPr>
                <w:sz w:val="26"/>
                <w:szCs w:val="26"/>
                <w:lang w:eastAsia="lv-LV"/>
              </w:rPr>
              <w:t>Nav attiecināms</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6. Detalizēts ieņēmumu un izdevu</w:t>
            </w:r>
            <w:r w:rsidRPr="000273EA">
              <w:rPr>
                <w:sz w:val="26"/>
                <w:szCs w:val="26"/>
                <w:lang w:eastAsia="lv-LV"/>
              </w:rPr>
              <w:softHyphen/>
              <w:t>mu aprēķins (ja nepieciešams, detalizētu ieņēmumu un izdevumu aprēķinu var pievienot anotācijas pielikumā):</w:t>
            </w:r>
          </w:p>
        </w:tc>
        <w:tc>
          <w:tcPr>
            <w:tcW w:w="6677" w:type="dxa"/>
            <w:gridSpan w:val="7"/>
            <w:vMerge w:val="restart"/>
            <w:tcBorders>
              <w:top w:val="outset" w:sz="6" w:space="0" w:color="auto"/>
              <w:left w:val="outset" w:sz="6" w:space="0" w:color="auto"/>
              <w:bottom w:val="outset" w:sz="6" w:space="0" w:color="auto"/>
            </w:tcBorders>
            <w:vAlign w:val="center"/>
          </w:tcPr>
          <w:p w:rsidR="00AD6D0A" w:rsidRPr="000273EA" w:rsidRDefault="00AD6D0A" w:rsidP="003A6369">
            <w:pPr>
              <w:spacing w:before="75" w:after="75" w:line="240" w:lineRule="auto"/>
              <w:jc w:val="both"/>
              <w:rPr>
                <w:sz w:val="26"/>
                <w:szCs w:val="26"/>
                <w:lang w:eastAsia="lv-LV"/>
              </w:rPr>
            </w:pPr>
            <w:r w:rsidRPr="000273EA">
              <w:rPr>
                <w:sz w:val="26"/>
                <w:szCs w:val="26"/>
              </w:rPr>
              <w:t>Projekts šo jomu neskar</w:t>
            </w: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6.1. detalizēts ieņēmumu aprēķins</w:t>
            </w:r>
          </w:p>
        </w:tc>
        <w:tc>
          <w:tcPr>
            <w:tcW w:w="6677" w:type="dxa"/>
            <w:gridSpan w:val="7"/>
            <w:vMerge/>
            <w:tcBorders>
              <w:top w:val="outset" w:sz="6" w:space="0" w:color="auto"/>
              <w:left w:val="outset" w:sz="6" w:space="0" w:color="auto"/>
              <w:bottom w:val="outset" w:sz="6" w:space="0" w:color="auto"/>
            </w:tcBorders>
            <w:vAlign w:val="center"/>
          </w:tcPr>
          <w:p w:rsidR="00AD6D0A" w:rsidRPr="000273EA" w:rsidRDefault="00AD6D0A" w:rsidP="003A6369">
            <w:pPr>
              <w:spacing w:after="0" w:line="240" w:lineRule="auto"/>
              <w:rPr>
                <w:sz w:val="26"/>
                <w:szCs w:val="26"/>
                <w:lang w:eastAsia="lv-LV"/>
              </w:rPr>
            </w:pP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6.2. detalizēts izdevumu aprēķins</w:t>
            </w:r>
          </w:p>
        </w:tc>
        <w:tc>
          <w:tcPr>
            <w:tcW w:w="6677" w:type="dxa"/>
            <w:gridSpan w:val="7"/>
            <w:vMerge/>
            <w:tcBorders>
              <w:top w:val="outset" w:sz="6" w:space="0" w:color="auto"/>
              <w:left w:val="outset" w:sz="6" w:space="0" w:color="auto"/>
              <w:bottom w:val="outset" w:sz="6" w:space="0" w:color="auto"/>
            </w:tcBorders>
            <w:vAlign w:val="center"/>
          </w:tcPr>
          <w:p w:rsidR="00AD6D0A" w:rsidRPr="000273EA" w:rsidRDefault="00AD6D0A" w:rsidP="003A6369">
            <w:pPr>
              <w:spacing w:after="0" w:line="240" w:lineRule="auto"/>
              <w:rPr>
                <w:sz w:val="26"/>
                <w:szCs w:val="26"/>
                <w:lang w:eastAsia="lv-LV"/>
              </w:rPr>
            </w:pPr>
          </w:p>
        </w:tc>
      </w:tr>
      <w:tr w:rsidR="00AD6D0A" w:rsidRPr="000273EA" w:rsidTr="006D0DCA">
        <w:trPr>
          <w:tblCellSpacing w:w="0" w:type="dxa"/>
        </w:trPr>
        <w:tc>
          <w:tcPr>
            <w:tcW w:w="2518" w:type="dxa"/>
            <w:gridSpan w:val="3"/>
            <w:tcBorders>
              <w:top w:val="outset" w:sz="6" w:space="0" w:color="auto"/>
              <w:bottom w:val="outset" w:sz="6" w:space="0" w:color="auto"/>
              <w:right w:val="outset" w:sz="6" w:space="0" w:color="auto"/>
            </w:tcBorders>
          </w:tcPr>
          <w:p w:rsidR="00AD6D0A" w:rsidRPr="000273EA" w:rsidRDefault="00AD6D0A" w:rsidP="003A6369">
            <w:pPr>
              <w:spacing w:before="75" w:after="75" w:line="240" w:lineRule="auto"/>
              <w:rPr>
                <w:sz w:val="26"/>
                <w:szCs w:val="26"/>
                <w:lang w:eastAsia="lv-LV"/>
              </w:rPr>
            </w:pPr>
            <w:r w:rsidRPr="000273EA">
              <w:rPr>
                <w:sz w:val="26"/>
                <w:szCs w:val="26"/>
                <w:lang w:eastAsia="lv-LV"/>
              </w:rPr>
              <w:t> 7. Cita informācija</w:t>
            </w:r>
          </w:p>
        </w:tc>
        <w:tc>
          <w:tcPr>
            <w:tcW w:w="6677" w:type="dxa"/>
            <w:gridSpan w:val="7"/>
            <w:tcBorders>
              <w:top w:val="outset" w:sz="6" w:space="0" w:color="auto"/>
              <w:left w:val="outset" w:sz="6" w:space="0" w:color="auto"/>
              <w:bottom w:val="outset" w:sz="6" w:space="0" w:color="auto"/>
            </w:tcBorders>
          </w:tcPr>
          <w:p w:rsidR="00AD6D0A" w:rsidRDefault="00AD6D0A" w:rsidP="003A6369">
            <w:pPr>
              <w:spacing w:before="75" w:after="75" w:line="240" w:lineRule="auto"/>
              <w:jc w:val="both"/>
              <w:rPr>
                <w:sz w:val="26"/>
                <w:szCs w:val="26"/>
                <w:lang w:eastAsia="lv-LV"/>
              </w:rPr>
            </w:pPr>
            <w:r w:rsidRPr="000273EA">
              <w:rPr>
                <w:sz w:val="26"/>
                <w:szCs w:val="26"/>
                <w:lang w:eastAsia="lv-LV"/>
              </w:rPr>
              <w:t>Nav attiecināms.</w:t>
            </w:r>
          </w:p>
          <w:p w:rsidR="00AD6D0A" w:rsidRPr="000273EA" w:rsidRDefault="00AD6D0A" w:rsidP="003A6369">
            <w:pPr>
              <w:spacing w:before="75" w:after="75" w:line="240" w:lineRule="auto"/>
              <w:jc w:val="both"/>
              <w:rPr>
                <w:sz w:val="26"/>
                <w:szCs w:val="26"/>
                <w:lang w:eastAsia="lv-LV"/>
              </w:rPr>
            </w:pPr>
          </w:p>
        </w:tc>
      </w:tr>
      <w:tr w:rsidR="00AD6D0A" w:rsidRPr="000273EA" w:rsidTr="006D0DCA">
        <w:trPr>
          <w:tblCellSpacing w:w="0" w:type="dxa"/>
        </w:trPr>
        <w:tc>
          <w:tcPr>
            <w:tcW w:w="9195" w:type="dxa"/>
            <w:gridSpan w:val="10"/>
            <w:tcBorders>
              <w:top w:val="outset" w:sz="6" w:space="0" w:color="auto"/>
              <w:bottom w:val="outset" w:sz="6" w:space="0" w:color="auto"/>
            </w:tcBorders>
          </w:tcPr>
          <w:p w:rsidR="00AD6D0A" w:rsidRPr="000273EA" w:rsidRDefault="00AD6D0A" w:rsidP="003A6369">
            <w:pPr>
              <w:spacing w:after="0" w:line="240" w:lineRule="auto"/>
              <w:jc w:val="center"/>
              <w:rPr>
                <w:sz w:val="26"/>
                <w:szCs w:val="26"/>
                <w:lang w:eastAsia="lv-LV"/>
              </w:rPr>
            </w:pPr>
            <w:r w:rsidRPr="000273EA">
              <w:rPr>
                <w:sz w:val="26"/>
                <w:szCs w:val="26"/>
                <w:lang w:eastAsia="lv-LV"/>
              </w:rPr>
              <w:t> </w:t>
            </w:r>
            <w:r w:rsidRPr="000273EA">
              <w:rPr>
                <w:b/>
                <w:bCs/>
                <w:sz w:val="26"/>
                <w:szCs w:val="26"/>
                <w:lang w:eastAsia="lv-LV"/>
              </w:rPr>
              <w:t> VII. Tiesību akta projekta izpildes nodrošināšana un tās ietekme uz institūcijām</w:t>
            </w:r>
          </w:p>
        </w:tc>
      </w:tr>
      <w:tr w:rsidR="00AD6D0A" w:rsidRPr="000273EA" w:rsidTr="006D0DCA">
        <w:trPr>
          <w:trHeight w:val="427"/>
          <w:tblCellSpacing w:w="0" w:type="dxa"/>
        </w:trPr>
        <w:tc>
          <w:tcPr>
            <w:tcW w:w="598" w:type="dxa"/>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1.</w:t>
            </w:r>
          </w:p>
        </w:tc>
        <w:tc>
          <w:tcPr>
            <w:tcW w:w="3184" w:type="dxa"/>
            <w:gridSpan w:val="5"/>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Projekta izpildē iesaistītās institūcijas</w:t>
            </w:r>
          </w:p>
        </w:tc>
        <w:tc>
          <w:tcPr>
            <w:tcW w:w="5413" w:type="dxa"/>
            <w:gridSpan w:val="4"/>
            <w:tcBorders>
              <w:top w:val="outset" w:sz="6" w:space="0" w:color="auto"/>
              <w:left w:val="outset" w:sz="6" w:space="0" w:color="auto"/>
              <w:bottom w:val="outset" w:sz="6" w:space="0" w:color="auto"/>
            </w:tcBorders>
          </w:tcPr>
          <w:p w:rsidR="00AD6D0A" w:rsidRPr="000273EA" w:rsidRDefault="00AD6D0A" w:rsidP="003A6369">
            <w:pPr>
              <w:spacing w:after="0" w:line="240" w:lineRule="auto"/>
              <w:jc w:val="both"/>
              <w:rPr>
                <w:sz w:val="26"/>
                <w:szCs w:val="26"/>
                <w:lang w:eastAsia="lv-LV"/>
              </w:rPr>
            </w:pPr>
            <w:r w:rsidRPr="000273EA">
              <w:rPr>
                <w:sz w:val="26"/>
                <w:szCs w:val="26"/>
                <w:lang w:eastAsia="lv-LV"/>
              </w:rPr>
              <w:t xml:space="preserve">Satiksmes ministrija, valsts akciju sabiedrība „Ceļu satiksmes drošības direkcija” </w:t>
            </w:r>
          </w:p>
        </w:tc>
      </w:tr>
      <w:tr w:rsidR="00AD6D0A" w:rsidRPr="000273EA" w:rsidTr="006D0DCA">
        <w:trPr>
          <w:trHeight w:val="463"/>
          <w:tblCellSpacing w:w="0" w:type="dxa"/>
        </w:trPr>
        <w:tc>
          <w:tcPr>
            <w:tcW w:w="598" w:type="dxa"/>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2.</w:t>
            </w:r>
          </w:p>
        </w:tc>
        <w:tc>
          <w:tcPr>
            <w:tcW w:w="3184" w:type="dxa"/>
            <w:gridSpan w:val="5"/>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Projekta izpildes ietekme uz pārvaldes funkcijām</w:t>
            </w:r>
          </w:p>
        </w:tc>
        <w:tc>
          <w:tcPr>
            <w:tcW w:w="5413" w:type="dxa"/>
            <w:gridSpan w:val="4"/>
            <w:tcBorders>
              <w:top w:val="outset" w:sz="6" w:space="0" w:color="auto"/>
              <w:left w:val="outset" w:sz="6" w:space="0" w:color="auto"/>
              <w:bottom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xml:space="preserve">Funkcijas netiek paplašinātas. </w:t>
            </w:r>
          </w:p>
        </w:tc>
      </w:tr>
      <w:tr w:rsidR="00AD6D0A" w:rsidRPr="000273EA" w:rsidTr="006D0DCA">
        <w:trPr>
          <w:trHeight w:val="725"/>
          <w:tblCellSpacing w:w="0" w:type="dxa"/>
        </w:trPr>
        <w:tc>
          <w:tcPr>
            <w:tcW w:w="598" w:type="dxa"/>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3.</w:t>
            </w:r>
          </w:p>
        </w:tc>
        <w:tc>
          <w:tcPr>
            <w:tcW w:w="3184" w:type="dxa"/>
            <w:gridSpan w:val="5"/>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Projekta izpildes ietekme uz pārvaldes institucionālo struktūru.</w:t>
            </w:r>
          </w:p>
          <w:p w:rsidR="00AD6D0A" w:rsidRPr="000273EA" w:rsidRDefault="00AD6D0A" w:rsidP="003A6369">
            <w:pPr>
              <w:spacing w:after="0" w:line="240" w:lineRule="auto"/>
              <w:rPr>
                <w:sz w:val="26"/>
                <w:szCs w:val="26"/>
                <w:lang w:eastAsia="lv-LV"/>
              </w:rPr>
            </w:pPr>
            <w:r w:rsidRPr="000273EA">
              <w:rPr>
                <w:sz w:val="26"/>
                <w:szCs w:val="26"/>
                <w:lang w:eastAsia="lv-LV"/>
              </w:rPr>
              <w:t>Jaunu institūciju izveide</w:t>
            </w:r>
          </w:p>
        </w:tc>
        <w:tc>
          <w:tcPr>
            <w:tcW w:w="5413" w:type="dxa"/>
            <w:gridSpan w:val="4"/>
            <w:tcBorders>
              <w:top w:val="outset" w:sz="6" w:space="0" w:color="auto"/>
              <w:left w:val="outset" w:sz="6" w:space="0" w:color="auto"/>
              <w:bottom w:val="outset" w:sz="6" w:space="0" w:color="auto"/>
            </w:tcBorders>
          </w:tcPr>
          <w:p w:rsidR="00AD6D0A" w:rsidRPr="000273EA" w:rsidRDefault="00AD6D0A" w:rsidP="003A6369">
            <w:pPr>
              <w:spacing w:after="0" w:line="240" w:lineRule="auto"/>
              <w:jc w:val="both"/>
              <w:rPr>
                <w:sz w:val="26"/>
                <w:szCs w:val="26"/>
                <w:lang w:eastAsia="lv-LV"/>
              </w:rPr>
            </w:pPr>
            <w:r w:rsidRPr="000273EA">
              <w:rPr>
                <w:color w:val="000000"/>
                <w:sz w:val="26"/>
                <w:szCs w:val="26"/>
              </w:rPr>
              <w:t>Projekta izpildei nav nepieciešams radīt jaunas pārvaldes institūcijas.</w:t>
            </w:r>
          </w:p>
        </w:tc>
      </w:tr>
      <w:tr w:rsidR="00AD6D0A" w:rsidRPr="000273EA" w:rsidTr="006D0DCA">
        <w:trPr>
          <w:trHeight w:val="780"/>
          <w:tblCellSpacing w:w="0" w:type="dxa"/>
        </w:trPr>
        <w:tc>
          <w:tcPr>
            <w:tcW w:w="598" w:type="dxa"/>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4.</w:t>
            </w:r>
          </w:p>
        </w:tc>
        <w:tc>
          <w:tcPr>
            <w:tcW w:w="3184" w:type="dxa"/>
            <w:gridSpan w:val="5"/>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Projekta izpildes ietekme uz pārvaldes institucionālo struktūru.</w:t>
            </w:r>
          </w:p>
          <w:p w:rsidR="00AD6D0A" w:rsidRPr="000273EA" w:rsidRDefault="00AD6D0A" w:rsidP="003A6369">
            <w:pPr>
              <w:spacing w:after="0" w:line="240" w:lineRule="auto"/>
              <w:rPr>
                <w:sz w:val="26"/>
                <w:szCs w:val="26"/>
                <w:lang w:eastAsia="lv-LV"/>
              </w:rPr>
            </w:pPr>
            <w:r w:rsidRPr="000273EA">
              <w:rPr>
                <w:sz w:val="26"/>
                <w:szCs w:val="26"/>
                <w:lang w:eastAsia="lv-LV"/>
              </w:rPr>
              <w:t>Esošu institūciju likvidācija</w:t>
            </w:r>
          </w:p>
        </w:tc>
        <w:tc>
          <w:tcPr>
            <w:tcW w:w="5413" w:type="dxa"/>
            <w:gridSpan w:val="4"/>
            <w:tcBorders>
              <w:top w:val="outset" w:sz="6" w:space="0" w:color="auto"/>
              <w:left w:val="outset" w:sz="6" w:space="0" w:color="auto"/>
              <w:bottom w:val="outset" w:sz="6" w:space="0" w:color="auto"/>
            </w:tcBorders>
          </w:tcPr>
          <w:p w:rsidR="00AD6D0A" w:rsidRPr="000273EA" w:rsidRDefault="00AD6D0A" w:rsidP="003A6369">
            <w:pPr>
              <w:spacing w:after="0" w:line="240" w:lineRule="auto"/>
              <w:rPr>
                <w:sz w:val="26"/>
                <w:szCs w:val="26"/>
                <w:lang w:eastAsia="lv-LV"/>
              </w:rPr>
            </w:pPr>
            <w:r w:rsidRPr="000273EA">
              <w:rPr>
                <w:sz w:val="26"/>
                <w:szCs w:val="26"/>
              </w:rPr>
              <w:t>Projekts šo jomu neskar</w:t>
            </w:r>
          </w:p>
        </w:tc>
      </w:tr>
      <w:tr w:rsidR="00AD6D0A" w:rsidRPr="000273EA" w:rsidTr="006D0DCA">
        <w:trPr>
          <w:trHeight w:val="703"/>
          <w:tblCellSpacing w:w="0" w:type="dxa"/>
        </w:trPr>
        <w:tc>
          <w:tcPr>
            <w:tcW w:w="598" w:type="dxa"/>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5.</w:t>
            </w:r>
          </w:p>
        </w:tc>
        <w:tc>
          <w:tcPr>
            <w:tcW w:w="3184" w:type="dxa"/>
            <w:gridSpan w:val="5"/>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Projekta izpildes ietekme uz pārvaldes institucionālo struktūru.</w:t>
            </w:r>
          </w:p>
          <w:p w:rsidR="00AD6D0A" w:rsidRPr="000273EA" w:rsidRDefault="00AD6D0A" w:rsidP="003A6369">
            <w:pPr>
              <w:spacing w:after="0" w:line="240" w:lineRule="auto"/>
              <w:rPr>
                <w:sz w:val="26"/>
                <w:szCs w:val="26"/>
                <w:lang w:eastAsia="lv-LV"/>
              </w:rPr>
            </w:pPr>
            <w:r w:rsidRPr="000273EA">
              <w:rPr>
                <w:sz w:val="26"/>
                <w:szCs w:val="26"/>
                <w:lang w:eastAsia="lv-LV"/>
              </w:rPr>
              <w:t>Esošu institūciju reorganizācija</w:t>
            </w:r>
          </w:p>
        </w:tc>
        <w:tc>
          <w:tcPr>
            <w:tcW w:w="5413" w:type="dxa"/>
            <w:gridSpan w:val="4"/>
            <w:tcBorders>
              <w:top w:val="outset" w:sz="6" w:space="0" w:color="auto"/>
              <w:left w:val="outset" w:sz="6" w:space="0" w:color="auto"/>
              <w:bottom w:val="outset" w:sz="6" w:space="0" w:color="auto"/>
            </w:tcBorders>
          </w:tcPr>
          <w:p w:rsidR="00AD6D0A" w:rsidRPr="000273EA" w:rsidRDefault="00AD6D0A" w:rsidP="003A6369">
            <w:pPr>
              <w:spacing w:after="0" w:line="240" w:lineRule="auto"/>
              <w:rPr>
                <w:sz w:val="26"/>
                <w:szCs w:val="26"/>
                <w:lang w:eastAsia="lv-LV"/>
              </w:rPr>
            </w:pPr>
            <w:r w:rsidRPr="000273EA">
              <w:rPr>
                <w:sz w:val="26"/>
                <w:szCs w:val="26"/>
              </w:rPr>
              <w:t>Projekts šo jomu neskar</w:t>
            </w:r>
          </w:p>
        </w:tc>
      </w:tr>
      <w:tr w:rsidR="00AD6D0A" w:rsidRPr="000273EA" w:rsidTr="006D0DCA">
        <w:trPr>
          <w:trHeight w:val="476"/>
          <w:tblCellSpacing w:w="0" w:type="dxa"/>
        </w:trPr>
        <w:tc>
          <w:tcPr>
            <w:tcW w:w="598" w:type="dxa"/>
            <w:tcBorders>
              <w:top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6.</w:t>
            </w:r>
          </w:p>
        </w:tc>
        <w:tc>
          <w:tcPr>
            <w:tcW w:w="3184" w:type="dxa"/>
            <w:gridSpan w:val="5"/>
            <w:tcBorders>
              <w:top w:val="outset" w:sz="6" w:space="0" w:color="auto"/>
              <w:left w:val="outset" w:sz="6" w:space="0" w:color="auto"/>
              <w:bottom w:val="outset" w:sz="6" w:space="0" w:color="auto"/>
              <w:right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 Cita informācija</w:t>
            </w:r>
          </w:p>
        </w:tc>
        <w:tc>
          <w:tcPr>
            <w:tcW w:w="5413" w:type="dxa"/>
            <w:gridSpan w:val="4"/>
            <w:tcBorders>
              <w:top w:val="outset" w:sz="6" w:space="0" w:color="auto"/>
              <w:left w:val="outset" w:sz="6" w:space="0" w:color="auto"/>
              <w:bottom w:val="outset" w:sz="6" w:space="0" w:color="auto"/>
            </w:tcBorders>
          </w:tcPr>
          <w:p w:rsidR="00AD6D0A" w:rsidRPr="000273EA" w:rsidRDefault="00AD6D0A" w:rsidP="003A6369">
            <w:pPr>
              <w:spacing w:after="0" w:line="240" w:lineRule="auto"/>
              <w:rPr>
                <w:sz w:val="26"/>
                <w:szCs w:val="26"/>
                <w:lang w:eastAsia="lv-LV"/>
              </w:rPr>
            </w:pPr>
            <w:r w:rsidRPr="000273EA">
              <w:rPr>
                <w:sz w:val="26"/>
                <w:szCs w:val="26"/>
                <w:lang w:eastAsia="lv-LV"/>
              </w:rPr>
              <w:t>Nav</w:t>
            </w:r>
          </w:p>
        </w:tc>
      </w:tr>
    </w:tbl>
    <w:p w:rsidR="00AD6D0A" w:rsidRPr="00713EEA" w:rsidRDefault="00AD6D0A" w:rsidP="00A07DA2">
      <w:pPr>
        <w:spacing w:after="0" w:line="240" w:lineRule="auto"/>
        <w:jc w:val="center"/>
        <w:rPr>
          <w:b/>
          <w:szCs w:val="24"/>
        </w:rPr>
      </w:pPr>
    </w:p>
    <w:p w:rsidR="00AD6D0A" w:rsidRDefault="00AD6D0A" w:rsidP="00EB527F">
      <w:pPr>
        <w:pStyle w:val="tvhtml"/>
        <w:rPr>
          <w:rFonts w:ascii="Times New Roman" w:hAnsi="Times New Roman"/>
          <w:iCs/>
          <w:sz w:val="26"/>
          <w:szCs w:val="26"/>
        </w:rPr>
      </w:pPr>
      <w:r w:rsidRPr="00292C14">
        <w:rPr>
          <w:rFonts w:ascii="Times New Roman" w:hAnsi="Times New Roman"/>
          <w:iCs/>
          <w:sz w:val="26"/>
          <w:szCs w:val="26"/>
        </w:rPr>
        <w:t>Anotācijas II, IV, V un VI sadaļa – projekts šīs jomas neskar</w:t>
      </w:r>
      <w:r>
        <w:rPr>
          <w:rFonts w:ascii="Times New Roman" w:hAnsi="Times New Roman"/>
          <w:iCs/>
          <w:sz w:val="26"/>
          <w:szCs w:val="26"/>
        </w:rPr>
        <w:t>.</w:t>
      </w:r>
    </w:p>
    <w:p w:rsidR="00AD6D0A" w:rsidRPr="00292C14" w:rsidRDefault="00AD6D0A" w:rsidP="00EB527F">
      <w:pPr>
        <w:pStyle w:val="tvhtml"/>
        <w:rPr>
          <w:rFonts w:ascii="Times New Roman" w:hAnsi="Times New Roman"/>
          <w:iCs/>
          <w:sz w:val="26"/>
          <w:szCs w:val="26"/>
        </w:rPr>
      </w:pPr>
    </w:p>
    <w:p w:rsidR="00AD6D0A" w:rsidRDefault="00AD6D0A" w:rsidP="0061516B">
      <w:pPr>
        <w:jc w:val="both"/>
        <w:rPr>
          <w:sz w:val="28"/>
          <w:szCs w:val="28"/>
        </w:rPr>
      </w:pPr>
      <w:r w:rsidRPr="007E309C">
        <w:rPr>
          <w:sz w:val="28"/>
          <w:szCs w:val="28"/>
        </w:rPr>
        <w:t>Satiksmes minis</w:t>
      </w:r>
      <w:r>
        <w:rPr>
          <w:sz w:val="28"/>
          <w:szCs w:val="28"/>
        </w:rPr>
        <w:t xml:space="preserve">tra </w:t>
      </w:r>
    </w:p>
    <w:p w:rsidR="00AD6D0A" w:rsidRPr="007E309C" w:rsidRDefault="00AD6D0A" w:rsidP="0061516B">
      <w:pPr>
        <w:jc w:val="both"/>
        <w:rPr>
          <w:sz w:val="28"/>
          <w:szCs w:val="28"/>
        </w:rPr>
      </w:pPr>
      <w:r>
        <w:rPr>
          <w:sz w:val="28"/>
          <w:szCs w:val="28"/>
        </w:rPr>
        <w:t xml:space="preserve">pienākumu </w:t>
      </w:r>
      <w:r w:rsidRPr="007E309C">
        <w:rPr>
          <w:sz w:val="28"/>
          <w:szCs w:val="28"/>
        </w:rPr>
        <w:tab/>
      </w:r>
      <w:r>
        <w:rPr>
          <w:sz w:val="28"/>
          <w:szCs w:val="28"/>
        </w:rPr>
        <w:t>izpildītājs</w:t>
      </w:r>
      <w:r>
        <w:rPr>
          <w:sz w:val="28"/>
          <w:szCs w:val="28"/>
        </w:rPr>
        <w:tab/>
      </w:r>
      <w:r>
        <w:rPr>
          <w:sz w:val="28"/>
          <w:szCs w:val="28"/>
        </w:rPr>
        <w:tab/>
      </w:r>
      <w:r>
        <w:rPr>
          <w:sz w:val="28"/>
          <w:szCs w:val="28"/>
        </w:rPr>
        <w:tab/>
      </w:r>
      <w:r>
        <w:rPr>
          <w:sz w:val="28"/>
          <w:szCs w:val="28"/>
        </w:rPr>
        <w:tab/>
      </w:r>
      <w:r>
        <w:rPr>
          <w:sz w:val="28"/>
          <w:szCs w:val="28"/>
        </w:rPr>
        <w:tab/>
      </w:r>
      <w:r w:rsidRPr="007E309C">
        <w:rPr>
          <w:sz w:val="28"/>
          <w:szCs w:val="28"/>
        </w:rPr>
        <w:tab/>
      </w:r>
      <w:r>
        <w:rPr>
          <w:sz w:val="28"/>
          <w:szCs w:val="28"/>
        </w:rPr>
        <w:tab/>
      </w:r>
      <w:r w:rsidRPr="007E309C">
        <w:rPr>
          <w:sz w:val="28"/>
          <w:szCs w:val="28"/>
        </w:rPr>
        <w:t>A</w:t>
      </w:r>
      <w:r>
        <w:rPr>
          <w:sz w:val="28"/>
          <w:szCs w:val="28"/>
        </w:rPr>
        <w:t>.Pabriks</w:t>
      </w:r>
    </w:p>
    <w:p w:rsidR="00AD6D0A" w:rsidRDefault="00AD6D0A" w:rsidP="0061516B">
      <w:pPr>
        <w:ind w:firstLine="720"/>
        <w:jc w:val="both"/>
        <w:rPr>
          <w:sz w:val="28"/>
        </w:rPr>
      </w:pPr>
    </w:p>
    <w:p w:rsidR="00AD6D0A" w:rsidRDefault="00AD6D0A" w:rsidP="0061516B">
      <w:pPr>
        <w:jc w:val="both"/>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A.Matīss</w:t>
      </w:r>
    </w:p>
    <w:p w:rsidR="00AD6D0A" w:rsidRDefault="00AD6D0A" w:rsidP="00EB527F">
      <w:pPr>
        <w:spacing w:after="0" w:line="240" w:lineRule="auto"/>
        <w:ind w:firstLine="720"/>
        <w:rPr>
          <w:sz w:val="26"/>
          <w:szCs w:val="26"/>
        </w:rPr>
      </w:pPr>
    </w:p>
    <w:p w:rsidR="00AD6D0A" w:rsidRDefault="00AD6D0A" w:rsidP="00EB527F">
      <w:pPr>
        <w:spacing w:after="0" w:line="240" w:lineRule="auto"/>
        <w:ind w:firstLine="720"/>
        <w:rPr>
          <w:sz w:val="26"/>
          <w:szCs w:val="26"/>
        </w:rPr>
      </w:pPr>
    </w:p>
    <w:p w:rsidR="00AD6D0A" w:rsidRDefault="00AD6D0A" w:rsidP="00EB527F">
      <w:pPr>
        <w:spacing w:after="0" w:line="240" w:lineRule="auto"/>
        <w:ind w:firstLine="720"/>
        <w:rPr>
          <w:sz w:val="26"/>
          <w:szCs w:val="26"/>
        </w:rPr>
      </w:pPr>
    </w:p>
    <w:p w:rsidR="00AD6D0A" w:rsidRDefault="00AD6D0A" w:rsidP="00EB527F">
      <w:pPr>
        <w:spacing w:after="0" w:line="240" w:lineRule="auto"/>
        <w:ind w:firstLine="720"/>
        <w:rPr>
          <w:sz w:val="26"/>
          <w:szCs w:val="26"/>
        </w:rPr>
      </w:pPr>
    </w:p>
    <w:p w:rsidR="00AD6D0A" w:rsidRPr="000273EA" w:rsidRDefault="00AD6D0A" w:rsidP="00EB527F">
      <w:pPr>
        <w:spacing w:after="0" w:line="240" w:lineRule="auto"/>
        <w:ind w:firstLine="720"/>
        <w:rPr>
          <w:sz w:val="26"/>
          <w:szCs w:val="26"/>
        </w:rPr>
      </w:pPr>
    </w:p>
    <w:p w:rsidR="00AD6D0A" w:rsidRDefault="00AD6D0A" w:rsidP="00A07DA2">
      <w:pPr>
        <w:tabs>
          <w:tab w:val="left" w:pos="5325"/>
        </w:tabs>
        <w:spacing w:after="0" w:line="240" w:lineRule="auto"/>
        <w:jc w:val="both"/>
        <w:rPr>
          <w:szCs w:val="24"/>
        </w:rPr>
      </w:pPr>
    </w:p>
    <w:p w:rsidR="00AD6D0A" w:rsidRPr="00713EEA" w:rsidRDefault="00AD6D0A" w:rsidP="00A07DA2">
      <w:pPr>
        <w:tabs>
          <w:tab w:val="left" w:pos="5325"/>
        </w:tabs>
        <w:spacing w:after="0" w:line="240" w:lineRule="auto"/>
        <w:jc w:val="both"/>
        <w:rPr>
          <w:szCs w:val="24"/>
        </w:rPr>
      </w:pPr>
      <w:r>
        <w:rPr>
          <w:szCs w:val="24"/>
        </w:rPr>
        <w:t>23</w:t>
      </w:r>
      <w:r w:rsidRPr="00713EEA">
        <w:rPr>
          <w:szCs w:val="24"/>
        </w:rPr>
        <w:t>.0</w:t>
      </w:r>
      <w:r>
        <w:rPr>
          <w:szCs w:val="24"/>
        </w:rPr>
        <w:t>8</w:t>
      </w:r>
      <w:r w:rsidRPr="00713EEA">
        <w:rPr>
          <w:szCs w:val="24"/>
        </w:rPr>
        <w:t>.2012.</w:t>
      </w:r>
      <w:r>
        <w:rPr>
          <w:szCs w:val="24"/>
        </w:rPr>
        <w:t xml:space="preserve"> 14:45</w:t>
      </w:r>
    </w:p>
    <w:p w:rsidR="00AD6D0A" w:rsidRPr="00713EEA" w:rsidRDefault="00AD6D0A" w:rsidP="00A07DA2">
      <w:pPr>
        <w:spacing w:after="0" w:line="240" w:lineRule="auto"/>
        <w:jc w:val="both"/>
        <w:rPr>
          <w:szCs w:val="24"/>
        </w:rPr>
      </w:pPr>
      <w:r>
        <w:rPr>
          <w:szCs w:val="24"/>
        </w:rPr>
        <w:t>2012</w:t>
      </w:r>
    </w:p>
    <w:p w:rsidR="00AD6D0A" w:rsidRPr="00713EEA" w:rsidRDefault="00AD6D0A" w:rsidP="00EB527F">
      <w:pPr>
        <w:spacing w:after="0" w:line="240" w:lineRule="auto"/>
        <w:jc w:val="both"/>
        <w:rPr>
          <w:szCs w:val="24"/>
        </w:rPr>
      </w:pPr>
      <w:r>
        <w:rPr>
          <w:szCs w:val="24"/>
        </w:rPr>
        <w:t>R.Nīmanis</w:t>
      </w:r>
      <w:r w:rsidRPr="00713EEA">
        <w:rPr>
          <w:szCs w:val="24"/>
        </w:rPr>
        <w:t>, 67025701</w:t>
      </w:r>
      <w:bookmarkStart w:id="0" w:name="_GoBack"/>
      <w:bookmarkEnd w:id="0"/>
      <w:r w:rsidRPr="00713EEA">
        <w:rPr>
          <w:szCs w:val="24"/>
        </w:rPr>
        <w:t>,</w:t>
      </w:r>
    </w:p>
    <w:p w:rsidR="00AD6D0A" w:rsidRPr="00713EEA" w:rsidRDefault="00AD6D0A" w:rsidP="00EB527F">
      <w:pPr>
        <w:spacing w:after="0" w:line="240" w:lineRule="auto"/>
        <w:jc w:val="both"/>
        <w:rPr>
          <w:szCs w:val="24"/>
        </w:rPr>
      </w:pPr>
      <w:r>
        <w:rPr>
          <w:szCs w:val="24"/>
        </w:rPr>
        <w:t>Reinis.Nimanis</w:t>
      </w:r>
      <w:r w:rsidRPr="00713EEA">
        <w:rPr>
          <w:szCs w:val="24"/>
        </w:rPr>
        <w:t>@csdd.gov.lv</w:t>
      </w:r>
    </w:p>
    <w:sectPr w:rsidR="00AD6D0A" w:rsidRPr="00713EEA" w:rsidSect="00EC7A9B">
      <w:headerReference w:type="even" r:id="rId7"/>
      <w:headerReference w:type="default" r:id="rId8"/>
      <w:footerReference w:type="even" r:id="rId9"/>
      <w:footerReference w:type="default" r:id="rId10"/>
      <w:footerReference w:type="first" r:id="rId11"/>
      <w:pgSz w:w="11906" w:h="16838" w:code="9"/>
      <w:pgMar w:top="1440" w:right="1134"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0A" w:rsidRDefault="00AD6D0A">
      <w:r>
        <w:separator/>
      </w:r>
    </w:p>
  </w:endnote>
  <w:endnote w:type="continuationSeparator" w:id="0">
    <w:p w:rsidR="00AD6D0A" w:rsidRDefault="00AD6D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0A" w:rsidRDefault="00AD6D0A" w:rsidP="00D84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D0A" w:rsidRDefault="00AD6D0A" w:rsidP="004B72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0A" w:rsidRDefault="00AD6D0A" w:rsidP="00D840DC">
    <w:pPr>
      <w:pStyle w:val="Footer"/>
      <w:framePr w:wrap="around" w:vAnchor="text" w:hAnchor="margin" w:xAlign="right" w:y="1"/>
      <w:rPr>
        <w:rStyle w:val="PageNumber"/>
      </w:rPr>
    </w:pPr>
  </w:p>
  <w:p w:rsidR="00AD6D0A" w:rsidRPr="001A44AC" w:rsidRDefault="00AD6D0A" w:rsidP="001A44AC">
    <w:pPr>
      <w:spacing w:after="0" w:line="240" w:lineRule="auto"/>
      <w:jc w:val="both"/>
      <w:rPr>
        <w:bCs/>
        <w:szCs w:val="24"/>
        <w:lang w:eastAsia="lv-LV"/>
      </w:rPr>
    </w:pPr>
    <w:r w:rsidRPr="00D77E94">
      <w:rPr>
        <w:bCs/>
        <w:szCs w:val="24"/>
        <w:lang w:eastAsia="lv-LV"/>
      </w:rPr>
      <w:t>SAManot_</w:t>
    </w:r>
    <w:r>
      <w:rPr>
        <w:bCs/>
        <w:szCs w:val="24"/>
        <w:lang w:eastAsia="lv-LV"/>
      </w:rPr>
      <w:t>23</w:t>
    </w:r>
    <w:r w:rsidRPr="00D77E94">
      <w:rPr>
        <w:bCs/>
        <w:szCs w:val="24"/>
        <w:lang w:eastAsia="lv-LV"/>
      </w:rPr>
      <w:t>0812_CSDDdiv</w:t>
    </w:r>
    <w:r w:rsidRPr="00EC7A9B">
      <w:rPr>
        <w:bCs/>
        <w:szCs w:val="24"/>
        <w:lang w:eastAsia="lv-LV"/>
      </w:rPr>
      <w:t>;</w:t>
    </w:r>
    <w:r w:rsidRPr="000273EA">
      <w:rPr>
        <w:bCs/>
        <w:szCs w:val="24"/>
        <w:lang w:eastAsia="lv-LV"/>
      </w:rPr>
      <w:t xml:space="preserve"> </w:t>
    </w:r>
    <w:r w:rsidRPr="001A44AC">
      <w:rPr>
        <w:bCs/>
        <w:szCs w:val="24"/>
        <w:lang w:eastAsia="lv-LV"/>
      </w:rPr>
      <w:t>Ministru kabineta rīkojuma projekta</w:t>
    </w:r>
    <w:r>
      <w:rPr>
        <w:bCs/>
        <w:szCs w:val="24"/>
        <w:lang w:eastAsia="lv-LV"/>
      </w:rPr>
      <w:t xml:space="preserve"> </w:t>
    </w:r>
    <w:r w:rsidRPr="001A44AC">
      <w:rPr>
        <w:bCs/>
        <w:szCs w:val="24"/>
        <w:lang w:eastAsia="lv-LV"/>
      </w:rPr>
      <w:t>„Par valstij dividendēs izmaksājamo valsts akciju sabiedrības „Ceļu satiksmes drošības direkcija” peļņas daļu”” sākotnējās ietekmes novērtējuma ziņojums (anotācija)</w:t>
    </w:r>
  </w:p>
  <w:p w:rsidR="00AD6D0A" w:rsidRPr="000273EA" w:rsidRDefault="00AD6D0A" w:rsidP="000273EA">
    <w:pPr>
      <w:spacing w:after="0" w:line="240" w:lineRule="auto"/>
      <w:jc w:val="both"/>
      <w:rPr>
        <w:bCs/>
        <w:sz w:val="20"/>
        <w:szCs w:val="20"/>
        <w:lang w:eastAsia="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0A" w:rsidRPr="001A44AC" w:rsidRDefault="00AD6D0A" w:rsidP="001A44AC">
    <w:pPr>
      <w:spacing w:after="0" w:line="240" w:lineRule="auto"/>
      <w:jc w:val="both"/>
      <w:rPr>
        <w:bCs/>
        <w:szCs w:val="24"/>
        <w:lang w:eastAsia="lv-LV"/>
      </w:rPr>
    </w:pPr>
    <w:r w:rsidRPr="00D77E94">
      <w:rPr>
        <w:bCs/>
        <w:szCs w:val="24"/>
        <w:lang w:eastAsia="lv-LV"/>
      </w:rPr>
      <w:t>SAManot_</w:t>
    </w:r>
    <w:r>
      <w:rPr>
        <w:bCs/>
        <w:szCs w:val="24"/>
        <w:lang w:eastAsia="lv-LV"/>
      </w:rPr>
      <w:t>23</w:t>
    </w:r>
    <w:r w:rsidRPr="00D77E94">
      <w:rPr>
        <w:bCs/>
        <w:szCs w:val="24"/>
        <w:lang w:eastAsia="lv-LV"/>
      </w:rPr>
      <w:t>0812_CSDDdiv</w:t>
    </w:r>
    <w:r w:rsidRPr="00EC7A9B">
      <w:rPr>
        <w:bCs/>
        <w:szCs w:val="24"/>
        <w:lang w:eastAsia="lv-LV"/>
      </w:rPr>
      <w:t>;</w:t>
    </w:r>
    <w:r w:rsidRPr="000273EA">
      <w:rPr>
        <w:bCs/>
        <w:szCs w:val="24"/>
        <w:lang w:eastAsia="lv-LV"/>
      </w:rPr>
      <w:t xml:space="preserve"> </w:t>
    </w:r>
    <w:r w:rsidRPr="001A44AC">
      <w:rPr>
        <w:bCs/>
        <w:szCs w:val="24"/>
        <w:lang w:eastAsia="lv-LV"/>
      </w:rPr>
      <w:t>Ministru kabineta rīkojuma projekta</w:t>
    </w:r>
    <w:r>
      <w:rPr>
        <w:bCs/>
        <w:szCs w:val="24"/>
        <w:lang w:eastAsia="lv-LV"/>
      </w:rPr>
      <w:t xml:space="preserve"> </w:t>
    </w:r>
    <w:r w:rsidRPr="001A44AC">
      <w:rPr>
        <w:bCs/>
        <w:szCs w:val="24"/>
        <w:lang w:eastAsia="lv-LV"/>
      </w:rPr>
      <w:t>„Par valstij dividendēs izmaksājamo valsts akciju sabiedrības „Ceļu satiksmes drošības direkcija” peļņas daļu”” sākotnējās ietekmes novērtējuma ziņojums (anotācija)</w:t>
    </w:r>
  </w:p>
  <w:p w:rsidR="00AD6D0A" w:rsidRDefault="00AD6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0A" w:rsidRDefault="00AD6D0A">
      <w:r>
        <w:separator/>
      </w:r>
    </w:p>
  </w:footnote>
  <w:footnote w:type="continuationSeparator" w:id="0">
    <w:p w:rsidR="00AD6D0A" w:rsidRDefault="00AD6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0A" w:rsidRDefault="00AD6D0A" w:rsidP="00AC14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D0A" w:rsidRDefault="00AD6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0A" w:rsidRDefault="00AD6D0A" w:rsidP="00AC14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D6D0A" w:rsidRDefault="00AD6D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7FC"/>
    <w:multiLevelType w:val="hybridMultilevel"/>
    <w:tmpl w:val="C3CCE3D8"/>
    <w:lvl w:ilvl="0" w:tplc="0426000D">
      <w:start w:val="1"/>
      <w:numFmt w:val="bullet"/>
      <w:lvlText w:val=""/>
      <w:lvlJc w:val="left"/>
      <w:pPr>
        <w:ind w:left="1146" w:hanging="360"/>
      </w:pPr>
      <w:rPr>
        <w:rFonts w:ascii="Wingdings" w:hAnsi="Wingdings" w:hint="default"/>
      </w:rPr>
    </w:lvl>
    <w:lvl w:ilvl="1" w:tplc="04260003">
      <w:start w:val="1"/>
      <w:numFmt w:val="bullet"/>
      <w:lvlText w:val="o"/>
      <w:lvlJc w:val="left"/>
      <w:pPr>
        <w:ind w:left="1866" w:hanging="360"/>
      </w:pPr>
      <w:rPr>
        <w:rFonts w:ascii="Courier New" w:hAnsi="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hint="default"/>
      </w:rPr>
    </w:lvl>
    <w:lvl w:ilvl="8" w:tplc="04260005">
      <w:start w:val="1"/>
      <w:numFmt w:val="bullet"/>
      <w:lvlText w:val=""/>
      <w:lvlJc w:val="left"/>
      <w:pPr>
        <w:ind w:left="6906" w:hanging="360"/>
      </w:pPr>
      <w:rPr>
        <w:rFonts w:ascii="Wingdings" w:hAnsi="Wingdings" w:hint="default"/>
      </w:rPr>
    </w:lvl>
  </w:abstractNum>
  <w:abstractNum w:abstractNumId="1">
    <w:nsid w:val="1B0E1293"/>
    <w:multiLevelType w:val="hybridMultilevel"/>
    <w:tmpl w:val="B644E9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5232096A"/>
    <w:multiLevelType w:val="hybridMultilevel"/>
    <w:tmpl w:val="2FA8B3C6"/>
    <w:lvl w:ilvl="0" w:tplc="0426000F">
      <w:start w:val="1"/>
      <w:numFmt w:val="decimal"/>
      <w:lvlText w:val="%1."/>
      <w:lvlJc w:val="left"/>
      <w:pPr>
        <w:ind w:left="1440" w:hanging="360"/>
      </w:pPr>
      <w:rPr>
        <w:rFonts w:cs="Times New Roman"/>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3">
    <w:nsid w:val="590261F4"/>
    <w:multiLevelType w:val="hybridMultilevel"/>
    <w:tmpl w:val="6F7C6126"/>
    <w:lvl w:ilvl="0" w:tplc="CAA002E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5541323"/>
    <w:multiLevelType w:val="hybridMultilevel"/>
    <w:tmpl w:val="75D4C65E"/>
    <w:lvl w:ilvl="0" w:tplc="7436949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99C"/>
    <w:rsid w:val="00012776"/>
    <w:rsid w:val="000273EA"/>
    <w:rsid w:val="000368D1"/>
    <w:rsid w:val="00046A45"/>
    <w:rsid w:val="0006635A"/>
    <w:rsid w:val="00072E9D"/>
    <w:rsid w:val="00076481"/>
    <w:rsid w:val="00082856"/>
    <w:rsid w:val="00084832"/>
    <w:rsid w:val="0009304F"/>
    <w:rsid w:val="000A3D40"/>
    <w:rsid w:val="000B37D4"/>
    <w:rsid w:val="000B5E22"/>
    <w:rsid w:val="000B7ECE"/>
    <w:rsid w:val="000C40D5"/>
    <w:rsid w:val="000C7CD4"/>
    <w:rsid w:val="000D3819"/>
    <w:rsid w:val="000D6DB8"/>
    <w:rsid w:val="000E097A"/>
    <w:rsid w:val="000E3FE7"/>
    <w:rsid w:val="000E4BDB"/>
    <w:rsid w:val="001012B1"/>
    <w:rsid w:val="00110D7A"/>
    <w:rsid w:val="00111DA0"/>
    <w:rsid w:val="00113597"/>
    <w:rsid w:val="00124012"/>
    <w:rsid w:val="00124EC5"/>
    <w:rsid w:val="0012616F"/>
    <w:rsid w:val="00137350"/>
    <w:rsid w:val="00140E53"/>
    <w:rsid w:val="00144F7F"/>
    <w:rsid w:val="001554B7"/>
    <w:rsid w:val="00155C9E"/>
    <w:rsid w:val="001742BA"/>
    <w:rsid w:val="00174D65"/>
    <w:rsid w:val="001825C5"/>
    <w:rsid w:val="0019573B"/>
    <w:rsid w:val="00197169"/>
    <w:rsid w:val="001A297A"/>
    <w:rsid w:val="001A2A66"/>
    <w:rsid w:val="001A44AC"/>
    <w:rsid w:val="001B4580"/>
    <w:rsid w:val="001C08A1"/>
    <w:rsid w:val="001D12FB"/>
    <w:rsid w:val="001D7247"/>
    <w:rsid w:val="001E0830"/>
    <w:rsid w:val="001E3115"/>
    <w:rsid w:val="001F06E1"/>
    <w:rsid w:val="00200E8C"/>
    <w:rsid w:val="002269AA"/>
    <w:rsid w:val="002310DC"/>
    <w:rsid w:val="00233886"/>
    <w:rsid w:val="00240BF4"/>
    <w:rsid w:val="00244D76"/>
    <w:rsid w:val="00247F1E"/>
    <w:rsid w:val="0025645B"/>
    <w:rsid w:val="0026497D"/>
    <w:rsid w:val="002864B2"/>
    <w:rsid w:val="00292C14"/>
    <w:rsid w:val="00294E1C"/>
    <w:rsid w:val="002A0589"/>
    <w:rsid w:val="002A2B58"/>
    <w:rsid w:val="002B442D"/>
    <w:rsid w:val="002B47F7"/>
    <w:rsid w:val="002B533F"/>
    <w:rsid w:val="002B7C16"/>
    <w:rsid w:val="002C7945"/>
    <w:rsid w:val="002D3D68"/>
    <w:rsid w:val="002D5D36"/>
    <w:rsid w:val="002D712D"/>
    <w:rsid w:val="002E10A2"/>
    <w:rsid w:val="002E72B5"/>
    <w:rsid w:val="002F1AD7"/>
    <w:rsid w:val="002F2CF5"/>
    <w:rsid w:val="002F439F"/>
    <w:rsid w:val="00300F73"/>
    <w:rsid w:val="00303D7E"/>
    <w:rsid w:val="00310432"/>
    <w:rsid w:val="003108CE"/>
    <w:rsid w:val="003146B0"/>
    <w:rsid w:val="00325840"/>
    <w:rsid w:val="00340F72"/>
    <w:rsid w:val="0035363F"/>
    <w:rsid w:val="003623A4"/>
    <w:rsid w:val="003626BA"/>
    <w:rsid w:val="00363690"/>
    <w:rsid w:val="0037430E"/>
    <w:rsid w:val="00395B28"/>
    <w:rsid w:val="003A3486"/>
    <w:rsid w:val="003A620B"/>
    <w:rsid w:val="003A6369"/>
    <w:rsid w:val="003B12E6"/>
    <w:rsid w:val="003B1958"/>
    <w:rsid w:val="003B3FBF"/>
    <w:rsid w:val="003D0E94"/>
    <w:rsid w:val="003D36B4"/>
    <w:rsid w:val="003E6C7F"/>
    <w:rsid w:val="003E7553"/>
    <w:rsid w:val="003F37F5"/>
    <w:rsid w:val="003F3872"/>
    <w:rsid w:val="0040379E"/>
    <w:rsid w:val="004078E8"/>
    <w:rsid w:val="00412D20"/>
    <w:rsid w:val="004237C4"/>
    <w:rsid w:val="00431737"/>
    <w:rsid w:val="004330C0"/>
    <w:rsid w:val="00435C58"/>
    <w:rsid w:val="00436944"/>
    <w:rsid w:val="00457259"/>
    <w:rsid w:val="004576DF"/>
    <w:rsid w:val="0047032E"/>
    <w:rsid w:val="004705B7"/>
    <w:rsid w:val="0047185E"/>
    <w:rsid w:val="00481091"/>
    <w:rsid w:val="00481D85"/>
    <w:rsid w:val="00487DF5"/>
    <w:rsid w:val="00490AC6"/>
    <w:rsid w:val="00492EB8"/>
    <w:rsid w:val="004A32FF"/>
    <w:rsid w:val="004A4CEB"/>
    <w:rsid w:val="004A6C30"/>
    <w:rsid w:val="004A753E"/>
    <w:rsid w:val="004B0A07"/>
    <w:rsid w:val="004B7207"/>
    <w:rsid w:val="004B72D4"/>
    <w:rsid w:val="004C126A"/>
    <w:rsid w:val="004C2F08"/>
    <w:rsid w:val="004C33B9"/>
    <w:rsid w:val="004C5E99"/>
    <w:rsid w:val="004C7665"/>
    <w:rsid w:val="004D0F26"/>
    <w:rsid w:val="004D481B"/>
    <w:rsid w:val="004E014D"/>
    <w:rsid w:val="004E3631"/>
    <w:rsid w:val="004E5DAF"/>
    <w:rsid w:val="0050031C"/>
    <w:rsid w:val="00500D8A"/>
    <w:rsid w:val="0050320E"/>
    <w:rsid w:val="0050469F"/>
    <w:rsid w:val="005122C1"/>
    <w:rsid w:val="00517258"/>
    <w:rsid w:val="00522759"/>
    <w:rsid w:val="005255D0"/>
    <w:rsid w:val="005325D2"/>
    <w:rsid w:val="00553A75"/>
    <w:rsid w:val="005677F1"/>
    <w:rsid w:val="00570C16"/>
    <w:rsid w:val="00572F0B"/>
    <w:rsid w:val="00584447"/>
    <w:rsid w:val="00590EFB"/>
    <w:rsid w:val="005A4EF3"/>
    <w:rsid w:val="005B0ACA"/>
    <w:rsid w:val="005C2A97"/>
    <w:rsid w:val="005D2530"/>
    <w:rsid w:val="005D6C2D"/>
    <w:rsid w:val="005E1FE5"/>
    <w:rsid w:val="005E4777"/>
    <w:rsid w:val="005E51E6"/>
    <w:rsid w:val="005E64E4"/>
    <w:rsid w:val="005F0612"/>
    <w:rsid w:val="005F69B9"/>
    <w:rsid w:val="006009A0"/>
    <w:rsid w:val="00602FE4"/>
    <w:rsid w:val="006057C7"/>
    <w:rsid w:val="0061033C"/>
    <w:rsid w:val="0061516B"/>
    <w:rsid w:val="00616BAB"/>
    <w:rsid w:val="00616DFD"/>
    <w:rsid w:val="0062074B"/>
    <w:rsid w:val="00620E02"/>
    <w:rsid w:val="00640990"/>
    <w:rsid w:val="00646E47"/>
    <w:rsid w:val="00651C7C"/>
    <w:rsid w:val="006560E2"/>
    <w:rsid w:val="006619C7"/>
    <w:rsid w:val="00665DA5"/>
    <w:rsid w:val="0067078B"/>
    <w:rsid w:val="00671240"/>
    <w:rsid w:val="006764ED"/>
    <w:rsid w:val="00685A37"/>
    <w:rsid w:val="00696AFB"/>
    <w:rsid w:val="006A4293"/>
    <w:rsid w:val="006A4E2F"/>
    <w:rsid w:val="006B2EE7"/>
    <w:rsid w:val="006B44C0"/>
    <w:rsid w:val="006D0DCA"/>
    <w:rsid w:val="006E2664"/>
    <w:rsid w:val="006E2822"/>
    <w:rsid w:val="006F7ED2"/>
    <w:rsid w:val="00704E79"/>
    <w:rsid w:val="007105B4"/>
    <w:rsid w:val="00712326"/>
    <w:rsid w:val="00713EEA"/>
    <w:rsid w:val="0073270B"/>
    <w:rsid w:val="00733001"/>
    <w:rsid w:val="00751F67"/>
    <w:rsid w:val="00752E02"/>
    <w:rsid w:val="00757154"/>
    <w:rsid w:val="007624EA"/>
    <w:rsid w:val="007639C6"/>
    <w:rsid w:val="00775D1B"/>
    <w:rsid w:val="0077784A"/>
    <w:rsid w:val="00780E33"/>
    <w:rsid w:val="00780E8E"/>
    <w:rsid w:val="0078231B"/>
    <w:rsid w:val="007835FA"/>
    <w:rsid w:val="0078384F"/>
    <w:rsid w:val="00785E37"/>
    <w:rsid w:val="007924DD"/>
    <w:rsid w:val="00792F44"/>
    <w:rsid w:val="00795423"/>
    <w:rsid w:val="007A3B64"/>
    <w:rsid w:val="007A48C5"/>
    <w:rsid w:val="007A71C8"/>
    <w:rsid w:val="007B3C39"/>
    <w:rsid w:val="007B6D9F"/>
    <w:rsid w:val="007C2173"/>
    <w:rsid w:val="007C331B"/>
    <w:rsid w:val="007C749C"/>
    <w:rsid w:val="007E309C"/>
    <w:rsid w:val="007E3EAC"/>
    <w:rsid w:val="00800087"/>
    <w:rsid w:val="00803814"/>
    <w:rsid w:val="00825805"/>
    <w:rsid w:val="00845B8F"/>
    <w:rsid w:val="0085271F"/>
    <w:rsid w:val="00853B8D"/>
    <w:rsid w:val="00863771"/>
    <w:rsid w:val="00863894"/>
    <w:rsid w:val="008675F4"/>
    <w:rsid w:val="00876F15"/>
    <w:rsid w:val="00881E83"/>
    <w:rsid w:val="0088206D"/>
    <w:rsid w:val="00882CF9"/>
    <w:rsid w:val="008832B8"/>
    <w:rsid w:val="00883E4B"/>
    <w:rsid w:val="00886EDA"/>
    <w:rsid w:val="008901AA"/>
    <w:rsid w:val="008905EC"/>
    <w:rsid w:val="008B1D70"/>
    <w:rsid w:val="008B781B"/>
    <w:rsid w:val="008C35E6"/>
    <w:rsid w:val="008D13FC"/>
    <w:rsid w:val="008D4728"/>
    <w:rsid w:val="008E18CB"/>
    <w:rsid w:val="008E5461"/>
    <w:rsid w:val="008F36AC"/>
    <w:rsid w:val="008F4F8F"/>
    <w:rsid w:val="00902FA1"/>
    <w:rsid w:val="009044C5"/>
    <w:rsid w:val="00905D8A"/>
    <w:rsid w:val="009075F8"/>
    <w:rsid w:val="00910026"/>
    <w:rsid w:val="00914CE4"/>
    <w:rsid w:val="0092438C"/>
    <w:rsid w:val="00943372"/>
    <w:rsid w:val="00966683"/>
    <w:rsid w:val="00967EB3"/>
    <w:rsid w:val="00974A21"/>
    <w:rsid w:val="0098647B"/>
    <w:rsid w:val="009912E3"/>
    <w:rsid w:val="00994AA2"/>
    <w:rsid w:val="009A2C8E"/>
    <w:rsid w:val="009B36FF"/>
    <w:rsid w:val="009C0E12"/>
    <w:rsid w:val="009D1AF9"/>
    <w:rsid w:val="009D545C"/>
    <w:rsid w:val="009D5B67"/>
    <w:rsid w:val="009D660D"/>
    <w:rsid w:val="009D6AFF"/>
    <w:rsid w:val="009F4277"/>
    <w:rsid w:val="009F5B12"/>
    <w:rsid w:val="00A07DA2"/>
    <w:rsid w:val="00A10996"/>
    <w:rsid w:val="00A10B03"/>
    <w:rsid w:val="00A21ABE"/>
    <w:rsid w:val="00A22215"/>
    <w:rsid w:val="00A237EA"/>
    <w:rsid w:val="00A33FF8"/>
    <w:rsid w:val="00A34DFE"/>
    <w:rsid w:val="00A454A4"/>
    <w:rsid w:val="00A46647"/>
    <w:rsid w:val="00A478DA"/>
    <w:rsid w:val="00A60F45"/>
    <w:rsid w:val="00A84E31"/>
    <w:rsid w:val="00A85ACB"/>
    <w:rsid w:val="00A9434C"/>
    <w:rsid w:val="00A973BD"/>
    <w:rsid w:val="00AA242A"/>
    <w:rsid w:val="00AA645F"/>
    <w:rsid w:val="00AB07E7"/>
    <w:rsid w:val="00AB6128"/>
    <w:rsid w:val="00AB6B10"/>
    <w:rsid w:val="00AB7FEA"/>
    <w:rsid w:val="00AC14BF"/>
    <w:rsid w:val="00AC5D66"/>
    <w:rsid w:val="00AD3A08"/>
    <w:rsid w:val="00AD6628"/>
    <w:rsid w:val="00AD6D0A"/>
    <w:rsid w:val="00AE1474"/>
    <w:rsid w:val="00AE673A"/>
    <w:rsid w:val="00B128C7"/>
    <w:rsid w:val="00B204CB"/>
    <w:rsid w:val="00B310A3"/>
    <w:rsid w:val="00B452E7"/>
    <w:rsid w:val="00B470EC"/>
    <w:rsid w:val="00B57682"/>
    <w:rsid w:val="00B619A0"/>
    <w:rsid w:val="00B701FC"/>
    <w:rsid w:val="00B70DDB"/>
    <w:rsid w:val="00B81B33"/>
    <w:rsid w:val="00B86640"/>
    <w:rsid w:val="00B968D9"/>
    <w:rsid w:val="00BA39B8"/>
    <w:rsid w:val="00BA577B"/>
    <w:rsid w:val="00BB1018"/>
    <w:rsid w:val="00BB3C40"/>
    <w:rsid w:val="00BB4690"/>
    <w:rsid w:val="00BB5F38"/>
    <w:rsid w:val="00BC1082"/>
    <w:rsid w:val="00BC35F4"/>
    <w:rsid w:val="00BC4B0C"/>
    <w:rsid w:val="00BD034B"/>
    <w:rsid w:val="00BD03EE"/>
    <w:rsid w:val="00BE6335"/>
    <w:rsid w:val="00BF5393"/>
    <w:rsid w:val="00BF71AB"/>
    <w:rsid w:val="00C02CC9"/>
    <w:rsid w:val="00C26E4F"/>
    <w:rsid w:val="00C36001"/>
    <w:rsid w:val="00C4599C"/>
    <w:rsid w:val="00C60C40"/>
    <w:rsid w:val="00C63B53"/>
    <w:rsid w:val="00C7639D"/>
    <w:rsid w:val="00C813AA"/>
    <w:rsid w:val="00C8644E"/>
    <w:rsid w:val="00C8753B"/>
    <w:rsid w:val="00C90F7C"/>
    <w:rsid w:val="00C9105C"/>
    <w:rsid w:val="00C9627B"/>
    <w:rsid w:val="00CA4307"/>
    <w:rsid w:val="00CC365D"/>
    <w:rsid w:val="00CC6919"/>
    <w:rsid w:val="00CE2A66"/>
    <w:rsid w:val="00CE4699"/>
    <w:rsid w:val="00D006B7"/>
    <w:rsid w:val="00D01008"/>
    <w:rsid w:val="00D02631"/>
    <w:rsid w:val="00D0554D"/>
    <w:rsid w:val="00D0654C"/>
    <w:rsid w:val="00D10EAB"/>
    <w:rsid w:val="00D226E3"/>
    <w:rsid w:val="00D23790"/>
    <w:rsid w:val="00D34DCC"/>
    <w:rsid w:val="00D36327"/>
    <w:rsid w:val="00D52A95"/>
    <w:rsid w:val="00D55F46"/>
    <w:rsid w:val="00D60A36"/>
    <w:rsid w:val="00D645B6"/>
    <w:rsid w:val="00D67AE9"/>
    <w:rsid w:val="00D7161B"/>
    <w:rsid w:val="00D72AEB"/>
    <w:rsid w:val="00D77E94"/>
    <w:rsid w:val="00D80C09"/>
    <w:rsid w:val="00D840DC"/>
    <w:rsid w:val="00D9172F"/>
    <w:rsid w:val="00D941D8"/>
    <w:rsid w:val="00D958BD"/>
    <w:rsid w:val="00DC6876"/>
    <w:rsid w:val="00DC7E8C"/>
    <w:rsid w:val="00DD3A97"/>
    <w:rsid w:val="00DD49F4"/>
    <w:rsid w:val="00DD7D18"/>
    <w:rsid w:val="00DE6659"/>
    <w:rsid w:val="00DF443B"/>
    <w:rsid w:val="00E01896"/>
    <w:rsid w:val="00E03270"/>
    <w:rsid w:val="00E226A7"/>
    <w:rsid w:val="00E24305"/>
    <w:rsid w:val="00E25900"/>
    <w:rsid w:val="00E2645D"/>
    <w:rsid w:val="00E326C6"/>
    <w:rsid w:val="00E33DD9"/>
    <w:rsid w:val="00E4246F"/>
    <w:rsid w:val="00E536D9"/>
    <w:rsid w:val="00E56430"/>
    <w:rsid w:val="00E63574"/>
    <w:rsid w:val="00E707C3"/>
    <w:rsid w:val="00E73685"/>
    <w:rsid w:val="00E83682"/>
    <w:rsid w:val="00E9152C"/>
    <w:rsid w:val="00E924AE"/>
    <w:rsid w:val="00E97C80"/>
    <w:rsid w:val="00EA0EF2"/>
    <w:rsid w:val="00EA3E7F"/>
    <w:rsid w:val="00EB1ACD"/>
    <w:rsid w:val="00EB4CD8"/>
    <w:rsid w:val="00EB527F"/>
    <w:rsid w:val="00EC7A9B"/>
    <w:rsid w:val="00ED7629"/>
    <w:rsid w:val="00EE54AE"/>
    <w:rsid w:val="00EE5B16"/>
    <w:rsid w:val="00EF256D"/>
    <w:rsid w:val="00F04ABC"/>
    <w:rsid w:val="00F16DCB"/>
    <w:rsid w:val="00F231C0"/>
    <w:rsid w:val="00F258A2"/>
    <w:rsid w:val="00F33BBB"/>
    <w:rsid w:val="00F40E33"/>
    <w:rsid w:val="00F4371B"/>
    <w:rsid w:val="00F57361"/>
    <w:rsid w:val="00F6061E"/>
    <w:rsid w:val="00F62200"/>
    <w:rsid w:val="00F6251D"/>
    <w:rsid w:val="00F82798"/>
    <w:rsid w:val="00F836F7"/>
    <w:rsid w:val="00FA094F"/>
    <w:rsid w:val="00FB5DAD"/>
    <w:rsid w:val="00FB5EBF"/>
    <w:rsid w:val="00FC1F98"/>
    <w:rsid w:val="00FC2297"/>
    <w:rsid w:val="00FC2F6A"/>
    <w:rsid w:val="00FD08B1"/>
    <w:rsid w:val="00FE1922"/>
    <w:rsid w:val="00FE42C7"/>
    <w:rsid w:val="00FF2E68"/>
    <w:rsid w:val="00FF72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9C"/>
    <w:pPr>
      <w:spacing w:after="200" w:line="276" w:lineRule="auto"/>
    </w:pPr>
    <w:rPr>
      <w:sz w:val="24"/>
      <w:lang w:eastAsia="en-US"/>
    </w:rPr>
  </w:style>
  <w:style w:type="paragraph" w:styleId="Heading1">
    <w:name w:val="heading 1"/>
    <w:basedOn w:val="Normal"/>
    <w:next w:val="Normal"/>
    <w:link w:val="Heading1Char"/>
    <w:uiPriority w:val="99"/>
    <w:qFormat/>
    <w:rsid w:val="003146B0"/>
    <w:pPr>
      <w:keepNext/>
      <w:tabs>
        <w:tab w:val="left" w:pos="6521"/>
        <w:tab w:val="left" w:pos="7938"/>
      </w:tabs>
      <w:spacing w:after="0" w:line="240" w:lineRule="auto"/>
      <w:jc w:val="center"/>
      <w:outlineLvl w:val="0"/>
    </w:pPr>
    <w:rPr>
      <w:b/>
      <w:sz w:val="28"/>
      <w:szCs w:val="20"/>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277"/>
    <w:rPr>
      <w:rFonts w:ascii="Cambria" w:hAnsi="Cambria" w:cs="Times New Roman"/>
      <w:b/>
      <w:bCs/>
      <w:kern w:val="32"/>
      <w:sz w:val="32"/>
      <w:szCs w:val="32"/>
      <w:lang w:eastAsia="en-US"/>
    </w:rPr>
  </w:style>
  <w:style w:type="paragraph" w:styleId="BodyText">
    <w:name w:val="Body Text"/>
    <w:basedOn w:val="Normal"/>
    <w:link w:val="BodyTextChar"/>
    <w:uiPriority w:val="99"/>
    <w:rsid w:val="00233886"/>
    <w:pPr>
      <w:spacing w:after="120" w:line="240" w:lineRule="auto"/>
    </w:pPr>
    <w:rPr>
      <w:szCs w:val="24"/>
      <w:lang w:val="en-GB"/>
    </w:rPr>
  </w:style>
  <w:style w:type="character" w:customStyle="1" w:styleId="BodyTextChar">
    <w:name w:val="Body Text Char"/>
    <w:basedOn w:val="DefaultParagraphFont"/>
    <w:link w:val="BodyText"/>
    <w:uiPriority w:val="99"/>
    <w:semiHidden/>
    <w:locked/>
    <w:rsid w:val="009F4277"/>
    <w:rPr>
      <w:rFonts w:cs="Times New Roman"/>
      <w:sz w:val="24"/>
      <w:lang w:eastAsia="en-US"/>
    </w:rPr>
  </w:style>
  <w:style w:type="character" w:styleId="Hyperlink">
    <w:name w:val="Hyperlink"/>
    <w:basedOn w:val="DefaultParagraphFont"/>
    <w:uiPriority w:val="99"/>
    <w:rsid w:val="00233886"/>
    <w:rPr>
      <w:rFonts w:cs="Times New Roman"/>
      <w:color w:val="0000FF"/>
      <w:u w:val="single"/>
    </w:rPr>
  </w:style>
  <w:style w:type="paragraph" w:styleId="Header">
    <w:name w:val="header"/>
    <w:basedOn w:val="Normal"/>
    <w:link w:val="HeaderChar"/>
    <w:uiPriority w:val="99"/>
    <w:rsid w:val="00E73685"/>
    <w:pPr>
      <w:tabs>
        <w:tab w:val="center" w:pos="4153"/>
        <w:tab w:val="right" w:pos="8306"/>
      </w:tabs>
    </w:pPr>
  </w:style>
  <w:style w:type="character" w:customStyle="1" w:styleId="HeaderChar">
    <w:name w:val="Header Char"/>
    <w:basedOn w:val="DefaultParagraphFont"/>
    <w:link w:val="Header"/>
    <w:uiPriority w:val="99"/>
    <w:semiHidden/>
    <w:locked/>
    <w:rsid w:val="009F4277"/>
    <w:rPr>
      <w:rFonts w:cs="Times New Roman"/>
      <w:sz w:val="24"/>
      <w:lang w:eastAsia="en-US"/>
    </w:rPr>
  </w:style>
  <w:style w:type="paragraph" w:styleId="Footer">
    <w:name w:val="footer"/>
    <w:basedOn w:val="Normal"/>
    <w:link w:val="FooterChar"/>
    <w:uiPriority w:val="99"/>
    <w:rsid w:val="00E73685"/>
    <w:pPr>
      <w:tabs>
        <w:tab w:val="center" w:pos="4153"/>
        <w:tab w:val="right" w:pos="8306"/>
      </w:tabs>
    </w:pPr>
  </w:style>
  <w:style w:type="character" w:customStyle="1" w:styleId="FooterChar">
    <w:name w:val="Footer Char"/>
    <w:basedOn w:val="DefaultParagraphFont"/>
    <w:link w:val="Footer"/>
    <w:uiPriority w:val="99"/>
    <w:semiHidden/>
    <w:locked/>
    <w:rsid w:val="009F4277"/>
    <w:rPr>
      <w:rFonts w:cs="Times New Roman"/>
      <w:sz w:val="24"/>
      <w:lang w:eastAsia="en-US"/>
    </w:rPr>
  </w:style>
  <w:style w:type="character" w:styleId="PageNumber">
    <w:name w:val="page number"/>
    <w:basedOn w:val="DefaultParagraphFont"/>
    <w:uiPriority w:val="99"/>
    <w:rsid w:val="004B7207"/>
    <w:rPr>
      <w:rFonts w:cs="Times New Roman"/>
    </w:rPr>
  </w:style>
  <w:style w:type="paragraph" w:customStyle="1" w:styleId="naisf">
    <w:name w:val="naisf"/>
    <w:basedOn w:val="Normal"/>
    <w:uiPriority w:val="99"/>
    <w:rsid w:val="00BF71AB"/>
    <w:pPr>
      <w:spacing w:before="75" w:after="75" w:line="240" w:lineRule="auto"/>
      <w:ind w:firstLine="375"/>
      <w:jc w:val="both"/>
    </w:pPr>
    <w:rPr>
      <w:szCs w:val="24"/>
      <w:lang w:eastAsia="lv-LV"/>
    </w:rPr>
  </w:style>
  <w:style w:type="paragraph" w:customStyle="1" w:styleId="naispant">
    <w:name w:val="naispant"/>
    <w:basedOn w:val="Normal"/>
    <w:uiPriority w:val="99"/>
    <w:rsid w:val="00BF71AB"/>
    <w:pPr>
      <w:spacing w:before="75" w:after="75" w:line="240" w:lineRule="auto"/>
      <w:ind w:left="375" w:firstLine="375"/>
      <w:jc w:val="both"/>
    </w:pPr>
    <w:rPr>
      <w:b/>
      <w:bCs/>
      <w:szCs w:val="24"/>
      <w:lang w:eastAsia="lv-LV"/>
    </w:rPr>
  </w:style>
  <w:style w:type="character" w:styleId="CommentReference">
    <w:name w:val="annotation reference"/>
    <w:basedOn w:val="DefaultParagraphFont"/>
    <w:uiPriority w:val="99"/>
    <w:rsid w:val="000E3FE7"/>
    <w:rPr>
      <w:rFonts w:cs="Times New Roman"/>
      <w:sz w:val="16"/>
      <w:szCs w:val="16"/>
    </w:rPr>
  </w:style>
  <w:style w:type="paragraph" w:styleId="CommentText">
    <w:name w:val="annotation text"/>
    <w:basedOn w:val="Normal"/>
    <w:link w:val="CommentTextChar"/>
    <w:uiPriority w:val="99"/>
    <w:rsid w:val="000E3FE7"/>
    <w:rPr>
      <w:sz w:val="20"/>
      <w:szCs w:val="20"/>
    </w:rPr>
  </w:style>
  <w:style w:type="character" w:customStyle="1" w:styleId="CommentTextChar">
    <w:name w:val="Comment Text Char"/>
    <w:basedOn w:val="DefaultParagraphFont"/>
    <w:link w:val="CommentText"/>
    <w:uiPriority w:val="99"/>
    <w:locked/>
    <w:rsid w:val="000E3FE7"/>
    <w:rPr>
      <w:rFonts w:eastAsia="Times New Roman" w:cs="Times New Roman"/>
      <w:lang w:eastAsia="en-US"/>
    </w:rPr>
  </w:style>
  <w:style w:type="paragraph" w:styleId="CommentSubject">
    <w:name w:val="annotation subject"/>
    <w:basedOn w:val="CommentText"/>
    <w:next w:val="CommentText"/>
    <w:link w:val="CommentSubjectChar"/>
    <w:uiPriority w:val="99"/>
    <w:rsid w:val="000E3FE7"/>
    <w:rPr>
      <w:b/>
      <w:bCs/>
    </w:rPr>
  </w:style>
  <w:style w:type="character" w:customStyle="1" w:styleId="CommentSubjectChar">
    <w:name w:val="Comment Subject Char"/>
    <w:basedOn w:val="CommentTextChar"/>
    <w:link w:val="CommentSubject"/>
    <w:uiPriority w:val="99"/>
    <w:locked/>
    <w:rsid w:val="000E3FE7"/>
    <w:rPr>
      <w:b/>
      <w:bCs/>
    </w:rPr>
  </w:style>
  <w:style w:type="paragraph" w:styleId="BalloonText">
    <w:name w:val="Balloon Text"/>
    <w:basedOn w:val="Normal"/>
    <w:link w:val="BalloonTextChar"/>
    <w:uiPriority w:val="99"/>
    <w:rsid w:val="000E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E3FE7"/>
    <w:rPr>
      <w:rFonts w:ascii="Tahoma" w:hAnsi="Tahoma" w:cs="Tahoma"/>
      <w:sz w:val="16"/>
      <w:szCs w:val="16"/>
      <w:lang w:eastAsia="en-US"/>
    </w:rPr>
  </w:style>
  <w:style w:type="paragraph" w:customStyle="1" w:styleId="tvhtml">
    <w:name w:val="tv_html"/>
    <w:basedOn w:val="Normal"/>
    <w:uiPriority w:val="99"/>
    <w:rsid w:val="008F36AC"/>
    <w:pPr>
      <w:spacing w:before="100" w:beforeAutospacing="1" w:after="100" w:afterAutospacing="1" w:line="240" w:lineRule="auto"/>
    </w:pPr>
    <w:rPr>
      <w:rFonts w:ascii="Verdana" w:hAnsi="Verdana"/>
      <w:sz w:val="18"/>
      <w:szCs w:val="18"/>
      <w:lang w:eastAsia="lv-LV"/>
    </w:rPr>
  </w:style>
  <w:style w:type="paragraph" w:styleId="ListParagraph">
    <w:name w:val="List Paragraph"/>
    <w:basedOn w:val="Normal"/>
    <w:uiPriority w:val="99"/>
    <w:qFormat/>
    <w:rsid w:val="00CC6919"/>
    <w:pPr>
      <w:ind w:left="720"/>
      <w:contextualSpacing/>
    </w:pPr>
  </w:style>
</w:styles>
</file>

<file path=word/webSettings.xml><?xml version="1.0" encoding="utf-8"?>
<w:webSettings xmlns:r="http://schemas.openxmlformats.org/officeDocument/2006/relationships" xmlns:w="http://schemas.openxmlformats.org/wordprocessingml/2006/main">
  <w:divs>
    <w:div w:id="52701547">
      <w:marLeft w:val="0"/>
      <w:marRight w:val="0"/>
      <w:marTop w:val="0"/>
      <w:marBottom w:val="0"/>
      <w:divBdr>
        <w:top w:val="none" w:sz="0" w:space="0" w:color="auto"/>
        <w:left w:val="none" w:sz="0" w:space="0" w:color="auto"/>
        <w:bottom w:val="none" w:sz="0" w:space="0" w:color="auto"/>
        <w:right w:val="none" w:sz="0" w:space="0" w:color="auto"/>
      </w:divBdr>
    </w:div>
    <w:div w:id="52701548">
      <w:marLeft w:val="0"/>
      <w:marRight w:val="0"/>
      <w:marTop w:val="0"/>
      <w:marBottom w:val="0"/>
      <w:divBdr>
        <w:top w:val="none" w:sz="0" w:space="0" w:color="auto"/>
        <w:left w:val="none" w:sz="0" w:space="0" w:color="auto"/>
        <w:bottom w:val="none" w:sz="0" w:space="0" w:color="auto"/>
        <w:right w:val="none" w:sz="0" w:space="0" w:color="auto"/>
      </w:divBdr>
    </w:div>
    <w:div w:id="52701549">
      <w:marLeft w:val="0"/>
      <w:marRight w:val="0"/>
      <w:marTop w:val="0"/>
      <w:marBottom w:val="0"/>
      <w:divBdr>
        <w:top w:val="none" w:sz="0" w:space="0" w:color="auto"/>
        <w:left w:val="none" w:sz="0" w:space="0" w:color="auto"/>
        <w:bottom w:val="none" w:sz="0" w:space="0" w:color="auto"/>
        <w:right w:val="none" w:sz="0" w:space="0" w:color="auto"/>
      </w:divBdr>
    </w:div>
    <w:div w:id="52701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9</Pages>
  <Words>10220</Words>
  <Characters>5826</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valstij dividendēs izmaksājamo valsts akciju sabiedrības „Ceļu satiksmes drošības direkcija” peļņas daļu””</dc:title>
  <dc:subject>Anotācija</dc:subject>
  <dc:creator>J.Golubevs</dc:creator>
  <cp:keywords/>
  <dc:description>J.Golubevs, 67025701,janis.golubevs@csdd.gov.lv</dc:description>
  <cp:lastModifiedBy>Annija Novikova</cp:lastModifiedBy>
  <cp:revision>18</cp:revision>
  <cp:lastPrinted>2012-08-13T12:01:00Z</cp:lastPrinted>
  <dcterms:created xsi:type="dcterms:W3CDTF">2012-08-10T06:58:00Z</dcterms:created>
  <dcterms:modified xsi:type="dcterms:W3CDTF">2012-08-24T08:31:00Z</dcterms:modified>
</cp:coreProperties>
</file>