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D3" w:rsidRDefault="001D1ED3" w:rsidP="00673259">
      <w:pPr>
        <w:jc w:val="center"/>
        <w:rPr>
          <w:rFonts w:ascii="Times New Roman" w:hAnsi="Times New Roman"/>
          <w:b/>
          <w:sz w:val="28"/>
          <w:szCs w:val="28"/>
        </w:rPr>
      </w:pPr>
      <w:r w:rsidRPr="00446D0F">
        <w:rPr>
          <w:rFonts w:ascii="Times New Roman" w:hAnsi="Times New Roman"/>
          <w:b/>
          <w:sz w:val="28"/>
          <w:szCs w:val="28"/>
        </w:rPr>
        <w:t>Noteikumu</w:t>
      </w:r>
      <w:r>
        <w:rPr>
          <w:rFonts w:ascii="Times New Roman" w:hAnsi="Times New Roman"/>
          <w:b/>
          <w:sz w:val="28"/>
          <w:szCs w:val="28"/>
        </w:rPr>
        <w:t xml:space="preserve"> </w:t>
      </w:r>
      <w:r w:rsidRPr="00446D0F">
        <w:rPr>
          <w:rFonts w:ascii="Times New Roman" w:hAnsi="Times New Roman"/>
          <w:b/>
          <w:sz w:val="28"/>
          <w:szCs w:val="28"/>
        </w:rPr>
        <w:t>projekta „</w:t>
      </w:r>
      <w:r>
        <w:rPr>
          <w:rFonts w:ascii="Times New Roman" w:hAnsi="Times New Roman"/>
          <w:b/>
          <w:sz w:val="28"/>
          <w:szCs w:val="28"/>
        </w:rPr>
        <w:t>Grozījums Ministru kabineta 2006.gada 28.marta noteikumos Nr. 248 „Noteikumi par jūras zvejas kuģu drošību” ”</w:t>
      </w:r>
      <w:r w:rsidRPr="00446D0F">
        <w:rPr>
          <w:rFonts w:ascii="Times New Roman" w:hAnsi="Times New Roman"/>
          <w:b/>
          <w:sz w:val="28"/>
          <w:szCs w:val="28"/>
        </w:rPr>
        <w:t xml:space="preserve"> sākotnējās ietekmes novērtējuma ziņojums (anotācija)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1D1ED3" w:rsidRPr="00555C0E" w:rsidTr="00555C0E">
        <w:tc>
          <w:tcPr>
            <w:tcW w:w="9039" w:type="dxa"/>
            <w:gridSpan w:val="3"/>
          </w:tcPr>
          <w:p w:rsidR="001D1ED3" w:rsidRPr="00555C0E" w:rsidRDefault="001D1ED3" w:rsidP="00555C0E">
            <w:pPr>
              <w:pStyle w:val="ListParagraph"/>
              <w:spacing w:after="0" w:line="240" w:lineRule="auto"/>
              <w:ind w:left="1080"/>
              <w:jc w:val="center"/>
              <w:rPr>
                <w:rFonts w:ascii="Times New Roman" w:hAnsi="Times New Roman"/>
                <w:b/>
                <w:sz w:val="24"/>
                <w:szCs w:val="24"/>
              </w:rPr>
            </w:pPr>
            <w:r w:rsidRPr="00555C0E">
              <w:rPr>
                <w:rFonts w:ascii="Times New Roman" w:hAnsi="Times New Roman"/>
                <w:b/>
                <w:sz w:val="24"/>
                <w:szCs w:val="24"/>
              </w:rPr>
              <w:t>I. Tiesību akta projekta izstrādes nepieciešamība</w:t>
            </w:r>
          </w:p>
        </w:tc>
      </w:tr>
      <w:tr w:rsidR="001D1ED3" w:rsidRPr="00555C0E" w:rsidTr="00555C0E">
        <w:tc>
          <w:tcPr>
            <w:tcW w:w="675"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1.</w:t>
            </w:r>
          </w:p>
        </w:tc>
        <w:tc>
          <w:tcPr>
            <w:tcW w:w="3261"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Pamatojums</w:t>
            </w:r>
          </w:p>
          <w:p w:rsidR="001D1ED3" w:rsidRPr="00555C0E" w:rsidRDefault="001D1ED3" w:rsidP="00555C0E">
            <w:pPr>
              <w:spacing w:after="0" w:line="240" w:lineRule="auto"/>
              <w:rPr>
                <w:rFonts w:ascii="Times New Roman" w:hAnsi="Times New Roman"/>
                <w:sz w:val="24"/>
                <w:szCs w:val="24"/>
              </w:rPr>
            </w:pPr>
          </w:p>
        </w:tc>
        <w:tc>
          <w:tcPr>
            <w:tcW w:w="5103" w:type="dxa"/>
          </w:tcPr>
          <w:p w:rsidR="001D1ED3" w:rsidRPr="00555C0E" w:rsidRDefault="001D1ED3" w:rsidP="00555C0E">
            <w:pPr>
              <w:pStyle w:val="NoSpacing"/>
              <w:jc w:val="both"/>
              <w:rPr>
                <w:rFonts w:ascii="Times New Roman" w:hAnsi="Times New Roman"/>
                <w:sz w:val="24"/>
                <w:szCs w:val="24"/>
              </w:rPr>
            </w:pPr>
            <w:r w:rsidRPr="00555C0E">
              <w:rPr>
                <w:rFonts w:ascii="Times New Roman" w:hAnsi="Times New Roman"/>
                <w:sz w:val="24"/>
                <w:szCs w:val="24"/>
              </w:rPr>
              <w:t>Komisijas 2011.gada 23.februāra Direktīva 2011/15/ES, ar kuru groza Eiropas Parlamenta un Padomes Direktīvu 2002/59/EK, ar ko izveido Kopienas kuģu satiksmes uzraudzības un informācijas sistēmu (Direktīva 2011/15/ES).</w:t>
            </w:r>
          </w:p>
          <w:p w:rsidR="001D1ED3" w:rsidRPr="00555C0E" w:rsidRDefault="001D1ED3" w:rsidP="00555C0E">
            <w:pPr>
              <w:pStyle w:val="NoSpacing"/>
              <w:jc w:val="both"/>
              <w:rPr>
                <w:rFonts w:ascii="Times New Roman" w:hAnsi="Times New Roman"/>
                <w:sz w:val="24"/>
                <w:szCs w:val="24"/>
              </w:rPr>
            </w:pPr>
          </w:p>
        </w:tc>
      </w:tr>
      <w:tr w:rsidR="001D1ED3" w:rsidRPr="00555C0E" w:rsidTr="00555C0E">
        <w:tc>
          <w:tcPr>
            <w:tcW w:w="675"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2.</w:t>
            </w:r>
          </w:p>
        </w:tc>
        <w:tc>
          <w:tcPr>
            <w:tcW w:w="3261"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Pašreizējā situācija un problēmas</w:t>
            </w:r>
          </w:p>
        </w:tc>
        <w:tc>
          <w:tcPr>
            <w:tcW w:w="5103"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2011.gada 23.februārī tika pieņemta Komisijas Direktīva 2011/15/EK, ar kuras I. pielikumu tiek grozīts Direktīvas 2002/59 II. pielikums. Grozītajā pielikumā I. daļa nosaka grafiku, pēc kura zvejas kuģiem, kuru garums pārsniedz 15 metrus, jābūt aprīkotiem ar automātiskās identifikācijas sistēmu (AIS). Taču šīs pašas prasības Ministru kabineta 2006.gada 28.marta noteikumos Nr. 248 „Noteikumi par jūras zvejas kuģu drošību” (turpmāk – spēkā esošie noteikumi) jau ir pārņemtas ar Eiropas Parlamenta un Padomes 2009.gada 23.aprīļa Direktīvas 2009/17/EK, ar kuru groza Direktīvu 2002/59/EK, ar ko izveido Kopienas kuģu satiksmes uzraudzības un informācijas sistēmu, 3.punktu. Līdz ar to spēkā esošie noteikumi tikai jāpapildina ar atsauci uz Direktīvu 2011/15/ES.</w:t>
            </w:r>
          </w:p>
          <w:p w:rsidR="001D1ED3" w:rsidRPr="00555C0E" w:rsidRDefault="001D1ED3" w:rsidP="00555C0E">
            <w:pPr>
              <w:spacing w:after="0" w:line="240" w:lineRule="auto"/>
              <w:jc w:val="both"/>
              <w:rPr>
                <w:rFonts w:ascii="Times New Roman" w:hAnsi="Times New Roman"/>
                <w:sz w:val="24"/>
                <w:szCs w:val="24"/>
              </w:rPr>
            </w:pPr>
          </w:p>
        </w:tc>
      </w:tr>
      <w:tr w:rsidR="001D1ED3" w:rsidRPr="00555C0E" w:rsidTr="00555C0E">
        <w:tc>
          <w:tcPr>
            <w:tcW w:w="675"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 xml:space="preserve">3. </w:t>
            </w:r>
          </w:p>
        </w:tc>
        <w:tc>
          <w:tcPr>
            <w:tcW w:w="3261"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Saistītie politikas ietekmes novērtējumi un pētījumi</w:t>
            </w:r>
          </w:p>
        </w:tc>
        <w:tc>
          <w:tcPr>
            <w:tcW w:w="5103"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Projekts šo jomu neskar.</w:t>
            </w:r>
          </w:p>
        </w:tc>
      </w:tr>
      <w:tr w:rsidR="001D1ED3" w:rsidRPr="00555C0E" w:rsidTr="00555C0E">
        <w:tc>
          <w:tcPr>
            <w:tcW w:w="675"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 xml:space="preserve">4. </w:t>
            </w:r>
          </w:p>
        </w:tc>
        <w:tc>
          <w:tcPr>
            <w:tcW w:w="3261"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Tiesiskā regulējuma mērķis un būtība</w:t>
            </w:r>
          </w:p>
        </w:tc>
        <w:tc>
          <w:tcPr>
            <w:tcW w:w="5103"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Noteikumu projekts papildina spēkā esošos noteikumus ar atsauci uz Direktīvu 2011/15/ES, kuras I. pielikuma I. daļas normas atbilst spēkā esošo noteikumu 1355.punktam.</w:t>
            </w:r>
          </w:p>
          <w:p w:rsidR="001D1ED3" w:rsidRPr="00555C0E" w:rsidRDefault="001D1ED3" w:rsidP="00555C0E">
            <w:pPr>
              <w:spacing w:after="0" w:line="240" w:lineRule="auto"/>
              <w:jc w:val="both"/>
              <w:rPr>
                <w:rFonts w:ascii="Times New Roman" w:hAnsi="Times New Roman"/>
                <w:b/>
                <w:sz w:val="24"/>
                <w:szCs w:val="24"/>
              </w:rPr>
            </w:pPr>
          </w:p>
        </w:tc>
      </w:tr>
      <w:tr w:rsidR="001D1ED3" w:rsidRPr="00555C0E" w:rsidTr="00555C0E">
        <w:tc>
          <w:tcPr>
            <w:tcW w:w="675"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 xml:space="preserve">5. </w:t>
            </w:r>
          </w:p>
        </w:tc>
        <w:tc>
          <w:tcPr>
            <w:tcW w:w="3261"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Projekta izstrādē iesaistītās institūcijas</w:t>
            </w:r>
          </w:p>
        </w:tc>
        <w:tc>
          <w:tcPr>
            <w:tcW w:w="5103"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Valsts akciju sabiedrība „Latvijas Jūras administrācija”.</w:t>
            </w:r>
          </w:p>
          <w:p w:rsidR="001D1ED3" w:rsidRPr="00555C0E" w:rsidRDefault="001D1ED3" w:rsidP="00555C0E">
            <w:pPr>
              <w:spacing w:after="0" w:line="240" w:lineRule="auto"/>
              <w:jc w:val="both"/>
              <w:rPr>
                <w:rFonts w:ascii="Times New Roman" w:hAnsi="Times New Roman"/>
                <w:sz w:val="24"/>
                <w:szCs w:val="24"/>
              </w:rPr>
            </w:pPr>
          </w:p>
        </w:tc>
      </w:tr>
      <w:tr w:rsidR="001D1ED3" w:rsidRPr="00555C0E" w:rsidTr="00555C0E">
        <w:tc>
          <w:tcPr>
            <w:tcW w:w="675"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 xml:space="preserve">6. </w:t>
            </w:r>
          </w:p>
        </w:tc>
        <w:tc>
          <w:tcPr>
            <w:tcW w:w="3261"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Iemesli, kādēļ netika nodrošināta sabiedrības līdzdalība</w:t>
            </w:r>
          </w:p>
        </w:tc>
        <w:tc>
          <w:tcPr>
            <w:tcW w:w="5103"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Projekts šo jomu neskar.</w:t>
            </w:r>
          </w:p>
        </w:tc>
      </w:tr>
      <w:tr w:rsidR="001D1ED3" w:rsidRPr="00555C0E" w:rsidTr="00555C0E">
        <w:tc>
          <w:tcPr>
            <w:tcW w:w="675"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 xml:space="preserve">7. </w:t>
            </w:r>
          </w:p>
        </w:tc>
        <w:tc>
          <w:tcPr>
            <w:tcW w:w="3261"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Cita informācija</w:t>
            </w:r>
          </w:p>
        </w:tc>
        <w:tc>
          <w:tcPr>
            <w:tcW w:w="5103"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Direktīva 2011/15/ES nacionālajos normatīvajos aktos jau ir daļēji pārņemta ar Ministru kabineta 2005.gada 9.augusta noteikumiem Nr. 592 „Kārtība, kādā sniedzami ziņojumi par bīstamām un piesārņojošām kuģu kravām” (notifikācija Valsts izpildes pasākumu informācijas sistēmas datu bāzē veikta 2011.gada 08.septembrī).</w:t>
            </w:r>
          </w:p>
          <w:p w:rsidR="001D1ED3" w:rsidRPr="00555C0E" w:rsidRDefault="001D1ED3" w:rsidP="00555C0E">
            <w:pPr>
              <w:spacing w:after="0" w:line="240" w:lineRule="auto"/>
              <w:jc w:val="both"/>
              <w:rPr>
                <w:rFonts w:ascii="Times New Roman" w:hAnsi="Times New Roman"/>
                <w:sz w:val="24"/>
                <w:szCs w:val="24"/>
              </w:rPr>
            </w:pPr>
          </w:p>
        </w:tc>
      </w:tr>
    </w:tbl>
    <w:tbl>
      <w:tblPr>
        <w:tblpPr w:leftFromText="180" w:rightFromText="180" w:bottomFromText="200"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3118"/>
        <w:gridCol w:w="5197"/>
      </w:tblGrid>
      <w:tr w:rsidR="001D1ED3" w:rsidRPr="00555C0E" w:rsidTr="00526B25">
        <w:tc>
          <w:tcPr>
            <w:tcW w:w="9039" w:type="dxa"/>
            <w:gridSpan w:val="3"/>
          </w:tcPr>
          <w:p w:rsidR="001D1ED3" w:rsidRDefault="001D1ED3" w:rsidP="001E392D">
            <w:pPr>
              <w:pStyle w:val="naisnod"/>
              <w:spacing w:before="0" w:after="0" w:line="276" w:lineRule="auto"/>
            </w:pPr>
            <w:r>
              <w:t>IV. Tiesību akta projekta ietekme uz spēkā esošo tiesību normu sistēmu</w:t>
            </w:r>
          </w:p>
        </w:tc>
      </w:tr>
      <w:tr w:rsidR="001D1ED3" w:rsidRPr="00555C0E" w:rsidTr="00526B25">
        <w:tc>
          <w:tcPr>
            <w:tcW w:w="724" w:type="dxa"/>
          </w:tcPr>
          <w:p w:rsidR="001D1ED3" w:rsidRPr="0059594A" w:rsidRDefault="001D1ED3" w:rsidP="001E392D">
            <w:pPr>
              <w:pStyle w:val="naiskr"/>
              <w:tabs>
                <w:tab w:val="left" w:pos="2628"/>
              </w:tabs>
              <w:spacing w:before="0" w:after="0" w:line="276" w:lineRule="auto"/>
              <w:jc w:val="both"/>
              <w:rPr>
                <w:iCs/>
              </w:rPr>
            </w:pPr>
            <w:r w:rsidRPr="0059594A">
              <w:rPr>
                <w:iCs/>
              </w:rPr>
              <w:t>1.</w:t>
            </w:r>
          </w:p>
        </w:tc>
        <w:tc>
          <w:tcPr>
            <w:tcW w:w="3118" w:type="dxa"/>
          </w:tcPr>
          <w:p w:rsidR="001D1ED3" w:rsidRPr="0059594A" w:rsidRDefault="001D1ED3" w:rsidP="001E392D">
            <w:pPr>
              <w:pStyle w:val="naiskr"/>
              <w:tabs>
                <w:tab w:val="left" w:pos="2628"/>
              </w:tabs>
              <w:spacing w:before="0" w:after="0" w:line="276" w:lineRule="auto"/>
              <w:jc w:val="both"/>
              <w:rPr>
                <w:iCs/>
              </w:rPr>
            </w:pPr>
            <w:r w:rsidRPr="0059594A">
              <w:rPr>
                <w:sz w:val="22"/>
                <w:szCs w:val="22"/>
              </w:rPr>
              <w:t>Nepieciešamie saistītie tiesību aktu projekti</w:t>
            </w:r>
          </w:p>
        </w:tc>
        <w:tc>
          <w:tcPr>
            <w:tcW w:w="5197" w:type="dxa"/>
          </w:tcPr>
          <w:p w:rsidR="001D1ED3" w:rsidRPr="00555C0E" w:rsidRDefault="001D1ED3" w:rsidP="001E392D">
            <w:pPr>
              <w:pStyle w:val="NoSpacing"/>
              <w:jc w:val="both"/>
              <w:rPr>
                <w:rFonts w:ascii="Times New Roman" w:hAnsi="Times New Roman"/>
                <w:sz w:val="24"/>
                <w:szCs w:val="24"/>
              </w:rPr>
            </w:pPr>
            <w:r w:rsidRPr="00555C0E">
              <w:rPr>
                <w:rFonts w:ascii="Times New Roman" w:hAnsi="Times New Roman"/>
                <w:sz w:val="24"/>
                <w:szCs w:val="24"/>
              </w:rPr>
              <w:t>Pilnīgai Direktīvas 2011/15/ES pārņemšanai nepieciešams veikt grozījumus Ministru kabineta 2010.gada 21.decembra noteikumos Nr. 1171 „Noteikumi par Latvijas ūdeņu izmantošanas kārtību un kuģošanas režīmu tajos”. Grozījumi šajos noteikumos izsludināti Valsts sekretāru sanāksmē š.g. 10.novembrī (VSS – 1253). Atbildīgā institūcija par šo grozījumu veikšanu – Satiksmes ministrija.</w:t>
            </w:r>
          </w:p>
          <w:p w:rsidR="001D1ED3" w:rsidRPr="00555C0E" w:rsidRDefault="001D1ED3" w:rsidP="001E392D">
            <w:pPr>
              <w:pStyle w:val="NoSpacing"/>
              <w:jc w:val="both"/>
              <w:rPr>
                <w:rFonts w:ascii="Times New Roman" w:hAnsi="Times New Roman"/>
                <w:color w:val="000000"/>
                <w:sz w:val="24"/>
                <w:szCs w:val="24"/>
              </w:rPr>
            </w:pPr>
          </w:p>
        </w:tc>
      </w:tr>
      <w:tr w:rsidR="001D1ED3" w:rsidRPr="00555C0E" w:rsidTr="00526B25">
        <w:tc>
          <w:tcPr>
            <w:tcW w:w="724" w:type="dxa"/>
          </w:tcPr>
          <w:p w:rsidR="001D1ED3" w:rsidRPr="0059594A" w:rsidRDefault="001D1ED3" w:rsidP="001E392D">
            <w:pPr>
              <w:pStyle w:val="naiskr"/>
              <w:tabs>
                <w:tab w:val="left" w:pos="2628"/>
              </w:tabs>
              <w:spacing w:before="0" w:after="0" w:line="276" w:lineRule="auto"/>
              <w:jc w:val="both"/>
              <w:rPr>
                <w:iCs/>
              </w:rPr>
            </w:pPr>
            <w:r w:rsidRPr="0059594A">
              <w:rPr>
                <w:iCs/>
              </w:rPr>
              <w:t>2.</w:t>
            </w:r>
          </w:p>
        </w:tc>
        <w:tc>
          <w:tcPr>
            <w:tcW w:w="3118" w:type="dxa"/>
          </w:tcPr>
          <w:p w:rsidR="001D1ED3" w:rsidRPr="0059594A" w:rsidRDefault="001D1ED3" w:rsidP="001E392D">
            <w:pPr>
              <w:pStyle w:val="naiskr"/>
              <w:tabs>
                <w:tab w:val="left" w:pos="2628"/>
              </w:tabs>
              <w:spacing w:before="0" w:after="0" w:line="276" w:lineRule="auto"/>
              <w:jc w:val="both"/>
              <w:rPr>
                <w:iCs/>
              </w:rPr>
            </w:pPr>
            <w:r w:rsidRPr="0059594A">
              <w:rPr>
                <w:sz w:val="22"/>
                <w:szCs w:val="22"/>
              </w:rPr>
              <w:t>Cita informācija</w:t>
            </w:r>
          </w:p>
        </w:tc>
        <w:tc>
          <w:tcPr>
            <w:tcW w:w="5197" w:type="dxa"/>
          </w:tcPr>
          <w:p w:rsidR="001D1ED3" w:rsidRPr="0059594A" w:rsidRDefault="001D1ED3" w:rsidP="001E392D">
            <w:pPr>
              <w:pStyle w:val="naiskr"/>
              <w:spacing w:before="0" w:after="0" w:line="276" w:lineRule="auto"/>
              <w:jc w:val="both"/>
              <w:rPr>
                <w:sz w:val="22"/>
                <w:szCs w:val="22"/>
              </w:rPr>
            </w:pPr>
            <w:r w:rsidRPr="0059594A">
              <w:rPr>
                <w:sz w:val="22"/>
                <w:szCs w:val="22"/>
              </w:rPr>
              <w:t>Nav.</w:t>
            </w:r>
          </w:p>
          <w:p w:rsidR="001D1ED3" w:rsidRPr="0059594A" w:rsidRDefault="001D1ED3" w:rsidP="001E392D">
            <w:pPr>
              <w:pStyle w:val="naiskr"/>
              <w:spacing w:before="0" w:after="0" w:line="276" w:lineRule="auto"/>
              <w:jc w:val="both"/>
            </w:pP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02"/>
        <w:gridCol w:w="16"/>
        <w:gridCol w:w="779"/>
        <w:gridCol w:w="1064"/>
        <w:gridCol w:w="512"/>
        <w:gridCol w:w="2489"/>
        <w:gridCol w:w="2102"/>
      </w:tblGrid>
      <w:tr w:rsidR="001D1ED3" w:rsidRPr="00555C0E" w:rsidTr="00555C0E">
        <w:tc>
          <w:tcPr>
            <w:tcW w:w="9039" w:type="dxa"/>
            <w:gridSpan w:val="8"/>
          </w:tcPr>
          <w:p w:rsidR="001D1ED3" w:rsidRPr="00555C0E" w:rsidRDefault="001D1ED3" w:rsidP="00555C0E">
            <w:pPr>
              <w:spacing w:after="0" w:line="240" w:lineRule="auto"/>
              <w:jc w:val="center"/>
              <w:rPr>
                <w:rFonts w:ascii="Times New Roman" w:hAnsi="Times New Roman"/>
                <w:b/>
                <w:sz w:val="24"/>
                <w:szCs w:val="24"/>
              </w:rPr>
            </w:pPr>
            <w:r w:rsidRPr="00555C0E">
              <w:rPr>
                <w:rFonts w:ascii="Times New Roman" w:hAnsi="Times New Roman"/>
                <w:b/>
                <w:sz w:val="24"/>
                <w:szCs w:val="24"/>
              </w:rPr>
              <w:t>V. Tiesību akta projekta atbilstība Latvijas Republikas starptautiskajām saistībām</w:t>
            </w:r>
          </w:p>
        </w:tc>
      </w:tr>
      <w:tr w:rsidR="001D1ED3" w:rsidRPr="00555C0E" w:rsidTr="00555C0E">
        <w:tc>
          <w:tcPr>
            <w:tcW w:w="675" w:type="dxa"/>
          </w:tcPr>
          <w:p w:rsidR="001D1ED3" w:rsidRPr="00555C0E" w:rsidRDefault="001D1ED3" w:rsidP="00555C0E">
            <w:pPr>
              <w:pStyle w:val="ListParagraph"/>
              <w:numPr>
                <w:ilvl w:val="0"/>
                <w:numId w:val="2"/>
              </w:numPr>
              <w:spacing w:after="0" w:line="240" w:lineRule="auto"/>
              <w:jc w:val="center"/>
              <w:rPr>
                <w:rFonts w:ascii="Times New Roman" w:hAnsi="Times New Roman"/>
                <w:b/>
                <w:sz w:val="24"/>
                <w:szCs w:val="24"/>
              </w:rPr>
            </w:pPr>
          </w:p>
        </w:tc>
        <w:tc>
          <w:tcPr>
            <w:tcW w:w="3261" w:type="dxa"/>
            <w:gridSpan w:val="4"/>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Saistības pret Eiropas Savienību</w:t>
            </w:r>
          </w:p>
        </w:tc>
        <w:tc>
          <w:tcPr>
            <w:tcW w:w="5103" w:type="dxa"/>
            <w:gridSpan w:val="3"/>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Komisijas 2011.gada 23.februāra Direktīva 2011/15/ES, ar kuru groza Eiropas Parlamenta un Padomes Direktīvu 2002/59/EK, ar ko izveido Kopienas kuģu satiksmes uzraudzības un informācijas sistēmu (Direktīvas 2011/15/ES prasības jāpārņem līdz 2012.gada 16.martam).</w:t>
            </w:r>
          </w:p>
          <w:p w:rsidR="001D1ED3" w:rsidRPr="00555C0E" w:rsidRDefault="001D1ED3" w:rsidP="00555C0E">
            <w:pPr>
              <w:spacing w:after="0" w:line="240" w:lineRule="auto"/>
              <w:jc w:val="both"/>
              <w:rPr>
                <w:rFonts w:ascii="Times New Roman" w:hAnsi="Times New Roman"/>
                <w:sz w:val="24"/>
                <w:szCs w:val="24"/>
              </w:rPr>
            </w:pPr>
          </w:p>
        </w:tc>
      </w:tr>
      <w:tr w:rsidR="001D1ED3" w:rsidRPr="00555C0E" w:rsidTr="00555C0E">
        <w:tc>
          <w:tcPr>
            <w:tcW w:w="675" w:type="dxa"/>
          </w:tcPr>
          <w:p w:rsidR="001D1ED3" w:rsidRPr="00555C0E" w:rsidRDefault="001D1ED3" w:rsidP="00555C0E">
            <w:pPr>
              <w:pStyle w:val="ListParagraph"/>
              <w:numPr>
                <w:ilvl w:val="0"/>
                <w:numId w:val="2"/>
              </w:numPr>
              <w:spacing w:after="0" w:line="240" w:lineRule="auto"/>
              <w:jc w:val="center"/>
              <w:rPr>
                <w:rFonts w:ascii="Times New Roman" w:hAnsi="Times New Roman"/>
                <w:b/>
                <w:sz w:val="24"/>
                <w:szCs w:val="24"/>
              </w:rPr>
            </w:pPr>
          </w:p>
        </w:tc>
        <w:tc>
          <w:tcPr>
            <w:tcW w:w="3261" w:type="dxa"/>
            <w:gridSpan w:val="4"/>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Citas starptautiskās saistības</w:t>
            </w:r>
          </w:p>
        </w:tc>
        <w:tc>
          <w:tcPr>
            <w:tcW w:w="5103" w:type="dxa"/>
            <w:gridSpan w:val="3"/>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Nav.</w:t>
            </w:r>
          </w:p>
          <w:p w:rsidR="001D1ED3" w:rsidRPr="00555C0E" w:rsidRDefault="001D1ED3" w:rsidP="00555C0E">
            <w:pPr>
              <w:spacing w:after="0" w:line="240" w:lineRule="auto"/>
              <w:jc w:val="both"/>
              <w:rPr>
                <w:rFonts w:ascii="Times New Roman" w:hAnsi="Times New Roman"/>
                <w:sz w:val="24"/>
                <w:szCs w:val="24"/>
              </w:rPr>
            </w:pPr>
          </w:p>
        </w:tc>
      </w:tr>
      <w:tr w:rsidR="001D1ED3" w:rsidRPr="00555C0E" w:rsidTr="00555C0E">
        <w:tc>
          <w:tcPr>
            <w:tcW w:w="675" w:type="dxa"/>
          </w:tcPr>
          <w:p w:rsidR="001D1ED3" w:rsidRPr="00555C0E" w:rsidRDefault="001D1ED3" w:rsidP="00555C0E">
            <w:pPr>
              <w:pStyle w:val="ListParagraph"/>
              <w:numPr>
                <w:ilvl w:val="0"/>
                <w:numId w:val="2"/>
              </w:numPr>
              <w:spacing w:after="0" w:line="240" w:lineRule="auto"/>
              <w:jc w:val="center"/>
              <w:rPr>
                <w:rFonts w:ascii="Times New Roman" w:hAnsi="Times New Roman"/>
                <w:b/>
                <w:sz w:val="24"/>
                <w:szCs w:val="24"/>
              </w:rPr>
            </w:pPr>
          </w:p>
        </w:tc>
        <w:tc>
          <w:tcPr>
            <w:tcW w:w="3261" w:type="dxa"/>
            <w:gridSpan w:val="4"/>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Cita informācija</w:t>
            </w:r>
          </w:p>
        </w:tc>
        <w:tc>
          <w:tcPr>
            <w:tcW w:w="5103" w:type="dxa"/>
            <w:gridSpan w:val="3"/>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Nav.</w:t>
            </w:r>
          </w:p>
          <w:p w:rsidR="001D1ED3" w:rsidRPr="00555C0E" w:rsidRDefault="001D1ED3" w:rsidP="00555C0E">
            <w:pPr>
              <w:spacing w:after="0" w:line="240" w:lineRule="auto"/>
              <w:jc w:val="both"/>
              <w:rPr>
                <w:rFonts w:ascii="Times New Roman" w:hAnsi="Times New Roman"/>
                <w:sz w:val="24"/>
                <w:szCs w:val="24"/>
              </w:rPr>
            </w:pPr>
          </w:p>
        </w:tc>
      </w:tr>
      <w:tr w:rsidR="001D1ED3" w:rsidRPr="00555C0E" w:rsidTr="00555C0E">
        <w:tc>
          <w:tcPr>
            <w:tcW w:w="9039" w:type="dxa"/>
            <w:gridSpan w:val="8"/>
          </w:tcPr>
          <w:p w:rsidR="001D1ED3" w:rsidRPr="00555C0E" w:rsidRDefault="001D1ED3" w:rsidP="00555C0E">
            <w:pPr>
              <w:pStyle w:val="ListParagraph"/>
              <w:numPr>
                <w:ilvl w:val="0"/>
                <w:numId w:val="3"/>
              </w:numPr>
              <w:spacing w:after="0" w:line="240" w:lineRule="auto"/>
              <w:jc w:val="center"/>
              <w:rPr>
                <w:rFonts w:ascii="Times New Roman" w:hAnsi="Times New Roman"/>
                <w:b/>
                <w:sz w:val="24"/>
                <w:szCs w:val="24"/>
              </w:rPr>
            </w:pPr>
            <w:r w:rsidRPr="00555C0E">
              <w:rPr>
                <w:rFonts w:ascii="Times New Roman" w:hAnsi="Times New Roman"/>
                <w:b/>
                <w:sz w:val="24"/>
                <w:szCs w:val="24"/>
              </w:rPr>
              <w:t>tabula</w:t>
            </w:r>
          </w:p>
          <w:p w:rsidR="001D1ED3" w:rsidRPr="00555C0E" w:rsidRDefault="001D1ED3" w:rsidP="00555C0E">
            <w:pPr>
              <w:pStyle w:val="ListParagraph"/>
              <w:spacing w:after="0" w:line="240" w:lineRule="auto"/>
              <w:jc w:val="center"/>
              <w:rPr>
                <w:rFonts w:ascii="Times New Roman" w:hAnsi="Times New Roman"/>
                <w:b/>
                <w:sz w:val="24"/>
                <w:szCs w:val="24"/>
              </w:rPr>
            </w:pPr>
            <w:r w:rsidRPr="00555C0E">
              <w:rPr>
                <w:rFonts w:ascii="Times New Roman" w:hAnsi="Times New Roman"/>
                <w:b/>
                <w:sz w:val="24"/>
                <w:szCs w:val="24"/>
              </w:rPr>
              <w:t>Tiesību akta projekta atbilstība ES tiesību aktiem</w:t>
            </w:r>
          </w:p>
        </w:tc>
      </w:tr>
      <w:tr w:rsidR="001D1ED3" w:rsidRPr="00555C0E" w:rsidTr="00555C0E">
        <w:tc>
          <w:tcPr>
            <w:tcW w:w="2872" w:type="dxa"/>
            <w:gridSpan w:val="4"/>
          </w:tcPr>
          <w:p w:rsidR="001D1ED3" w:rsidRPr="00555C0E" w:rsidRDefault="001D1ED3" w:rsidP="00555C0E">
            <w:pPr>
              <w:spacing w:after="0" w:line="240" w:lineRule="auto"/>
              <w:jc w:val="center"/>
              <w:rPr>
                <w:rFonts w:ascii="Times New Roman" w:hAnsi="Times New Roman"/>
                <w:sz w:val="24"/>
                <w:szCs w:val="24"/>
              </w:rPr>
            </w:pPr>
            <w:r w:rsidRPr="00555C0E">
              <w:rPr>
                <w:rFonts w:ascii="Times New Roman" w:hAnsi="Times New Roman"/>
                <w:sz w:val="24"/>
                <w:szCs w:val="24"/>
              </w:rPr>
              <w:t>Attiecīgā ES tiesību akta datums, numurs un nosaukums</w:t>
            </w:r>
          </w:p>
        </w:tc>
        <w:tc>
          <w:tcPr>
            <w:tcW w:w="6167" w:type="dxa"/>
            <w:gridSpan w:val="4"/>
          </w:tcPr>
          <w:p w:rsidR="001D1ED3" w:rsidRPr="00555C0E" w:rsidRDefault="001D1ED3" w:rsidP="00555C0E">
            <w:pPr>
              <w:spacing w:after="0" w:line="240" w:lineRule="auto"/>
              <w:jc w:val="both"/>
              <w:rPr>
                <w:rFonts w:ascii="Times New Roman" w:hAnsi="Times New Roman"/>
                <w:b/>
                <w:sz w:val="24"/>
                <w:szCs w:val="24"/>
              </w:rPr>
            </w:pPr>
            <w:r w:rsidRPr="00555C0E">
              <w:rPr>
                <w:rFonts w:ascii="Times New Roman" w:hAnsi="Times New Roman"/>
                <w:b/>
                <w:sz w:val="24"/>
                <w:szCs w:val="24"/>
              </w:rPr>
              <w:t>Komisijas 2011.gada 23.februāra Direktīva 2011/15/ES, ar kuru groza Eiropas Parlamenta un Padomes Direktīvu 2002/59/EK, ar ko izveido Kopienas kuģu satiksmes uzraudzības un informācijas sistēmu (Direktīva 2011/15/ES).</w:t>
            </w:r>
          </w:p>
        </w:tc>
      </w:tr>
      <w:tr w:rsidR="001D1ED3" w:rsidRPr="00555C0E" w:rsidTr="00555C0E">
        <w:tc>
          <w:tcPr>
            <w:tcW w:w="2077" w:type="dxa"/>
            <w:gridSpan w:val="2"/>
          </w:tcPr>
          <w:p w:rsidR="001D1ED3" w:rsidRPr="00555C0E" w:rsidRDefault="001D1ED3" w:rsidP="00555C0E">
            <w:pPr>
              <w:spacing w:after="0" w:line="240" w:lineRule="auto"/>
              <w:jc w:val="center"/>
              <w:rPr>
                <w:rFonts w:ascii="Times New Roman" w:hAnsi="Times New Roman"/>
                <w:sz w:val="28"/>
                <w:szCs w:val="28"/>
              </w:rPr>
            </w:pPr>
            <w:r w:rsidRPr="00555C0E">
              <w:rPr>
                <w:rFonts w:ascii="Times New Roman" w:hAnsi="Times New Roman"/>
                <w:sz w:val="28"/>
                <w:szCs w:val="28"/>
              </w:rPr>
              <w:t>A</w:t>
            </w:r>
          </w:p>
        </w:tc>
        <w:tc>
          <w:tcPr>
            <w:tcW w:w="2371" w:type="dxa"/>
            <w:gridSpan w:val="4"/>
          </w:tcPr>
          <w:p w:rsidR="001D1ED3" w:rsidRPr="00555C0E" w:rsidRDefault="001D1ED3" w:rsidP="00555C0E">
            <w:pPr>
              <w:spacing w:after="0" w:line="240" w:lineRule="auto"/>
              <w:jc w:val="center"/>
              <w:rPr>
                <w:rFonts w:ascii="Times New Roman" w:hAnsi="Times New Roman"/>
                <w:sz w:val="28"/>
                <w:szCs w:val="28"/>
              </w:rPr>
            </w:pPr>
            <w:r w:rsidRPr="00555C0E">
              <w:rPr>
                <w:rFonts w:ascii="Times New Roman" w:hAnsi="Times New Roman"/>
                <w:sz w:val="28"/>
                <w:szCs w:val="28"/>
              </w:rPr>
              <w:t>B</w:t>
            </w:r>
          </w:p>
        </w:tc>
        <w:tc>
          <w:tcPr>
            <w:tcW w:w="2489" w:type="dxa"/>
          </w:tcPr>
          <w:p w:rsidR="001D1ED3" w:rsidRPr="00555C0E" w:rsidRDefault="001D1ED3" w:rsidP="00555C0E">
            <w:pPr>
              <w:spacing w:after="0" w:line="240" w:lineRule="auto"/>
              <w:jc w:val="center"/>
              <w:rPr>
                <w:rFonts w:ascii="Times New Roman" w:hAnsi="Times New Roman"/>
                <w:sz w:val="28"/>
                <w:szCs w:val="28"/>
              </w:rPr>
            </w:pPr>
            <w:r w:rsidRPr="00555C0E">
              <w:rPr>
                <w:rFonts w:ascii="Times New Roman" w:hAnsi="Times New Roman"/>
                <w:sz w:val="28"/>
                <w:szCs w:val="28"/>
              </w:rPr>
              <w:t>C</w:t>
            </w:r>
          </w:p>
        </w:tc>
        <w:tc>
          <w:tcPr>
            <w:tcW w:w="2102" w:type="dxa"/>
          </w:tcPr>
          <w:p w:rsidR="001D1ED3" w:rsidRPr="00555C0E" w:rsidRDefault="001D1ED3" w:rsidP="00555C0E">
            <w:pPr>
              <w:spacing w:after="0" w:line="240" w:lineRule="auto"/>
              <w:jc w:val="center"/>
              <w:rPr>
                <w:rFonts w:ascii="Times New Roman" w:hAnsi="Times New Roman"/>
                <w:sz w:val="28"/>
                <w:szCs w:val="28"/>
              </w:rPr>
            </w:pPr>
            <w:r w:rsidRPr="00555C0E">
              <w:rPr>
                <w:rFonts w:ascii="Times New Roman" w:hAnsi="Times New Roman"/>
                <w:sz w:val="28"/>
                <w:szCs w:val="28"/>
              </w:rPr>
              <w:t>D</w:t>
            </w:r>
          </w:p>
        </w:tc>
      </w:tr>
      <w:tr w:rsidR="001D1ED3" w:rsidRPr="00555C0E" w:rsidTr="00555C0E">
        <w:tc>
          <w:tcPr>
            <w:tcW w:w="2077" w:type="dxa"/>
            <w:gridSpan w:val="2"/>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Attiecīgā ES tiesību akta panta numurs (uzskaitot katru tiesību akta vienību – pantu, daļu, punktu, apakšpunktu)</w:t>
            </w:r>
          </w:p>
        </w:tc>
        <w:tc>
          <w:tcPr>
            <w:tcW w:w="2371" w:type="dxa"/>
            <w:gridSpan w:val="4"/>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489"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Informācija par to, vai šīs tabulas A ailē minētās ES tiesību akta vienības tiek pārņemtas vai ieviestas pilnībā vai daļēji.</w:t>
            </w:r>
          </w:p>
          <w:p w:rsidR="001D1ED3" w:rsidRPr="00555C0E" w:rsidRDefault="001D1ED3" w:rsidP="00555C0E">
            <w:pPr>
              <w:spacing w:after="0" w:line="240" w:lineRule="auto"/>
              <w:jc w:val="both"/>
              <w:rPr>
                <w:rFonts w:ascii="Times New Roman" w:hAnsi="Times New Roman"/>
                <w:sz w:val="24"/>
                <w:szCs w:val="24"/>
              </w:rPr>
            </w:pP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Norāda institūciju, kas ir atbildīga par šo saistību izpildi pilnībā</w:t>
            </w:r>
          </w:p>
        </w:tc>
        <w:tc>
          <w:tcPr>
            <w:tcW w:w="2102"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Informācija par to, vai šīs tabulas B ailē minētās projekta vienības paredz stingrākas prasības nekā šīs tabulas A ailē minētās ES tiesību akta vienības.</w:t>
            </w:r>
          </w:p>
          <w:p w:rsidR="001D1ED3" w:rsidRPr="00555C0E" w:rsidRDefault="001D1ED3" w:rsidP="00555C0E">
            <w:pPr>
              <w:spacing w:after="0" w:line="240" w:lineRule="auto"/>
              <w:jc w:val="both"/>
              <w:rPr>
                <w:rFonts w:ascii="Times New Roman" w:hAnsi="Times New Roman"/>
                <w:sz w:val="24"/>
                <w:szCs w:val="24"/>
              </w:rPr>
            </w:pP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Ja projekts satur stingrākas prasības nekā attiecīgais ES tiesību akts, norāda pamatojumu un samērīgumu.</w:t>
            </w:r>
          </w:p>
          <w:p w:rsidR="001D1ED3" w:rsidRPr="00555C0E" w:rsidRDefault="001D1ED3" w:rsidP="00555C0E">
            <w:pPr>
              <w:spacing w:after="0" w:line="240" w:lineRule="auto"/>
              <w:jc w:val="both"/>
              <w:rPr>
                <w:rFonts w:ascii="Times New Roman" w:hAnsi="Times New Roman"/>
                <w:sz w:val="24"/>
                <w:szCs w:val="24"/>
              </w:rPr>
            </w:pP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D1ED3" w:rsidRPr="00555C0E" w:rsidTr="00555C0E">
        <w:tc>
          <w:tcPr>
            <w:tcW w:w="2077" w:type="dxa"/>
            <w:gridSpan w:val="2"/>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Direktīvas 2011/15/ES</w:t>
            </w: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1.panta 1.punkts.</w:t>
            </w:r>
          </w:p>
          <w:p w:rsidR="001D1ED3" w:rsidRPr="00555C0E" w:rsidRDefault="001D1ED3" w:rsidP="00555C0E">
            <w:pPr>
              <w:spacing w:after="0" w:line="240" w:lineRule="auto"/>
              <w:jc w:val="both"/>
              <w:rPr>
                <w:rFonts w:ascii="Times New Roman" w:hAnsi="Times New Roman"/>
                <w:sz w:val="24"/>
                <w:szCs w:val="24"/>
              </w:rPr>
            </w:pPr>
          </w:p>
        </w:tc>
        <w:tc>
          <w:tcPr>
            <w:tcW w:w="2371" w:type="dxa"/>
            <w:gridSpan w:val="4"/>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Ministru kabineta 2005.gada 9.augusta noteikumu Nr. 592 „Kārtība, kādā sniedzami ziņojumi par bīstamām un piesārņojošām kuģu kravām” 6.2.apakšpunkts.</w:t>
            </w:r>
          </w:p>
          <w:p w:rsidR="001D1ED3" w:rsidRPr="00555C0E" w:rsidRDefault="001D1ED3" w:rsidP="00555C0E">
            <w:pPr>
              <w:spacing w:after="0" w:line="240" w:lineRule="auto"/>
              <w:jc w:val="both"/>
              <w:rPr>
                <w:rFonts w:ascii="Times New Roman" w:hAnsi="Times New Roman"/>
                <w:sz w:val="24"/>
                <w:szCs w:val="24"/>
              </w:rPr>
            </w:pPr>
          </w:p>
        </w:tc>
        <w:tc>
          <w:tcPr>
            <w:tcW w:w="2489"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Direktīvas 2011/15/ES 1.panta 1.punkts pārņemts pilnībā.</w:t>
            </w:r>
          </w:p>
        </w:tc>
        <w:tc>
          <w:tcPr>
            <w:tcW w:w="2102"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Projekts stingrākas prasības neparedz.</w:t>
            </w:r>
          </w:p>
        </w:tc>
      </w:tr>
      <w:tr w:rsidR="001D1ED3" w:rsidRPr="00555C0E" w:rsidTr="00555C0E">
        <w:tc>
          <w:tcPr>
            <w:tcW w:w="2077" w:type="dxa"/>
            <w:gridSpan w:val="2"/>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Direktīvas 2011/15/ES 1.panta</w:t>
            </w:r>
          </w:p>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2.punkts un I. pielikuma I. daļa</w:t>
            </w:r>
          </w:p>
          <w:p w:rsidR="001D1ED3" w:rsidRPr="00555C0E" w:rsidRDefault="001D1ED3" w:rsidP="00555C0E">
            <w:pPr>
              <w:spacing w:after="0" w:line="240" w:lineRule="auto"/>
              <w:rPr>
                <w:rFonts w:ascii="Times New Roman" w:hAnsi="Times New Roman"/>
                <w:sz w:val="24"/>
                <w:szCs w:val="24"/>
              </w:rPr>
            </w:pPr>
          </w:p>
        </w:tc>
        <w:tc>
          <w:tcPr>
            <w:tcW w:w="2371" w:type="dxa"/>
            <w:gridSpan w:val="4"/>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Spēkā esošo noteikumu 1355.punkts.</w:t>
            </w:r>
          </w:p>
        </w:tc>
        <w:tc>
          <w:tcPr>
            <w:tcW w:w="2489"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Direktīvas 2011/15/ES 1.panta 2.punkts un I. pielikuma I. daļa</w:t>
            </w: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pārņemta pilnībā</w:t>
            </w:r>
          </w:p>
        </w:tc>
        <w:tc>
          <w:tcPr>
            <w:tcW w:w="2102"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Projekts stingrākas prasības neparedz.</w:t>
            </w:r>
          </w:p>
        </w:tc>
      </w:tr>
      <w:tr w:rsidR="001D1ED3" w:rsidRPr="00555C0E" w:rsidTr="00555C0E">
        <w:tc>
          <w:tcPr>
            <w:tcW w:w="2077" w:type="dxa"/>
            <w:gridSpan w:val="2"/>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Direktīvas 2011/15/ES 1.panta</w:t>
            </w:r>
          </w:p>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2.punkts un I. pielikuma II, III un IV daļa</w:t>
            </w:r>
          </w:p>
        </w:tc>
        <w:tc>
          <w:tcPr>
            <w:tcW w:w="2371" w:type="dxa"/>
            <w:gridSpan w:val="4"/>
          </w:tcPr>
          <w:p w:rsidR="001D1ED3" w:rsidRPr="00555C0E" w:rsidRDefault="001D1ED3" w:rsidP="00555C0E">
            <w:pPr>
              <w:spacing w:after="0" w:line="240" w:lineRule="auto"/>
              <w:jc w:val="both"/>
              <w:rPr>
                <w:rFonts w:ascii="Times New Roman" w:hAnsi="Times New Roman"/>
                <w:sz w:val="24"/>
                <w:szCs w:val="24"/>
                <w:lang w:eastAsia="lv-LV"/>
              </w:rPr>
            </w:pPr>
            <w:r w:rsidRPr="00555C0E">
              <w:rPr>
                <w:rFonts w:ascii="Times New Roman" w:hAnsi="Times New Roman"/>
                <w:sz w:val="24"/>
                <w:szCs w:val="24"/>
              </w:rPr>
              <w:t>Tiks pārņemti ar grozījumiem Ministru kabineta 2010.gada 21.decembra noteikumos Nr. 1171 „</w:t>
            </w:r>
            <w:r w:rsidRPr="00555C0E">
              <w:rPr>
                <w:rFonts w:ascii="Times New Roman" w:hAnsi="Times New Roman"/>
                <w:sz w:val="24"/>
                <w:szCs w:val="24"/>
                <w:lang w:eastAsia="lv-LV"/>
              </w:rPr>
              <w:t>Noteikumi par Latvijas ūdeņu izmantošanas kārtību un kuģošanas režīmu tajos”.</w:t>
            </w:r>
          </w:p>
          <w:p w:rsidR="001D1ED3" w:rsidRPr="00555C0E" w:rsidRDefault="001D1ED3" w:rsidP="00555C0E">
            <w:pPr>
              <w:spacing w:after="0" w:line="240" w:lineRule="auto"/>
              <w:jc w:val="both"/>
              <w:rPr>
                <w:rFonts w:ascii="Times New Roman" w:hAnsi="Times New Roman"/>
                <w:sz w:val="24"/>
                <w:szCs w:val="24"/>
              </w:rPr>
            </w:pPr>
          </w:p>
        </w:tc>
        <w:tc>
          <w:tcPr>
            <w:tcW w:w="2489"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Direktīvas 2011/15/ES 1.panta</w:t>
            </w: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2.punkts un I. pielikuma II, III un IV daļa tiks pārņemta pilnībā.</w:t>
            </w:r>
          </w:p>
          <w:p w:rsidR="001D1ED3" w:rsidRPr="00555C0E" w:rsidRDefault="001D1ED3" w:rsidP="00555C0E">
            <w:pPr>
              <w:spacing w:after="0" w:line="240" w:lineRule="auto"/>
              <w:jc w:val="both"/>
              <w:rPr>
                <w:rFonts w:ascii="Times New Roman" w:hAnsi="Times New Roman"/>
                <w:sz w:val="24"/>
                <w:szCs w:val="24"/>
              </w:rPr>
            </w:pP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Noteikumu grozījumu projekts izsludināts Valsts sekretāru sanāksmē š.g. 10.novembrī (VSS – 1253).</w:t>
            </w: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Atbildīgā institūcija– Satiksmes ministrija.</w:t>
            </w:r>
          </w:p>
          <w:p w:rsidR="001D1ED3" w:rsidRPr="00555C0E" w:rsidRDefault="001D1ED3" w:rsidP="00555C0E">
            <w:pPr>
              <w:spacing w:after="0" w:line="240" w:lineRule="auto"/>
              <w:jc w:val="both"/>
              <w:rPr>
                <w:rFonts w:ascii="Times New Roman" w:hAnsi="Times New Roman"/>
                <w:sz w:val="24"/>
                <w:szCs w:val="24"/>
              </w:rPr>
            </w:pPr>
          </w:p>
        </w:tc>
        <w:tc>
          <w:tcPr>
            <w:tcW w:w="2102"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Projekts stingrākas prasības neparedz</w:t>
            </w:r>
          </w:p>
        </w:tc>
      </w:tr>
      <w:tr w:rsidR="001D1ED3" w:rsidRPr="00555C0E" w:rsidTr="00555C0E">
        <w:tc>
          <w:tcPr>
            <w:tcW w:w="2077" w:type="dxa"/>
            <w:gridSpan w:val="2"/>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Direktīvas 2011/15/ES</w:t>
            </w:r>
          </w:p>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1.panta</w:t>
            </w:r>
          </w:p>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3.punkts un II pielikums</w:t>
            </w:r>
          </w:p>
        </w:tc>
        <w:tc>
          <w:tcPr>
            <w:tcW w:w="2371" w:type="dxa"/>
            <w:gridSpan w:val="4"/>
          </w:tcPr>
          <w:p w:rsidR="001D1ED3" w:rsidRPr="00555C0E" w:rsidRDefault="001D1ED3" w:rsidP="00555C0E">
            <w:pPr>
              <w:spacing w:after="0" w:line="240" w:lineRule="auto"/>
              <w:jc w:val="both"/>
              <w:rPr>
                <w:rFonts w:ascii="Times New Roman" w:hAnsi="Times New Roman"/>
                <w:sz w:val="24"/>
                <w:szCs w:val="24"/>
                <w:lang w:eastAsia="lv-LV"/>
              </w:rPr>
            </w:pPr>
            <w:r w:rsidRPr="00555C0E">
              <w:rPr>
                <w:rFonts w:ascii="Times New Roman" w:hAnsi="Times New Roman"/>
                <w:sz w:val="24"/>
                <w:szCs w:val="24"/>
              </w:rPr>
              <w:t>Tiks pārņemti ar grozījumiem Ministru kabineta 2010.gada 21.decembra noteikumos Nr. 1171 „</w:t>
            </w:r>
            <w:r w:rsidRPr="00555C0E">
              <w:rPr>
                <w:rFonts w:ascii="Times New Roman" w:hAnsi="Times New Roman"/>
                <w:sz w:val="24"/>
                <w:szCs w:val="24"/>
                <w:lang w:eastAsia="lv-LV"/>
              </w:rPr>
              <w:t>Noteikumi par Latvijas ūdeņu izmantošanas kārtību un kuģošanas režīmu tajos”.</w:t>
            </w:r>
          </w:p>
          <w:p w:rsidR="001D1ED3" w:rsidRPr="00555C0E" w:rsidRDefault="001D1ED3" w:rsidP="00555C0E">
            <w:pPr>
              <w:spacing w:after="0" w:line="240" w:lineRule="auto"/>
              <w:jc w:val="both"/>
              <w:rPr>
                <w:rFonts w:ascii="Times New Roman" w:hAnsi="Times New Roman"/>
                <w:sz w:val="24"/>
                <w:szCs w:val="24"/>
              </w:rPr>
            </w:pPr>
          </w:p>
        </w:tc>
        <w:tc>
          <w:tcPr>
            <w:tcW w:w="2489" w:type="dxa"/>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Direktīvas 2011/15/ES</w:t>
            </w:r>
          </w:p>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1.panta</w:t>
            </w: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3.punkts un II pielikums tiks pārņemts pilnībā</w:t>
            </w:r>
          </w:p>
          <w:p w:rsidR="001D1ED3" w:rsidRPr="00555C0E" w:rsidRDefault="001D1ED3" w:rsidP="00555C0E">
            <w:pPr>
              <w:spacing w:after="0" w:line="240" w:lineRule="auto"/>
              <w:jc w:val="both"/>
              <w:rPr>
                <w:rFonts w:ascii="Times New Roman" w:hAnsi="Times New Roman"/>
                <w:sz w:val="24"/>
                <w:szCs w:val="24"/>
              </w:rPr>
            </w:pP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Noteikumu grozījumu projekts izsludināts Valsts sekretāru sanāksmē š.g. 10.novembrī (VSS – 1253).</w:t>
            </w: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Atbildīgā institūcija– Satiksmes ministrija.</w:t>
            </w:r>
          </w:p>
          <w:p w:rsidR="001D1ED3" w:rsidRPr="00555C0E" w:rsidRDefault="001D1ED3" w:rsidP="00555C0E">
            <w:pPr>
              <w:spacing w:after="0" w:line="240" w:lineRule="auto"/>
              <w:jc w:val="both"/>
              <w:rPr>
                <w:rFonts w:ascii="Times New Roman" w:hAnsi="Times New Roman"/>
                <w:sz w:val="24"/>
                <w:szCs w:val="24"/>
              </w:rPr>
            </w:pPr>
          </w:p>
        </w:tc>
        <w:tc>
          <w:tcPr>
            <w:tcW w:w="2102" w:type="dxa"/>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Projekts stingrākas prasības neparedz.</w:t>
            </w:r>
          </w:p>
        </w:tc>
      </w:tr>
      <w:tr w:rsidR="001D1ED3" w:rsidRPr="00555C0E" w:rsidTr="00555C0E">
        <w:tc>
          <w:tcPr>
            <w:tcW w:w="2077" w:type="dxa"/>
            <w:gridSpan w:val="2"/>
          </w:tcPr>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Direktīvas 2011/15/ES</w:t>
            </w:r>
          </w:p>
          <w:p w:rsidR="001D1ED3" w:rsidRPr="00555C0E" w:rsidRDefault="001D1ED3" w:rsidP="00555C0E">
            <w:pPr>
              <w:spacing w:after="0" w:line="240" w:lineRule="auto"/>
              <w:rPr>
                <w:rFonts w:ascii="Times New Roman" w:hAnsi="Times New Roman"/>
                <w:sz w:val="24"/>
                <w:szCs w:val="24"/>
              </w:rPr>
            </w:pPr>
            <w:r w:rsidRPr="00555C0E">
              <w:rPr>
                <w:rFonts w:ascii="Times New Roman" w:hAnsi="Times New Roman"/>
                <w:sz w:val="24"/>
                <w:szCs w:val="24"/>
              </w:rPr>
              <w:t>2.-4. pants</w:t>
            </w:r>
          </w:p>
          <w:p w:rsidR="001D1ED3" w:rsidRPr="00555C0E" w:rsidRDefault="001D1ED3" w:rsidP="00555C0E">
            <w:pPr>
              <w:spacing w:after="0" w:line="240" w:lineRule="auto"/>
              <w:rPr>
                <w:rFonts w:ascii="Times New Roman" w:hAnsi="Times New Roman"/>
                <w:sz w:val="24"/>
                <w:szCs w:val="24"/>
              </w:rPr>
            </w:pPr>
          </w:p>
        </w:tc>
        <w:tc>
          <w:tcPr>
            <w:tcW w:w="2371" w:type="dxa"/>
            <w:gridSpan w:val="4"/>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Nav jāpārņem.</w:t>
            </w:r>
          </w:p>
        </w:tc>
        <w:tc>
          <w:tcPr>
            <w:tcW w:w="2489" w:type="dxa"/>
          </w:tcPr>
          <w:p w:rsidR="001D1ED3" w:rsidRPr="00555C0E" w:rsidRDefault="001D1ED3" w:rsidP="00555C0E">
            <w:pPr>
              <w:spacing w:after="0" w:line="240" w:lineRule="auto"/>
              <w:jc w:val="both"/>
              <w:rPr>
                <w:rFonts w:ascii="Times New Roman" w:hAnsi="Times New Roman"/>
                <w:sz w:val="24"/>
                <w:szCs w:val="24"/>
              </w:rPr>
            </w:pPr>
          </w:p>
        </w:tc>
        <w:tc>
          <w:tcPr>
            <w:tcW w:w="2102" w:type="dxa"/>
          </w:tcPr>
          <w:p w:rsidR="001D1ED3" w:rsidRPr="00555C0E" w:rsidRDefault="001D1ED3" w:rsidP="00555C0E">
            <w:pPr>
              <w:spacing w:after="0" w:line="240" w:lineRule="auto"/>
              <w:jc w:val="both"/>
              <w:rPr>
                <w:rFonts w:ascii="Times New Roman" w:hAnsi="Times New Roman"/>
                <w:sz w:val="24"/>
                <w:szCs w:val="24"/>
              </w:rPr>
            </w:pPr>
          </w:p>
        </w:tc>
      </w:tr>
      <w:tr w:rsidR="001D1ED3" w:rsidRPr="00555C0E" w:rsidTr="00555C0E">
        <w:tc>
          <w:tcPr>
            <w:tcW w:w="2093" w:type="dxa"/>
            <w:gridSpan w:val="3"/>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Kā ir izmantota ES tiesību aktā paredzētā rīcības brīvība dalībvalstij pārņemt vai ieviest noteiktas ES tiesību akta normas?</w:t>
            </w:r>
          </w:p>
          <w:p w:rsidR="001D1ED3" w:rsidRPr="00555C0E" w:rsidRDefault="001D1ED3" w:rsidP="00555C0E">
            <w:pPr>
              <w:spacing w:after="0" w:line="240" w:lineRule="auto"/>
              <w:jc w:val="both"/>
              <w:rPr>
                <w:rFonts w:ascii="Times New Roman" w:hAnsi="Times New Roman"/>
                <w:sz w:val="24"/>
                <w:szCs w:val="24"/>
              </w:rPr>
            </w:pPr>
          </w:p>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Kādēļ?</w:t>
            </w:r>
          </w:p>
          <w:p w:rsidR="001D1ED3" w:rsidRPr="00555C0E" w:rsidRDefault="001D1ED3" w:rsidP="00555C0E">
            <w:pPr>
              <w:spacing w:after="0" w:line="240" w:lineRule="auto"/>
              <w:jc w:val="both"/>
              <w:rPr>
                <w:rFonts w:ascii="Times New Roman" w:hAnsi="Times New Roman"/>
                <w:sz w:val="24"/>
                <w:szCs w:val="24"/>
              </w:rPr>
            </w:pPr>
          </w:p>
        </w:tc>
        <w:tc>
          <w:tcPr>
            <w:tcW w:w="6946" w:type="dxa"/>
            <w:gridSpan w:val="5"/>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Projekts šo jomu neskar.</w:t>
            </w:r>
          </w:p>
        </w:tc>
      </w:tr>
      <w:tr w:rsidR="001D1ED3" w:rsidRPr="00555C0E" w:rsidTr="00555C0E">
        <w:tc>
          <w:tcPr>
            <w:tcW w:w="2093" w:type="dxa"/>
            <w:gridSpan w:val="3"/>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6" w:type="dxa"/>
            <w:gridSpan w:val="5"/>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Projekts šo jomu neskar.</w:t>
            </w:r>
          </w:p>
        </w:tc>
      </w:tr>
      <w:tr w:rsidR="001D1ED3" w:rsidRPr="00555C0E" w:rsidTr="00555C0E">
        <w:tc>
          <w:tcPr>
            <w:tcW w:w="2093" w:type="dxa"/>
            <w:gridSpan w:val="3"/>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Cita informācija</w:t>
            </w:r>
          </w:p>
          <w:p w:rsidR="001D1ED3" w:rsidRPr="00555C0E" w:rsidRDefault="001D1ED3" w:rsidP="00555C0E">
            <w:pPr>
              <w:spacing w:after="0" w:line="240" w:lineRule="auto"/>
              <w:jc w:val="both"/>
              <w:rPr>
                <w:rFonts w:ascii="Times New Roman" w:hAnsi="Times New Roman"/>
                <w:sz w:val="24"/>
                <w:szCs w:val="24"/>
              </w:rPr>
            </w:pPr>
          </w:p>
        </w:tc>
        <w:tc>
          <w:tcPr>
            <w:tcW w:w="6946" w:type="dxa"/>
            <w:gridSpan w:val="5"/>
          </w:tcPr>
          <w:p w:rsidR="001D1ED3" w:rsidRPr="00555C0E" w:rsidRDefault="001D1ED3" w:rsidP="00555C0E">
            <w:pPr>
              <w:spacing w:after="0" w:line="240" w:lineRule="auto"/>
              <w:jc w:val="both"/>
              <w:rPr>
                <w:rFonts w:ascii="Times New Roman" w:hAnsi="Times New Roman"/>
                <w:sz w:val="24"/>
                <w:szCs w:val="24"/>
              </w:rPr>
            </w:pPr>
            <w:r w:rsidRPr="00555C0E">
              <w:rPr>
                <w:rFonts w:ascii="Times New Roman" w:hAnsi="Times New Roman"/>
                <w:sz w:val="24"/>
                <w:szCs w:val="24"/>
              </w:rPr>
              <w:t>Nav.</w:t>
            </w:r>
          </w:p>
        </w:tc>
      </w:tr>
    </w:tbl>
    <w:p w:rsidR="001D1ED3" w:rsidRDefault="001D1ED3" w:rsidP="00673259">
      <w:pPr>
        <w:rPr>
          <w:rFonts w:ascii="Times New Roman" w:hAnsi="Times New Roman"/>
          <w:i/>
          <w:sz w:val="24"/>
          <w:szCs w:val="24"/>
        </w:rPr>
      </w:pPr>
    </w:p>
    <w:p w:rsidR="001D1ED3" w:rsidRPr="0050149F" w:rsidRDefault="001D1ED3" w:rsidP="00673259">
      <w:pPr>
        <w:rPr>
          <w:rFonts w:ascii="Times New Roman" w:hAnsi="Times New Roman"/>
          <w:sz w:val="24"/>
          <w:szCs w:val="24"/>
        </w:rPr>
      </w:pPr>
      <w:r w:rsidRPr="0050149F">
        <w:rPr>
          <w:rFonts w:ascii="Times New Roman" w:hAnsi="Times New Roman"/>
          <w:sz w:val="24"/>
          <w:szCs w:val="24"/>
        </w:rPr>
        <w:t>Anotācijas II, III, VI, VII sadaļa – projekts šīs jomas neskar.</w:t>
      </w:r>
    </w:p>
    <w:p w:rsidR="001D1ED3" w:rsidRDefault="001D1ED3" w:rsidP="00673259">
      <w:pPr>
        <w:ind w:firstLine="720"/>
        <w:rPr>
          <w:rFonts w:ascii="Times New Roman" w:hAnsi="Times New Roman"/>
          <w:sz w:val="28"/>
          <w:szCs w:val="28"/>
        </w:rPr>
      </w:pPr>
    </w:p>
    <w:p w:rsidR="001D1ED3" w:rsidRPr="00330775" w:rsidRDefault="001D1ED3" w:rsidP="00673259">
      <w:pPr>
        <w:ind w:firstLine="720"/>
        <w:rPr>
          <w:rFonts w:ascii="Times New Roman" w:hAnsi="Times New Roman"/>
          <w:sz w:val="28"/>
          <w:szCs w:val="28"/>
        </w:rPr>
      </w:pPr>
      <w:r w:rsidRPr="00330775">
        <w:rPr>
          <w:rFonts w:ascii="Times New Roman" w:hAnsi="Times New Roman"/>
          <w:sz w:val="28"/>
          <w:szCs w:val="28"/>
        </w:rPr>
        <w:t>Satiksmes ministrs</w:t>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Pr>
          <w:rFonts w:ascii="Times New Roman" w:hAnsi="Times New Roman"/>
          <w:sz w:val="28"/>
          <w:szCs w:val="28"/>
        </w:rPr>
        <w:t>A. Ronis</w:t>
      </w:r>
    </w:p>
    <w:p w:rsidR="001D1ED3" w:rsidRDefault="001D1ED3" w:rsidP="00802541">
      <w:pPr>
        <w:pStyle w:val="NoSpacing"/>
        <w:ind w:firstLine="720"/>
        <w:jc w:val="both"/>
        <w:rPr>
          <w:rFonts w:ascii="Times New Roman" w:hAnsi="Times New Roman"/>
          <w:sz w:val="28"/>
          <w:szCs w:val="28"/>
        </w:rPr>
      </w:pPr>
    </w:p>
    <w:p w:rsidR="001D1ED3" w:rsidRDefault="001D1ED3" w:rsidP="00802541">
      <w:pPr>
        <w:pStyle w:val="NoSpacing"/>
        <w:ind w:firstLine="720"/>
        <w:jc w:val="both"/>
        <w:rPr>
          <w:rFonts w:ascii="Times New Roman" w:hAnsi="Times New Roman"/>
          <w:sz w:val="28"/>
          <w:szCs w:val="28"/>
        </w:rPr>
      </w:pPr>
    </w:p>
    <w:p w:rsidR="001D1ED3" w:rsidRPr="00802541" w:rsidRDefault="001D1ED3" w:rsidP="00802541">
      <w:pPr>
        <w:pStyle w:val="NoSpacing"/>
        <w:ind w:firstLine="720"/>
        <w:jc w:val="both"/>
        <w:rPr>
          <w:rFonts w:ascii="Times New Roman" w:hAnsi="Times New Roman"/>
          <w:sz w:val="28"/>
          <w:szCs w:val="28"/>
        </w:rPr>
      </w:pPr>
      <w:r w:rsidRPr="00802541">
        <w:rPr>
          <w:rFonts w:ascii="Times New Roman" w:hAnsi="Times New Roman"/>
          <w:sz w:val="28"/>
          <w:szCs w:val="28"/>
        </w:rPr>
        <w:t>Vīza:</w:t>
      </w:r>
    </w:p>
    <w:p w:rsidR="001D1ED3" w:rsidRPr="00802541" w:rsidRDefault="001D1ED3" w:rsidP="00802541">
      <w:pPr>
        <w:pStyle w:val="NoSpacing"/>
        <w:ind w:firstLine="720"/>
        <w:jc w:val="both"/>
        <w:rPr>
          <w:rFonts w:ascii="Times New Roman" w:hAnsi="Times New Roman"/>
          <w:sz w:val="28"/>
          <w:szCs w:val="28"/>
        </w:rPr>
      </w:pPr>
      <w:r w:rsidRPr="00802541">
        <w:rPr>
          <w:rFonts w:ascii="Times New Roman" w:hAnsi="Times New Roman"/>
          <w:sz w:val="28"/>
          <w:szCs w:val="28"/>
        </w:rPr>
        <w:t>valsts sekretārs</w:t>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t>A.</w:t>
      </w:r>
      <w:r>
        <w:rPr>
          <w:rFonts w:ascii="Times New Roman" w:hAnsi="Times New Roman"/>
          <w:sz w:val="28"/>
          <w:szCs w:val="28"/>
        </w:rPr>
        <w:t xml:space="preserve"> </w:t>
      </w:r>
      <w:r w:rsidRPr="00802541">
        <w:rPr>
          <w:rFonts w:ascii="Times New Roman" w:hAnsi="Times New Roman"/>
          <w:sz w:val="28"/>
          <w:szCs w:val="28"/>
        </w:rPr>
        <w:t>Matīss</w:t>
      </w:r>
    </w:p>
    <w:p w:rsidR="001D1ED3" w:rsidRDefault="001D1ED3" w:rsidP="00673259">
      <w:pPr>
        <w:pStyle w:val="NoSpacing"/>
        <w:rPr>
          <w:rFonts w:ascii="Times New Roman" w:hAnsi="Times New Roman"/>
          <w:sz w:val="28"/>
          <w:szCs w:val="28"/>
        </w:rPr>
      </w:pPr>
    </w:p>
    <w:p w:rsidR="001D1ED3" w:rsidRDefault="001D1ED3" w:rsidP="00673259">
      <w:pPr>
        <w:pStyle w:val="NoSpacing"/>
        <w:rPr>
          <w:rFonts w:ascii="Times New Roman" w:hAnsi="Times New Roman"/>
          <w:sz w:val="28"/>
          <w:szCs w:val="28"/>
        </w:rPr>
      </w:pPr>
    </w:p>
    <w:p w:rsidR="001D1ED3" w:rsidRPr="00414DFE" w:rsidRDefault="001D1ED3" w:rsidP="00673259">
      <w:pPr>
        <w:pStyle w:val="NoSpacing"/>
        <w:rPr>
          <w:rFonts w:ascii="Times New Roman" w:hAnsi="Times New Roman"/>
          <w:sz w:val="28"/>
          <w:szCs w:val="28"/>
        </w:rPr>
      </w:pPr>
    </w:p>
    <w:p w:rsidR="001D1ED3" w:rsidRPr="00D00259" w:rsidRDefault="001D1ED3" w:rsidP="00673259">
      <w:pPr>
        <w:pStyle w:val="NoSpacing"/>
        <w:rPr>
          <w:rFonts w:ascii="Times New Roman" w:hAnsi="Times New Roman"/>
          <w:sz w:val="20"/>
          <w:szCs w:val="20"/>
        </w:rPr>
      </w:pPr>
      <w:r>
        <w:rPr>
          <w:rFonts w:ascii="Times New Roman" w:hAnsi="Times New Roman"/>
          <w:sz w:val="20"/>
          <w:szCs w:val="20"/>
        </w:rPr>
        <w:t>24</w:t>
      </w:r>
      <w:r w:rsidRPr="00D00259">
        <w:rPr>
          <w:rFonts w:ascii="Times New Roman" w:hAnsi="Times New Roman"/>
          <w:sz w:val="20"/>
          <w:szCs w:val="20"/>
        </w:rPr>
        <w:t>.</w:t>
      </w:r>
      <w:r>
        <w:rPr>
          <w:rFonts w:ascii="Times New Roman" w:hAnsi="Times New Roman"/>
          <w:sz w:val="20"/>
          <w:szCs w:val="20"/>
        </w:rPr>
        <w:t>11</w:t>
      </w:r>
      <w:r w:rsidRPr="00D00259">
        <w:rPr>
          <w:rFonts w:ascii="Times New Roman" w:hAnsi="Times New Roman"/>
          <w:sz w:val="20"/>
          <w:szCs w:val="20"/>
        </w:rPr>
        <w:t>.2011  14:30</w:t>
      </w:r>
    </w:p>
    <w:p w:rsidR="001D1ED3" w:rsidRPr="00D00259" w:rsidRDefault="001D1ED3" w:rsidP="00673259">
      <w:pPr>
        <w:pStyle w:val="NoSpacing"/>
        <w:rPr>
          <w:rFonts w:ascii="Times New Roman" w:hAnsi="Times New Roman"/>
          <w:sz w:val="20"/>
          <w:szCs w:val="20"/>
        </w:rPr>
      </w:pPr>
      <w:r>
        <w:rPr>
          <w:rFonts w:ascii="Times New Roman" w:hAnsi="Times New Roman"/>
          <w:sz w:val="20"/>
          <w:szCs w:val="20"/>
        </w:rPr>
        <w:t>875</w:t>
      </w:r>
    </w:p>
    <w:p w:rsidR="001D1ED3" w:rsidRPr="00D00259" w:rsidRDefault="001D1ED3" w:rsidP="00673259">
      <w:pPr>
        <w:pStyle w:val="NoSpacing"/>
        <w:rPr>
          <w:rFonts w:ascii="Times New Roman" w:hAnsi="Times New Roman"/>
          <w:sz w:val="20"/>
          <w:szCs w:val="20"/>
        </w:rPr>
      </w:pPr>
      <w:r w:rsidRPr="00D00259">
        <w:rPr>
          <w:rFonts w:ascii="Times New Roman" w:hAnsi="Times New Roman"/>
          <w:sz w:val="20"/>
          <w:szCs w:val="20"/>
        </w:rPr>
        <w:t>Laima Rituma</w:t>
      </w:r>
    </w:p>
    <w:p w:rsidR="001D1ED3" w:rsidRDefault="001D1ED3" w:rsidP="00673259">
      <w:pPr>
        <w:pStyle w:val="NoSpacing"/>
        <w:rPr>
          <w:rFonts w:ascii="Times New Roman" w:hAnsi="Times New Roman"/>
          <w:sz w:val="20"/>
          <w:szCs w:val="20"/>
        </w:rPr>
      </w:pPr>
      <w:r w:rsidRPr="00D00259">
        <w:rPr>
          <w:rFonts w:ascii="Times New Roman" w:hAnsi="Times New Roman"/>
          <w:sz w:val="20"/>
          <w:szCs w:val="20"/>
        </w:rPr>
        <w:t>67028198,</w:t>
      </w:r>
    </w:p>
    <w:p w:rsidR="001D1ED3" w:rsidRPr="00D00259" w:rsidRDefault="001D1ED3" w:rsidP="00673259">
      <w:pPr>
        <w:pStyle w:val="NoSpacing"/>
        <w:rPr>
          <w:rFonts w:ascii="Times New Roman" w:hAnsi="Times New Roman"/>
          <w:sz w:val="20"/>
          <w:szCs w:val="20"/>
        </w:rPr>
      </w:pPr>
      <w:r w:rsidRPr="00D00259">
        <w:rPr>
          <w:rFonts w:ascii="Times New Roman" w:hAnsi="Times New Roman"/>
          <w:sz w:val="20"/>
          <w:szCs w:val="20"/>
        </w:rPr>
        <w:t>laima.rituma@sam.gov.lv</w:t>
      </w:r>
    </w:p>
    <w:p w:rsidR="001D1ED3" w:rsidRDefault="001D1ED3" w:rsidP="00673259">
      <w:pPr>
        <w:pStyle w:val="NoSpacing"/>
        <w:rPr>
          <w:rFonts w:ascii="Times New Roman" w:hAnsi="Times New Roman"/>
          <w:sz w:val="20"/>
          <w:szCs w:val="20"/>
        </w:rPr>
      </w:pPr>
    </w:p>
    <w:p w:rsidR="001D1ED3" w:rsidRPr="00D00259" w:rsidRDefault="001D1ED3" w:rsidP="00673259">
      <w:pPr>
        <w:pStyle w:val="NoSpacing"/>
        <w:rPr>
          <w:rFonts w:ascii="Times New Roman" w:hAnsi="Times New Roman"/>
          <w:sz w:val="20"/>
          <w:szCs w:val="20"/>
        </w:rPr>
      </w:pPr>
    </w:p>
    <w:p w:rsidR="001D1ED3" w:rsidRDefault="001D1ED3" w:rsidP="00D40F89">
      <w:pPr>
        <w:pStyle w:val="NoSpacing"/>
        <w:rPr>
          <w:rFonts w:ascii="Times New Roman" w:hAnsi="Times New Roman"/>
          <w:sz w:val="20"/>
          <w:szCs w:val="20"/>
        </w:rPr>
      </w:pPr>
      <w:r w:rsidRPr="00D00259">
        <w:rPr>
          <w:rFonts w:ascii="Times New Roman" w:hAnsi="Times New Roman"/>
          <w:sz w:val="20"/>
          <w:szCs w:val="20"/>
        </w:rPr>
        <w:t>Jana Jankoviča,</w:t>
      </w:r>
    </w:p>
    <w:p w:rsidR="001D1ED3" w:rsidRPr="00D00259" w:rsidRDefault="001D1ED3" w:rsidP="00D40F89">
      <w:pPr>
        <w:pStyle w:val="NoSpacing"/>
        <w:rPr>
          <w:rFonts w:ascii="Times New Roman" w:hAnsi="Times New Roman"/>
          <w:sz w:val="20"/>
          <w:szCs w:val="20"/>
        </w:rPr>
      </w:pPr>
      <w:r w:rsidRPr="00D00259">
        <w:rPr>
          <w:rFonts w:ascii="Times New Roman" w:hAnsi="Times New Roman"/>
          <w:sz w:val="20"/>
          <w:szCs w:val="20"/>
        </w:rPr>
        <w:t>67062133,</w:t>
      </w:r>
    </w:p>
    <w:p w:rsidR="001D1ED3" w:rsidRPr="00D00259" w:rsidRDefault="001D1ED3" w:rsidP="00D40F89">
      <w:pPr>
        <w:pStyle w:val="NoSpacing"/>
        <w:rPr>
          <w:sz w:val="20"/>
          <w:szCs w:val="20"/>
        </w:rPr>
      </w:pPr>
      <w:r w:rsidRPr="00D00259">
        <w:rPr>
          <w:rFonts w:ascii="Times New Roman" w:hAnsi="Times New Roman"/>
          <w:sz w:val="20"/>
          <w:szCs w:val="20"/>
        </w:rPr>
        <w:t>jana.jankovica@lja.lv</w:t>
      </w:r>
    </w:p>
    <w:sectPr w:rsidR="001D1ED3" w:rsidRPr="00D00259" w:rsidSect="008F1055">
      <w:headerReference w:type="default" r:id="rId7"/>
      <w:footerReference w:type="default" r:id="rId8"/>
      <w:footerReference w:type="first" r:id="rId9"/>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D3" w:rsidRDefault="001D1ED3" w:rsidP="00C57F57">
      <w:pPr>
        <w:spacing w:after="0" w:line="240" w:lineRule="auto"/>
      </w:pPr>
      <w:r>
        <w:separator/>
      </w:r>
    </w:p>
  </w:endnote>
  <w:endnote w:type="continuationSeparator" w:id="0">
    <w:p w:rsidR="001D1ED3" w:rsidRDefault="001D1ED3" w:rsidP="00C5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3" w:rsidRPr="005A397B" w:rsidRDefault="001D1ED3" w:rsidP="00045921">
    <w:pPr>
      <w:pStyle w:val="Footer"/>
      <w:jc w:val="both"/>
      <w:rPr>
        <w:rFonts w:ascii="Times New Roman" w:hAnsi="Times New Roman"/>
      </w:rPr>
    </w:pPr>
    <w:r w:rsidRPr="005A397B">
      <w:rPr>
        <w:rFonts w:ascii="Times New Roman" w:hAnsi="Times New Roman"/>
      </w:rPr>
      <w:t>SAMAnot_</w:t>
    </w:r>
    <w:r>
      <w:rPr>
        <w:rFonts w:ascii="Times New Roman" w:hAnsi="Times New Roman"/>
      </w:rPr>
      <w:t>24112011_zvejaskugi</w:t>
    </w:r>
    <w:r w:rsidRPr="005A397B">
      <w:rPr>
        <w:rFonts w:ascii="Times New Roman" w:hAnsi="Times New Roman"/>
      </w:rPr>
      <w:t>; Noteikumu projekta „</w:t>
    </w:r>
    <w:r>
      <w:rPr>
        <w:rFonts w:ascii="Times New Roman" w:hAnsi="Times New Roman"/>
      </w:rPr>
      <w:t xml:space="preserve">Grozījums Ministru kabineta 2006.gada 28.marta noteikumos Nr. 248 „Noteikumi par jūras zvejas kuģu drošību” </w:t>
    </w:r>
    <w:r w:rsidRPr="005A397B">
      <w:rPr>
        <w:rFonts w:ascii="Times New Roman" w:hAnsi="Times New Roman"/>
      </w:rPr>
      <w:t>” sākotnējās ietekmes novērtējuma ziņojums (anotācija)</w:t>
    </w:r>
  </w:p>
  <w:p w:rsidR="001D1ED3" w:rsidRPr="005A397B" w:rsidRDefault="001D1ED3" w:rsidP="00045921">
    <w:pPr>
      <w:jc w:val="both"/>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3" w:rsidRPr="005A397B" w:rsidRDefault="001D1ED3" w:rsidP="00711A33">
    <w:pPr>
      <w:pStyle w:val="Footer"/>
      <w:jc w:val="both"/>
      <w:rPr>
        <w:rFonts w:ascii="Times New Roman" w:hAnsi="Times New Roman"/>
      </w:rPr>
    </w:pPr>
    <w:r w:rsidRPr="005A397B">
      <w:rPr>
        <w:rFonts w:ascii="Times New Roman" w:hAnsi="Times New Roman"/>
      </w:rPr>
      <w:t>SAMAnot_</w:t>
    </w:r>
    <w:r>
      <w:rPr>
        <w:rFonts w:ascii="Times New Roman" w:hAnsi="Times New Roman"/>
      </w:rPr>
      <w:t>24112011_zvejaskugi</w:t>
    </w:r>
    <w:r w:rsidRPr="005A397B">
      <w:rPr>
        <w:rFonts w:ascii="Times New Roman" w:hAnsi="Times New Roman"/>
      </w:rPr>
      <w:t>; Noteikumu projekta „</w:t>
    </w:r>
    <w:r>
      <w:rPr>
        <w:rFonts w:ascii="Times New Roman" w:hAnsi="Times New Roman"/>
      </w:rPr>
      <w:t xml:space="preserve">Grozījums Ministru kabineta 2006.gada 28.marta noteikumos Nr. 248 „Noteikumi par jūras zvejas kuģu drošību” </w:t>
    </w:r>
    <w:r w:rsidRPr="005A397B">
      <w:rPr>
        <w:rFonts w:ascii="Times New Roman" w:hAnsi="Times New Roman"/>
      </w:rPr>
      <w:t>” sākotnējās ietekmes novērtējuma ziņojums (anotācija)</w:t>
    </w:r>
  </w:p>
  <w:p w:rsidR="001D1ED3" w:rsidRPr="005A397B" w:rsidRDefault="001D1ED3" w:rsidP="00711A33">
    <w:pPr>
      <w:jc w:val="both"/>
      <w:rPr>
        <w:rFonts w:ascii="Times New Roman" w:hAnsi="Times New Roman"/>
      </w:rPr>
    </w:pPr>
  </w:p>
  <w:p w:rsidR="001D1ED3" w:rsidRDefault="001D1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D3" w:rsidRDefault="001D1ED3" w:rsidP="00C57F57">
      <w:pPr>
        <w:spacing w:after="0" w:line="240" w:lineRule="auto"/>
      </w:pPr>
      <w:r>
        <w:separator/>
      </w:r>
    </w:p>
  </w:footnote>
  <w:footnote w:type="continuationSeparator" w:id="0">
    <w:p w:rsidR="001D1ED3" w:rsidRDefault="001D1ED3" w:rsidP="00C5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3" w:rsidRDefault="001D1ED3">
    <w:pPr>
      <w:pStyle w:val="Header"/>
      <w:jc w:val="center"/>
    </w:pPr>
    <w:fldSimple w:instr=" PAGE   \* MERGEFORMAT ">
      <w:r>
        <w:rPr>
          <w:noProof/>
        </w:rPr>
        <w:t>5</w:t>
      </w:r>
    </w:fldSimple>
  </w:p>
  <w:p w:rsidR="001D1ED3" w:rsidRDefault="001D1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7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259"/>
    <w:rsid w:val="00004392"/>
    <w:rsid w:val="00004408"/>
    <w:rsid w:val="000252E5"/>
    <w:rsid w:val="00025CC0"/>
    <w:rsid w:val="000308B0"/>
    <w:rsid w:val="00032339"/>
    <w:rsid w:val="00032ED7"/>
    <w:rsid w:val="000359B7"/>
    <w:rsid w:val="00040776"/>
    <w:rsid w:val="00040B74"/>
    <w:rsid w:val="00040DAD"/>
    <w:rsid w:val="000410C8"/>
    <w:rsid w:val="000436C1"/>
    <w:rsid w:val="0004401E"/>
    <w:rsid w:val="00045921"/>
    <w:rsid w:val="00051248"/>
    <w:rsid w:val="0005355D"/>
    <w:rsid w:val="000553B6"/>
    <w:rsid w:val="00055B37"/>
    <w:rsid w:val="00060C67"/>
    <w:rsid w:val="00065665"/>
    <w:rsid w:val="0006766B"/>
    <w:rsid w:val="00072A29"/>
    <w:rsid w:val="00076AC9"/>
    <w:rsid w:val="0007723D"/>
    <w:rsid w:val="00082B51"/>
    <w:rsid w:val="000855CB"/>
    <w:rsid w:val="00085F68"/>
    <w:rsid w:val="00087561"/>
    <w:rsid w:val="000907CE"/>
    <w:rsid w:val="000912E5"/>
    <w:rsid w:val="0009350D"/>
    <w:rsid w:val="000955C3"/>
    <w:rsid w:val="000A02AF"/>
    <w:rsid w:val="000A1354"/>
    <w:rsid w:val="000A6FB1"/>
    <w:rsid w:val="000B00C8"/>
    <w:rsid w:val="000B1730"/>
    <w:rsid w:val="000B4A94"/>
    <w:rsid w:val="000C014E"/>
    <w:rsid w:val="000C3449"/>
    <w:rsid w:val="000C4F72"/>
    <w:rsid w:val="000C5232"/>
    <w:rsid w:val="000C56C4"/>
    <w:rsid w:val="000D1B4B"/>
    <w:rsid w:val="000D23B1"/>
    <w:rsid w:val="000D6A45"/>
    <w:rsid w:val="000E28ED"/>
    <w:rsid w:val="000E3425"/>
    <w:rsid w:val="000E4B0B"/>
    <w:rsid w:val="000F0221"/>
    <w:rsid w:val="000F6DB7"/>
    <w:rsid w:val="001001C2"/>
    <w:rsid w:val="00101316"/>
    <w:rsid w:val="001042FC"/>
    <w:rsid w:val="00104801"/>
    <w:rsid w:val="00106E6C"/>
    <w:rsid w:val="00110CEC"/>
    <w:rsid w:val="00116C7B"/>
    <w:rsid w:val="001250DA"/>
    <w:rsid w:val="0012526C"/>
    <w:rsid w:val="001260E2"/>
    <w:rsid w:val="00127A43"/>
    <w:rsid w:val="0013041D"/>
    <w:rsid w:val="001305CC"/>
    <w:rsid w:val="00132FA9"/>
    <w:rsid w:val="00133CA2"/>
    <w:rsid w:val="00144119"/>
    <w:rsid w:val="00144EEA"/>
    <w:rsid w:val="00146D4B"/>
    <w:rsid w:val="00150F6C"/>
    <w:rsid w:val="001519D1"/>
    <w:rsid w:val="00152D0B"/>
    <w:rsid w:val="001539DA"/>
    <w:rsid w:val="00157F7B"/>
    <w:rsid w:val="00160157"/>
    <w:rsid w:val="001616A6"/>
    <w:rsid w:val="00166FAF"/>
    <w:rsid w:val="00170032"/>
    <w:rsid w:val="00177768"/>
    <w:rsid w:val="001830A0"/>
    <w:rsid w:val="00185B72"/>
    <w:rsid w:val="001872A4"/>
    <w:rsid w:val="0019277D"/>
    <w:rsid w:val="00193E69"/>
    <w:rsid w:val="00195B5A"/>
    <w:rsid w:val="001A08A2"/>
    <w:rsid w:val="001A21CA"/>
    <w:rsid w:val="001A4F44"/>
    <w:rsid w:val="001A5AC9"/>
    <w:rsid w:val="001A6845"/>
    <w:rsid w:val="001B35C5"/>
    <w:rsid w:val="001B3EB8"/>
    <w:rsid w:val="001B5757"/>
    <w:rsid w:val="001C31FB"/>
    <w:rsid w:val="001C5FB4"/>
    <w:rsid w:val="001C650A"/>
    <w:rsid w:val="001D119F"/>
    <w:rsid w:val="001D192F"/>
    <w:rsid w:val="001D1ED3"/>
    <w:rsid w:val="001D447A"/>
    <w:rsid w:val="001D4ECD"/>
    <w:rsid w:val="001D59D1"/>
    <w:rsid w:val="001E0409"/>
    <w:rsid w:val="001E0575"/>
    <w:rsid w:val="001E0B1E"/>
    <w:rsid w:val="001E0EAE"/>
    <w:rsid w:val="001E16C0"/>
    <w:rsid w:val="001E1A6D"/>
    <w:rsid w:val="001E2D52"/>
    <w:rsid w:val="001E392D"/>
    <w:rsid w:val="001E5360"/>
    <w:rsid w:val="001E73B2"/>
    <w:rsid w:val="001F02A5"/>
    <w:rsid w:val="001F14FC"/>
    <w:rsid w:val="001F2B7F"/>
    <w:rsid w:val="001F7511"/>
    <w:rsid w:val="00201611"/>
    <w:rsid w:val="002030AD"/>
    <w:rsid w:val="00203CA0"/>
    <w:rsid w:val="00204142"/>
    <w:rsid w:val="0021152B"/>
    <w:rsid w:val="00212BD7"/>
    <w:rsid w:val="0021318F"/>
    <w:rsid w:val="00213A9A"/>
    <w:rsid w:val="002175FB"/>
    <w:rsid w:val="00220D5A"/>
    <w:rsid w:val="0022169E"/>
    <w:rsid w:val="002227EB"/>
    <w:rsid w:val="002255B3"/>
    <w:rsid w:val="00231ED2"/>
    <w:rsid w:val="002341D0"/>
    <w:rsid w:val="0023633A"/>
    <w:rsid w:val="0024136B"/>
    <w:rsid w:val="00241974"/>
    <w:rsid w:val="00242927"/>
    <w:rsid w:val="002435B9"/>
    <w:rsid w:val="002458FF"/>
    <w:rsid w:val="00245F75"/>
    <w:rsid w:val="002476EC"/>
    <w:rsid w:val="00255FDC"/>
    <w:rsid w:val="00257550"/>
    <w:rsid w:val="00260897"/>
    <w:rsid w:val="002616D4"/>
    <w:rsid w:val="0026201E"/>
    <w:rsid w:val="002626DE"/>
    <w:rsid w:val="00263B29"/>
    <w:rsid w:val="002716A8"/>
    <w:rsid w:val="00272A6F"/>
    <w:rsid w:val="00273759"/>
    <w:rsid w:val="00274093"/>
    <w:rsid w:val="00275ED2"/>
    <w:rsid w:val="00276C00"/>
    <w:rsid w:val="00276CA9"/>
    <w:rsid w:val="00282753"/>
    <w:rsid w:val="00282DE8"/>
    <w:rsid w:val="0028385C"/>
    <w:rsid w:val="0028759D"/>
    <w:rsid w:val="00291452"/>
    <w:rsid w:val="002915B8"/>
    <w:rsid w:val="00291F12"/>
    <w:rsid w:val="00291FE2"/>
    <w:rsid w:val="0029200C"/>
    <w:rsid w:val="00292546"/>
    <w:rsid w:val="00293810"/>
    <w:rsid w:val="00294F0E"/>
    <w:rsid w:val="00295E93"/>
    <w:rsid w:val="002A19DC"/>
    <w:rsid w:val="002A1B05"/>
    <w:rsid w:val="002A354B"/>
    <w:rsid w:val="002A764F"/>
    <w:rsid w:val="002B141C"/>
    <w:rsid w:val="002B3077"/>
    <w:rsid w:val="002B5FAF"/>
    <w:rsid w:val="002B6E5A"/>
    <w:rsid w:val="002B7502"/>
    <w:rsid w:val="002C17EB"/>
    <w:rsid w:val="002C4BD2"/>
    <w:rsid w:val="002C4DE5"/>
    <w:rsid w:val="002D0519"/>
    <w:rsid w:val="002D4296"/>
    <w:rsid w:val="002D76B3"/>
    <w:rsid w:val="002E28B3"/>
    <w:rsid w:val="002E395C"/>
    <w:rsid w:val="002E7599"/>
    <w:rsid w:val="002F1A24"/>
    <w:rsid w:val="002F7D35"/>
    <w:rsid w:val="00300358"/>
    <w:rsid w:val="00301B53"/>
    <w:rsid w:val="003025B2"/>
    <w:rsid w:val="00303ACE"/>
    <w:rsid w:val="00306611"/>
    <w:rsid w:val="00307136"/>
    <w:rsid w:val="00307D97"/>
    <w:rsid w:val="00307EB0"/>
    <w:rsid w:val="00312C56"/>
    <w:rsid w:val="00315F87"/>
    <w:rsid w:val="00317371"/>
    <w:rsid w:val="003179F6"/>
    <w:rsid w:val="00320B2C"/>
    <w:rsid w:val="00322A38"/>
    <w:rsid w:val="003262E1"/>
    <w:rsid w:val="00326C18"/>
    <w:rsid w:val="003271DC"/>
    <w:rsid w:val="00327958"/>
    <w:rsid w:val="00330775"/>
    <w:rsid w:val="003360B7"/>
    <w:rsid w:val="00341F22"/>
    <w:rsid w:val="00342D89"/>
    <w:rsid w:val="00346A8D"/>
    <w:rsid w:val="003473F5"/>
    <w:rsid w:val="003539E6"/>
    <w:rsid w:val="00353D9D"/>
    <w:rsid w:val="00355BA9"/>
    <w:rsid w:val="003563C9"/>
    <w:rsid w:val="00356D2B"/>
    <w:rsid w:val="00366AA3"/>
    <w:rsid w:val="003701F9"/>
    <w:rsid w:val="00371EBF"/>
    <w:rsid w:val="00376570"/>
    <w:rsid w:val="0037660A"/>
    <w:rsid w:val="00376C40"/>
    <w:rsid w:val="00377A74"/>
    <w:rsid w:val="0038161D"/>
    <w:rsid w:val="00384454"/>
    <w:rsid w:val="003863DB"/>
    <w:rsid w:val="003864BF"/>
    <w:rsid w:val="00390AB5"/>
    <w:rsid w:val="0039251C"/>
    <w:rsid w:val="003931E2"/>
    <w:rsid w:val="00394529"/>
    <w:rsid w:val="00397D4B"/>
    <w:rsid w:val="003A175E"/>
    <w:rsid w:val="003A366F"/>
    <w:rsid w:val="003A3D1D"/>
    <w:rsid w:val="003A6085"/>
    <w:rsid w:val="003A70E1"/>
    <w:rsid w:val="003B38DF"/>
    <w:rsid w:val="003B5473"/>
    <w:rsid w:val="003B7990"/>
    <w:rsid w:val="003C03D6"/>
    <w:rsid w:val="003C0786"/>
    <w:rsid w:val="003C21D8"/>
    <w:rsid w:val="003C3036"/>
    <w:rsid w:val="003C316B"/>
    <w:rsid w:val="003C4908"/>
    <w:rsid w:val="003C59EF"/>
    <w:rsid w:val="003C694F"/>
    <w:rsid w:val="003C7751"/>
    <w:rsid w:val="003D0745"/>
    <w:rsid w:val="003D20E2"/>
    <w:rsid w:val="003D3460"/>
    <w:rsid w:val="003D539A"/>
    <w:rsid w:val="003D6875"/>
    <w:rsid w:val="003D7BDE"/>
    <w:rsid w:val="003E0172"/>
    <w:rsid w:val="003E3297"/>
    <w:rsid w:val="003E580A"/>
    <w:rsid w:val="003E64FD"/>
    <w:rsid w:val="003E6990"/>
    <w:rsid w:val="003F02B9"/>
    <w:rsid w:val="003F0CE3"/>
    <w:rsid w:val="003F2506"/>
    <w:rsid w:val="003F292D"/>
    <w:rsid w:val="003F3146"/>
    <w:rsid w:val="003F5381"/>
    <w:rsid w:val="00403CFF"/>
    <w:rsid w:val="004046B0"/>
    <w:rsid w:val="0040566D"/>
    <w:rsid w:val="00407522"/>
    <w:rsid w:val="00407B7D"/>
    <w:rsid w:val="004111E7"/>
    <w:rsid w:val="00414DFE"/>
    <w:rsid w:val="00415C1E"/>
    <w:rsid w:val="00415FCC"/>
    <w:rsid w:val="00416F08"/>
    <w:rsid w:val="00421A2D"/>
    <w:rsid w:val="00422164"/>
    <w:rsid w:val="00430C28"/>
    <w:rsid w:val="00435902"/>
    <w:rsid w:val="0043602C"/>
    <w:rsid w:val="004364CB"/>
    <w:rsid w:val="00437633"/>
    <w:rsid w:val="004434B6"/>
    <w:rsid w:val="004453CC"/>
    <w:rsid w:val="0044683A"/>
    <w:rsid w:val="00446D0F"/>
    <w:rsid w:val="004603E9"/>
    <w:rsid w:val="00460DFD"/>
    <w:rsid w:val="00461C53"/>
    <w:rsid w:val="00463F16"/>
    <w:rsid w:val="00466C4D"/>
    <w:rsid w:val="004675D7"/>
    <w:rsid w:val="004679EE"/>
    <w:rsid w:val="00473A0B"/>
    <w:rsid w:val="0047565B"/>
    <w:rsid w:val="00476520"/>
    <w:rsid w:val="00484DE5"/>
    <w:rsid w:val="00485B88"/>
    <w:rsid w:val="004863B6"/>
    <w:rsid w:val="004901DA"/>
    <w:rsid w:val="0049208F"/>
    <w:rsid w:val="004950C2"/>
    <w:rsid w:val="00496510"/>
    <w:rsid w:val="0049764D"/>
    <w:rsid w:val="004A046C"/>
    <w:rsid w:val="004A28D6"/>
    <w:rsid w:val="004A349A"/>
    <w:rsid w:val="004A36B8"/>
    <w:rsid w:val="004A676C"/>
    <w:rsid w:val="004A6F12"/>
    <w:rsid w:val="004A79B6"/>
    <w:rsid w:val="004A7F27"/>
    <w:rsid w:val="004B3333"/>
    <w:rsid w:val="004B426A"/>
    <w:rsid w:val="004B4A00"/>
    <w:rsid w:val="004C0B7E"/>
    <w:rsid w:val="004C6DF0"/>
    <w:rsid w:val="004D28B4"/>
    <w:rsid w:val="004D2BBA"/>
    <w:rsid w:val="004D6BE2"/>
    <w:rsid w:val="004D7E33"/>
    <w:rsid w:val="004E2429"/>
    <w:rsid w:val="004E5386"/>
    <w:rsid w:val="004E5937"/>
    <w:rsid w:val="004E5F04"/>
    <w:rsid w:val="004E62A1"/>
    <w:rsid w:val="004E6E62"/>
    <w:rsid w:val="004E786F"/>
    <w:rsid w:val="004F02BB"/>
    <w:rsid w:val="004F3DB2"/>
    <w:rsid w:val="004F4569"/>
    <w:rsid w:val="004F704A"/>
    <w:rsid w:val="004F7D04"/>
    <w:rsid w:val="00500B2C"/>
    <w:rsid w:val="005011F5"/>
    <w:rsid w:val="0050149F"/>
    <w:rsid w:val="00501C88"/>
    <w:rsid w:val="0050394D"/>
    <w:rsid w:val="00510AC5"/>
    <w:rsid w:val="00512740"/>
    <w:rsid w:val="005145A0"/>
    <w:rsid w:val="0051523F"/>
    <w:rsid w:val="0052316A"/>
    <w:rsid w:val="00526271"/>
    <w:rsid w:val="00526B25"/>
    <w:rsid w:val="005337E2"/>
    <w:rsid w:val="005338E4"/>
    <w:rsid w:val="0053478E"/>
    <w:rsid w:val="005351FD"/>
    <w:rsid w:val="005378E3"/>
    <w:rsid w:val="00542335"/>
    <w:rsid w:val="005427F4"/>
    <w:rsid w:val="00543394"/>
    <w:rsid w:val="00544FF2"/>
    <w:rsid w:val="005467D1"/>
    <w:rsid w:val="00550D72"/>
    <w:rsid w:val="0055279E"/>
    <w:rsid w:val="005544B1"/>
    <w:rsid w:val="00555C0E"/>
    <w:rsid w:val="00560909"/>
    <w:rsid w:val="00563E8E"/>
    <w:rsid w:val="00563FFD"/>
    <w:rsid w:val="005715A6"/>
    <w:rsid w:val="00573452"/>
    <w:rsid w:val="00573E51"/>
    <w:rsid w:val="005747AF"/>
    <w:rsid w:val="00577ABA"/>
    <w:rsid w:val="00584983"/>
    <w:rsid w:val="00585197"/>
    <w:rsid w:val="005856E6"/>
    <w:rsid w:val="00586423"/>
    <w:rsid w:val="00587676"/>
    <w:rsid w:val="00590101"/>
    <w:rsid w:val="0059200A"/>
    <w:rsid w:val="0059594A"/>
    <w:rsid w:val="00595AF2"/>
    <w:rsid w:val="005A0AD2"/>
    <w:rsid w:val="005A0AF6"/>
    <w:rsid w:val="005A1162"/>
    <w:rsid w:val="005A1F28"/>
    <w:rsid w:val="005A327D"/>
    <w:rsid w:val="005A397B"/>
    <w:rsid w:val="005A662D"/>
    <w:rsid w:val="005A799E"/>
    <w:rsid w:val="005B45DC"/>
    <w:rsid w:val="005B64E8"/>
    <w:rsid w:val="005B7327"/>
    <w:rsid w:val="005C122B"/>
    <w:rsid w:val="005C274B"/>
    <w:rsid w:val="005C72D9"/>
    <w:rsid w:val="005D1E81"/>
    <w:rsid w:val="005E3205"/>
    <w:rsid w:val="005E4487"/>
    <w:rsid w:val="005E5A21"/>
    <w:rsid w:val="005E606D"/>
    <w:rsid w:val="005E6753"/>
    <w:rsid w:val="005E6B18"/>
    <w:rsid w:val="005E6EE8"/>
    <w:rsid w:val="005F2AEE"/>
    <w:rsid w:val="005F314F"/>
    <w:rsid w:val="005F367C"/>
    <w:rsid w:val="005F37F3"/>
    <w:rsid w:val="005F6445"/>
    <w:rsid w:val="005F7392"/>
    <w:rsid w:val="00610726"/>
    <w:rsid w:val="00613EA1"/>
    <w:rsid w:val="00615CAD"/>
    <w:rsid w:val="00616E37"/>
    <w:rsid w:val="006218C0"/>
    <w:rsid w:val="00621F24"/>
    <w:rsid w:val="00637355"/>
    <w:rsid w:val="00640A9D"/>
    <w:rsid w:val="00644C7A"/>
    <w:rsid w:val="00652970"/>
    <w:rsid w:val="0065549C"/>
    <w:rsid w:val="00655AEA"/>
    <w:rsid w:val="00655C49"/>
    <w:rsid w:val="00663C2C"/>
    <w:rsid w:val="00667857"/>
    <w:rsid w:val="006679BC"/>
    <w:rsid w:val="006704A1"/>
    <w:rsid w:val="00670CC7"/>
    <w:rsid w:val="00671095"/>
    <w:rsid w:val="00673259"/>
    <w:rsid w:val="006743A8"/>
    <w:rsid w:val="00674AA9"/>
    <w:rsid w:val="006775CC"/>
    <w:rsid w:val="00677FD3"/>
    <w:rsid w:val="00685773"/>
    <w:rsid w:val="00687CBE"/>
    <w:rsid w:val="00687D2F"/>
    <w:rsid w:val="00692ADB"/>
    <w:rsid w:val="00693A60"/>
    <w:rsid w:val="00694836"/>
    <w:rsid w:val="006952EE"/>
    <w:rsid w:val="006A1E8B"/>
    <w:rsid w:val="006A31E2"/>
    <w:rsid w:val="006A495B"/>
    <w:rsid w:val="006B0D52"/>
    <w:rsid w:val="006B33AD"/>
    <w:rsid w:val="006B6B1E"/>
    <w:rsid w:val="006B73C0"/>
    <w:rsid w:val="006C1A9A"/>
    <w:rsid w:val="006D14F7"/>
    <w:rsid w:val="006D6B7E"/>
    <w:rsid w:val="006E14FC"/>
    <w:rsid w:val="006E47D4"/>
    <w:rsid w:val="006F0DA3"/>
    <w:rsid w:val="006F3B1D"/>
    <w:rsid w:val="006F4693"/>
    <w:rsid w:val="006F4D48"/>
    <w:rsid w:val="006F5354"/>
    <w:rsid w:val="007034D1"/>
    <w:rsid w:val="007104E6"/>
    <w:rsid w:val="00711A33"/>
    <w:rsid w:val="00711A63"/>
    <w:rsid w:val="007128AF"/>
    <w:rsid w:val="00712DC0"/>
    <w:rsid w:val="00713355"/>
    <w:rsid w:val="00714B41"/>
    <w:rsid w:val="007169A5"/>
    <w:rsid w:val="00717E69"/>
    <w:rsid w:val="0072062C"/>
    <w:rsid w:val="00721A70"/>
    <w:rsid w:val="00723FC0"/>
    <w:rsid w:val="00725F74"/>
    <w:rsid w:val="0073539F"/>
    <w:rsid w:val="00737F13"/>
    <w:rsid w:val="007407BA"/>
    <w:rsid w:val="007442AD"/>
    <w:rsid w:val="0074483B"/>
    <w:rsid w:val="007461AF"/>
    <w:rsid w:val="00747470"/>
    <w:rsid w:val="007502A2"/>
    <w:rsid w:val="00750DC9"/>
    <w:rsid w:val="0075497B"/>
    <w:rsid w:val="00754B42"/>
    <w:rsid w:val="00755EA2"/>
    <w:rsid w:val="007575E8"/>
    <w:rsid w:val="0076059E"/>
    <w:rsid w:val="007721DC"/>
    <w:rsid w:val="00772CE1"/>
    <w:rsid w:val="007734DA"/>
    <w:rsid w:val="00773795"/>
    <w:rsid w:val="00774B18"/>
    <w:rsid w:val="007756D2"/>
    <w:rsid w:val="00775D7A"/>
    <w:rsid w:val="00785707"/>
    <w:rsid w:val="00786F81"/>
    <w:rsid w:val="00787E51"/>
    <w:rsid w:val="00787F2B"/>
    <w:rsid w:val="007931D4"/>
    <w:rsid w:val="00796914"/>
    <w:rsid w:val="007A1BC0"/>
    <w:rsid w:val="007A6043"/>
    <w:rsid w:val="007B1990"/>
    <w:rsid w:val="007B2030"/>
    <w:rsid w:val="007B5379"/>
    <w:rsid w:val="007C444F"/>
    <w:rsid w:val="007D1E5E"/>
    <w:rsid w:val="007E4293"/>
    <w:rsid w:val="007E4E85"/>
    <w:rsid w:val="007F43C4"/>
    <w:rsid w:val="007F5B2E"/>
    <w:rsid w:val="007F5BDC"/>
    <w:rsid w:val="008007BA"/>
    <w:rsid w:val="00800CB0"/>
    <w:rsid w:val="00802541"/>
    <w:rsid w:val="00804B8E"/>
    <w:rsid w:val="00806769"/>
    <w:rsid w:val="00810952"/>
    <w:rsid w:val="00811A7B"/>
    <w:rsid w:val="008122D0"/>
    <w:rsid w:val="00812C25"/>
    <w:rsid w:val="00814D27"/>
    <w:rsid w:val="00814F45"/>
    <w:rsid w:val="008208EA"/>
    <w:rsid w:val="00823B9A"/>
    <w:rsid w:val="00824995"/>
    <w:rsid w:val="0082647D"/>
    <w:rsid w:val="00830879"/>
    <w:rsid w:val="00832FB7"/>
    <w:rsid w:val="008331CA"/>
    <w:rsid w:val="0083656F"/>
    <w:rsid w:val="00837995"/>
    <w:rsid w:val="008414AA"/>
    <w:rsid w:val="00842665"/>
    <w:rsid w:val="0084646C"/>
    <w:rsid w:val="0085158F"/>
    <w:rsid w:val="0085612B"/>
    <w:rsid w:val="008608C1"/>
    <w:rsid w:val="00862323"/>
    <w:rsid w:val="00863939"/>
    <w:rsid w:val="00863DC7"/>
    <w:rsid w:val="0086478A"/>
    <w:rsid w:val="008649B2"/>
    <w:rsid w:val="0087286C"/>
    <w:rsid w:val="0087374D"/>
    <w:rsid w:val="00873750"/>
    <w:rsid w:val="00874A45"/>
    <w:rsid w:val="00876CC1"/>
    <w:rsid w:val="00876D12"/>
    <w:rsid w:val="008855D3"/>
    <w:rsid w:val="00886A3F"/>
    <w:rsid w:val="00887B19"/>
    <w:rsid w:val="00890EBD"/>
    <w:rsid w:val="0089132A"/>
    <w:rsid w:val="00891B47"/>
    <w:rsid w:val="00894A93"/>
    <w:rsid w:val="008A3D4F"/>
    <w:rsid w:val="008B3BCB"/>
    <w:rsid w:val="008B7502"/>
    <w:rsid w:val="008C25FD"/>
    <w:rsid w:val="008C34EA"/>
    <w:rsid w:val="008C36E1"/>
    <w:rsid w:val="008D0F97"/>
    <w:rsid w:val="008D220B"/>
    <w:rsid w:val="008D3540"/>
    <w:rsid w:val="008D6B7E"/>
    <w:rsid w:val="008D6FB3"/>
    <w:rsid w:val="008E0C11"/>
    <w:rsid w:val="008E4564"/>
    <w:rsid w:val="008E4B0D"/>
    <w:rsid w:val="008E67AE"/>
    <w:rsid w:val="008E6D76"/>
    <w:rsid w:val="008F030C"/>
    <w:rsid w:val="008F1055"/>
    <w:rsid w:val="008F225E"/>
    <w:rsid w:val="008F3508"/>
    <w:rsid w:val="008F381F"/>
    <w:rsid w:val="008F4F12"/>
    <w:rsid w:val="008F5ED0"/>
    <w:rsid w:val="00901271"/>
    <w:rsid w:val="0090208F"/>
    <w:rsid w:val="00903D82"/>
    <w:rsid w:val="00904166"/>
    <w:rsid w:val="00905D97"/>
    <w:rsid w:val="00906DF3"/>
    <w:rsid w:val="00911BE6"/>
    <w:rsid w:val="00913311"/>
    <w:rsid w:val="009137D5"/>
    <w:rsid w:val="00914E07"/>
    <w:rsid w:val="00914FC5"/>
    <w:rsid w:val="00917F25"/>
    <w:rsid w:val="00917F4D"/>
    <w:rsid w:val="00924F49"/>
    <w:rsid w:val="00926CCF"/>
    <w:rsid w:val="009278E9"/>
    <w:rsid w:val="009308A9"/>
    <w:rsid w:val="009415E6"/>
    <w:rsid w:val="00942B44"/>
    <w:rsid w:val="009461BA"/>
    <w:rsid w:val="00946A32"/>
    <w:rsid w:val="00946CD8"/>
    <w:rsid w:val="009608FD"/>
    <w:rsid w:val="00960C6D"/>
    <w:rsid w:val="00964125"/>
    <w:rsid w:val="0096439B"/>
    <w:rsid w:val="00965431"/>
    <w:rsid w:val="009705FD"/>
    <w:rsid w:val="00971569"/>
    <w:rsid w:val="00973283"/>
    <w:rsid w:val="00973460"/>
    <w:rsid w:val="0097387E"/>
    <w:rsid w:val="00973E17"/>
    <w:rsid w:val="00974FCD"/>
    <w:rsid w:val="009804F0"/>
    <w:rsid w:val="00982122"/>
    <w:rsid w:val="00985B77"/>
    <w:rsid w:val="0099068D"/>
    <w:rsid w:val="00990F0E"/>
    <w:rsid w:val="00992922"/>
    <w:rsid w:val="00992B6F"/>
    <w:rsid w:val="00996578"/>
    <w:rsid w:val="009A184F"/>
    <w:rsid w:val="009A22CC"/>
    <w:rsid w:val="009B0A5F"/>
    <w:rsid w:val="009B11CE"/>
    <w:rsid w:val="009B127E"/>
    <w:rsid w:val="009B3D81"/>
    <w:rsid w:val="009B433B"/>
    <w:rsid w:val="009C3158"/>
    <w:rsid w:val="009C7BAD"/>
    <w:rsid w:val="009D624A"/>
    <w:rsid w:val="009D710E"/>
    <w:rsid w:val="009D744B"/>
    <w:rsid w:val="009D795B"/>
    <w:rsid w:val="009E1721"/>
    <w:rsid w:val="009E298E"/>
    <w:rsid w:val="009E4EF4"/>
    <w:rsid w:val="009E5111"/>
    <w:rsid w:val="009E61E7"/>
    <w:rsid w:val="009E6B44"/>
    <w:rsid w:val="009E706C"/>
    <w:rsid w:val="00A0594C"/>
    <w:rsid w:val="00A06AB8"/>
    <w:rsid w:val="00A12F13"/>
    <w:rsid w:val="00A14414"/>
    <w:rsid w:val="00A1499D"/>
    <w:rsid w:val="00A15258"/>
    <w:rsid w:val="00A16341"/>
    <w:rsid w:val="00A17FEA"/>
    <w:rsid w:val="00A209F4"/>
    <w:rsid w:val="00A21368"/>
    <w:rsid w:val="00A25713"/>
    <w:rsid w:val="00A33273"/>
    <w:rsid w:val="00A36ABD"/>
    <w:rsid w:val="00A36AC4"/>
    <w:rsid w:val="00A3794A"/>
    <w:rsid w:val="00A43BE3"/>
    <w:rsid w:val="00A44733"/>
    <w:rsid w:val="00A44C25"/>
    <w:rsid w:val="00A50520"/>
    <w:rsid w:val="00A517EB"/>
    <w:rsid w:val="00A5297A"/>
    <w:rsid w:val="00A53676"/>
    <w:rsid w:val="00A54061"/>
    <w:rsid w:val="00A55B1A"/>
    <w:rsid w:val="00A55EC3"/>
    <w:rsid w:val="00A624E6"/>
    <w:rsid w:val="00A62B13"/>
    <w:rsid w:val="00A64673"/>
    <w:rsid w:val="00A651B2"/>
    <w:rsid w:val="00A65A99"/>
    <w:rsid w:val="00A71B0F"/>
    <w:rsid w:val="00A744CA"/>
    <w:rsid w:val="00A745CE"/>
    <w:rsid w:val="00A82101"/>
    <w:rsid w:val="00A82445"/>
    <w:rsid w:val="00A829D7"/>
    <w:rsid w:val="00A83EF5"/>
    <w:rsid w:val="00A87521"/>
    <w:rsid w:val="00A90229"/>
    <w:rsid w:val="00A9181C"/>
    <w:rsid w:val="00A91DB2"/>
    <w:rsid w:val="00A944F4"/>
    <w:rsid w:val="00A9714B"/>
    <w:rsid w:val="00A978E7"/>
    <w:rsid w:val="00AA3705"/>
    <w:rsid w:val="00AA46BB"/>
    <w:rsid w:val="00AA6335"/>
    <w:rsid w:val="00AA699B"/>
    <w:rsid w:val="00AB1177"/>
    <w:rsid w:val="00AB1B5C"/>
    <w:rsid w:val="00AB292C"/>
    <w:rsid w:val="00AB6FC1"/>
    <w:rsid w:val="00AC2540"/>
    <w:rsid w:val="00AC33BF"/>
    <w:rsid w:val="00AC395C"/>
    <w:rsid w:val="00AC7F74"/>
    <w:rsid w:val="00AD204B"/>
    <w:rsid w:val="00AD2BB5"/>
    <w:rsid w:val="00AD39F0"/>
    <w:rsid w:val="00AD5437"/>
    <w:rsid w:val="00AD6004"/>
    <w:rsid w:val="00AD684A"/>
    <w:rsid w:val="00AD7F08"/>
    <w:rsid w:val="00AE026A"/>
    <w:rsid w:val="00AE781A"/>
    <w:rsid w:val="00AF0DEB"/>
    <w:rsid w:val="00AF11E3"/>
    <w:rsid w:val="00AF6304"/>
    <w:rsid w:val="00AF663F"/>
    <w:rsid w:val="00AF6C79"/>
    <w:rsid w:val="00B02701"/>
    <w:rsid w:val="00B16F92"/>
    <w:rsid w:val="00B1707F"/>
    <w:rsid w:val="00B17317"/>
    <w:rsid w:val="00B17501"/>
    <w:rsid w:val="00B228AE"/>
    <w:rsid w:val="00B22C79"/>
    <w:rsid w:val="00B22EBB"/>
    <w:rsid w:val="00B3016F"/>
    <w:rsid w:val="00B30F91"/>
    <w:rsid w:val="00B32A16"/>
    <w:rsid w:val="00B3404E"/>
    <w:rsid w:val="00B37A24"/>
    <w:rsid w:val="00B40FC6"/>
    <w:rsid w:val="00B43E84"/>
    <w:rsid w:val="00B508CA"/>
    <w:rsid w:val="00B52F17"/>
    <w:rsid w:val="00B53B9D"/>
    <w:rsid w:val="00B638CD"/>
    <w:rsid w:val="00B67D6A"/>
    <w:rsid w:val="00B70413"/>
    <w:rsid w:val="00B70681"/>
    <w:rsid w:val="00B76C1A"/>
    <w:rsid w:val="00B77E31"/>
    <w:rsid w:val="00B81C2A"/>
    <w:rsid w:val="00B834E2"/>
    <w:rsid w:val="00B86435"/>
    <w:rsid w:val="00B868E3"/>
    <w:rsid w:val="00B94215"/>
    <w:rsid w:val="00B951C9"/>
    <w:rsid w:val="00B96300"/>
    <w:rsid w:val="00BA2FF3"/>
    <w:rsid w:val="00BA6A0D"/>
    <w:rsid w:val="00BA7340"/>
    <w:rsid w:val="00BB0008"/>
    <w:rsid w:val="00BB0C2E"/>
    <w:rsid w:val="00BB4790"/>
    <w:rsid w:val="00BC017A"/>
    <w:rsid w:val="00BC0D0F"/>
    <w:rsid w:val="00BC1C66"/>
    <w:rsid w:val="00BD1086"/>
    <w:rsid w:val="00BD2C90"/>
    <w:rsid w:val="00BD4A4C"/>
    <w:rsid w:val="00BE4AFC"/>
    <w:rsid w:val="00BE515A"/>
    <w:rsid w:val="00BE703F"/>
    <w:rsid w:val="00BF2707"/>
    <w:rsid w:val="00BF394F"/>
    <w:rsid w:val="00BF40EF"/>
    <w:rsid w:val="00BF4479"/>
    <w:rsid w:val="00BF47A1"/>
    <w:rsid w:val="00C00189"/>
    <w:rsid w:val="00C01745"/>
    <w:rsid w:val="00C10E4A"/>
    <w:rsid w:val="00C11A26"/>
    <w:rsid w:val="00C13733"/>
    <w:rsid w:val="00C20C11"/>
    <w:rsid w:val="00C20EE9"/>
    <w:rsid w:val="00C22D5B"/>
    <w:rsid w:val="00C24D21"/>
    <w:rsid w:val="00C33AD2"/>
    <w:rsid w:val="00C365AF"/>
    <w:rsid w:val="00C40F83"/>
    <w:rsid w:val="00C4227F"/>
    <w:rsid w:val="00C43E24"/>
    <w:rsid w:val="00C4433E"/>
    <w:rsid w:val="00C45805"/>
    <w:rsid w:val="00C45A6C"/>
    <w:rsid w:val="00C46693"/>
    <w:rsid w:val="00C472A1"/>
    <w:rsid w:val="00C51764"/>
    <w:rsid w:val="00C5454D"/>
    <w:rsid w:val="00C54E18"/>
    <w:rsid w:val="00C56B76"/>
    <w:rsid w:val="00C56ED5"/>
    <w:rsid w:val="00C57F57"/>
    <w:rsid w:val="00C614B5"/>
    <w:rsid w:val="00C6451B"/>
    <w:rsid w:val="00C652C5"/>
    <w:rsid w:val="00C701E5"/>
    <w:rsid w:val="00C70702"/>
    <w:rsid w:val="00C80161"/>
    <w:rsid w:val="00C80682"/>
    <w:rsid w:val="00C809ED"/>
    <w:rsid w:val="00C82AF1"/>
    <w:rsid w:val="00C8499E"/>
    <w:rsid w:val="00C858CE"/>
    <w:rsid w:val="00C8748A"/>
    <w:rsid w:val="00C8761E"/>
    <w:rsid w:val="00C87F73"/>
    <w:rsid w:val="00C9506C"/>
    <w:rsid w:val="00C9680F"/>
    <w:rsid w:val="00CA13D6"/>
    <w:rsid w:val="00CA41BF"/>
    <w:rsid w:val="00CA5F4B"/>
    <w:rsid w:val="00CA7883"/>
    <w:rsid w:val="00CB01D7"/>
    <w:rsid w:val="00CB0896"/>
    <w:rsid w:val="00CB13E7"/>
    <w:rsid w:val="00CB3D3C"/>
    <w:rsid w:val="00CC1C82"/>
    <w:rsid w:val="00CC2EEE"/>
    <w:rsid w:val="00CC3EA8"/>
    <w:rsid w:val="00CC4E84"/>
    <w:rsid w:val="00CC77D5"/>
    <w:rsid w:val="00CD1796"/>
    <w:rsid w:val="00CD286C"/>
    <w:rsid w:val="00CD656F"/>
    <w:rsid w:val="00CD6AB3"/>
    <w:rsid w:val="00CE0978"/>
    <w:rsid w:val="00CE10F3"/>
    <w:rsid w:val="00CE49EA"/>
    <w:rsid w:val="00CE5913"/>
    <w:rsid w:val="00CE7449"/>
    <w:rsid w:val="00CE7E63"/>
    <w:rsid w:val="00CF5066"/>
    <w:rsid w:val="00CF6581"/>
    <w:rsid w:val="00D00259"/>
    <w:rsid w:val="00D0049C"/>
    <w:rsid w:val="00D053B1"/>
    <w:rsid w:val="00D062E8"/>
    <w:rsid w:val="00D074BE"/>
    <w:rsid w:val="00D1427C"/>
    <w:rsid w:val="00D1618F"/>
    <w:rsid w:val="00D212FE"/>
    <w:rsid w:val="00D22A91"/>
    <w:rsid w:val="00D235F7"/>
    <w:rsid w:val="00D253BB"/>
    <w:rsid w:val="00D267D5"/>
    <w:rsid w:val="00D26B56"/>
    <w:rsid w:val="00D30E22"/>
    <w:rsid w:val="00D31CB3"/>
    <w:rsid w:val="00D31D1E"/>
    <w:rsid w:val="00D3330D"/>
    <w:rsid w:val="00D356B5"/>
    <w:rsid w:val="00D40F89"/>
    <w:rsid w:val="00D416B3"/>
    <w:rsid w:val="00D4563B"/>
    <w:rsid w:val="00D45A43"/>
    <w:rsid w:val="00D52C8D"/>
    <w:rsid w:val="00D54593"/>
    <w:rsid w:val="00D54D77"/>
    <w:rsid w:val="00D63294"/>
    <w:rsid w:val="00D74A0E"/>
    <w:rsid w:val="00D75AE2"/>
    <w:rsid w:val="00D769B2"/>
    <w:rsid w:val="00D77865"/>
    <w:rsid w:val="00D8194C"/>
    <w:rsid w:val="00D82C31"/>
    <w:rsid w:val="00D8556B"/>
    <w:rsid w:val="00D87E8E"/>
    <w:rsid w:val="00D90770"/>
    <w:rsid w:val="00D93217"/>
    <w:rsid w:val="00DA0DF0"/>
    <w:rsid w:val="00DA11C2"/>
    <w:rsid w:val="00DA208A"/>
    <w:rsid w:val="00DA67B8"/>
    <w:rsid w:val="00DA765C"/>
    <w:rsid w:val="00DB495D"/>
    <w:rsid w:val="00DC2354"/>
    <w:rsid w:val="00DC2BF3"/>
    <w:rsid w:val="00DC379D"/>
    <w:rsid w:val="00DC3D51"/>
    <w:rsid w:val="00DC5CD7"/>
    <w:rsid w:val="00DC6568"/>
    <w:rsid w:val="00DC6DA1"/>
    <w:rsid w:val="00DD25C6"/>
    <w:rsid w:val="00DE4D31"/>
    <w:rsid w:val="00DF6691"/>
    <w:rsid w:val="00DF7CC2"/>
    <w:rsid w:val="00DF7D11"/>
    <w:rsid w:val="00E00920"/>
    <w:rsid w:val="00E00B36"/>
    <w:rsid w:val="00E00E16"/>
    <w:rsid w:val="00E02CB3"/>
    <w:rsid w:val="00E03512"/>
    <w:rsid w:val="00E03CFF"/>
    <w:rsid w:val="00E078D7"/>
    <w:rsid w:val="00E10B1F"/>
    <w:rsid w:val="00E125D0"/>
    <w:rsid w:val="00E147D8"/>
    <w:rsid w:val="00E14A99"/>
    <w:rsid w:val="00E152AF"/>
    <w:rsid w:val="00E16571"/>
    <w:rsid w:val="00E22E4E"/>
    <w:rsid w:val="00E25253"/>
    <w:rsid w:val="00E25753"/>
    <w:rsid w:val="00E27C0E"/>
    <w:rsid w:val="00E3529B"/>
    <w:rsid w:val="00E42E65"/>
    <w:rsid w:val="00E43865"/>
    <w:rsid w:val="00E451F3"/>
    <w:rsid w:val="00E46E7C"/>
    <w:rsid w:val="00E505D9"/>
    <w:rsid w:val="00E5274C"/>
    <w:rsid w:val="00E5360D"/>
    <w:rsid w:val="00E57976"/>
    <w:rsid w:val="00E60E3B"/>
    <w:rsid w:val="00E6481E"/>
    <w:rsid w:val="00E6523D"/>
    <w:rsid w:val="00E66580"/>
    <w:rsid w:val="00E67531"/>
    <w:rsid w:val="00E7033E"/>
    <w:rsid w:val="00E72B2F"/>
    <w:rsid w:val="00E77719"/>
    <w:rsid w:val="00E77C49"/>
    <w:rsid w:val="00E80C73"/>
    <w:rsid w:val="00E81471"/>
    <w:rsid w:val="00E84053"/>
    <w:rsid w:val="00E848B2"/>
    <w:rsid w:val="00E91955"/>
    <w:rsid w:val="00E92315"/>
    <w:rsid w:val="00E93508"/>
    <w:rsid w:val="00E94A38"/>
    <w:rsid w:val="00E95F59"/>
    <w:rsid w:val="00E97FF5"/>
    <w:rsid w:val="00EA3A66"/>
    <w:rsid w:val="00EA7549"/>
    <w:rsid w:val="00EB1F77"/>
    <w:rsid w:val="00EB6A81"/>
    <w:rsid w:val="00EC36F3"/>
    <w:rsid w:val="00EC4FC7"/>
    <w:rsid w:val="00EC5CAD"/>
    <w:rsid w:val="00ED488A"/>
    <w:rsid w:val="00ED4C2F"/>
    <w:rsid w:val="00EE0C22"/>
    <w:rsid w:val="00EE347C"/>
    <w:rsid w:val="00EE4D58"/>
    <w:rsid w:val="00EE5B39"/>
    <w:rsid w:val="00EF0A03"/>
    <w:rsid w:val="00EF1030"/>
    <w:rsid w:val="00EF1A9B"/>
    <w:rsid w:val="00EF3DF0"/>
    <w:rsid w:val="00EF66CB"/>
    <w:rsid w:val="00F01DE4"/>
    <w:rsid w:val="00F054B4"/>
    <w:rsid w:val="00F0556A"/>
    <w:rsid w:val="00F0707B"/>
    <w:rsid w:val="00F07379"/>
    <w:rsid w:val="00F11433"/>
    <w:rsid w:val="00F11A68"/>
    <w:rsid w:val="00F12D0B"/>
    <w:rsid w:val="00F149FA"/>
    <w:rsid w:val="00F15465"/>
    <w:rsid w:val="00F21980"/>
    <w:rsid w:val="00F24F89"/>
    <w:rsid w:val="00F2692E"/>
    <w:rsid w:val="00F277F6"/>
    <w:rsid w:val="00F314C7"/>
    <w:rsid w:val="00F34215"/>
    <w:rsid w:val="00F350F3"/>
    <w:rsid w:val="00F35C47"/>
    <w:rsid w:val="00F3757C"/>
    <w:rsid w:val="00F412EC"/>
    <w:rsid w:val="00F4140F"/>
    <w:rsid w:val="00F43518"/>
    <w:rsid w:val="00F43FB2"/>
    <w:rsid w:val="00F44F3F"/>
    <w:rsid w:val="00F45511"/>
    <w:rsid w:val="00F45D42"/>
    <w:rsid w:val="00F52BF2"/>
    <w:rsid w:val="00F53824"/>
    <w:rsid w:val="00F538D8"/>
    <w:rsid w:val="00F54343"/>
    <w:rsid w:val="00F56A5B"/>
    <w:rsid w:val="00F574A8"/>
    <w:rsid w:val="00F57644"/>
    <w:rsid w:val="00F6045F"/>
    <w:rsid w:val="00F60C05"/>
    <w:rsid w:val="00F61F2B"/>
    <w:rsid w:val="00F633A0"/>
    <w:rsid w:val="00F64069"/>
    <w:rsid w:val="00F6469A"/>
    <w:rsid w:val="00F711CC"/>
    <w:rsid w:val="00F71D9E"/>
    <w:rsid w:val="00F74E7D"/>
    <w:rsid w:val="00F8138D"/>
    <w:rsid w:val="00F837C7"/>
    <w:rsid w:val="00F83DD9"/>
    <w:rsid w:val="00F90E54"/>
    <w:rsid w:val="00F97401"/>
    <w:rsid w:val="00FA0B06"/>
    <w:rsid w:val="00FA0F98"/>
    <w:rsid w:val="00FA3345"/>
    <w:rsid w:val="00FA334C"/>
    <w:rsid w:val="00FA3509"/>
    <w:rsid w:val="00FA5028"/>
    <w:rsid w:val="00FA53BF"/>
    <w:rsid w:val="00FA71D3"/>
    <w:rsid w:val="00FB3872"/>
    <w:rsid w:val="00FB67BF"/>
    <w:rsid w:val="00FC13F6"/>
    <w:rsid w:val="00FC4977"/>
    <w:rsid w:val="00FC514C"/>
    <w:rsid w:val="00FD1434"/>
    <w:rsid w:val="00FE1D59"/>
    <w:rsid w:val="00FE1E0C"/>
    <w:rsid w:val="00FE5D67"/>
    <w:rsid w:val="00FE5FB7"/>
    <w:rsid w:val="00FF0529"/>
    <w:rsid w:val="00FF3223"/>
    <w:rsid w:val="00FF4E7D"/>
    <w:rsid w:val="00FF60A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3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3259"/>
    <w:pPr>
      <w:ind w:left="720"/>
      <w:contextualSpacing/>
    </w:pPr>
  </w:style>
  <w:style w:type="paragraph" w:styleId="NoSpacing">
    <w:name w:val="No Spacing"/>
    <w:uiPriority w:val="99"/>
    <w:qFormat/>
    <w:rsid w:val="00673259"/>
    <w:rPr>
      <w:lang w:eastAsia="en-US"/>
    </w:rPr>
  </w:style>
  <w:style w:type="paragraph" w:styleId="Header">
    <w:name w:val="header"/>
    <w:basedOn w:val="Normal"/>
    <w:link w:val="HeaderChar"/>
    <w:uiPriority w:val="99"/>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3259"/>
    <w:rPr>
      <w:rFonts w:cs="Times New Roman"/>
    </w:rPr>
  </w:style>
  <w:style w:type="paragraph" w:styleId="Footer">
    <w:name w:val="footer"/>
    <w:basedOn w:val="Normal"/>
    <w:link w:val="FooterChar"/>
    <w:uiPriority w:val="99"/>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3259"/>
    <w:rPr>
      <w:rFonts w:cs="Times New Roman"/>
    </w:rPr>
  </w:style>
  <w:style w:type="paragraph" w:customStyle="1" w:styleId="Default">
    <w:name w:val="Default"/>
    <w:uiPriority w:val="99"/>
    <w:rsid w:val="00CB3D3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46693"/>
    <w:rPr>
      <w:rFonts w:cs="Times New Roman"/>
      <w:color w:val="0000FF"/>
      <w:u w:val="single"/>
    </w:rPr>
  </w:style>
  <w:style w:type="paragraph" w:customStyle="1" w:styleId="naiskr">
    <w:name w:val="naiskr"/>
    <w:basedOn w:val="Normal"/>
    <w:uiPriority w:val="99"/>
    <w:rsid w:val="000D1B4B"/>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0D1B4B"/>
    <w:pPr>
      <w:spacing w:before="150" w:after="150" w:line="240" w:lineRule="auto"/>
      <w:jc w:val="center"/>
    </w:pPr>
    <w:rPr>
      <w:rFonts w:ascii="Times New Roman" w:eastAsia="Times New Roman" w:hAnsi="Times New Roman"/>
      <w:b/>
      <w:bCs/>
      <w:sz w:val="24"/>
      <w:szCs w:val="24"/>
      <w:lang w:eastAsia="lv-LV"/>
    </w:rPr>
  </w:style>
</w:styles>
</file>

<file path=word/webSettings.xml><?xml version="1.0" encoding="utf-8"?>
<w:webSettings xmlns:r="http://schemas.openxmlformats.org/officeDocument/2006/relationships" xmlns:w="http://schemas.openxmlformats.org/wordprocessingml/2006/main">
  <w:divs>
    <w:div w:id="2054847246">
      <w:marLeft w:val="0"/>
      <w:marRight w:val="0"/>
      <w:marTop w:val="0"/>
      <w:marBottom w:val="0"/>
      <w:divBdr>
        <w:top w:val="none" w:sz="0" w:space="0" w:color="auto"/>
        <w:left w:val="none" w:sz="0" w:space="0" w:color="auto"/>
        <w:bottom w:val="none" w:sz="0" w:space="0" w:color="auto"/>
        <w:right w:val="none" w:sz="0" w:space="0" w:color="auto"/>
      </w:divBdr>
    </w:div>
    <w:div w:id="2054847247">
      <w:marLeft w:val="0"/>
      <w:marRight w:val="0"/>
      <w:marTop w:val="0"/>
      <w:marBottom w:val="0"/>
      <w:divBdr>
        <w:top w:val="none" w:sz="0" w:space="0" w:color="auto"/>
        <w:left w:val="none" w:sz="0" w:space="0" w:color="auto"/>
        <w:bottom w:val="none" w:sz="0" w:space="0" w:color="auto"/>
        <w:right w:val="none" w:sz="0" w:space="0" w:color="auto"/>
      </w:divBdr>
    </w:div>
    <w:div w:id="2054847248">
      <w:marLeft w:val="0"/>
      <w:marRight w:val="0"/>
      <w:marTop w:val="0"/>
      <w:marBottom w:val="0"/>
      <w:divBdr>
        <w:top w:val="none" w:sz="0" w:space="0" w:color="auto"/>
        <w:left w:val="none" w:sz="0" w:space="0" w:color="auto"/>
        <w:bottom w:val="none" w:sz="0" w:space="0" w:color="auto"/>
        <w:right w:val="none" w:sz="0" w:space="0" w:color="auto"/>
      </w:divBdr>
    </w:div>
    <w:div w:id="2054847249">
      <w:marLeft w:val="0"/>
      <w:marRight w:val="0"/>
      <w:marTop w:val="0"/>
      <w:marBottom w:val="0"/>
      <w:divBdr>
        <w:top w:val="none" w:sz="0" w:space="0" w:color="auto"/>
        <w:left w:val="none" w:sz="0" w:space="0" w:color="auto"/>
        <w:bottom w:val="none" w:sz="0" w:space="0" w:color="auto"/>
        <w:right w:val="none" w:sz="0" w:space="0" w:color="auto"/>
      </w:divBdr>
      <w:divsChild>
        <w:div w:id="2054847250">
          <w:marLeft w:val="0"/>
          <w:marRight w:val="0"/>
          <w:marTop w:val="0"/>
          <w:marBottom w:val="0"/>
          <w:divBdr>
            <w:top w:val="none" w:sz="0" w:space="0" w:color="auto"/>
            <w:left w:val="none" w:sz="0" w:space="0" w:color="auto"/>
            <w:bottom w:val="none" w:sz="0" w:space="0" w:color="auto"/>
            <w:right w:val="none" w:sz="0" w:space="0" w:color="auto"/>
          </w:divBdr>
        </w:div>
        <w:div w:id="205484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1068</TotalTime>
  <Pages>5</Pages>
  <Words>875</Words>
  <Characters>5915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28.marta noteikumos Nr. 248 „Noteikumi par jūras zvejas kuģu drošību” ”</dc:title>
  <dc:subject>Anotācija</dc:subject>
  <dc:creator>Laima Rituma, Jana Jankoviča</dc:creator>
  <cp:keywords>Satiksmes ministrija</cp:keywords>
  <dc:description>laima.rituma@sam.gov.lv, 67028198jana.jankovica@lja.lv, 67062133</dc:description>
  <cp:lastModifiedBy>bsterna</cp:lastModifiedBy>
  <cp:revision>3731</cp:revision>
  <cp:lastPrinted>2011-11-24T08:55:00Z</cp:lastPrinted>
  <dcterms:created xsi:type="dcterms:W3CDTF">2011-02-24T12:51:00Z</dcterms:created>
  <dcterms:modified xsi:type="dcterms:W3CDTF">2011-12-21T14:25:00Z</dcterms:modified>
</cp:coreProperties>
</file>