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FE" w:rsidRPr="00713EEA" w:rsidRDefault="00A34DFE" w:rsidP="00A07DA2">
      <w:pPr>
        <w:spacing w:after="0" w:line="240" w:lineRule="auto"/>
        <w:jc w:val="center"/>
        <w:rPr>
          <w:b/>
          <w:szCs w:val="24"/>
          <w:lang w:eastAsia="lv-LV"/>
        </w:rPr>
      </w:pPr>
      <w:r w:rsidRPr="00713EEA">
        <w:rPr>
          <w:b/>
          <w:bCs/>
          <w:szCs w:val="24"/>
          <w:lang w:eastAsia="lv-LV"/>
        </w:rPr>
        <w:t>Ministru kabineta rīkojuma projekta</w:t>
      </w:r>
    </w:p>
    <w:p w:rsidR="00A34DFE" w:rsidRPr="00713EEA" w:rsidRDefault="00A34DFE" w:rsidP="00A07DA2">
      <w:pPr>
        <w:spacing w:after="0" w:line="240" w:lineRule="auto"/>
        <w:jc w:val="center"/>
        <w:rPr>
          <w:b/>
          <w:szCs w:val="24"/>
        </w:rPr>
      </w:pPr>
      <w:r w:rsidRPr="00713EEA">
        <w:rPr>
          <w:b/>
          <w:szCs w:val="24"/>
        </w:rPr>
        <w:t>„Par valstij dividendēs izmaksājamo valsts akciju sabiedrības „Ceļu satiksmes drošības direkcija” peļņas daļu”” sākotnējās ietekmes novērtējuma ziņojums (anotācija)</w:t>
      </w:r>
    </w:p>
    <w:p w:rsidR="00A34DFE" w:rsidRPr="00713EEA" w:rsidRDefault="00A34DFE" w:rsidP="00A07DA2">
      <w:pPr>
        <w:spacing w:after="0" w:line="240" w:lineRule="auto"/>
        <w:jc w:val="center"/>
        <w:rPr>
          <w:b/>
          <w:szCs w:val="24"/>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6"/>
        <w:gridCol w:w="208"/>
        <w:gridCol w:w="2025"/>
        <w:gridCol w:w="303"/>
        <w:gridCol w:w="1070"/>
        <w:gridCol w:w="12"/>
        <w:gridCol w:w="1278"/>
        <w:gridCol w:w="1290"/>
        <w:gridCol w:w="1290"/>
        <w:gridCol w:w="384"/>
        <w:gridCol w:w="859"/>
      </w:tblGrid>
      <w:tr w:rsidR="00A34DFE" w:rsidRPr="00713EEA">
        <w:trPr>
          <w:tblCellSpacing w:w="0" w:type="dxa"/>
        </w:trPr>
        <w:tc>
          <w:tcPr>
            <w:tcW w:w="9195" w:type="dxa"/>
            <w:gridSpan w:val="11"/>
            <w:tcBorders>
              <w:top w:val="outset" w:sz="6" w:space="0" w:color="auto"/>
              <w:bottom w:val="outset" w:sz="6" w:space="0" w:color="auto"/>
            </w:tcBorders>
            <w:vAlign w:val="center"/>
          </w:tcPr>
          <w:p w:rsidR="00A34DFE" w:rsidRPr="00713EEA" w:rsidRDefault="00A34DFE" w:rsidP="00A07DA2">
            <w:pPr>
              <w:spacing w:after="0" w:line="240" w:lineRule="auto"/>
              <w:jc w:val="center"/>
              <w:rPr>
                <w:szCs w:val="24"/>
                <w:lang w:eastAsia="lv-LV"/>
              </w:rPr>
            </w:pPr>
            <w:r w:rsidRPr="00713EEA">
              <w:rPr>
                <w:szCs w:val="24"/>
                <w:lang w:eastAsia="lv-LV"/>
              </w:rPr>
              <w:t> </w:t>
            </w:r>
            <w:r w:rsidRPr="00713EEA">
              <w:rPr>
                <w:b/>
                <w:bCs/>
                <w:szCs w:val="24"/>
                <w:lang w:eastAsia="lv-LV"/>
              </w:rPr>
              <w:t> I. Tiesību akta projekta izstrādes nepieciešamība</w:t>
            </w:r>
          </w:p>
        </w:tc>
      </w:tr>
      <w:tr w:rsidR="00A34DFE" w:rsidRPr="00713EEA" w:rsidTr="00713EEA">
        <w:trPr>
          <w:trHeight w:val="630"/>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1.</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Pamatojums</w:t>
            </w:r>
          </w:p>
        </w:tc>
        <w:tc>
          <w:tcPr>
            <w:tcW w:w="6183" w:type="dxa"/>
            <w:gridSpan w:val="7"/>
            <w:tcBorders>
              <w:top w:val="outset" w:sz="6" w:space="0" w:color="auto"/>
              <w:left w:val="outset" w:sz="6" w:space="0" w:color="auto"/>
              <w:bottom w:val="outset" w:sz="6" w:space="0" w:color="auto"/>
            </w:tcBorders>
          </w:tcPr>
          <w:p w:rsidR="00A34DFE" w:rsidRPr="00713EEA" w:rsidRDefault="00A34DFE" w:rsidP="00BB4690">
            <w:pPr>
              <w:spacing w:after="0" w:line="240" w:lineRule="auto"/>
              <w:jc w:val="both"/>
              <w:rPr>
                <w:szCs w:val="24"/>
              </w:rPr>
            </w:pPr>
            <w:r w:rsidRPr="00713EEA">
              <w:rPr>
                <w:szCs w:val="24"/>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izmantošanu” 5.punkts.</w:t>
            </w:r>
          </w:p>
          <w:p w:rsidR="00A34DFE" w:rsidRPr="00713EEA" w:rsidRDefault="00A34DFE" w:rsidP="00BB4690">
            <w:pPr>
              <w:spacing w:after="0" w:line="240" w:lineRule="auto"/>
              <w:jc w:val="both"/>
              <w:rPr>
                <w:color w:val="000000"/>
                <w:szCs w:val="24"/>
              </w:rPr>
            </w:pPr>
            <w:r w:rsidRPr="00713EEA">
              <w:rPr>
                <w:szCs w:val="24"/>
              </w:rPr>
              <w:t>Ministru kabineta 2009.gada 15.decembra sēdes protokols Nr.88 104.§ 2.punkts.</w:t>
            </w:r>
          </w:p>
        </w:tc>
      </w:tr>
      <w:tr w:rsidR="00A34DFE" w:rsidRPr="00713EEA" w:rsidTr="00713EEA">
        <w:trPr>
          <w:trHeight w:val="472"/>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2.</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Pašreizējā situācija un problēmas</w:t>
            </w:r>
          </w:p>
        </w:tc>
        <w:tc>
          <w:tcPr>
            <w:tcW w:w="6183" w:type="dxa"/>
            <w:gridSpan w:val="7"/>
            <w:tcBorders>
              <w:top w:val="outset" w:sz="6" w:space="0" w:color="auto"/>
              <w:left w:val="outset" w:sz="6" w:space="0" w:color="auto"/>
              <w:bottom w:val="outset" w:sz="6" w:space="0" w:color="auto"/>
            </w:tcBorders>
          </w:tcPr>
          <w:p w:rsidR="00A34DFE" w:rsidRPr="00713EEA" w:rsidRDefault="00A34DFE" w:rsidP="00A07DA2">
            <w:pPr>
              <w:pStyle w:val="BodyText"/>
              <w:spacing w:after="0"/>
              <w:jc w:val="both"/>
              <w:rPr>
                <w:lang w:val="lv-LV"/>
              </w:rPr>
            </w:pPr>
            <w:r w:rsidRPr="00713EEA">
              <w:rPr>
                <w:lang w:val="lv-LV"/>
              </w:rPr>
              <w:t>Valsts akciju sabiedrība „Ceļu satiksmes drošības direkcija” (turpmāk – kapitālsabiedrība) komercdarbību 201</w:t>
            </w:r>
            <w:r w:rsidR="007E05A0">
              <w:rPr>
                <w:lang w:val="lv-LV"/>
              </w:rPr>
              <w:t>2</w:t>
            </w:r>
            <w:r w:rsidRPr="00713EEA">
              <w:rPr>
                <w:lang w:val="lv-LV"/>
              </w:rPr>
              <w:t>.gadā ir noslēgusi ar peļņu</w:t>
            </w:r>
            <w:r w:rsidR="007E05A0">
              <w:rPr>
                <w:lang w:val="lv-LV"/>
              </w:rPr>
              <w:t xml:space="preserve"> </w:t>
            </w:r>
            <w:r w:rsidRPr="007B3A4C">
              <w:rPr>
                <w:lang w:val="lv-LV"/>
              </w:rPr>
              <w:t>L</w:t>
            </w:r>
            <w:r w:rsidR="003B12E6" w:rsidRPr="007B3A4C">
              <w:rPr>
                <w:lang w:val="lv-LV"/>
              </w:rPr>
              <w:t xml:space="preserve">s </w:t>
            </w:r>
            <w:r w:rsidR="00D97388" w:rsidRPr="00A86FEF">
              <w:rPr>
                <w:lang w:val="lv-LV"/>
              </w:rPr>
              <w:t xml:space="preserve">1 410 701 </w:t>
            </w:r>
            <w:r w:rsidRPr="007B3A4C">
              <w:rPr>
                <w:lang w:val="lv-LV"/>
              </w:rPr>
              <w:t>apmērā</w:t>
            </w:r>
            <w:r w:rsidRPr="00713EEA">
              <w:rPr>
                <w:lang w:val="lv-LV"/>
              </w:rPr>
              <w:t>.</w:t>
            </w:r>
          </w:p>
          <w:p w:rsidR="00A34DFE" w:rsidRPr="00713EEA" w:rsidRDefault="00A34DFE" w:rsidP="00A07DA2">
            <w:pPr>
              <w:pStyle w:val="BodyText"/>
              <w:spacing w:after="0"/>
              <w:jc w:val="both"/>
              <w:rPr>
                <w:lang w:val="lv-LV"/>
              </w:rPr>
            </w:pPr>
            <w:r w:rsidRPr="00713EEA">
              <w:rPr>
                <w:lang w:val="lv-LV"/>
              </w:rPr>
              <w:t>Saskaņā ar likuma „Par valsts un pašvaldību kapitāla daļām un kapitālsabiedrībām” 3.panta trešo daļu un Ministru kabineta 2009.gada 15.decembra noteikumu Nr.1471 „Kārtība, kādā tiek noteikta valsts budžetā izmaksājamā peļņas daļa par valsts kapitāla izmantoša</w:t>
            </w:r>
            <w:r w:rsidR="007B3A4C">
              <w:rPr>
                <w:lang w:val="lv-LV"/>
              </w:rPr>
              <w:t>nu” (turpmāk noteikumi Nr.1471)</w:t>
            </w:r>
            <w:r w:rsidRPr="00713EEA">
              <w:rPr>
                <w:lang w:val="lv-LV"/>
              </w:rPr>
              <w:t xml:space="preserve"> 4.</w:t>
            </w:r>
            <w:r w:rsidRPr="00713EEA">
              <w:rPr>
                <w:vertAlign w:val="superscript"/>
                <w:lang w:val="lv-LV"/>
              </w:rPr>
              <w:t>1</w:t>
            </w:r>
            <w:r w:rsidRPr="00713EEA">
              <w:rPr>
                <w:lang w:val="lv-LV"/>
              </w:rPr>
              <w:t xml:space="preserve"> punktu minimālo dividendēs izmaksājamo peļņas daļu par 201</w:t>
            </w:r>
            <w:r w:rsidR="00115270">
              <w:rPr>
                <w:lang w:val="lv-LV"/>
              </w:rPr>
              <w:t>2</w:t>
            </w:r>
            <w:r w:rsidRPr="00713EEA">
              <w:rPr>
                <w:lang w:val="lv-LV"/>
              </w:rPr>
              <w:t>. pārskata gadu kapitālsabiedrībām, kurās visas kapitāla daļas tieši vai pastarpināti pieder valstij</w:t>
            </w:r>
            <w:r w:rsidR="00E4246F" w:rsidRPr="00713EEA">
              <w:rPr>
                <w:lang w:val="lv-LV"/>
              </w:rPr>
              <w:t xml:space="preserve"> nosaka</w:t>
            </w:r>
            <w:r w:rsidRPr="00713EEA">
              <w:rPr>
                <w:lang w:val="lv-LV"/>
              </w:rPr>
              <w:t xml:space="preserve">, – 90 procentu apmērā no attiecīgās kapitālsabiedrības tīrās peļņas, ja valsts budžeta likumā kārtējam gadam nav noteikts citādi. Tādejādi kapitālsabiedrībai pēc lēmuma pieņemšanas par dividenžu sadali Valsts kasē </w:t>
            </w:r>
            <w:r w:rsidRPr="00100C3E">
              <w:rPr>
                <w:lang w:val="lv-LV"/>
              </w:rPr>
              <w:t>par 201</w:t>
            </w:r>
            <w:r w:rsidR="007E05A0" w:rsidRPr="00100C3E">
              <w:rPr>
                <w:lang w:val="lv-LV"/>
              </w:rPr>
              <w:t>2</w:t>
            </w:r>
            <w:r w:rsidRPr="00100C3E">
              <w:rPr>
                <w:lang w:val="lv-LV"/>
              </w:rPr>
              <w:t>.gadu būtu jāieskaita dividendes L</w:t>
            </w:r>
            <w:r w:rsidR="004A32FF" w:rsidRPr="00100C3E">
              <w:rPr>
                <w:lang w:val="lv-LV"/>
              </w:rPr>
              <w:t>s 1</w:t>
            </w:r>
            <w:r w:rsidR="00100C3E" w:rsidRPr="00100C3E">
              <w:rPr>
                <w:lang w:val="lv-LV"/>
              </w:rPr>
              <w:t> 269 630</w:t>
            </w:r>
            <w:r w:rsidR="0067078B" w:rsidRPr="00100C3E">
              <w:rPr>
                <w:lang w:val="lv-LV"/>
              </w:rPr>
              <w:t xml:space="preserve"> apmērā</w:t>
            </w:r>
            <w:r w:rsidR="0067078B" w:rsidRPr="00713EEA">
              <w:rPr>
                <w:lang w:val="lv-LV"/>
              </w:rPr>
              <w:t>.</w:t>
            </w:r>
          </w:p>
          <w:p w:rsidR="00D01008" w:rsidRPr="00713EEA" w:rsidRDefault="00A34DFE" w:rsidP="00710E65">
            <w:pPr>
              <w:spacing w:after="0" w:line="240" w:lineRule="auto"/>
              <w:jc w:val="both"/>
              <w:rPr>
                <w:szCs w:val="24"/>
                <w:lang w:eastAsia="lv-LV"/>
              </w:rPr>
            </w:pPr>
            <w:r w:rsidRPr="00713EEA">
              <w:rPr>
                <w:szCs w:val="24"/>
              </w:rPr>
              <w:t>Savukārt, noteikumu Nr.1471 5.punkts noteic,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tc>
      </w:tr>
      <w:tr w:rsidR="00A34DFE" w:rsidRPr="00713EEA" w:rsidTr="00713EEA">
        <w:trPr>
          <w:trHeight w:val="837"/>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3.</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Saistītie politikas ietekmes novērtējumi un pētījumi</w:t>
            </w:r>
          </w:p>
        </w:tc>
        <w:tc>
          <w:tcPr>
            <w:tcW w:w="6183" w:type="dxa"/>
            <w:gridSpan w:val="7"/>
            <w:tcBorders>
              <w:top w:val="outset" w:sz="6" w:space="0" w:color="auto"/>
              <w:left w:val="outset" w:sz="6" w:space="0" w:color="auto"/>
              <w:bottom w:val="outset" w:sz="6" w:space="0" w:color="auto"/>
            </w:tcBorders>
          </w:tcPr>
          <w:p w:rsidR="00A34DFE" w:rsidRPr="00713EEA" w:rsidRDefault="00A34DFE" w:rsidP="00A07DA2">
            <w:pPr>
              <w:spacing w:after="0" w:line="240" w:lineRule="auto"/>
              <w:rPr>
                <w:szCs w:val="24"/>
                <w:lang w:eastAsia="lv-LV"/>
              </w:rPr>
            </w:pPr>
            <w:r w:rsidRPr="00713EEA">
              <w:rPr>
                <w:szCs w:val="24"/>
              </w:rPr>
              <w:t>Projekts šo jomu neskar.</w:t>
            </w:r>
          </w:p>
        </w:tc>
      </w:tr>
      <w:tr w:rsidR="00A34DFE" w:rsidRPr="00713EEA" w:rsidTr="00713EEA">
        <w:trPr>
          <w:trHeight w:val="384"/>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4.</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Tiesiskā regulējuma mērķis un būtība</w:t>
            </w:r>
          </w:p>
        </w:tc>
        <w:tc>
          <w:tcPr>
            <w:tcW w:w="6183" w:type="dxa"/>
            <w:gridSpan w:val="7"/>
            <w:tcBorders>
              <w:top w:val="outset" w:sz="6" w:space="0" w:color="auto"/>
              <w:left w:val="outset" w:sz="6" w:space="0" w:color="auto"/>
              <w:bottom w:val="outset" w:sz="6" w:space="0" w:color="auto"/>
            </w:tcBorders>
          </w:tcPr>
          <w:p w:rsidR="00A34DFE" w:rsidRPr="00713EEA" w:rsidRDefault="00A34DFE" w:rsidP="00A07DA2">
            <w:pPr>
              <w:spacing w:after="0" w:line="240" w:lineRule="auto"/>
              <w:jc w:val="both"/>
              <w:rPr>
                <w:szCs w:val="24"/>
              </w:rPr>
            </w:pPr>
            <w:r w:rsidRPr="00713EEA">
              <w:rPr>
                <w:szCs w:val="24"/>
              </w:rPr>
              <w:t xml:space="preserve">Ministru kabineta rīkojuma projekts </w:t>
            </w:r>
            <w:r w:rsidRPr="00F15880">
              <w:rPr>
                <w:szCs w:val="24"/>
              </w:rPr>
              <w:t>“</w:t>
            </w:r>
            <w:r w:rsidRPr="00713EEA">
              <w:rPr>
                <w:szCs w:val="24"/>
              </w:rPr>
              <w:t>Par valstij dividendēs izmaksājamo valsts akciju sabiedrības „Ceļu satiksmes drošības direkcija” peļņas daļu””</w:t>
            </w:r>
            <w:r w:rsidRPr="00713EEA">
              <w:rPr>
                <w:b/>
                <w:szCs w:val="24"/>
              </w:rPr>
              <w:t xml:space="preserve"> </w:t>
            </w:r>
            <w:r w:rsidR="00155C9E" w:rsidRPr="00713EEA">
              <w:rPr>
                <w:szCs w:val="24"/>
              </w:rPr>
              <w:t>paredz S</w:t>
            </w:r>
            <w:r w:rsidRPr="00713EEA">
              <w:rPr>
                <w:szCs w:val="24"/>
              </w:rPr>
              <w:t>abiedrībai par 201</w:t>
            </w:r>
            <w:r w:rsidR="007E05A0">
              <w:rPr>
                <w:szCs w:val="24"/>
              </w:rPr>
              <w:t>2</w:t>
            </w:r>
            <w:r w:rsidRPr="00713EEA">
              <w:rPr>
                <w:szCs w:val="24"/>
              </w:rPr>
              <w:t xml:space="preserve">.gadu valsts budžetā dividendēs izmaksājamo peļņas daļu noteikt </w:t>
            </w:r>
            <w:r w:rsidR="00517258" w:rsidRPr="00713EEA">
              <w:rPr>
                <w:szCs w:val="24"/>
              </w:rPr>
              <w:t>0</w:t>
            </w:r>
            <w:r w:rsidRPr="00713EEA">
              <w:rPr>
                <w:szCs w:val="24"/>
              </w:rPr>
              <w:t>% apmērā no kapitālsabiedrības tīrās peļņas.</w:t>
            </w:r>
          </w:p>
          <w:p w:rsidR="00A34DFE" w:rsidRPr="00713EEA" w:rsidRDefault="00A34DFE" w:rsidP="00A07DA2">
            <w:pPr>
              <w:spacing w:after="0" w:line="240" w:lineRule="auto"/>
              <w:jc w:val="both"/>
              <w:rPr>
                <w:szCs w:val="24"/>
              </w:rPr>
            </w:pPr>
            <w:r w:rsidRPr="00713EEA">
              <w:rPr>
                <w:szCs w:val="24"/>
              </w:rPr>
              <w:t>Rīkojuma projektam, atbilstoši noteikumu Nr.1471 5.1. apakšpunktam, sniedzam sekojošu ekonomisko pamatojumu:</w:t>
            </w:r>
          </w:p>
          <w:p w:rsidR="00A34DFE" w:rsidRPr="00713EEA" w:rsidRDefault="00A34DFE" w:rsidP="00A07DA2">
            <w:pPr>
              <w:spacing w:after="0" w:line="240" w:lineRule="auto"/>
              <w:jc w:val="both"/>
              <w:rPr>
                <w:szCs w:val="24"/>
              </w:rPr>
            </w:pPr>
            <w:r w:rsidRPr="00713EEA">
              <w:rPr>
                <w:szCs w:val="24"/>
              </w:rPr>
              <w:t>-</w:t>
            </w:r>
            <w:r w:rsidR="00FA094F" w:rsidRPr="00713EEA">
              <w:rPr>
                <w:szCs w:val="24"/>
              </w:rPr>
              <w:t xml:space="preserve"> </w:t>
            </w:r>
            <w:r w:rsidR="00155C9E" w:rsidRPr="00713EEA">
              <w:rPr>
                <w:szCs w:val="24"/>
              </w:rPr>
              <w:t xml:space="preserve">ievērojot </w:t>
            </w:r>
            <w:r w:rsidR="00836000">
              <w:rPr>
                <w:szCs w:val="24"/>
              </w:rPr>
              <w:t xml:space="preserve">Biķernieku kompleksajai sporta </w:t>
            </w:r>
            <w:r w:rsidR="00155C9E" w:rsidRPr="00713EEA">
              <w:rPr>
                <w:szCs w:val="24"/>
              </w:rPr>
              <w:t>bāzei noteikto nacionālās sporta bāzes</w:t>
            </w:r>
            <w:r w:rsidR="00113597" w:rsidRPr="00713EEA">
              <w:rPr>
                <w:szCs w:val="24"/>
              </w:rPr>
              <w:t xml:space="preserve"> statusu</w:t>
            </w:r>
            <w:r w:rsidR="00155C9E" w:rsidRPr="00713EEA">
              <w:rPr>
                <w:szCs w:val="24"/>
              </w:rPr>
              <w:t xml:space="preserve">, Sabiedrībai ir </w:t>
            </w:r>
            <w:r w:rsidR="002F1AD7" w:rsidRPr="00713EEA">
              <w:rPr>
                <w:szCs w:val="24"/>
              </w:rPr>
              <w:t xml:space="preserve">pienākums saglabāt, nodrošināt un attīstīt bāzes darbību dažāda veida sporta, izglītojošo un satiksmes drošības veicinošo pasākumu </w:t>
            </w:r>
            <w:r w:rsidR="002F1AD7" w:rsidRPr="00713EEA">
              <w:rPr>
                <w:szCs w:val="24"/>
              </w:rPr>
              <w:lastRenderedPageBreak/>
              <w:t>īstenošanai</w:t>
            </w:r>
            <w:r w:rsidRPr="00713EEA">
              <w:rPr>
                <w:szCs w:val="24"/>
              </w:rPr>
              <w:t>;</w:t>
            </w:r>
          </w:p>
          <w:p w:rsidR="00D01008" w:rsidRPr="00C53A9F" w:rsidRDefault="00A34DFE" w:rsidP="004330C0">
            <w:pPr>
              <w:spacing w:after="0" w:line="240" w:lineRule="auto"/>
              <w:jc w:val="both"/>
              <w:rPr>
                <w:szCs w:val="24"/>
                <w:u w:val="single"/>
              </w:rPr>
            </w:pPr>
            <w:r w:rsidRPr="00713EEA">
              <w:rPr>
                <w:szCs w:val="24"/>
              </w:rPr>
              <w:t xml:space="preserve">- </w:t>
            </w:r>
            <w:r w:rsidR="004330C0" w:rsidRPr="00713EEA">
              <w:rPr>
                <w:szCs w:val="24"/>
              </w:rPr>
              <w:t xml:space="preserve">Biķernieku kompleksajā sporta bāzē nepieciešami ieguldījumi, lai arī turpmāk varētu nodrošināt minēto </w:t>
            </w:r>
            <w:r w:rsidR="004330C0" w:rsidRPr="00C53A9F">
              <w:rPr>
                <w:szCs w:val="24"/>
              </w:rPr>
              <w:t>pienākumu izpildi</w:t>
            </w:r>
            <w:r w:rsidR="00085C6B" w:rsidRPr="00C53A9F">
              <w:rPr>
                <w:szCs w:val="24"/>
              </w:rPr>
              <w:t>;</w:t>
            </w:r>
          </w:p>
          <w:p w:rsidR="00D01008" w:rsidRDefault="00D01008" w:rsidP="00A22E02">
            <w:pPr>
              <w:spacing w:after="0" w:line="240" w:lineRule="auto"/>
              <w:jc w:val="both"/>
              <w:rPr>
                <w:szCs w:val="24"/>
              </w:rPr>
            </w:pPr>
            <w:r w:rsidRPr="00C53A9F">
              <w:rPr>
                <w:szCs w:val="24"/>
              </w:rPr>
              <w:t xml:space="preserve">- </w:t>
            </w:r>
            <w:r w:rsidR="00615981">
              <w:rPr>
                <w:szCs w:val="24"/>
              </w:rPr>
              <w:t xml:space="preserve">Latvija ir ieguvusi iespēju 2014.gadā rīkot Rīgā </w:t>
            </w:r>
            <w:r w:rsidR="00A22E02">
              <w:rPr>
                <w:szCs w:val="24"/>
              </w:rPr>
              <w:t>FIM</w:t>
            </w:r>
            <w:r w:rsidR="00615981">
              <w:rPr>
                <w:szCs w:val="24"/>
              </w:rPr>
              <w:t xml:space="preserve"> Grand </w:t>
            </w:r>
            <w:proofErr w:type="spellStart"/>
            <w:r w:rsidR="00615981">
              <w:rPr>
                <w:szCs w:val="24"/>
              </w:rPr>
              <w:t>Prix</w:t>
            </w:r>
            <w:proofErr w:type="spellEnd"/>
            <w:r w:rsidR="00615981">
              <w:rPr>
                <w:szCs w:val="24"/>
              </w:rPr>
              <w:t xml:space="preserve"> posmu</w:t>
            </w:r>
            <w:r w:rsidR="00764531">
              <w:rPr>
                <w:szCs w:val="24"/>
              </w:rPr>
              <w:t xml:space="preserve"> spīdvejā</w:t>
            </w:r>
            <w:r w:rsidR="00615981">
              <w:rPr>
                <w:szCs w:val="24"/>
              </w:rPr>
              <w:t>, kam nepieciešams veikt Biķernieku kompleksajā sporta bāzē esošā spīdveja stadiona sagatavošanas darbus</w:t>
            </w:r>
            <w:r w:rsidR="00085C6B" w:rsidRPr="00C53A9F">
              <w:rPr>
                <w:szCs w:val="24"/>
              </w:rPr>
              <w:t>.</w:t>
            </w:r>
            <w:r w:rsidR="009E1BAB" w:rsidRPr="00C53A9F">
              <w:rPr>
                <w:szCs w:val="24"/>
              </w:rPr>
              <w:t xml:space="preserve"> </w:t>
            </w:r>
          </w:p>
          <w:p w:rsidR="007D4E95" w:rsidRPr="007D4E95" w:rsidRDefault="007D4E95" w:rsidP="007D4E95">
            <w:pPr>
              <w:spacing w:after="0" w:line="240" w:lineRule="auto"/>
              <w:jc w:val="both"/>
              <w:rPr>
                <w:b/>
                <w:szCs w:val="24"/>
              </w:rPr>
            </w:pPr>
            <w:r w:rsidRPr="007D4E95">
              <w:rPr>
                <w:b/>
                <w:szCs w:val="24"/>
              </w:rPr>
              <w:t xml:space="preserve">BKSB darbības nodrošināšana atbilstoši apstiprinātajiem statūtiem ir viens no CSDD komercdarbības veidiem un tās pienākums ir nodrošināt bāzes ilgtspējīgu attīstību un konkurētspēju. Ja netiktu veiktas investīcijas bāzes darbības nodrošināšanā un attīstīšanā, tā zaudētu savu nozīmi un iespējams jau tuvākajā laikā kļūtu izmantošanai nederīga (segums, drošības aprīkojums, komunikāciju sistēmas </w:t>
            </w:r>
            <w:proofErr w:type="spellStart"/>
            <w:r w:rsidRPr="007D4E95">
              <w:rPr>
                <w:b/>
                <w:szCs w:val="24"/>
              </w:rPr>
              <w:t>u.c</w:t>
            </w:r>
            <w:proofErr w:type="spellEnd"/>
            <w:r w:rsidRPr="007D4E95">
              <w:rPr>
                <w:b/>
                <w:szCs w:val="24"/>
              </w:rPr>
              <w:t>.).</w:t>
            </w:r>
          </w:p>
          <w:p w:rsidR="007D4E95" w:rsidRDefault="007D4E95" w:rsidP="007D4E95">
            <w:pPr>
              <w:spacing w:after="0" w:line="240" w:lineRule="auto"/>
              <w:jc w:val="both"/>
              <w:rPr>
                <w:b/>
                <w:szCs w:val="24"/>
              </w:rPr>
            </w:pPr>
            <w:r w:rsidRPr="007D4E95">
              <w:rPr>
                <w:b/>
                <w:szCs w:val="24"/>
              </w:rPr>
              <w:t>Spīdveja stadiona rekonstrukcija ir tikai viens no daudzajiem projektiem, kuru ir paredzēts realizēt Biķernieku sporta kompleksajā bāzē, kas detalizēti ir norādīts Ministru kabineta rīkojumam pievienotajā anotācijā. Spīdveja stadiona rekonstrukcijai atbilstoši plānotajiem darbiem ir paredzēts novirzīt apmēram 300 000 latu, savukārt citu rekonstrukcijas un BKSB attīstības projektu realizācijai jau šobrīd ir ieguldīti apmēram 400 000 latu, bet, lai sekmīgi konkurētu ar citām līdzīgām trasēm Eiropā, ir nepieciešami daudz būtiskāki ieguldījumi, kas atbilstoši nepieciešamākajām vajadzībām secīgi arī tiek īstenoti. Valsts akciju sabiedrības „Ceļu satiksmes drošības direkcija” dividendēs izmaksājamās peļņas daļas samazinājums ir ekonomiski pamatots un atbilst M</w:t>
            </w:r>
            <w:r>
              <w:rPr>
                <w:b/>
                <w:szCs w:val="24"/>
              </w:rPr>
              <w:t>K</w:t>
            </w:r>
            <w:r w:rsidRPr="007D4E95">
              <w:rPr>
                <w:b/>
                <w:szCs w:val="24"/>
              </w:rPr>
              <w:t xml:space="preserve"> noteikumu Nr.1471 </w:t>
            </w:r>
            <w:r>
              <w:rPr>
                <w:b/>
                <w:szCs w:val="24"/>
              </w:rPr>
              <w:t>5. punktam</w:t>
            </w:r>
            <w:r w:rsidRPr="007D4E95">
              <w:rPr>
                <w:b/>
                <w:szCs w:val="24"/>
              </w:rPr>
              <w:t xml:space="preserve">, jo BKSB attīstīšana ir tieša konkurences nodrošināšana ar citām līdzīgajām sporta bāzēm ne tikai Baltijā, bet Eiropas līmenī, par ko liecina arī fakts, ka 2014.gadā BKSB notiks pasaules spīdveja prestižāko sacensību viens no </w:t>
            </w:r>
            <w:proofErr w:type="spellStart"/>
            <w:r w:rsidRPr="007D4E95">
              <w:rPr>
                <w:b/>
                <w:szCs w:val="24"/>
              </w:rPr>
              <w:t>Grad</w:t>
            </w:r>
            <w:proofErr w:type="spellEnd"/>
            <w:r w:rsidRPr="007D4E95">
              <w:rPr>
                <w:b/>
                <w:szCs w:val="24"/>
              </w:rPr>
              <w:t xml:space="preserve"> </w:t>
            </w:r>
            <w:proofErr w:type="spellStart"/>
            <w:r w:rsidRPr="007D4E95">
              <w:rPr>
                <w:b/>
                <w:szCs w:val="24"/>
              </w:rPr>
              <w:t>Prix</w:t>
            </w:r>
            <w:proofErr w:type="spellEnd"/>
            <w:r w:rsidRPr="007D4E95">
              <w:rPr>
                <w:b/>
                <w:szCs w:val="24"/>
              </w:rPr>
              <w:t xml:space="preserve"> posmiem.</w:t>
            </w:r>
          </w:p>
          <w:p w:rsidR="003D2A8C" w:rsidRPr="003D2A8C" w:rsidRDefault="003D2A8C" w:rsidP="003D2A8C">
            <w:pPr>
              <w:spacing w:after="0" w:line="240" w:lineRule="auto"/>
              <w:jc w:val="both"/>
              <w:rPr>
                <w:b/>
                <w:szCs w:val="24"/>
              </w:rPr>
            </w:pPr>
            <w:r w:rsidRPr="003D2A8C">
              <w:rPr>
                <w:b/>
                <w:szCs w:val="24"/>
              </w:rPr>
              <w:t>Saskaņā ar CSDD operatīvo bilanci, kas sastādīta 30.06.2013., naudas līdzekļu uzkrājums ir 4,4milj.LVL.</w:t>
            </w:r>
          </w:p>
          <w:p w:rsidR="003D2A8C" w:rsidRPr="003D2A8C" w:rsidRDefault="00F64B80" w:rsidP="003D2A8C">
            <w:pPr>
              <w:spacing w:after="0" w:line="240" w:lineRule="auto"/>
              <w:jc w:val="both"/>
              <w:rPr>
                <w:b/>
                <w:szCs w:val="24"/>
              </w:rPr>
            </w:pPr>
            <w:r>
              <w:rPr>
                <w:b/>
                <w:szCs w:val="24"/>
              </w:rPr>
              <w:t>Šajā summā</w:t>
            </w:r>
            <w:r w:rsidR="003D2A8C" w:rsidRPr="003D2A8C">
              <w:rPr>
                <w:b/>
                <w:szCs w:val="24"/>
              </w:rPr>
              <w:t xml:space="preserve"> ietilpst:</w:t>
            </w:r>
          </w:p>
          <w:p w:rsidR="003D2A8C" w:rsidRPr="003D2A8C" w:rsidRDefault="003D2A8C" w:rsidP="003D2A8C">
            <w:pPr>
              <w:spacing w:after="0" w:line="240" w:lineRule="auto"/>
              <w:jc w:val="both"/>
              <w:rPr>
                <w:b/>
                <w:szCs w:val="24"/>
              </w:rPr>
            </w:pPr>
            <w:r w:rsidRPr="003D2A8C">
              <w:rPr>
                <w:b/>
                <w:szCs w:val="24"/>
              </w:rPr>
              <w:t>1)         2012.gada peļņa un valstij piekrītošās dividendes 1,27milj.LVL;</w:t>
            </w:r>
          </w:p>
          <w:p w:rsidR="003D2A8C" w:rsidRPr="003D2A8C" w:rsidRDefault="003D2A8C" w:rsidP="003D2A8C">
            <w:pPr>
              <w:spacing w:after="0" w:line="240" w:lineRule="auto"/>
              <w:jc w:val="both"/>
              <w:rPr>
                <w:b/>
                <w:szCs w:val="24"/>
              </w:rPr>
            </w:pPr>
            <w:r w:rsidRPr="003D2A8C">
              <w:rPr>
                <w:b/>
                <w:szCs w:val="24"/>
              </w:rPr>
              <w:t>2)         Uzkrājums no 2010. Un 2011.gada valstij neizmaksātajām dividendēm, ko paredzēts investēt BKSB sakārtošanai (1,4milj.LVL-0,4milj.LVL=1,0milj.LVL);</w:t>
            </w:r>
          </w:p>
          <w:p w:rsidR="003D2A8C" w:rsidRPr="003D2A8C" w:rsidRDefault="003D2A8C" w:rsidP="003D2A8C">
            <w:pPr>
              <w:spacing w:after="0" w:line="240" w:lineRule="auto"/>
              <w:jc w:val="both"/>
              <w:rPr>
                <w:b/>
                <w:szCs w:val="24"/>
              </w:rPr>
            </w:pPr>
            <w:r w:rsidRPr="003D2A8C">
              <w:rPr>
                <w:b/>
                <w:szCs w:val="24"/>
              </w:rPr>
              <w:t xml:space="preserve">3)         Atlikušais uzkrājums mērķtiecīgi veidots vairāku gadu garumā, lai 2013.-2014.gadā realizētu apjomīgu investīciju plānu – veiktu Rīgas Motormuzeja ēkas rekonstrukciju, jauna klientu apkalpošanas centra un CSDD biroja ēkas izbūvi, CSDD Rēzeknes nodaļas ēkas rekonstrukciju un jaunas CSDD Jūrmalas nodaļas ēkas </w:t>
            </w:r>
            <w:r w:rsidRPr="003D2A8C">
              <w:rPr>
                <w:b/>
                <w:szCs w:val="24"/>
              </w:rPr>
              <w:lastRenderedPageBreak/>
              <w:t xml:space="preserve">izbūvi.  Kopumā 2013.gada otrajā pusgadā paredzēts investēt 1,33 </w:t>
            </w:r>
            <w:proofErr w:type="spellStart"/>
            <w:r w:rsidRPr="003D2A8C">
              <w:rPr>
                <w:b/>
                <w:szCs w:val="24"/>
              </w:rPr>
              <w:t>milj.LVL</w:t>
            </w:r>
            <w:proofErr w:type="spellEnd"/>
            <w:r w:rsidRPr="003D2A8C">
              <w:rPr>
                <w:b/>
                <w:szCs w:val="24"/>
              </w:rPr>
              <w:t xml:space="preserve">, bet 2014.gadā – 6,8 </w:t>
            </w:r>
            <w:proofErr w:type="spellStart"/>
            <w:r w:rsidRPr="003D2A8C">
              <w:rPr>
                <w:b/>
                <w:szCs w:val="24"/>
              </w:rPr>
              <w:t>milj.LVL</w:t>
            </w:r>
            <w:proofErr w:type="spellEnd"/>
            <w:r w:rsidRPr="003D2A8C">
              <w:rPr>
                <w:b/>
                <w:szCs w:val="24"/>
              </w:rPr>
              <w:t>.</w:t>
            </w:r>
          </w:p>
          <w:p w:rsidR="003D2A8C" w:rsidRDefault="003D2A8C" w:rsidP="003D2A8C">
            <w:pPr>
              <w:spacing w:after="0" w:line="240" w:lineRule="auto"/>
              <w:jc w:val="both"/>
              <w:rPr>
                <w:b/>
                <w:szCs w:val="24"/>
              </w:rPr>
            </w:pPr>
            <w:r w:rsidRPr="003D2A8C">
              <w:rPr>
                <w:b/>
                <w:szCs w:val="24"/>
              </w:rPr>
              <w:t>Šo vērienīgo investīciju veikšanai paredzēts piesaistīt kredītlīdzekļus 5milj.LVL apmērā.</w:t>
            </w:r>
          </w:p>
          <w:p w:rsidR="00203DEB" w:rsidRDefault="00203DEB" w:rsidP="00203DEB">
            <w:pPr>
              <w:spacing w:after="0" w:line="240" w:lineRule="auto"/>
              <w:jc w:val="both"/>
              <w:rPr>
                <w:szCs w:val="24"/>
              </w:rPr>
            </w:pPr>
          </w:p>
          <w:p w:rsidR="00203DEB" w:rsidRPr="00203DEB" w:rsidRDefault="00203DEB" w:rsidP="00203DEB">
            <w:pPr>
              <w:spacing w:after="0" w:line="240" w:lineRule="auto"/>
              <w:jc w:val="both"/>
              <w:rPr>
                <w:b/>
                <w:szCs w:val="24"/>
              </w:rPr>
            </w:pPr>
            <w:r w:rsidRPr="00203DEB">
              <w:rPr>
                <w:b/>
                <w:szCs w:val="24"/>
              </w:rPr>
              <w:t>BKSB kā sporta būve un nacionālā sporta bāze ir CSDD un valsts īpašums. Atsevišķiem zemes gabal</w:t>
            </w:r>
            <w:r w:rsidR="00590186">
              <w:rPr>
                <w:b/>
                <w:szCs w:val="24"/>
              </w:rPr>
              <w:t>iem īpašnieks ir privātpersonas</w:t>
            </w:r>
            <w:r w:rsidRPr="00203DEB">
              <w:rPr>
                <w:b/>
                <w:szCs w:val="24"/>
              </w:rPr>
              <w:t>. Zemes īpašnieku un BKSB īpašnieka savstarpējās attiecības regulē zemes nomas līgums un normatīvie akti par zemes un ēku īpašnieku savstarpējām attiecībām. Bez tam, šobrīd notiek sarunas par iespējām iegūt īpašuma tiesības uz BKSB darbībai nepieciešamajiem zemes gabaliem.</w:t>
            </w:r>
          </w:p>
          <w:p w:rsidR="00203DEB" w:rsidRPr="00D01008" w:rsidRDefault="00203DEB" w:rsidP="00590186">
            <w:pPr>
              <w:spacing w:after="0" w:line="240" w:lineRule="auto"/>
              <w:jc w:val="both"/>
              <w:rPr>
                <w:szCs w:val="24"/>
              </w:rPr>
            </w:pPr>
            <w:r w:rsidRPr="00203DEB">
              <w:rPr>
                <w:b/>
                <w:szCs w:val="24"/>
              </w:rPr>
              <w:t xml:space="preserve"> Investīcijas ir paredzēts veikt CSDD īpašumā esošajā nekustamajā īpašumā.</w:t>
            </w:r>
          </w:p>
        </w:tc>
      </w:tr>
      <w:tr w:rsidR="00A34DFE" w:rsidRPr="00713EEA" w:rsidTr="00713EEA">
        <w:trPr>
          <w:trHeight w:val="476"/>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lastRenderedPageBreak/>
              <w:t> 5.</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Projekta izstrādē iesaistītās institūcijas</w:t>
            </w:r>
          </w:p>
        </w:tc>
        <w:tc>
          <w:tcPr>
            <w:tcW w:w="6183" w:type="dxa"/>
            <w:gridSpan w:val="7"/>
            <w:tcBorders>
              <w:top w:val="outset" w:sz="6" w:space="0" w:color="auto"/>
              <w:left w:val="outset" w:sz="6" w:space="0" w:color="auto"/>
              <w:bottom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Satiksmes ministrija un valsts akciju sabiedrība „Ceļu satiksmes drošības direkcija”</w:t>
            </w:r>
          </w:p>
        </w:tc>
      </w:tr>
      <w:tr w:rsidR="00A34DFE" w:rsidRPr="00713EEA" w:rsidTr="00713EEA">
        <w:trPr>
          <w:trHeight w:val="900"/>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6.</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Iemesli, kādēļ netika nodrošināta sabiedrības līdzdalība</w:t>
            </w:r>
          </w:p>
        </w:tc>
        <w:tc>
          <w:tcPr>
            <w:tcW w:w="6183" w:type="dxa"/>
            <w:gridSpan w:val="7"/>
            <w:tcBorders>
              <w:top w:val="outset" w:sz="6" w:space="0" w:color="auto"/>
              <w:left w:val="outset" w:sz="6" w:space="0" w:color="auto"/>
              <w:bottom w:val="outset" w:sz="6" w:space="0" w:color="auto"/>
            </w:tcBorders>
          </w:tcPr>
          <w:p w:rsidR="00A34DFE" w:rsidRPr="00713EEA" w:rsidRDefault="00A34DFE" w:rsidP="00A07DA2">
            <w:pPr>
              <w:spacing w:after="0" w:line="240" w:lineRule="auto"/>
              <w:rPr>
                <w:szCs w:val="24"/>
                <w:lang w:eastAsia="lv-LV"/>
              </w:rPr>
            </w:pPr>
            <w:r w:rsidRPr="00713EEA">
              <w:rPr>
                <w:szCs w:val="24"/>
              </w:rPr>
              <w:t>Projekts šo jomu neskar</w:t>
            </w:r>
          </w:p>
        </w:tc>
      </w:tr>
      <w:tr w:rsidR="00A34DFE" w:rsidRPr="00713EEA" w:rsidTr="00713EEA">
        <w:trPr>
          <w:tblCellSpacing w:w="0" w:type="dxa"/>
        </w:trPr>
        <w:tc>
          <w:tcPr>
            <w:tcW w:w="684" w:type="dxa"/>
            <w:gridSpan w:val="2"/>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7.</w:t>
            </w:r>
          </w:p>
        </w:tc>
        <w:tc>
          <w:tcPr>
            <w:tcW w:w="2328"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Cita informācija</w:t>
            </w:r>
          </w:p>
        </w:tc>
        <w:tc>
          <w:tcPr>
            <w:tcW w:w="6183" w:type="dxa"/>
            <w:gridSpan w:val="7"/>
            <w:tcBorders>
              <w:top w:val="outset" w:sz="6" w:space="0" w:color="auto"/>
              <w:left w:val="outset" w:sz="6" w:space="0" w:color="auto"/>
              <w:bottom w:val="outset" w:sz="6" w:space="0" w:color="auto"/>
            </w:tcBorders>
          </w:tcPr>
          <w:p w:rsidR="003871E8" w:rsidRPr="003871E8" w:rsidRDefault="003871E8" w:rsidP="003871E8">
            <w:pPr>
              <w:spacing w:after="0" w:line="240" w:lineRule="auto"/>
              <w:ind w:firstLine="142"/>
              <w:jc w:val="both"/>
              <w:rPr>
                <w:szCs w:val="24"/>
                <w:lang w:eastAsia="lv-LV"/>
              </w:rPr>
            </w:pPr>
            <w:r w:rsidRPr="003871E8">
              <w:rPr>
                <w:szCs w:val="24"/>
                <w:lang w:eastAsia="lv-LV"/>
              </w:rPr>
              <w:t xml:space="preserve">    Ņemot vērā ilgstošu finansējuma un saimnieciskas attieksmes trūkumu</w:t>
            </w:r>
            <w:r w:rsidR="00C53A9F">
              <w:rPr>
                <w:szCs w:val="24"/>
                <w:lang w:eastAsia="lv-LV"/>
              </w:rPr>
              <w:t xml:space="preserve"> Biķernieku kompleksās sporta bāzes uzturēšanā</w:t>
            </w:r>
            <w:r w:rsidRPr="003871E8">
              <w:rPr>
                <w:szCs w:val="24"/>
                <w:lang w:eastAsia="lv-LV"/>
              </w:rPr>
              <w:t xml:space="preserve">, Sabiedrībai ar Ministru kabineta lēmumu </w:t>
            </w:r>
            <w:r w:rsidR="00115270">
              <w:rPr>
                <w:szCs w:val="24"/>
                <w:lang w:eastAsia="lv-LV"/>
              </w:rPr>
              <w:t xml:space="preserve">jau iepriekš </w:t>
            </w:r>
            <w:r w:rsidRPr="003871E8">
              <w:rPr>
                <w:szCs w:val="24"/>
                <w:lang w:eastAsia="lv-LV"/>
              </w:rPr>
              <w:t>tika noteikts atšķirīgs valsts budžetā iemaksājamo dividenžu apjoms no 2010. un 2011.gadā gūtās peļņas</w:t>
            </w:r>
            <w:r w:rsidR="00C53A9F">
              <w:rPr>
                <w:szCs w:val="24"/>
                <w:lang w:eastAsia="lv-LV"/>
              </w:rPr>
              <w:t>, paredzot līdzekļus investīcijām sporta bāzes darbības nodrošināšanai un attīstīšanai</w:t>
            </w:r>
            <w:r w:rsidRPr="003871E8">
              <w:rPr>
                <w:szCs w:val="24"/>
                <w:lang w:eastAsia="lv-LV"/>
              </w:rPr>
              <w:t xml:space="preserve">.  </w:t>
            </w:r>
          </w:p>
          <w:p w:rsidR="0010089D" w:rsidRDefault="003871E8" w:rsidP="003871E8">
            <w:pPr>
              <w:spacing w:after="0" w:line="240" w:lineRule="auto"/>
              <w:ind w:firstLine="142"/>
              <w:jc w:val="both"/>
              <w:rPr>
                <w:szCs w:val="24"/>
                <w:lang w:eastAsia="lv-LV"/>
              </w:rPr>
            </w:pPr>
            <w:r w:rsidRPr="003871E8">
              <w:rPr>
                <w:szCs w:val="24"/>
                <w:lang w:eastAsia="lv-LV"/>
              </w:rPr>
              <w:t xml:space="preserve">    Pateicoties valdības lēmumiem par valstij dividendēs izmaksājamo VAS „Ceļu satiksmes drošības direkcija” 2010.gada un 2011.gada peļņas daļu, ir realizēti projekti Ls 410 000 apmērā. Par šo summu ir veikti neatliekami remonta darbi, kas nebija saistīti ar iepriekšēju izpēti, projekta dokumentācijas izstrādi un </w:t>
            </w:r>
            <w:r w:rsidR="0010089D">
              <w:rPr>
                <w:szCs w:val="24"/>
                <w:lang w:eastAsia="lv-LV"/>
              </w:rPr>
              <w:t xml:space="preserve">to </w:t>
            </w:r>
            <w:r w:rsidRPr="003871E8">
              <w:rPr>
                <w:szCs w:val="24"/>
                <w:lang w:eastAsia="lv-LV"/>
              </w:rPr>
              <w:t xml:space="preserve">akceptēšanu starptautiskajā autosporta federācijā – remonts trases žogam, tribīnēm, un asfaltbetona segumiem, atjaunots trases horizontālais marķējums, izcirsti redzamību ierobežojošie krūmi. Tāpat izstrādāts un realizēts trases tiesnešu mājas renovācijas projekts, tika uzbūvēta un nodota ekspluatācijā </w:t>
            </w:r>
            <w:r w:rsidR="00115270">
              <w:rPr>
                <w:szCs w:val="24"/>
                <w:lang w:eastAsia="lv-LV"/>
              </w:rPr>
              <w:t>atjaunotā</w:t>
            </w:r>
            <w:r w:rsidRPr="003871E8">
              <w:rPr>
                <w:szCs w:val="24"/>
                <w:lang w:eastAsia="lv-LV"/>
              </w:rPr>
              <w:t xml:space="preserve"> starta finiša ēka, kas paredzēta sacensību vadības, tiesnešu un sekretariāta darbam, kā arī laika kontroles, starta procedūras u.c. ar sacensību norisi paredzētu darbību veikšanai. Ēka aprīkota ar modernu luksoforu starta sistēmu, sakaru ierīcēm, stacionāru laika kontroles aparatūru, atbilstošu biroja tehniku, informatīvo sistēmu un nepieciešamām komunikācijām. Iegādāts aprīkojums drošai sacensību un treniņu norisei - distances tiesnešu </w:t>
            </w:r>
            <w:proofErr w:type="spellStart"/>
            <w:r w:rsidRPr="003871E8">
              <w:rPr>
                <w:szCs w:val="24"/>
                <w:lang w:eastAsia="lv-LV"/>
              </w:rPr>
              <w:t>signālkarogi</w:t>
            </w:r>
            <w:proofErr w:type="spellEnd"/>
            <w:r w:rsidRPr="003871E8">
              <w:rPr>
                <w:szCs w:val="24"/>
                <w:lang w:eastAsia="lv-LV"/>
              </w:rPr>
              <w:t xml:space="preserve">, ugunsdzēšamie aparāti, rācijas, piesārņojumu absorbējošie materiāli u.c., kā arī traktortehnika trases kopšanai ziemā un vasarā. Sacensību dalībnieku parkā izveidota pagaidu </w:t>
            </w:r>
            <w:r w:rsidRPr="003871E8">
              <w:rPr>
                <w:szCs w:val="24"/>
                <w:lang w:eastAsia="lv-LV"/>
              </w:rPr>
              <w:lastRenderedPageBreak/>
              <w:t>labierīcību ēka ar tualetēm un dušām. Veikts galvenās tribīnes remonts un solu nomaiņa, uzlabojot tribīnes vizuālo izskatu un apturot tērauda un dzelzsbetona nesošo konstrukciju tālāku bojāšanos. Veikto pasākumu rezultātā trase jau atbilst minimālajām prasībām, lai tajā varētu norisināties noteiktu vidējas klases sacīkšu automobiļu Latvijas un Baltijas mēroga sacensības.</w:t>
            </w:r>
          </w:p>
          <w:p w:rsidR="003871E8" w:rsidRPr="003871E8" w:rsidRDefault="0010089D" w:rsidP="00710E65">
            <w:pPr>
              <w:spacing w:after="0" w:line="240" w:lineRule="auto"/>
              <w:ind w:firstLine="142"/>
              <w:jc w:val="both"/>
              <w:rPr>
                <w:szCs w:val="24"/>
                <w:lang w:eastAsia="lv-LV"/>
              </w:rPr>
            </w:pPr>
            <w:r>
              <w:rPr>
                <w:szCs w:val="24"/>
                <w:lang w:eastAsia="lv-LV"/>
              </w:rPr>
              <w:t>Šobrīd i</w:t>
            </w:r>
            <w:r w:rsidR="003871E8" w:rsidRPr="003871E8">
              <w:rPr>
                <w:szCs w:val="24"/>
                <w:lang w:eastAsia="lv-LV"/>
              </w:rPr>
              <w:t>r izstrādāts būvprojekts trases rekonstrukcijai un renovācijai</w:t>
            </w:r>
            <w:r w:rsidR="002F3B5F">
              <w:rPr>
                <w:szCs w:val="24"/>
                <w:lang w:eastAsia="lv-LV"/>
              </w:rPr>
              <w:t>.</w:t>
            </w:r>
            <w:r w:rsidR="00710E65">
              <w:rPr>
                <w:szCs w:val="24"/>
                <w:lang w:eastAsia="lv-LV"/>
              </w:rPr>
              <w:t xml:space="preserve"> </w:t>
            </w:r>
            <w:r w:rsidR="003871E8" w:rsidRPr="003871E8">
              <w:rPr>
                <w:szCs w:val="24"/>
                <w:lang w:eastAsia="lv-LV"/>
              </w:rPr>
              <w:t xml:space="preserve">Atbilstoši sagatavotajiem būvprojektiem ir paredzēts: </w:t>
            </w:r>
          </w:p>
          <w:p w:rsidR="003871E8" w:rsidRPr="0010089D" w:rsidRDefault="0010089D" w:rsidP="0010089D">
            <w:pPr>
              <w:spacing w:after="0" w:line="240" w:lineRule="auto"/>
              <w:ind w:left="142"/>
              <w:jc w:val="both"/>
              <w:rPr>
                <w:szCs w:val="24"/>
                <w:lang w:eastAsia="lv-LV"/>
              </w:rPr>
            </w:pPr>
            <w:r>
              <w:rPr>
                <w:szCs w:val="24"/>
                <w:lang w:eastAsia="lv-LV"/>
              </w:rPr>
              <w:t xml:space="preserve">1) </w:t>
            </w:r>
            <w:r w:rsidR="00085C6B" w:rsidRPr="0010089D">
              <w:rPr>
                <w:szCs w:val="24"/>
                <w:lang w:eastAsia="lv-LV"/>
              </w:rPr>
              <w:t>v</w:t>
            </w:r>
            <w:r w:rsidR="003871E8" w:rsidRPr="0010089D">
              <w:rPr>
                <w:szCs w:val="24"/>
                <w:lang w:eastAsia="lv-LV"/>
              </w:rPr>
              <w:t xml:space="preserve">eikt trases </w:t>
            </w:r>
            <w:r w:rsidR="008D7458">
              <w:rPr>
                <w:szCs w:val="24"/>
                <w:lang w:eastAsia="lv-LV"/>
              </w:rPr>
              <w:t>pielāgošanu</w:t>
            </w:r>
            <w:r w:rsidR="003871E8" w:rsidRPr="0010089D">
              <w:rPr>
                <w:szCs w:val="24"/>
                <w:lang w:eastAsia="lv-LV"/>
              </w:rPr>
              <w:t xml:space="preserve"> Starptautiskās automobiļu federācijas (FIA) drošības prasībām, saskaņā ar k</w:t>
            </w:r>
            <w:r w:rsidR="008D7458">
              <w:rPr>
                <w:szCs w:val="24"/>
                <w:lang w:eastAsia="lv-LV"/>
              </w:rPr>
              <w:t>o</w:t>
            </w:r>
            <w:r w:rsidR="003871E8" w:rsidRPr="0010089D">
              <w:rPr>
                <w:szCs w:val="24"/>
                <w:lang w:eastAsia="lv-LV"/>
              </w:rPr>
              <w:t xml:space="preserve"> paredzēts nomainīt sabrukušo asfaltbetona segumu vairāk nekā 1 km garā posmā, atjaunot oļu materiāla drošības </w:t>
            </w:r>
            <w:proofErr w:type="spellStart"/>
            <w:r w:rsidR="003871E8" w:rsidRPr="0010089D">
              <w:rPr>
                <w:szCs w:val="24"/>
                <w:lang w:eastAsia="lv-LV"/>
              </w:rPr>
              <w:t>izskrejas</w:t>
            </w:r>
            <w:proofErr w:type="spellEnd"/>
            <w:r w:rsidR="003871E8" w:rsidRPr="0010089D">
              <w:rPr>
                <w:szCs w:val="24"/>
                <w:lang w:eastAsia="lv-LV"/>
              </w:rPr>
              <w:t xml:space="preserve"> zonas trases līkumos, kā arī norakt bīstamos, noslīdējušos zemes aizsargvaļņus, tos aizvietojot ar drošas konstrukcijas sertificētiem dzelzsbetona un riepu krāvuma norobežojumiem. Savukārt, skatītāju zonas un </w:t>
            </w:r>
            <w:proofErr w:type="spellStart"/>
            <w:r w:rsidR="003871E8" w:rsidRPr="0010089D">
              <w:rPr>
                <w:szCs w:val="24"/>
                <w:lang w:eastAsia="lv-LV"/>
              </w:rPr>
              <w:t>pitlīniju</w:t>
            </w:r>
            <w:proofErr w:type="spellEnd"/>
            <w:r w:rsidR="003871E8" w:rsidRPr="0010089D">
              <w:rPr>
                <w:szCs w:val="24"/>
                <w:lang w:eastAsia="lv-LV"/>
              </w:rPr>
              <w:t xml:space="preserve"> ir paredzēts norobežot ar dubultu žogu aizsardzībai pre</w:t>
            </w:r>
            <w:r w:rsidR="00085C6B" w:rsidRPr="0010089D">
              <w:rPr>
                <w:szCs w:val="24"/>
                <w:lang w:eastAsia="lv-LV"/>
              </w:rPr>
              <w:t>t lidojošām automobiļu atlūzām;</w:t>
            </w:r>
          </w:p>
          <w:p w:rsidR="003871E8" w:rsidRPr="003871E8" w:rsidRDefault="00085C6B" w:rsidP="003871E8">
            <w:pPr>
              <w:spacing w:after="0" w:line="240" w:lineRule="auto"/>
              <w:ind w:firstLine="142"/>
              <w:jc w:val="both"/>
              <w:rPr>
                <w:szCs w:val="24"/>
                <w:lang w:eastAsia="lv-LV"/>
              </w:rPr>
            </w:pPr>
            <w:r>
              <w:rPr>
                <w:szCs w:val="24"/>
                <w:lang w:eastAsia="lv-LV"/>
              </w:rPr>
              <w:t>2)</w:t>
            </w:r>
            <w:r w:rsidR="0010089D">
              <w:rPr>
                <w:szCs w:val="24"/>
                <w:lang w:eastAsia="lv-LV"/>
              </w:rPr>
              <w:t xml:space="preserve"> </w:t>
            </w:r>
            <w:r>
              <w:rPr>
                <w:szCs w:val="24"/>
                <w:lang w:eastAsia="lv-LV"/>
              </w:rPr>
              <w:t>a</w:t>
            </w:r>
            <w:r w:rsidR="003871E8" w:rsidRPr="003871E8">
              <w:rPr>
                <w:szCs w:val="24"/>
                <w:lang w:eastAsia="lv-LV"/>
              </w:rPr>
              <w:t>tjaunot kartinga trasi, lai to varētu izmantot bērnu un jauniešu tehnisko sporta veidu treniņiem, kā arī starptautiska mēroga kartinga sacensībām. Jāpiezīmē, ka Biķernieku kartinga trase šobrīd ir vienīgā Latvijā, kuras parametri atbilst FIA Kartingu komisijas prasībām un kur iespējams veikt s</w:t>
            </w:r>
            <w:r>
              <w:rPr>
                <w:szCs w:val="24"/>
                <w:lang w:eastAsia="lv-LV"/>
              </w:rPr>
              <w:t>tarptautiska līmeņa sacensības;</w:t>
            </w:r>
          </w:p>
          <w:p w:rsidR="003871E8" w:rsidRPr="003871E8" w:rsidRDefault="00085C6B" w:rsidP="003871E8">
            <w:pPr>
              <w:spacing w:after="0" w:line="240" w:lineRule="auto"/>
              <w:ind w:firstLine="142"/>
              <w:jc w:val="both"/>
              <w:rPr>
                <w:szCs w:val="24"/>
                <w:lang w:eastAsia="lv-LV"/>
              </w:rPr>
            </w:pPr>
            <w:r>
              <w:rPr>
                <w:szCs w:val="24"/>
                <w:lang w:eastAsia="lv-LV"/>
              </w:rPr>
              <w:t>3)</w:t>
            </w:r>
            <w:r w:rsidR="0010089D">
              <w:rPr>
                <w:szCs w:val="24"/>
                <w:lang w:eastAsia="lv-LV"/>
              </w:rPr>
              <w:t xml:space="preserve"> </w:t>
            </w:r>
            <w:r>
              <w:rPr>
                <w:szCs w:val="24"/>
                <w:lang w:eastAsia="lv-LV"/>
              </w:rPr>
              <w:t>v</w:t>
            </w:r>
            <w:r w:rsidR="003871E8" w:rsidRPr="003871E8">
              <w:rPr>
                <w:szCs w:val="24"/>
                <w:lang w:eastAsia="lv-LV"/>
              </w:rPr>
              <w:t>eikt transporta tuneļa zem trases rekonstrukciju, atjaunojot tā nesošās konstrukcijas un nodrošinot lietus ūdens sav</w:t>
            </w:r>
            <w:r>
              <w:rPr>
                <w:szCs w:val="24"/>
                <w:lang w:eastAsia="lv-LV"/>
              </w:rPr>
              <w:t>ākšanu un atsūknēšanu no tuneļa;</w:t>
            </w:r>
          </w:p>
          <w:p w:rsidR="003871E8" w:rsidRPr="003871E8" w:rsidRDefault="00085C6B" w:rsidP="003871E8">
            <w:pPr>
              <w:spacing w:after="0" w:line="240" w:lineRule="auto"/>
              <w:ind w:firstLine="142"/>
              <w:jc w:val="both"/>
              <w:rPr>
                <w:szCs w:val="24"/>
                <w:lang w:eastAsia="lv-LV"/>
              </w:rPr>
            </w:pPr>
            <w:r>
              <w:rPr>
                <w:szCs w:val="24"/>
                <w:lang w:eastAsia="lv-LV"/>
              </w:rPr>
              <w:t>4)</w:t>
            </w:r>
            <w:r w:rsidR="0010089D">
              <w:rPr>
                <w:szCs w:val="24"/>
                <w:lang w:eastAsia="lv-LV"/>
              </w:rPr>
              <w:t xml:space="preserve"> </w:t>
            </w:r>
            <w:r>
              <w:rPr>
                <w:szCs w:val="24"/>
                <w:lang w:eastAsia="lv-LV"/>
              </w:rPr>
              <w:t>i</w:t>
            </w:r>
            <w:r w:rsidR="003871E8" w:rsidRPr="003871E8">
              <w:rPr>
                <w:szCs w:val="24"/>
                <w:lang w:eastAsia="lv-LV"/>
              </w:rPr>
              <w:t>zbūvēt jaunu lietus ūdens kanalizācijas kolektoru trases centrālajā zonā ar pārsūknēšanas staciju un attīrīšanas iekārtām</w:t>
            </w:r>
          </w:p>
          <w:p w:rsidR="003871E8" w:rsidRDefault="003871E8" w:rsidP="00710E65">
            <w:pPr>
              <w:spacing w:after="0" w:line="240" w:lineRule="auto"/>
              <w:ind w:firstLine="142"/>
              <w:jc w:val="both"/>
              <w:rPr>
                <w:szCs w:val="24"/>
                <w:lang w:eastAsia="lv-LV"/>
              </w:rPr>
            </w:pPr>
            <w:r w:rsidRPr="003871E8">
              <w:rPr>
                <w:szCs w:val="24"/>
                <w:lang w:eastAsia="lv-LV"/>
              </w:rPr>
              <w:t xml:space="preserve">     Šī projekta realizācijas izmaksas atbilstoši būvprojekta ekonomiskās sadaļas sastāvā esošajai </w:t>
            </w:r>
            <w:proofErr w:type="spellStart"/>
            <w:r w:rsidRPr="003871E8">
              <w:rPr>
                <w:szCs w:val="24"/>
                <w:lang w:eastAsia="lv-LV"/>
              </w:rPr>
              <w:t>kontroltāmei</w:t>
            </w:r>
            <w:proofErr w:type="spellEnd"/>
            <w:r w:rsidRPr="003871E8">
              <w:rPr>
                <w:szCs w:val="24"/>
                <w:lang w:eastAsia="lv-LV"/>
              </w:rPr>
              <w:t xml:space="preserve"> noteiktas </w:t>
            </w:r>
            <w:r w:rsidR="0010089D" w:rsidRPr="003871E8">
              <w:rPr>
                <w:szCs w:val="24"/>
                <w:lang w:eastAsia="lv-LV"/>
              </w:rPr>
              <w:t xml:space="preserve">Ls </w:t>
            </w:r>
            <w:r w:rsidRPr="003871E8">
              <w:rPr>
                <w:szCs w:val="24"/>
                <w:lang w:eastAsia="lv-LV"/>
              </w:rPr>
              <w:t xml:space="preserve">1668039 </w:t>
            </w:r>
            <w:r w:rsidR="0010089D">
              <w:rPr>
                <w:szCs w:val="24"/>
                <w:lang w:eastAsia="lv-LV"/>
              </w:rPr>
              <w:t>apmērā</w:t>
            </w:r>
            <w:r w:rsidRPr="003871E8">
              <w:rPr>
                <w:szCs w:val="24"/>
                <w:lang w:eastAsia="lv-LV"/>
              </w:rPr>
              <w:t>.</w:t>
            </w:r>
          </w:p>
          <w:p w:rsidR="00E57A7C" w:rsidRDefault="00E57A7C" w:rsidP="00710E65">
            <w:pPr>
              <w:spacing w:after="0" w:line="240" w:lineRule="auto"/>
              <w:ind w:firstLine="142"/>
              <w:jc w:val="both"/>
              <w:rPr>
                <w:szCs w:val="24"/>
                <w:lang w:eastAsia="lv-LV"/>
              </w:rPr>
            </w:pPr>
          </w:p>
          <w:p w:rsidR="00E57A7C" w:rsidRDefault="003871E8" w:rsidP="003871E8">
            <w:pPr>
              <w:spacing w:after="0" w:line="240" w:lineRule="auto"/>
              <w:ind w:firstLine="142"/>
              <w:jc w:val="both"/>
              <w:rPr>
                <w:szCs w:val="24"/>
                <w:lang w:eastAsia="lv-LV"/>
              </w:rPr>
            </w:pPr>
            <w:r w:rsidRPr="003871E8">
              <w:rPr>
                <w:szCs w:val="24"/>
                <w:lang w:eastAsia="lv-LV"/>
              </w:rPr>
              <w:t xml:space="preserve">     Papildus šim būvprojektam </w:t>
            </w:r>
            <w:r w:rsidR="00E57A7C">
              <w:rPr>
                <w:szCs w:val="24"/>
                <w:lang w:eastAsia="lv-LV"/>
              </w:rPr>
              <w:t>2013./</w:t>
            </w:r>
            <w:r w:rsidRPr="003871E8">
              <w:rPr>
                <w:szCs w:val="24"/>
                <w:lang w:eastAsia="lv-LV"/>
              </w:rPr>
              <w:t>2014</w:t>
            </w:r>
            <w:r>
              <w:rPr>
                <w:szCs w:val="24"/>
                <w:lang w:eastAsia="lv-LV"/>
              </w:rPr>
              <w:t>.</w:t>
            </w:r>
            <w:r w:rsidRPr="003871E8">
              <w:rPr>
                <w:szCs w:val="24"/>
                <w:lang w:eastAsia="lv-LV"/>
              </w:rPr>
              <w:t xml:space="preserve">gadā paredzēts veikt arī </w:t>
            </w:r>
            <w:proofErr w:type="spellStart"/>
            <w:r w:rsidRPr="003871E8">
              <w:rPr>
                <w:szCs w:val="24"/>
                <w:lang w:eastAsia="lv-LV"/>
              </w:rPr>
              <w:t>motobola</w:t>
            </w:r>
            <w:proofErr w:type="spellEnd"/>
            <w:r w:rsidRPr="003871E8">
              <w:rPr>
                <w:szCs w:val="24"/>
                <w:lang w:eastAsia="lv-LV"/>
              </w:rPr>
              <w:t xml:space="preserve"> </w:t>
            </w:r>
            <w:r w:rsidR="008A101F">
              <w:rPr>
                <w:szCs w:val="24"/>
                <w:lang w:eastAsia="lv-LV"/>
              </w:rPr>
              <w:t xml:space="preserve">un spīdveja </w:t>
            </w:r>
            <w:r w:rsidRPr="003871E8">
              <w:rPr>
                <w:szCs w:val="24"/>
                <w:lang w:eastAsia="lv-LV"/>
              </w:rPr>
              <w:t>stadiona remontu un iekārtošanu</w:t>
            </w:r>
            <w:r w:rsidR="00557DE7">
              <w:rPr>
                <w:szCs w:val="24"/>
                <w:lang w:eastAsia="lv-LV"/>
              </w:rPr>
              <w:t>,</w:t>
            </w:r>
            <w:r w:rsidRPr="003871E8">
              <w:rPr>
                <w:szCs w:val="24"/>
                <w:lang w:eastAsia="lv-LV"/>
              </w:rPr>
              <w:t xml:space="preserve"> pielāgojot to spīdveja sacensību vajadzībām</w:t>
            </w:r>
            <w:r w:rsidR="00557DE7">
              <w:rPr>
                <w:szCs w:val="24"/>
                <w:lang w:eastAsia="lv-LV"/>
              </w:rPr>
              <w:t>, lai spētu nodrošināt starptautisku sacensību norisi</w:t>
            </w:r>
            <w:r w:rsidRPr="003871E8">
              <w:rPr>
                <w:szCs w:val="24"/>
                <w:lang w:eastAsia="lv-LV"/>
              </w:rPr>
              <w:t>.</w:t>
            </w:r>
          </w:p>
          <w:p w:rsidR="00E57A7C" w:rsidRDefault="00E57A7C" w:rsidP="00E57A7C">
            <w:pPr>
              <w:spacing w:after="0" w:line="240" w:lineRule="auto"/>
              <w:jc w:val="both"/>
              <w:rPr>
                <w:szCs w:val="24"/>
                <w:lang w:eastAsia="lv-LV"/>
              </w:rPr>
            </w:pPr>
            <w:r>
              <w:rPr>
                <w:szCs w:val="24"/>
                <w:lang w:eastAsia="lv-LV"/>
              </w:rPr>
              <w:t xml:space="preserve">     Šobrīd jau ir saņemts pasaules spīdveja prestižāko sacensību Grand </w:t>
            </w:r>
            <w:proofErr w:type="spellStart"/>
            <w:r>
              <w:rPr>
                <w:szCs w:val="24"/>
                <w:lang w:eastAsia="lv-LV"/>
              </w:rPr>
              <w:t>Prix</w:t>
            </w:r>
            <w:proofErr w:type="spellEnd"/>
            <w:r>
              <w:rPr>
                <w:szCs w:val="24"/>
                <w:lang w:eastAsia="lv-LV"/>
              </w:rPr>
              <w:t xml:space="preserve"> īpašnieku priekšlikums organizēt vienu no 2014.gada Grand </w:t>
            </w:r>
            <w:proofErr w:type="spellStart"/>
            <w:r>
              <w:rPr>
                <w:szCs w:val="24"/>
                <w:lang w:eastAsia="lv-LV"/>
              </w:rPr>
              <w:t>Prix</w:t>
            </w:r>
            <w:proofErr w:type="spellEnd"/>
            <w:r>
              <w:rPr>
                <w:szCs w:val="24"/>
                <w:lang w:eastAsia="lv-LV"/>
              </w:rPr>
              <w:t xml:space="preserve"> posmiem Rīgā, Biķernieku sporta kompleksā. </w:t>
            </w:r>
            <w:r w:rsidRPr="008A101F">
              <w:rPr>
                <w:szCs w:val="24"/>
                <w:lang w:eastAsia="lv-LV"/>
              </w:rPr>
              <w:t>Spīdvejs mūsdienās ir kļuvis par vienu no interesantākajiem, dinamiskākajiem un publikai skatāmākajiem motosporta veidiem</w:t>
            </w:r>
            <w:r>
              <w:rPr>
                <w:szCs w:val="24"/>
                <w:lang w:eastAsia="lv-LV"/>
              </w:rPr>
              <w:t xml:space="preserve">, kas </w:t>
            </w:r>
            <w:r w:rsidRPr="008A101F">
              <w:rPr>
                <w:szCs w:val="24"/>
                <w:lang w:eastAsia="lv-LV"/>
              </w:rPr>
              <w:t>pulcē tūkstošiem skatītāju</w:t>
            </w:r>
            <w:r w:rsidR="000257B3">
              <w:rPr>
                <w:szCs w:val="24"/>
                <w:lang w:eastAsia="lv-LV"/>
              </w:rPr>
              <w:t>,</w:t>
            </w:r>
            <w:r w:rsidRPr="008A101F">
              <w:rPr>
                <w:szCs w:val="24"/>
                <w:lang w:eastAsia="lv-LV"/>
              </w:rPr>
              <w:t xml:space="preserve"> un pasaules Grand </w:t>
            </w:r>
            <w:proofErr w:type="spellStart"/>
            <w:r w:rsidRPr="008A101F">
              <w:rPr>
                <w:szCs w:val="24"/>
                <w:lang w:eastAsia="lv-LV"/>
              </w:rPr>
              <w:t>Prix</w:t>
            </w:r>
            <w:proofErr w:type="spellEnd"/>
            <w:r w:rsidRPr="008A101F">
              <w:rPr>
                <w:szCs w:val="24"/>
                <w:lang w:eastAsia="lv-LV"/>
              </w:rPr>
              <w:t xml:space="preserve"> sacensības tiek translēta</w:t>
            </w:r>
            <w:r w:rsidR="000257B3">
              <w:rPr>
                <w:szCs w:val="24"/>
                <w:lang w:eastAsia="lv-LV"/>
              </w:rPr>
              <w:t xml:space="preserve">s turpat 160 valstīs, </w:t>
            </w:r>
            <w:r>
              <w:rPr>
                <w:szCs w:val="24"/>
                <w:lang w:eastAsia="lv-LV"/>
              </w:rPr>
              <w:t>tai skaitā</w:t>
            </w:r>
            <w:r w:rsidR="000257B3">
              <w:rPr>
                <w:szCs w:val="24"/>
                <w:lang w:eastAsia="lv-LV"/>
              </w:rPr>
              <w:t xml:space="preserve"> tādos prestižos TV kanālos kā „</w:t>
            </w:r>
            <w:proofErr w:type="spellStart"/>
            <w:r w:rsidR="000257B3">
              <w:rPr>
                <w:szCs w:val="24"/>
                <w:lang w:eastAsia="lv-LV"/>
              </w:rPr>
              <w:t>Eirosport</w:t>
            </w:r>
            <w:proofErr w:type="spellEnd"/>
            <w:r w:rsidR="000257B3">
              <w:rPr>
                <w:szCs w:val="24"/>
                <w:lang w:eastAsia="lv-LV"/>
              </w:rPr>
              <w:t>”, „</w:t>
            </w:r>
            <w:proofErr w:type="spellStart"/>
            <w:r w:rsidR="000257B3">
              <w:rPr>
                <w:szCs w:val="24"/>
                <w:lang w:eastAsia="lv-LV"/>
              </w:rPr>
              <w:t>Sky</w:t>
            </w:r>
            <w:proofErr w:type="spellEnd"/>
            <w:r w:rsidR="000257B3">
              <w:rPr>
                <w:szCs w:val="24"/>
                <w:lang w:eastAsia="lv-LV"/>
              </w:rPr>
              <w:t xml:space="preserve"> Sports”, (Lielbritānija), „STV” (Zviedrija), „</w:t>
            </w:r>
            <w:proofErr w:type="spellStart"/>
            <w:r w:rsidR="000257B3">
              <w:rPr>
                <w:szCs w:val="24"/>
                <w:lang w:eastAsia="lv-LV"/>
              </w:rPr>
              <w:t>Canal</w:t>
            </w:r>
            <w:proofErr w:type="spellEnd"/>
            <w:r w:rsidR="000257B3">
              <w:rPr>
                <w:szCs w:val="24"/>
                <w:lang w:eastAsia="lv-LV"/>
              </w:rPr>
              <w:t xml:space="preserve">+” (Polija) </w:t>
            </w:r>
            <w:proofErr w:type="spellStart"/>
            <w:r w:rsidR="000257B3">
              <w:rPr>
                <w:szCs w:val="24"/>
                <w:lang w:eastAsia="lv-LV"/>
              </w:rPr>
              <w:t>u.c</w:t>
            </w:r>
            <w:proofErr w:type="spellEnd"/>
            <w:r w:rsidR="000257B3">
              <w:rPr>
                <w:szCs w:val="24"/>
                <w:lang w:eastAsia="lv-LV"/>
              </w:rPr>
              <w:t>.,</w:t>
            </w:r>
            <w:r w:rsidR="000257B3" w:rsidRPr="003C1733">
              <w:rPr>
                <w:szCs w:val="24"/>
                <w:lang w:eastAsia="lv-LV"/>
              </w:rPr>
              <w:t xml:space="preserve"> uz pasākumu tiek akreditēts liels skaits ārvalstu un vietējo preses pārstāvju.</w:t>
            </w:r>
            <w:r w:rsidR="000257B3">
              <w:rPr>
                <w:szCs w:val="24"/>
                <w:lang w:eastAsia="lv-LV"/>
              </w:rPr>
              <w:t xml:space="preserve"> </w:t>
            </w:r>
            <w:r w:rsidR="000257B3" w:rsidRPr="003C1733">
              <w:rPr>
                <w:szCs w:val="24"/>
                <w:lang w:eastAsia="lv-LV"/>
              </w:rPr>
              <w:t xml:space="preserve">Līdz šim šādi Grand </w:t>
            </w:r>
            <w:proofErr w:type="spellStart"/>
            <w:r w:rsidR="000257B3" w:rsidRPr="003C1733">
              <w:rPr>
                <w:szCs w:val="24"/>
                <w:lang w:eastAsia="lv-LV"/>
              </w:rPr>
              <w:t>Prix</w:t>
            </w:r>
            <w:proofErr w:type="spellEnd"/>
            <w:r w:rsidR="000257B3" w:rsidRPr="003C1733">
              <w:rPr>
                <w:szCs w:val="24"/>
                <w:lang w:eastAsia="lv-LV"/>
              </w:rPr>
              <w:t xml:space="preserve"> posmi Latvijā jau ir </w:t>
            </w:r>
            <w:r w:rsidR="000257B3" w:rsidRPr="003C1733">
              <w:rPr>
                <w:szCs w:val="24"/>
                <w:lang w:eastAsia="lv-LV"/>
              </w:rPr>
              <w:lastRenderedPageBreak/>
              <w:t xml:space="preserve">realizēti Daugavpilī, pie kam ļoti veiksmīgi un pieredze rāda, ka apmeklētāju skaits uz šādu pasākumu sasniedz 10 000, no kuriem 40% ir ārvalstnieki. Ņemot vērā Rīgas attīstīto infrastruktūru un ģeogrāfisko izvietojumu, šāda līmeņa sacensību rīkošana valsts galvaspilsētā būtu ļoti efektīva un prestiža. Uzsākot minēto Grand </w:t>
            </w:r>
            <w:proofErr w:type="spellStart"/>
            <w:r w:rsidR="000257B3" w:rsidRPr="003C1733">
              <w:rPr>
                <w:szCs w:val="24"/>
                <w:lang w:eastAsia="lv-LV"/>
              </w:rPr>
              <w:t>Prix</w:t>
            </w:r>
            <w:proofErr w:type="spellEnd"/>
            <w:r w:rsidR="000257B3" w:rsidRPr="003C1733">
              <w:rPr>
                <w:szCs w:val="24"/>
                <w:lang w:eastAsia="lv-LV"/>
              </w:rPr>
              <w:t xml:space="preserve"> posmu organizēšanu Rīgā, turpmāk būtu iespēja tos secīgi mainīt ar Daugavpili, kas ekonomiskā ziņā dotu pozitīvāku efektu </w:t>
            </w:r>
            <w:r w:rsidR="000257B3">
              <w:rPr>
                <w:szCs w:val="24"/>
                <w:lang w:eastAsia="lv-LV"/>
              </w:rPr>
              <w:t xml:space="preserve">valsts ekonomikai </w:t>
            </w:r>
            <w:r w:rsidR="000257B3" w:rsidRPr="003C1733">
              <w:rPr>
                <w:szCs w:val="24"/>
                <w:lang w:eastAsia="lv-LV"/>
              </w:rPr>
              <w:t xml:space="preserve">un lielāku iespēju uzņemties šādu pasākumu </w:t>
            </w:r>
            <w:r w:rsidR="000257B3">
              <w:rPr>
                <w:szCs w:val="24"/>
                <w:lang w:eastAsia="lv-LV"/>
              </w:rPr>
              <w:t xml:space="preserve">regulāru </w:t>
            </w:r>
            <w:r w:rsidR="000257B3" w:rsidRPr="003C1733">
              <w:rPr>
                <w:szCs w:val="24"/>
                <w:lang w:eastAsia="lv-LV"/>
              </w:rPr>
              <w:t>o</w:t>
            </w:r>
            <w:r w:rsidR="000257B3">
              <w:rPr>
                <w:szCs w:val="24"/>
                <w:lang w:eastAsia="lv-LV"/>
              </w:rPr>
              <w:t>rganizēšanu</w:t>
            </w:r>
            <w:r w:rsidR="000257B3" w:rsidRPr="003C1733">
              <w:rPr>
                <w:szCs w:val="24"/>
                <w:lang w:eastAsia="lv-LV"/>
              </w:rPr>
              <w:t>.</w:t>
            </w:r>
            <w:r w:rsidR="000257B3">
              <w:rPr>
                <w:szCs w:val="24"/>
              </w:rPr>
              <w:t xml:space="preserve">  </w:t>
            </w:r>
            <w:r w:rsidR="00217541">
              <w:rPr>
                <w:szCs w:val="24"/>
              </w:rPr>
              <w:t>Bez tam, atjaunotajā stadionā katru gadu plānota vismaz 10 dažādu citu starptautisku sacensību norise.</w:t>
            </w:r>
            <w:r w:rsidR="000257B3">
              <w:rPr>
                <w:szCs w:val="24"/>
              </w:rPr>
              <w:t xml:space="preserve">       </w:t>
            </w:r>
          </w:p>
          <w:p w:rsidR="00217541" w:rsidRDefault="00042B43" w:rsidP="00217541">
            <w:pPr>
              <w:spacing w:after="0" w:line="240" w:lineRule="auto"/>
              <w:jc w:val="both"/>
              <w:rPr>
                <w:szCs w:val="24"/>
                <w:lang w:eastAsia="lv-LV"/>
              </w:rPr>
            </w:pPr>
            <w:r>
              <w:rPr>
                <w:szCs w:val="24"/>
                <w:lang w:eastAsia="lv-LV"/>
              </w:rPr>
              <w:t xml:space="preserve">     Stadiona konstrukcijas ir labā tehniskā stāvoklī, taču </w:t>
            </w:r>
            <w:r w:rsidR="003871E8" w:rsidRPr="003871E8">
              <w:rPr>
                <w:szCs w:val="24"/>
                <w:lang w:eastAsia="lv-LV"/>
              </w:rPr>
              <w:t xml:space="preserve"> nepieciešams </w:t>
            </w:r>
            <w:r w:rsidR="00557DE7">
              <w:rPr>
                <w:szCs w:val="24"/>
                <w:lang w:eastAsia="lv-LV"/>
              </w:rPr>
              <w:t>veikt remontu</w:t>
            </w:r>
            <w:r w:rsidR="003871E8" w:rsidRPr="003871E8">
              <w:rPr>
                <w:szCs w:val="24"/>
                <w:lang w:eastAsia="lv-LV"/>
              </w:rPr>
              <w:t xml:space="preserve"> </w:t>
            </w:r>
            <w:r w:rsidR="00557DE7">
              <w:rPr>
                <w:szCs w:val="24"/>
                <w:lang w:eastAsia="lv-LV"/>
              </w:rPr>
              <w:t>skatītāju tribīnē</w:t>
            </w:r>
            <w:r w:rsidR="003871E8" w:rsidRPr="003871E8">
              <w:rPr>
                <w:szCs w:val="24"/>
                <w:lang w:eastAsia="lv-LV"/>
              </w:rPr>
              <w:t xml:space="preserve">s, </w:t>
            </w:r>
            <w:r>
              <w:rPr>
                <w:szCs w:val="24"/>
                <w:lang w:eastAsia="lv-LV"/>
              </w:rPr>
              <w:t xml:space="preserve">treka seguma virskārtas remontu, </w:t>
            </w:r>
            <w:r w:rsidR="003871E8" w:rsidRPr="003871E8">
              <w:rPr>
                <w:szCs w:val="24"/>
                <w:lang w:eastAsia="lv-LV"/>
              </w:rPr>
              <w:t xml:space="preserve">izbūvēt dalībnieku tehnisko parku, kā arī uzstādīt dažādas sacensību dalībnieku un skatītāju norobežojošās drošības konstrukcijas, informatīvos tablo, laika mērīšanas iekārtas un citu tehnisko aprīkojumu. Šī projekta realizācijas izmaksas noteiktas aptuveni </w:t>
            </w:r>
            <w:r>
              <w:rPr>
                <w:szCs w:val="24"/>
                <w:lang w:eastAsia="lv-LV"/>
              </w:rPr>
              <w:t xml:space="preserve">Ls </w:t>
            </w:r>
            <w:r w:rsidR="00217541">
              <w:rPr>
                <w:szCs w:val="24"/>
                <w:lang w:eastAsia="lv-LV"/>
              </w:rPr>
              <w:t>300 </w:t>
            </w:r>
            <w:r w:rsidR="003871E8">
              <w:rPr>
                <w:szCs w:val="24"/>
                <w:lang w:eastAsia="lv-LV"/>
              </w:rPr>
              <w:t>000.</w:t>
            </w:r>
          </w:p>
          <w:p w:rsidR="00713EEA" w:rsidRDefault="00217541" w:rsidP="00217541">
            <w:pPr>
              <w:spacing w:after="0" w:line="240" w:lineRule="auto"/>
              <w:jc w:val="both"/>
              <w:rPr>
                <w:szCs w:val="24"/>
                <w:lang w:eastAsia="lv-LV"/>
              </w:rPr>
            </w:pPr>
            <w:r>
              <w:rPr>
                <w:szCs w:val="24"/>
                <w:lang w:eastAsia="lv-LV"/>
              </w:rPr>
              <w:t xml:space="preserve">    Līdz ar to, ar salīdzinoši nelieliem līdzekļiem būs iespējams ievērojami veicināt Rīgas atpazīstamību pasaulē, būtiski palielināt tūristu skaitu un dažādu pakalpojumu sniegšanu, gūstot pozitīvu ietekmi uz valsts ekonomiku. Bez tam, spīdveja stadionā </w:t>
            </w:r>
            <w:r w:rsidR="00CE721F">
              <w:rPr>
                <w:szCs w:val="24"/>
                <w:lang w:eastAsia="lv-LV"/>
              </w:rPr>
              <w:t>spīdveja klubs „Rīga”</w:t>
            </w:r>
            <w:r>
              <w:rPr>
                <w:szCs w:val="24"/>
                <w:lang w:eastAsia="lv-LV"/>
              </w:rPr>
              <w:t xml:space="preserve"> </w:t>
            </w:r>
            <w:r w:rsidR="00CE721F">
              <w:rPr>
                <w:szCs w:val="24"/>
                <w:lang w:eastAsia="lv-LV"/>
              </w:rPr>
              <w:t>paredz arī aktīvas bērnu un jauniešu treniņu nodarbības, veicinot interesi par tehniskajiem sporta veidiem un inženierzinātnēm.</w:t>
            </w:r>
          </w:p>
          <w:p w:rsidR="008567D4" w:rsidRDefault="008567D4" w:rsidP="008567D4">
            <w:pPr>
              <w:spacing w:after="0" w:line="240" w:lineRule="auto"/>
              <w:jc w:val="both"/>
              <w:rPr>
                <w:szCs w:val="24"/>
              </w:rPr>
            </w:pPr>
            <w:r>
              <w:rPr>
                <w:szCs w:val="24"/>
                <w:lang w:eastAsia="lv-LV"/>
              </w:rPr>
              <w:t xml:space="preserve">    Jāatzīmē, ka</w:t>
            </w:r>
            <w:r w:rsidRPr="00713EEA">
              <w:rPr>
                <w:szCs w:val="24"/>
                <w:lang w:eastAsia="lv-LV"/>
              </w:rPr>
              <w:t xml:space="preserve"> Biķernieku kompleksā sporta bāze</w:t>
            </w:r>
            <w:r>
              <w:rPr>
                <w:szCs w:val="24"/>
                <w:lang w:eastAsia="lv-LV"/>
              </w:rPr>
              <w:t xml:space="preserve"> bez jau minētajām aktivitātēm attiecībā uz tehniskajiem sporta veidiem, veicina </w:t>
            </w:r>
            <w:r w:rsidRPr="00713EEA">
              <w:rPr>
                <w:szCs w:val="24"/>
              </w:rPr>
              <w:t xml:space="preserve">iedzīvotāju </w:t>
            </w:r>
            <w:r>
              <w:rPr>
                <w:szCs w:val="24"/>
              </w:rPr>
              <w:t>aktīvo atpūtu,</w:t>
            </w:r>
            <w:r w:rsidRPr="00713EEA">
              <w:rPr>
                <w:szCs w:val="24"/>
              </w:rPr>
              <w:t xml:space="preserve"> </w:t>
            </w:r>
            <w:r>
              <w:rPr>
                <w:szCs w:val="24"/>
              </w:rPr>
              <w:t xml:space="preserve">ko nodrošina </w:t>
            </w:r>
            <w:r w:rsidRPr="00713EEA">
              <w:rPr>
                <w:szCs w:val="24"/>
                <w:lang w:eastAsia="lv-LV"/>
              </w:rPr>
              <w:t>teritorij</w:t>
            </w:r>
            <w:r>
              <w:rPr>
                <w:szCs w:val="24"/>
                <w:lang w:eastAsia="lv-LV"/>
              </w:rPr>
              <w:t xml:space="preserve">as publiskā </w:t>
            </w:r>
            <w:r>
              <w:rPr>
                <w:szCs w:val="24"/>
              </w:rPr>
              <w:t xml:space="preserve">bezmaksas </w:t>
            </w:r>
            <w:r>
              <w:rPr>
                <w:szCs w:val="24"/>
                <w:lang w:eastAsia="lv-LV"/>
              </w:rPr>
              <w:t>pieejamība</w:t>
            </w:r>
            <w:r w:rsidRPr="00713EEA">
              <w:rPr>
                <w:szCs w:val="24"/>
                <w:lang w:eastAsia="lv-LV"/>
              </w:rPr>
              <w:t xml:space="preserve"> dažād</w:t>
            </w:r>
            <w:r>
              <w:rPr>
                <w:szCs w:val="24"/>
                <w:lang w:eastAsia="lv-LV"/>
              </w:rPr>
              <w:t>ām</w:t>
            </w:r>
            <w:r w:rsidRPr="00713EEA">
              <w:rPr>
                <w:szCs w:val="24"/>
                <w:lang w:eastAsia="lv-LV"/>
              </w:rPr>
              <w:t xml:space="preserve"> </w:t>
            </w:r>
            <w:r>
              <w:rPr>
                <w:szCs w:val="24"/>
                <w:lang w:eastAsia="lv-LV"/>
              </w:rPr>
              <w:t xml:space="preserve">iedzīvotāju sezonālajām </w:t>
            </w:r>
            <w:r w:rsidRPr="00713EEA">
              <w:rPr>
                <w:szCs w:val="24"/>
                <w:lang w:eastAsia="lv-LV"/>
              </w:rPr>
              <w:t>sporta aktivitāt</w:t>
            </w:r>
            <w:r>
              <w:rPr>
                <w:szCs w:val="24"/>
                <w:lang w:eastAsia="lv-LV"/>
              </w:rPr>
              <w:t>ēm</w:t>
            </w:r>
            <w:r w:rsidRPr="00713EEA">
              <w:rPr>
                <w:szCs w:val="24"/>
                <w:lang w:eastAsia="lv-LV"/>
              </w:rPr>
              <w:t xml:space="preserve"> visā gada periodā </w:t>
            </w:r>
            <w:r w:rsidRPr="00713EEA">
              <w:rPr>
                <w:szCs w:val="24"/>
              </w:rPr>
              <w:t xml:space="preserve">(riteņbraukšana, slēpošana, </w:t>
            </w:r>
            <w:proofErr w:type="spellStart"/>
            <w:r w:rsidRPr="00713EEA">
              <w:rPr>
                <w:szCs w:val="24"/>
              </w:rPr>
              <w:t>skrituļoš</w:t>
            </w:r>
            <w:r>
              <w:rPr>
                <w:szCs w:val="24"/>
              </w:rPr>
              <w:t>ana</w:t>
            </w:r>
            <w:proofErr w:type="spellEnd"/>
            <w:r>
              <w:rPr>
                <w:szCs w:val="24"/>
              </w:rPr>
              <w:t xml:space="preserve">, skriešana </w:t>
            </w:r>
            <w:proofErr w:type="spellStart"/>
            <w:r>
              <w:rPr>
                <w:szCs w:val="24"/>
              </w:rPr>
              <w:t>u.tml</w:t>
            </w:r>
            <w:proofErr w:type="spellEnd"/>
            <w:r>
              <w:rPr>
                <w:szCs w:val="24"/>
              </w:rPr>
              <w:t xml:space="preserve">). </w:t>
            </w:r>
          </w:p>
          <w:p w:rsidR="00A34DFE" w:rsidRPr="00713EEA" w:rsidRDefault="00A34DFE" w:rsidP="00DB791F">
            <w:pPr>
              <w:spacing w:after="0" w:line="240" w:lineRule="auto"/>
              <w:jc w:val="both"/>
              <w:rPr>
                <w:szCs w:val="24"/>
                <w:lang w:eastAsia="lv-LV"/>
              </w:rPr>
            </w:pPr>
          </w:p>
        </w:tc>
      </w:tr>
      <w:tr w:rsidR="0073270B" w:rsidRPr="00713EEA" w:rsidTr="00713EEA">
        <w:trPr>
          <w:tblCellSpacing w:w="0" w:type="dxa"/>
        </w:trPr>
        <w:tc>
          <w:tcPr>
            <w:tcW w:w="684" w:type="dxa"/>
            <w:gridSpan w:val="2"/>
            <w:tcBorders>
              <w:top w:val="outset" w:sz="6" w:space="0" w:color="auto"/>
              <w:bottom w:val="outset" w:sz="6" w:space="0" w:color="auto"/>
              <w:right w:val="outset" w:sz="6" w:space="0" w:color="auto"/>
            </w:tcBorders>
          </w:tcPr>
          <w:p w:rsidR="0073270B" w:rsidRPr="00713EEA" w:rsidRDefault="0073270B" w:rsidP="00A07DA2">
            <w:pPr>
              <w:spacing w:after="0" w:line="240" w:lineRule="auto"/>
              <w:rPr>
                <w:szCs w:val="24"/>
                <w:lang w:eastAsia="lv-LV"/>
              </w:rPr>
            </w:pPr>
            <w:r w:rsidRPr="00713EEA">
              <w:rPr>
                <w:szCs w:val="24"/>
                <w:lang w:eastAsia="lv-LV"/>
              </w:rPr>
              <w:lastRenderedPageBreak/>
              <w:t>Atbilst</w:t>
            </w:r>
          </w:p>
        </w:tc>
        <w:tc>
          <w:tcPr>
            <w:tcW w:w="2328" w:type="dxa"/>
            <w:gridSpan w:val="2"/>
            <w:tcBorders>
              <w:top w:val="outset" w:sz="6" w:space="0" w:color="auto"/>
              <w:left w:val="outset" w:sz="6" w:space="0" w:color="auto"/>
              <w:bottom w:val="outset" w:sz="6" w:space="0" w:color="auto"/>
              <w:right w:val="outset" w:sz="6" w:space="0" w:color="auto"/>
            </w:tcBorders>
          </w:tcPr>
          <w:p w:rsidR="0073270B" w:rsidRPr="00713EEA" w:rsidRDefault="0073270B" w:rsidP="00A07DA2">
            <w:pPr>
              <w:spacing w:after="0" w:line="240" w:lineRule="auto"/>
              <w:rPr>
                <w:szCs w:val="24"/>
                <w:lang w:eastAsia="lv-LV"/>
              </w:rPr>
            </w:pPr>
          </w:p>
        </w:tc>
        <w:tc>
          <w:tcPr>
            <w:tcW w:w="6183" w:type="dxa"/>
            <w:gridSpan w:val="7"/>
            <w:tcBorders>
              <w:top w:val="outset" w:sz="6" w:space="0" w:color="auto"/>
              <w:left w:val="outset" w:sz="6" w:space="0" w:color="auto"/>
              <w:bottom w:val="outset" w:sz="6" w:space="0" w:color="auto"/>
            </w:tcBorders>
          </w:tcPr>
          <w:p w:rsidR="0073270B" w:rsidRPr="00713EEA" w:rsidRDefault="0073270B" w:rsidP="006009A0">
            <w:pPr>
              <w:spacing w:after="0" w:line="240" w:lineRule="auto"/>
              <w:jc w:val="both"/>
              <w:rPr>
                <w:szCs w:val="24"/>
                <w:lang w:eastAsia="lv-LV"/>
              </w:rPr>
            </w:pPr>
          </w:p>
        </w:tc>
      </w:tr>
      <w:tr w:rsidR="00A34DFE" w:rsidRPr="00713EEA" w:rsidTr="00713EEA">
        <w:trPr>
          <w:trHeight w:val="652"/>
          <w:tblCellSpacing w:w="0" w:type="dxa"/>
        </w:trPr>
        <w:tc>
          <w:tcPr>
            <w:tcW w:w="9195" w:type="dxa"/>
            <w:gridSpan w:val="11"/>
            <w:tcBorders>
              <w:top w:val="outset" w:sz="6" w:space="0" w:color="auto"/>
              <w:bottom w:val="outset" w:sz="6" w:space="0" w:color="auto"/>
            </w:tcBorders>
          </w:tcPr>
          <w:p w:rsidR="00A34DFE" w:rsidRPr="00713EEA" w:rsidRDefault="00A34DFE" w:rsidP="00A07DA2">
            <w:pPr>
              <w:spacing w:before="150" w:after="150" w:line="240" w:lineRule="auto"/>
              <w:jc w:val="center"/>
              <w:rPr>
                <w:b/>
                <w:bCs/>
                <w:szCs w:val="24"/>
                <w:lang w:eastAsia="lv-LV"/>
              </w:rPr>
            </w:pPr>
            <w:r w:rsidRPr="00713EEA">
              <w:rPr>
                <w:b/>
                <w:bCs/>
                <w:szCs w:val="24"/>
                <w:lang w:eastAsia="lv-LV"/>
              </w:rPr>
              <w:t>III. Tiesību akta projekta ietekme uz valsts budžetu un pašvaldību budžetiem</w:t>
            </w:r>
          </w:p>
        </w:tc>
      </w:tr>
      <w:tr w:rsidR="00A34DFE" w:rsidRPr="00713EEA" w:rsidTr="00970F40">
        <w:trPr>
          <w:tblCellSpacing w:w="0" w:type="dxa"/>
        </w:trPr>
        <w:tc>
          <w:tcPr>
            <w:tcW w:w="2709" w:type="dxa"/>
            <w:gridSpan w:val="3"/>
            <w:vMerge w:val="restart"/>
            <w:tcBorders>
              <w:top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w:t>
            </w:r>
            <w:r w:rsidRPr="00713EEA">
              <w:rPr>
                <w:b/>
                <w:bCs/>
                <w:szCs w:val="24"/>
                <w:lang w:eastAsia="lv-LV"/>
              </w:rPr>
              <w:t>Rādītāji</w:t>
            </w:r>
          </w:p>
        </w:tc>
        <w:tc>
          <w:tcPr>
            <w:tcW w:w="2663" w:type="dxa"/>
            <w:gridSpan w:val="4"/>
            <w:vMerge w:val="restart"/>
            <w:tcBorders>
              <w:top w:val="outset" w:sz="6" w:space="0" w:color="auto"/>
              <w:left w:val="outset" w:sz="6" w:space="0" w:color="auto"/>
              <w:bottom w:val="outset" w:sz="6" w:space="0" w:color="auto"/>
              <w:right w:val="outset" w:sz="6" w:space="0" w:color="auto"/>
            </w:tcBorders>
            <w:vAlign w:val="center"/>
          </w:tcPr>
          <w:p w:rsidR="00A34DFE" w:rsidRPr="00713EEA" w:rsidRDefault="00A34DFE" w:rsidP="002D1977">
            <w:pPr>
              <w:spacing w:before="75" w:after="75" w:line="240" w:lineRule="auto"/>
              <w:jc w:val="center"/>
              <w:rPr>
                <w:szCs w:val="24"/>
                <w:lang w:eastAsia="lv-LV"/>
              </w:rPr>
            </w:pPr>
            <w:r w:rsidRPr="00713EEA">
              <w:rPr>
                <w:b/>
                <w:szCs w:val="24"/>
                <w:lang w:eastAsia="lv-LV"/>
              </w:rPr>
              <w:t>201</w:t>
            </w:r>
            <w:r w:rsidR="002D1977">
              <w:rPr>
                <w:b/>
                <w:szCs w:val="24"/>
                <w:lang w:eastAsia="lv-LV"/>
              </w:rPr>
              <w:t>3</w:t>
            </w:r>
            <w:r w:rsidRPr="00713EEA">
              <w:rPr>
                <w:b/>
                <w:szCs w:val="24"/>
                <w:lang w:eastAsia="lv-LV"/>
              </w:rPr>
              <w:t>.</w:t>
            </w:r>
            <w:r w:rsidRPr="00713EEA">
              <w:rPr>
                <w:b/>
                <w:bCs/>
                <w:szCs w:val="24"/>
                <w:lang w:eastAsia="lv-LV"/>
              </w:rPr>
              <w:t>gads</w:t>
            </w:r>
          </w:p>
        </w:tc>
        <w:tc>
          <w:tcPr>
            <w:tcW w:w="3823" w:type="dxa"/>
            <w:gridSpan w:val="4"/>
            <w:tcBorders>
              <w:top w:val="outset" w:sz="6" w:space="0" w:color="auto"/>
              <w:left w:val="outset" w:sz="6" w:space="0" w:color="auto"/>
              <w:bottom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Turpmākie trīs gadi (tūkst. latu)</w:t>
            </w:r>
          </w:p>
        </w:tc>
      </w:tr>
      <w:tr w:rsidR="00A34DFE" w:rsidRPr="00713EEA" w:rsidTr="00970F40">
        <w:trPr>
          <w:tblCellSpacing w:w="0" w:type="dxa"/>
        </w:trPr>
        <w:tc>
          <w:tcPr>
            <w:tcW w:w="2709" w:type="dxa"/>
            <w:gridSpan w:val="3"/>
            <w:vMerge/>
            <w:tcBorders>
              <w:top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2663" w:type="dxa"/>
            <w:gridSpan w:val="4"/>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2D1977">
            <w:pPr>
              <w:spacing w:before="150" w:after="150" w:line="240" w:lineRule="auto"/>
              <w:jc w:val="center"/>
              <w:rPr>
                <w:b/>
                <w:bCs/>
                <w:szCs w:val="24"/>
                <w:lang w:eastAsia="lv-LV"/>
              </w:rPr>
            </w:pPr>
            <w:r w:rsidRPr="00713EEA">
              <w:rPr>
                <w:b/>
                <w:bCs/>
                <w:szCs w:val="24"/>
                <w:lang w:eastAsia="lv-LV"/>
              </w:rPr>
              <w:t>201</w:t>
            </w:r>
            <w:r w:rsidR="002D1977">
              <w:rPr>
                <w:b/>
                <w:bCs/>
                <w:szCs w:val="24"/>
                <w:lang w:eastAsia="lv-LV"/>
              </w:rPr>
              <w:t>4</w:t>
            </w: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2D1977">
            <w:pPr>
              <w:spacing w:before="150" w:after="150" w:line="240" w:lineRule="auto"/>
              <w:jc w:val="center"/>
              <w:rPr>
                <w:b/>
                <w:bCs/>
                <w:szCs w:val="24"/>
                <w:lang w:eastAsia="lv-LV"/>
              </w:rPr>
            </w:pPr>
            <w:r w:rsidRPr="00713EEA">
              <w:rPr>
                <w:b/>
                <w:bCs/>
                <w:szCs w:val="24"/>
                <w:lang w:eastAsia="lv-LV"/>
              </w:rPr>
              <w:t>201</w:t>
            </w:r>
            <w:r w:rsidR="002D1977">
              <w:rPr>
                <w:b/>
                <w:bCs/>
                <w:szCs w:val="24"/>
                <w:lang w:eastAsia="lv-LV"/>
              </w:rPr>
              <w:t>5</w:t>
            </w:r>
          </w:p>
        </w:tc>
        <w:tc>
          <w:tcPr>
            <w:tcW w:w="1243" w:type="dxa"/>
            <w:gridSpan w:val="2"/>
            <w:tcBorders>
              <w:top w:val="outset" w:sz="6" w:space="0" w:color="auto"/>
              <w:left w:val="outset" w:sz="6" w:space="0" w:color="auto"/>
              <w:bottom w:val="outset" w:sz="6" w:space="0" w:color="auto"/>
            </w:tcBorders>
            <w:vAlign w:val="center"/>
          </w:tcPr>
          <w:p w:rsidR="00A34DFE" w:rsidRPr="00713EEA" w:rsidRDefault="00A34DFE" w:rsidP="002D1977">
            <w:pPr>
              <w:spacing w:before="150" w:after="150" w:line="240" w:lineRule="auto"/>
              <w:jc w:val="center"/>
              <w:rPr>
                <w:b/>
                <w:bCs/>
                <w:szCs w:val="24"/>
                <w:lang w:eastAsia="lv-LV"/>
              </w:rPr>
            </w:pPr>
            <w:r w:rsidRPr="00713EEA">
              <w:rPr>
                <w:b/>
                <w:bCs/>
                <w:szCs w:val="24"/>
                <w:lang w:eastAsia="lv-LV"/>
              </w:rPr>
              <w:t>201</w:t>
            </w:r>
            <w:r w:rsidR="002D1977">
              <w:rPr>
                <w:b/>
                <w:bCs/>
                <w:szCs w:val="24"/>
                <w:lang w:eastAsia="lv-LV"/>
              </w:rPr>
              <w:t>6</w:t>
            </w:r>
          </w:p>
        </w:tc>
      </w:tr>
      <w:tr w:rsidR="00A34DFE" w:rsidRPr="00713EEA" w:rsidTr="00970F40">
        <w:trPr>
          <w:tblCellSpacing w:w="0" w:type="dxa"/>
        </w:trPr>
        <w:tc>
          <w:tcPr>
            <w:tcW w:w="2709" w:type="dxa"/>
            <w:gridSpan w:val="3"/>
            <w:vMerge/>
            <w:tcBorders>
              <w:top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373" w:type="dxa"/>
            <w:gridSpan w:val="2"/>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Saskaņā ar valsts budžetu kārtējam gadam</w:t>
            </w:r>
          </w:p>
        </w:tc>
        <w:tc>
          <w:tcPr>
            <w:tcW w:w="1290" w:type="dxa"/>
            <w:gridSpan w:val="2"/>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Izmaiņas kārtējā gadā, salīdzinot ar 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Izmaiņas, salīdzinot ar kārtējo (n) gadu</w:t>
            </w: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Izmaiņas, salīdzinot ar kārtējo (n) gadu</w:t>
            </w:r>
          </w:p>
        </w:tc>
        <w:tc>
          <w:tcPr>
            <w:tcW w:w="1243" w:type="dxa"/>
            <w:gridSpan w:val="2"/>
            <w:tcBorders>
              <w:top w:val="outset" w:sz="6" w:space="0" w:color="auto"/>
              <w:left w:val="outset" w:sz="6" w:space="0" w:color="auto"/>
              <w:bottom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Izmaiņas, salīdzinot ar kārtējo (n) gadu</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1</w:t>
            </w:r>
          </w:p>
        </w:tc>
        <w:tc>
          <w:tcPr>
            <w:tcW w:w="1373" w:type="dxa"/>
            <w:gridSpan w:val="2"/>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2</w:t>
            </w:r>
          </w:p>
        </w:tc>
        <w:tc>
          <w:tcPr>
            <w:tcW w:w="1290" w:type="dxa"/>
            <w:gridSpan w:val="2"/>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3</w:t>
            </w: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4</w:t>
            </w:r>
          </w:p>
        </w:tc>
        <w:tc>
          <w:tcPr>
            <w:tcW w:w="1290" w:type="dxa"/>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5</w:t>
            </w:r>
          </w:p>
        </w:tc>
        <w:tc>
          <w:tcPr>
            <w:tcW w:w="1243" w:type="dxa"/>
            <w:gridSpan w:val="2"/>
            <w:tcBorders>
              <w:top w:val="outset" w:sz="6" w:space="0" w:color="auto"/>
              <w:left w:val="outset" w:sz="6" w:space="0" w:color="auto"/>
              <w:bottom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6</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lastRenderedPageBreak/>
              <w:t> 1. Budžeta ieņēmumi:</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970F40" w:rsidP="00970F40">
            <w:pPr>
              <w:spacing w:before="75" w:after="75" w:line="240" w:lineRule="auto"/>
              <w:rPr>
                <w:szCs w:val="24"/>
                <w:lang w:eastAsia="lv-LV"/>
              </w:rPr>
            </w:pPr>
            <w:r>
              <w:rPr>
                <w:szCs w:val="24"/>
                <w:lang w:eastAsia="lv-LV"/>
              </w:rPr>
              <w:t xml:space="preserve">      99 837.4</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100C3E" w:rsidP="00970F40">
            <w:pPr>
              <w:spacing w:before="75" w:after="75" w:line="240" w:lineRule="auto"/>
              <w:rPr>
                <w:szCs w:val="24"/>
                <w:lang w:eastAsia="lv-LV"/>
              </w:rPr>
            </w:pPr>
            <w:r>
              <w:rPr>
                <w:szCs w:val="24"/>
                <w:lang w:eastAsia="lv-LV"/>
              </w:rPr>
              <w:t xml:space="preserve">  -</w:t>
            </w:r>
            <w:r w:rsidRPr="00100C3E">
              <w:t>1</w:t>
            </w:r>
            <w:r w:rsidR="00970F40">
              <w:t> </w:t>
            </w:r>
            <w:r w:rsidRPr="00100C3E">
              <w:t>269</w:t>
            </w:r>
            <w:r w:rsidR="00970F40">
              <w:t>.</w:t>
            </w:r>
            <w:r w:rsidRPr="00100C3E">
              <w:t>6</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C26E4F">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1.1. valsts pamatbudžets, tai skaitā ieņēmumi no maksas pakalpojumiem un citi pašu ieņēmumi</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970F40" w:rsidP="00C26E4F">
            <w:pPr>
              <w:spacing w:before="75" w:after="75" w:line="240" w:lineRule="auto"/>
              <w:ind w:firstLine="375"/>
              <w:jc w:val="center"/>
              <w:rPr>
                <w:szCs w:val="24"/>
                <w:lang w:eastAsia="lv-LV"/>
              </w:rPr>
            </w:pPr>
            <w:r w:rsidRPr="00970F40">
              <w:rPr>
                <w:szCs w:val="24"/>
                <w:lang w:eastAsia="lv-LV"/>
              </w:rPr>
              <w:t>99 837.4</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37430E" w:rsidP="00970F40">
            <w:pPr>
              <w:spacing w:before="75" w:after="75" w:line="240" w:lineRule="auto"/>
              <w:ind w:firstLine="140"/>
              <w:jc w:val="center"/>
              <w:rPr>
                <w:szCs w:val="24"/>
                <w:lang w:eastAsia="lv-LV"/>
              </w:rPr>
            </w:pPr>
            <w:r>
              <w:t>-</w:t>
            </w:r>
            <w:r w:rsidR="00100C3E" w:rsidRPr="00100C3E">
              <w:t>1</w:t>
            </w:r>
            <w:r w:rsidR="00970F40">
              <w:t> </w:t>
            </w:r>
            <w:r w:rsidR="00100C3E" w:rsidRPr="00100C3E">
              <w:t>269</w:t>
            </w:r>
            <w:r w:rsidR="00970F40">
              <w:t>.</w:t>
            </w:r>
            <w:r w:rsidR="00100C3E" w:rsidRPr="00100C3E">
              <w:t>6</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1.2. valsts speciālais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12"/>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1.3. pašvaldību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2. Budžeta izdevumi:</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2.1. valsts pamatbudžets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tabs>
                <w:tab w:val="left" w:pos="510"/>
                <w:tab w:val="center" w:pos="624"/>
              </w:tabs>
              <w:spacing w:before="75" w:after="75" w:line="240" w:lineRule="auto"/>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2.2. valsts speciālais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ind w:firstLine="375"/>
              <w:rPr>
                <w:szCs w:val="24"/>
                <w:lang w:eastAsia="lv-LV"/>
              </w:rPr>
            </w:pPr>
            <w:r w:rsidRPr="00713EEA">
              <w:rPr>
                <w:szCs w:val="24"/>
                <w:lang w:eastAsia="lv-LV"/>
              </w:rPr>
              <w:t xml:space="preserve">  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ind w:firstLine="50"/>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 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2.3. pašvaldību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ind w:firstLine="12"/>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C26E4F">
            <w:pPr>
              <w:spacing w:before="75" w:after="75" w:line="240" w:lineRule="auto"/>
              <w:ind w:firstLine="50"/>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3. Finansiālā ietekme:</w:t>
            </w:r>
          </w:p>
        </w:tc>
        <w:tc>
          <w:tcPr>
            <w:tcW w:w="1373" w:type="dxa"/>
            <w:gridSpan w:val="2"/>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before="75" w:after="75" w:line="240" w:lineRule="auto"/>
              <w:jc w:val="center"/>
              <w:rPr>
                <w:szCs w:val="24"/>
                <w:lang w:eastAsia="lv-LV"/>
              </w:rPr>
            </w:pPr>
            <w:r w:rsidRPr="00713EEA">
              <w:rPr>
                <w:szCs w:val="24"/>
                <w:lang w:eastAsia="lv-LV"/>
              </w:rPr>
              <w:t>  </w:t>
            </w:r>
            <w:r w:rsidR="00970F40">
              <w:rPr>
                <w:szCs w:val="24"/>
                <w:lang w:eastAsia="lv-LV"/>
              </w:rPr>
              <w:t>99 837.4</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8C35E6" w:rsidP="00970F40">
            <w:pPr>
              <w:spacing w:before="75" w:after="75" w:line="240" w:lineRule="auto"/>
              <w:jc w:val="center"/>
              <w:rPr>
                <w:szCs w:val="24"/>
                <w:lang w:eastAsia="lv-LV"/>
              </w:rPr>
            </w:pPr>
            <w:r w:rsidRPr="00713EEA">
              <w:rPr>
                <w:szCs w:val="24"/>
                <w:lang w:eastAsia="lv-LV"/>
              </w:rPr>
              <w:t>-</w:t>
            </w:r>
            <w:r w:rsidR="00100C3E" w:rsidRPr="00100C3E">
              <w:t>1</w:t>
            </w:r>
            <w:r w:rsidR="00970F40">
              <w:t> </w:t>
            </w:r>
            <w:r w:rsidR="00100C3E" w:rsidRPr="00100C3E">
              <w:t>269</w:t>
            </w:r>
            <w:r w:rsidR="00970F40">
              <w:t>.</w:t>
            </w:r>
            <w:r w:rsidR="00100C3E" w:rsidRPr="00100C3E">
              <w:t>6</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3.1. valsts pamatbudžets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970F40" w:rsidP="00A07DA2">
            <w:pPr>
              <w:spacing w:before="75" w:after="75" w:line="240" w:lineRule="auto"/>
              <w:ind w:firstLine="61"/>
              <w:jc w:val="center"/>
              <w:rPr>
                <w:szCs w:val="24"/>
                <w:lang w:eastAsia="lv-LV"/>
              </w:rPr>
            </w:pPr>
            <w:r w:rsidRPr="00970F40">
              <w:rPr>
                <w:szCs w:val="24"/>
                <w:lang w:eastAsia="lv-LV"/>
              </w:rPr>
              <w:t>99 837.4</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8C35E6" w:rsidP="00970F40">
            <w:pPr>
              <w:spacing w:before="75" w:after="75" w:line="240" w:lineRule="auto"/>
              <w:ind w:firstLine="65"/>
              <w:jc w:val="center"/>
              <w:rPr>
                <w:szCs w:val="24"/>
                <w:lang w:eastAsia="lv-LV"/>
              </w:rPr>
            </w:pPr>
            <w:r w:rsidRPr="00713EEA">
              <w:rPr>
                <w:szCs w:val="24"/>
                <w:lang w:eastAsia="lv-LV"/>
              </w:rPr>
              <w:t>-</w:t>
            </w:r>
            <w:r w:rsidR="00100C3E" w:rsidRPr="00100C3E">
              <w:t>1</w:t>
            </w:r>
            <w:r w:rsidR="00970F40">
              <w:t> </w:t>
            </w:r>
            <w:r w:rsidR="00100C3E" w:rsidRPr="00100C3E">
              <w:t>269</w:t>
            </w:r>
            <w:r w:rsidR="00970F40">
              <w:t>.</w:t>
            </w:r>
            <w:r w:rsidR="00100C3E" w:rsidRPr="00100C3E">
              <w:t>6</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3.2. speciālais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61"/>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65"/>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3.3. pašvaldību budžets</w:t>
            </w:r>
          </w:p>
        </w:tc>
        <w:tc>
          <w:tcPr>
            <w:tcW w:w="1373"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0</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65"/>
              <w:jc w:val="center"/>
              <w:rPr>
                <w:szCs w:val="24"/>
                <w:lang w:eastAsia="lv-LV"/>
              </w:rPr>
            </w:pPr>
            <w:r w:rsidRPr="00713EEA">
              <w:rPr>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vMerge w:val="restart"/>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4. Finanšu līdzekļi papildu izde</w:t>
            </w:r>
            <w:r w:rsidRPr="00713EEA">
              <w:rPr>
                <w:szCs w:val="24"/>
                <w:lang w:eastAsia="lv-LV"/>
              </w:rPr>
              <w:softHyphen/>
              <w:t>vumu finansēšanai (kompensējošu izdevumu samazinājumu norāda ar "+" zīmi)</w:t>
            </w:r>
          </w:p>
        </w:tc>
        <w:tc>
          <w:tcPr>
            <w:tcW w:w="1373" w:type="dxa"/>
            <w:gridSpan w:val="2"/>
            <w:vMerge w:val="restart"/>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 X</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r>
      <w:tr w:rsidR="00A34DFE" w:rsidRPr="00713EEA" w:rsidTr="00970F40">
        <w:trPr>
          <w:tblCellSpacing w:w="0" w:type="dxa"/>
        </w:trPr>
        <w:tc>
          <w:tcPr>
            <w:tcW w:w="2709" w:type="dxa"/>
            <w:gridSpan w:val="3"/>
            <w:vMerge/>
            <w:tcBorders>
              <w:top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373" w:type="dxa"/>
            <w:gridSpan w:val="2"/>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vMerge/>
            <w:tcBorders>
              <w:top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373" w:type="dxa"/>
            <w:gridSpan w:val="2"/>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5. Precizēta finansiālā ietekme:</w:t>
            </w:r>
          </w:p>
        </w:tc>
        <w:tc>
          <w:tcPr>
            <w:tcW w:w="1373" w:type="dxa"/>
            <w:gridSpan w:val="2"/>
            <w:vMerge w:val="restart"/>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center"/>
              <w:rPr>
                <w:szCs w:val="24"/>
                <w:lang w:eastAsia="lv-LV"/>
              </w:rPr>
            </w:pPr>
            <w:r w:rsidRPr="00713EEA">
              <w:rPr>
                <w:szCs w:val="24"/>
                <w:lang w:eastAsia="lv-LV"/>
              </w:rPr>
              <w:t> X</w:t>
            </w: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5.1. valsts pamatbudžets</w:t>
            </w:r>
          </w:p>
        </w:tc>
        <w:tc>
          <w:tcPr>
            <w:tcW w:w="1373" w:type="dxa"/>
            <w:gridSpan w:val="2"/>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  </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5.2. speciālais budžets</w:t>
            </w:r>
          </w:p>
        </w:tc>
        <w:tc>
          <w:tcPr>
            <w:tcW w:w="1373" w:type="dxa"/>
            <w:gridSpan w:val="2"/>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 xml:space="preserve">Nav </w:t>
            </w:r>
            <w:r w:rsidRPr="00713EEA">
              <w:rPr>
                <w:szCs w:val="24"/>
                <w:lang w:eastAsia="lv-LV"/>
              </w:rPr>
              <w:lastRenderedPageBreak/>
              <w:t>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lastRenderedPageBreak/>
              <w:t xml:space="preserve">Nav </w:t>
            </w:r>
            <w:r w:rsidRPr="00713EEA">
              <w:rPr>
                <w:szCs w:val="24"/>
                <w:lang w:eastAsia="lv-LV"/>
              </w:rPr>
              <w:lastRenderedPageBreak/>
              <w:t>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lastRenderedPageBreak/>
              <w:t xml:space="preserve">Nav </w:t>
            </w:r>
            <w:r w:rsidRPr="00713EEA">
              <w:rPr>
                <w:szCs w:val="24"/>
                <w:lang w:eastAsia="lv-LV"/>
              </w:rPr>
              <w:lastRenderedPageBreak/>
              <w:t>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lastRenderedPageBreak/>
              <w:t> 5.3. pašvaldību budžets</w:t>
            </w:r>
          </w:p>
        </w:tc>
        <w:tc>
          <w:tcPr>
            <w:tcW w:w="1373" w:type="dxa"/>
            <w:gridSpan w:val="2"/>
            <w:vMerge/>
            <w:tcBorders>
              <w:top w:val="outset" w:sz="6" w:space="0" w:color="auto"/>
              <w:left w:val="outset" w:sz="6" w:space="0" w:color="auto"/>
              <w:bottom w:val="outset" w:sz="6" w:space="0" w:color="auto"/>
              <w:right w:val="outset" w:sz="6" w:space="0" w:color="auto"/>
            </w:tcBorders>
            <w:vAlign w:val="center"/>
          </w:tcPr>
          <w:p w:rsidR="00A34DFE" w:rsidRPr="00713EEA" w:rsidRDefault="00A34DFE" w:rsidP="00A07DA2">
            <w:pPr>
              <w:spacing w:after="0" w:line="240" w:lineRule="auto"/>
              <w:rPr>
                <w:szCs w:val="24"/>
                <w:lang w:eastAsia="lv-LV"/>
              </w:rPr>
            </w:pPr>
          </w:p>
        </w:tc>
        <w:tc>
          <w:tcPr>
            <w:tcW w:w="1290" w:type="dxa"/>
            <w:gridSpan w:val="2"/>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ind w:firstLine="375"/>
              <w:jc w:val="both"/>
              <w:rPr>
                <w:szCs w:val="24"/>
                <w:lang w:eastAsia="lv-LV"/>
              </w:rPr>
            </w:pPr>
            <w:r w:rsidRPr="00713EEA">
              <w:rPr>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c>
          <w:tcPr>
            <w:tcW w:w="1243" w:type="dxa"/>
            <w:gridSpan w:val="2"/>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6. Detalizēts ieņēmumu un izdevu</w:t>
            </w:r>
            <w:r w:rsidRPr="00713EEA">
              <w:rPr>
                <w:szCs w:val="24"/>
                <w:lang w:eastAsia="lv-LV"/>
              </w:rPr>
              <w:softHyphen/>
              <w:t>mu aprēķins (ja nepieciešams, detalizētu ieņēmumu un izdevumu aprēķinu var pievienot anotācijas pielikumā):</w:t>
            </w:r>
          </w:p>
        </w:tc>
        <w:tc>
          <w:tcPr>
            <w:tcW w:w="6486" w:type="dxa"/>
            <w:gridSpan w:val="8"/>
            <w:vMerge w:val="restart"/>
            <w:tcBorders>
              <w:top w:val="outset" w:sz="6" w:space="0" w:color="auto"/>
              <w:left w:val="outset" w:sz="6" w:space="0" w:color="auto"/>
              <w:bottom w:val="outset" w:sz="6" w:space="0" w:color="auto"/>
            </w:tcBorders>
            <w:vAlign w:val="center"/>
          </w:tcPr>
          <w:p w:rsidR="00A34DFE" w:rsidRPr="00713EEA" w:rsidRDefault="00A34DFE" w:rsidP="00A07DA2">
            <w:pPr>
              <w:spacing w:before="75" w:after="75" w:line="240" w:lineRule="auto"/>
              <w:jc w:val="both"/>
              <w:rPr>
                <w:szCs w:val="24"/>
                <w:lang w:eastAsia="lv-LV"/>
              </w:rPr>
            </w:pPr>
            <w:r w:rsidRPr="00713EEA">
              <w:rPr>
                <w:szCs w:val="24"/>
              </w:rPr>
              <w:t>Projekts šo jomu neskar</w:t>
            </w: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6.1. detalizēts ieņēmumu aprēķins</w:t>
            </w:r>
          </w:p>
        </w:tc>
        <w:tc>
          <w:tcPr>
            <w:tcW w:w="6486" w:type="dxa"/>
            <w:gridSpan w:val="8"/>
            <w:vMerge/>
            <w:tcBorders>
              <w:top w:val="outset" w:sz="6" w:space="0" w:color="auto"/>
              <w:left w:val="outset" w:sz="6" w:space="0" w:color="auto"/>
              <w:bottom w:val="outset" w:sz="6" w:space="0" w:color="auto"/>
            </w:tcBorders>
            <w:vAlign w:val="center"/>
          </w:tcPr>
          <w:p w:rsidR="00A34DFE" w:rsidRPr="00713EEA" w:rsidRDefault="00A34DFE" w:rsidP="00A07DA2">
            <w:pPr>
              <w:spacing w:after="0" w:line="240" w:lineRule="auto"/>
              <w:rPr>
                <w:szCs w:val="24"/>
                <w:lang w:eastAsia="lv-LV"/>
              </w:rPr>
            </w:pP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6.2. detalizēts izdevumu aprēķins</w:t>
            </w:r>
          </w:p>
        </w:tc>
        <w:tc>
          <w:tcPr>
            <w:tcW w:w="6486" w:type="dxa"/>
            <w:gridSpan w:val="8"/>
            <w:vMerge/>
            <w:tcBorders>
              <w:top w:val="outset" w:sz="6" w:space="0" w:color="auto"/>
              <w:left w:val="outset" w:sz="6" w:space="0" w:color="auto"/>
              <w:bottom w:val="outset" w:sz="6" w:space="0" w:color="auto"/>
            </w:tcBorders>
            <w:vAlign w:val="center"/>
          </w:tcPr>
          <w:p w:rsidR="00A34DFE" w:rsidRPr="00713EEA" w:rsidRDefault="00A34DFE" w:rsidP="00A07DA2">
            <w:pPr>
              <w:spacing w:after="0" w:line="240" w:lineRule="auto"/>
              <w:rPr>
                <w:szCs w:val="24"/>
                <w:lang w:eastAsia="lv-LV"/>
              </w:rPr>
            </w:pPr>
          </w:p>
        </w:tc>
      </w:tr>
      <w:tr w:rsidR="00A34DFE" w:rsidRPr="00713EEA" w:rsidTr="00970F40">
        <w:trPr>
          <w:tblCellSpacing w:w="0" w:type="dxa"/>
        </w:trPr>
        <w:tc>
          <w:tcPr>
            <w:tcW w:w="2709" w:type="dxa"/>
            <w:gridSpan w:val="3"/>
            <w:tcBorders>
              <w:top w:val="outset" w:sz="6" w:space="0" w:color="auto"/>
              <w:bottom w:val="outset" w:sz="6" w:space="0" w:color="auto"/>
              <w:right w:val="outset" w:sz="6" w:space="0" w:color="auto"/>
            </w:tcBorders>
          </w:tcPr>
          <w:p w:rsidR="00A34DFE" w:rsidRPr="00713EEA" w:rsidRDefault="00A34DFE" w:rsidP="00A07DA2">
            <w:pPr>
              <w:spacing w:before="75" w:after="75" w:line="240" w:lineRule="auto"/>
              <w:rPr>
                <w:szCs w:val="24"/>
                <w:lang w:eastAsia="lv-LV"/>
              </w:rPr>
            </w:pPr>
            <w:r w:rsidRPr="00713EEA">
              <w:rPr>
                <w:szCs w:val="24"/>
                <w:lang w:eastAsia="lv-LV"/>
              </w:rPr>
              <w:t> 7. Cita informācija</w:t>
            </w:r>
          </w:p>
        </w:tc>
        <w:tc>
          <w:tcPr>
            <w:tcW w:w="6486" w:type="dxa"/>
            <w:gridSpan w:val="8"/>
            <w:tcBorders>
              <w:top w:val="outset" w:sz="6" w:space="0" w:color="auto"/>
              <w:left w:val="outset" w:sz="6" w:space="0" w:color="auto"/>
              <w:bottom w:val="outset" w:sz="6" w:space="0" w:color="auto"/>
            </w:tcBorders>
          </w:tcPr>
          <w:p w:rsidR="00A34DFE" w:rsidRPr="00713EEA" w:rsidRDefault="00A34DFE" w:rsidP="00A07DA2">
            <w:pPr>
              <w:spacing w:before="75" w:after="75" w:line="240" w:lineRule="auto"/>
              <w:jc w:val="both"/>
              <w:rPr>
                <w:szCs w:val="24"/>
                <w:lang w:eastAsia="lv-LV"/>
              </w:rPr>
            </w:pPr>
            <w:r w:rsidRPr="00713EEA">
              <w:rPr>
                <w:szCs w:val="24"/>
                <w:lang w:eastAsia="lv-LV"/>
              </w:rPr>
              <w:t>Nav attiecināms.</w:t>
            </w:r>
          </w:p>
        </w:tc>
      </w:tr>
      <w:tr w:rsidR="00A34DFE" w:rsidRPr="00713EEA" w:rsidTr="00713EEA">
        <w:trPr>
          <w:gridAfter w:val="1"/>
          <w:wAfter w:w="859" w:type="dxa"/>
          <w:tblCellSpacing w:w="0" w:type="dxa"/>
        </w:trPr>
        <w:tc>
          <w:tcPr>
            <w:tcW w:w="8336" w:type="dxa"/>
            <w:gridSpan w:val="10"/>
            <w:tcBorders>
              <w:top w:val="outset" w:sz="6" w:space="0" w:color="auto"/>
              <w:bottom w:val="outset" w:sz="6" w:space="0" w:color="auto"/>
            </w:tcBorders>
          </w:tcPr>
          <w:p w:rsidR="00A34DFE" w:rsidRPr="00713EEA" w:rsidRDefault="00A34DFE" w:rsidP="00A07DA2">
            <w:pPr>
              <w:spacing w:after="0" w:line="240" w:lineRule="auto"/>
              <w:jc w:val="center"/>
              <w:rPr>
                <w:szCs w:val="24"/>
                <w:lang w:eastAsia="lv-LV"/>
              </w:rPr>
            </w:pPr>
            <w:r w:rsidRPr="00713EEA">
              <w:rPr>
                <w:szCs w:val="24"/>
                <w:lang w:eastAsia="lv-LV"/>
              </w:rPr>
              <w:t> </w:t>
            </w:r>
            <w:r w:rsidRPr="00713EEA">
              <w:rPr>
                <w:b/>
                <w:bCs/>
                <w:szCs w:val="24"/>
                <w:lang w:eastAsia="lv-LV"/>
              </w:rPr>
              <w:t> VII. Tiesību akta projekta izpildes nodrošināšana un tās ietekme uz institūcijām</w:t>
            </w:r>
          </w:p>
        </w:tc>
      </w:tr>
      <w:tr w:rsidR="00A34DFE" w:rsidRPr="00713EEA" w:rsidTr="00713EEA">
        <w:trPr>
          <w:gridAfter w:val="1"/>
          <w:wAfter w:w="859" w:type="dxa"/>
          <w:trHeight w:val="427"/>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1.</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Projekta izpildē iesaistītās institūcijas</w:t>
            </w:r>
          </w:p>
        </w:tc>
        <w:tc>
          <w:tcPr>
            <w:tcW w:w="4242" w:type="dxa"/>
            <w:gridSpan w:val="4"/>
            <w:tcBorders>
              <w:top w:val="outset" w:sz="6" w:space="0" w:color="auto"/>
              <w:left w:val="outset" w:sz="6" w:space="0" w:color="auto"/>
              <w:bottom w:val="outset" w:sz="6" w:space="0" w:color="auto"/>
            </w:tcBorders>
          </w:tcPr>
          <w:p w:rsidR="00A34DFE" w:rsidRPr="00713EEA" w:rsidRDefault="00A34DFE" w:rsidP="00713EEA">
            <w:pPr>
              <w:spacing w:after="0" w:line="240" w:lineRule="auto"/>
              <w:jc w:val="both"/>
              <w:rPr>
                <w:szCs w:val="24"/>
                <w:lang w:eastAsia="lv-LV"/>
              </w:rPr>
            </w:pPr>
            <w:r w:rsidRPr="00713EEA">
              <w:rPr>
                <w:szCs w:val="24"/>
                <w:lang w:eastAsia="lv-LV"/>
              </w:rPr>
              <w:t xml:space="preserve">Satiksmes ministrija, valsts akciju sabiedrība „Ceļu satiksmes drošības direkcija” </w:t>
            </w:r>
          </w:p>
        </w:tc>
      </w:tr>
      <w:tr w:rsidR="00A34DFE" w:rsidRPr="00713EEA" w:rsidTr="00713EEA">
        <w:trPr>
          <w:gridAfter w:val="1"/>
          <w:wAfter w:w="859" w:type="dxa"/>
          <w:trHeight w:val="463"/>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2.</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Projekta izpildes ietekme uz pārvaldes funkcijām</w:t>
            </w:r>
          </w:p>
        </w:tc>
        <w:tc>
          <w:tcPr>
            <w:tcW w:w="4242" w:type="dxa"/>
            <w:gridSpan w:val="4"/>
            <w:tcBorders>
              <w:top w:val="outset" w:sz="6" w:space="0" w:color="auto"/>
              <w:left w:val="outset" w:sz="6" w:space="0" w:color="auto"/>
              <w:bottom w:val="outset" w:sz="6" w:space="0" w:color="auto"/>
            </w:tcBorders>
          </w:tcPr>
          <w:p w:rsidR="00A34DFE" w:rsidRPr="00713EEA" w:rsidRDefault="00F1266D" w:rsidP="00A125CB">
            <w:pPr>
              <w:spacing w:after="0" w:line="240" w:lineRule="auto"/>
              <w:rPr>
                <w:szCs w:val="24"/>
                <w:lang w:eastAsia="lv-LV"/>
              </w:rPr>
            </w:pPr>
            <w:r>
              <w:rPr>
                <w:szCs w:val="24"/>
                <w:lang w:eastAsia="lv-LV"/>
              </w:rPr>
              <w:t>Projekts šo jomu neskar</w:t>
            </w:r>
            <w:r w:rsidR="00A34DFE" w:rsidRPr="00713EEA">
              <w:rPr>
                <w:szCs w:val="24"/>
                <w:lang w:eastAsia="lv-LV"/>
              </w:rPr>
              <w:t>.</w:t>
            </w:r>
          </w:p>
        </w:tc>
      </w:tr>
      <w:tr w:rsidR="00A34DFE" w:rsidRPr="00713EEA" w:rsidTr="00713EEA">
        <w:trPr>
          <w:gridAfter w:val="1"/>
          <w:wAfter w:w="859" w:type="dxa"/>
          <w:trHeight w:val="725"/>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3.</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Projekta izpildes ietekme uz pārvaldes institucionālo struktūru.</w:t>
            </w:r>
          </w:p>
          <w:p w:rsidR="00A34DFE" w:rsidRPr="00713EEA" w:rsidRDefault="00A34DFE" w:rsidP="00A07DA2">
            <w:pPr>
              <w:spacing w:after="0" w:line="240" w:lineRule="auto"/>
              <w:rPr>
                <w:szCs w:val="24"/>
                <w:lang w:eastAsia="lv-LV"/>
              </w:rPr>
            </w:pPr>
            <w:r w:rsidRPr="00713EEA">
              <w:rPr>
                <w:szCs w:val="24"/>
                <w:lang w:eastAsia="lv-LV"/>
              </w:rPr>
              <w:t>Jaunu institūciju izveide</w:t>
            </w:r>
          </w:p>
        </w:tc>
        <w:tc>
          <w:tcPr>
            <w:tcW w:w="4242" w:type="dxa"/>
            <w:gridSpan w:val="4"/>
            <w:tcBorders>
              <w:top w:val="outset" w:sz="6" w:space="0" w:color="auto"/>
              <w:left w:val="outset" w:sz="6" w:space="0" w:color="auto"/>
              <w:bottom w:val="outset" w:sz="6" w:space="0" w:color="auto"/>
            </w:tcBorders>
          </w:tcPr>
          <w:p w:rsidR="00A34DFE" w:rsidRPr="00713EEA" w:rsidRDefault="00A34DFE" w:rsidP="00713EEA">
            <w:pPr>
              <w:spacing w:after="0" w:line="240" w:lineRule="auto"/>
              <w:jc w:val="both"/>
              <w:rPr>
                <w:szCs w:val="24"/>
                <w:lang w:eastAsia="lv-LV"/>
              </w:rPr>
            </w:pPr>
            <w:r w:rsidRPr="00713EEA">
              <w:rPr>
                <w:color w:val="000000"/>
                <w:szCs w:val="24"/>
              </w:rPr>
              <w:t>Projekta izpildei nav nepieciešams radīt jaunas pārvaldes institūcijas.</w:t>
            </w:r>
          </w:p>
        </w:tc>
      </w:tr>
      <w:tr w:rsidR="00A34DFE" w:rsidRPr="00713EEA" w:rsidTr="00713EEA">
        <w:trPr>
          <w:gridAfter w:val="1"/>
          <w:wAfter w:w="859" w:type="dxa"/>
          <w:trHeight w:val="780"/>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4.</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Projekta izpildes ietekme uz pārvaldes institucionālo struktūru.</w:t>
            </w:r>
          </w:p>
          <w:p w:rsidR="00A34DFE" w:rsidRPr="00713EEA" w:rsidRDefault="00A34DFE" w:rsidP="00A07DA2">
            <w:pPr>
              <w:spacing w:after="0" w:line="240" w:lineRule="auto"/>
              <w:rPr>
                <w:szCs w:val="24"/>
                <w:lang w:eastAsia="lv-LV"/>
              </w:rPr>
            </w:pPr>
            <w:r w:rsidRPr="00713EEA">
              <w:rPr>
                <w:szCs w:val="24"/>
                <w:lang w:eastAsia="lv-LV"/>
              </w:rPr>
              <w:t>Esošu institūciju likvidācija</w:t>
            </w:r>
          </w:p>
        </w:tc>
        <w:tc>
          <w:tcPr>
            <w:tcW w:w="4242" w:type="dxa"/>
            <w:gridSpan w:val="4"/>
            <w:tcBorders>
              <w:top w:val="outset" w:sz="6" w:space="0" w:color="auto"/>
              <w:left w:val="outset" w:sz="6" w:space="0" w:color="auto"/>
              <w:bottom w:val="outset" w:sz="6" w:space="0" w:color="auto"/>
            </w:tcBorders>
          </w:tcPr>
          <w:p w:rsidR="00A34DFE" w:rsidRPr="00713EEA" w:rsidRDefault="00A34DFE" w:rsidP="00A07DA2">
            <w:pPr>
              <w:spacing w:after="0" w:line="240" w:lineRule="auto"/>
              <w:rPr>
                <w:szCs w:val="24"/>
                <w:lang w:eastAsia="lv-LV"/>
              </w:rPr>
            </w:pPr>
            <w:r w:rsidRPr="00713EEA">
              <w:rPr>
                <w:szCs w:val="24"/>
              </w:rPr>
              <w:t>Projekts šo jomu neskar</w:t>
            </w:r>
          </w:p>
        </w:tc>
      </w:tr>
      <w:tr w:rsidR="00A34DFE" w:rsidRPr="00713EEA" w:rsidTr="00713EEA">
        <w:trPr>
          <w:gridAfter w:val="1"/>
          <w:wAfter w:w="859" w:type="dxa"/>
          <w:trHeight w:val="703"/>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5.</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A07DA2">
            <w:pPr>
              <w:spacing w:after="0" w:line="240" w:lineRule="auto"/>
              <w:rPr>
                <w:szCs w:val="24"/>
                <w:lang w:eastAsia="lv-LV"/>
              </w:rPr>
            </w:pPr>
            <w:r w:rsidRPr="00713EEA">
              <w:rPr>
                <w:szCs w:val="24"/>
                <w:lang w:eastAsia="lv-LV"/>
              </w:rPr>
              <w:t> Projekta izpildes ietekme uz pārvaldes institucionālo struktūru.</w:t>
            </w:r>
          </w:p>
          <w:p w:rsidR="00A34DFE" w:rsidRPr="00713EEA" w:rsidRDefault="00A34DFE" w:rsidP="00A07DA2">
            <w:pPr>
              <w:spacing w:after="0" w:line="240" w:lineRule="auto"/>
              <w:rPr>
                <w:szCs w:val="24"/>
                <w:lang w:eastAsia="lv-LV"/>
              </w:rPr>
            </w:pPr>
            <w:r w:rsidRPr="00713EEA">
              <w:rPr>
                <w:szCs w:val="24"/>
                <w:lang w:eastAsia="lv-LV"/>
              </w:rPr>
              <w:t>Esošu institūciju reorganizācija</w:t>
            </w:r>
          </w:p>
        </w:tc>
        <w:tc>
          <w:tcPr>
            <w:tcW w:w="4242" w:type="dxa"/>
            <w:gridSpan w:val="4"/>
            <w:tcBorders>
              <w:top w:val="outset" w:sz="6" w:space="0" w:color="auto"/>
              <w:left w:val="outset" w:sz="6" w:space="0" w:color="auto"/>
              <w:bottom w:val="outset" w:sz="6" w:space="0" w:color="auto"/>
            </w:tcBorders>
          </w:tcPr>
          <w:p w:rsidR="00A34DFE" w:rsidRPr="00713EEA" w:rsidRDefault="00A34DFE" w:rsidP="00A07DA2">
            <w:pPr>
              <w:spacing w:after="0" w:line="240" w:lineRule="auto"/>
              <w:rPr>
                <w:szCs w:val="24"/>
                <w:lang w:eastAsia="lv-LV"/>
              </w:rPr>
            </w:pPr>
            <w:r w:rsidRPr="00713EEA">
              <w:rPr>
                <w:szCs w:val="24"/>
              </w:rPr>
              <w:t>Projekts šo jomu neskar</w:t>
            </w:r>
          </w:p>
        </w:tc>
      </w:tr>
      <w:tr w:rsidR="00A34DFE" w:rsidRPr="00713EEA" w:rsidTr="00713EEA">
        <w:trPr>
          <w:gridAfter w:val="1"/>
          <w:wAfter w:w="859" w:type="dxa"/>
          <w:trHeight w:val="476"/>
          <w:tblCellSpacing w:w="0" w:type="dxa"/>
        </w:trPr>
        <w:tc>
          <w:tcPr>
            <w:tcW w:w="476" w:type="dxa"/>
            <w:tcBorders>
              <w:top w:val="outset" w:sz="6" w:space="0" w:color="auto"/>
              <w:bottom w:val="outset" w:sz="6" w:space="0" w:color="auto"/>
              <w:right w:val="outset" w:sz="6" w:space="0" w:color="auto"/>
            </w:tcBorders>
          </w:tcPr>
          <w:p w:rsidR="00A34DFE" w:rsidRPr="00713EEA" w:rsidRDefault="00A34DFE" w:rsidP="00467181">
            <w:pPr>
              <w:spacing w:after="0" w:line="240" w:lineRule="auto"/>
              <w:rPr>
                <w:szCs w:val="24"/>
                <w:lang w:eastAsia="lv-LV"/>
              </w:rPr>
            </w:pPr>
            <w:r w:rsidRPr="00713EEA">
              <w:rPr>
                <w:szCs w:val="24"/>
                <w:lang w:eastAsia="lv-LV"/>
              </w:rPr>
              <w:t> 6.</w:t>
            </w:r>
          </w:p>
        </w:tc>
        <w:tc>
          <w:tcPr>
            <w:tcW w:w="3618" w:type="dxa"/>
            <w:gridSpan w:val="5"/>
            <w:tcBorders>
              <w:top w:val="outset" w:sz="6" w:space="0" w:color="auto"/>
              <w:left w:val="outset" w:sz="6" w:space="0" w:color="auto"/>
              <w:bottom w:val="outset" w:sz="6" w:space="0" w:color="auto"/>
              <w:right w:val="outset" w:sz="6" w:space="0" w:color="auto"/>
            </w:tcBorders>
          </w:tcPr>
          <w:p w:rsidR="00A34DFE" w:rsidRPr="00713EEA" w:rsidRDefault="00A34DFE" w:rsidP="00467181">
            <w:pPr>
              <w:spacing w:after="0" w:line="240" w:lineRule="auto"/>
              <w:rPr>
                <w:szCs w:val="24"/>
                <w:lang w:eastAsia="lv-LV"/>
              </w:rPr>
            </w:pPr>
            <w:r w:rsidRPr="00713EEA">
              <w:rPr>
                <w:szCs w:val="24"/>
                <w:lang w:eastAsia="lv-LV"/>
              </w:rPr>
              <w:t> Cita informācija</w:t>
            </w:r>
          </w:p>
        </w:tc>
        <w:tc>
          <w:tcPr>
            <w:tcW w:w="4242" w:type="dxa"/>
            <w:gridSpan w:val="4"/>
            <w:tcBorders>
              <w:top w:val="outset" w:sz="6" w:space="0" w:color="auto"/>
              <w:left w:val="outset" w:sz="6" w:space="0" w:color="auto"/>
              <w:bottom w:val="outset" w:sz="6" w:space="0" w:color="auto"/>
            </w:tcBorders>
          </w:tcPr>
          <w:p w:rsidR="00A34DFE" w:rsidRPr="00713EEA" w:rsidRDefault="00A34DFE" w:rsidP="00467181">
            <w:pPr>
              <w:spacing w:after="0" w:line="240" w:lineRule="auto"/>
              <w:rPr>
                <w:szCs w:val="24"/>
                <w:lang w:eastAsia="lv-LV"/>
              </w:rPr>
            </w:pPr>
            <w:r w:rsidRPr="00713EEA">
              <w:rPr>
                <w:szCs w:val="24"/>
                <w:lang w:eastAsia="lv-LV"/>
              </w:rPr>
              <w:t>Nav</w:t>
            </w:r>
          </w:p>
        </w:tc>
      </w:tr>
    </w:tbl>
    <w:p w:rsidR="00A34DFE" w:rsidRPr="00713EEA" w:rsidRDefault="00A34DFE" w:rsidP="00467181">
      <w:pPr>
        <w:pStyle w:val="tvhtml"/>
        <w:spacing w:before="0" w:beforeAutospacing="0" w:after="0" w:afterAutospacing="0"/>
        <w:rPr>
          <w:rFonts w:ascii="Times New Roman" w:hAnsi="Times New Roman"/>
          <w:sz w:val="24"/>
          <w:szCs w:val="24"/>
        </w:rPr>
      </w:pPr>
      <w:r w:rsidRPr="00713EEA">
        <w:rPr>
          <w:rFonts w:ascii="Times New Roman" w:hAnsi="Times New Roman"/>
          <w:i/>
          <w:iCs/>
          <w:sz w:val="24"/>
          <w:szCs w:val="24"/>
        </w:rPr>
        <w:t>Anotācijas II, IV, V un VI sadaļa – projekts šīs jomas neskar</w:t>
      </w:r>
    </w:p>
    <w:p w:rsidR="00355C16" w:rsidRDefault="00355C16" w:rsidP="00467181">
      <w:pPr>
        <w:spacing w:after="0" w:line="240" w:lineRule="auto"/>
        <w:ind w:firstLine="720"/>
        <w:rPr>
          <w:szCs w:val="24"/>
        </w:rPr>
      </w:pPr>
    </w:p>
    <w:p w:rsidR="00A34DFE" w:rsidRPr="00713EEA" w:rsidRDefault="00A34DFE" w:rsidP="00467181">
      <w:pPr>
        <w:spacing w:after="0" w:line="240" w:lineRule="auto"/>
        <w:ind w:firstLine="720"/>
        <w:rPr>
          <w:szCs w:val="24"/>
        </w:rPr>
      </w:pPr>
      <w:r w:rsidRPr="00713EEA">
        <w:rPr>
          <w:szCs w:val="24"/>
        </w:rPr>
        <w:t xml:space="preserve">Satiksmes ministrs </w:t>
      </w:r>
      <w:r w:rsidRPr="00713EEA">
        <w:rPr>
          <w:szCs w:val="24"/>
        </w:rPr>
        <w:tab/>
      </w:r>
      <w:r w:rsidRPr="00713EEA">
        <w:rPr>
          <w:szCs w:val="24"/>
        </w:rPr>
        <w:tab/>
      </w:r>
      <w:r w:rsidRPr="00713EEA">
        <w:rPr>
          <w:szCs w:val="24"/>
        </w:rPr>
        <w:tab/>
      </w:r>
      <w:r w:rsidRPr="00713EEA">
        <w:rPr>
          <w:szCs w:val="24"/>
        </w:rPr>
        <w:tab/>
      </w:r>
      <w:r w:rsidR="00713EEA">
        <w:rPr>
          <w:szCs w:val="24"/>
        </w:rPr>
        <w:tab/>
      </w:r>
      <w:r w:rsidRPr="00713EEA">
        <w:rPr>
          <w:szCs w:val="24"/>
        </w:rPr>
        <w:tab/>
      </w:r>
      <w:r w:rsidR="002F1AD7" w:rsidRPr="00713EEA">
        <w:rPr>
          <w:szCs w:val="24"/>
        </w:rPr>
        <w:t>A.</w:t>
      </w:r>
      <w:r w:rsidR="0001012D">
        <w:rPr>
          <w:szCs w:val="24"/>
        </w:rPr>
        <w:t>Matīss</w:t>
      </w:r>
    </w:p>
    <w:p w:rsidR="00A34DFE" w:rsidRPr="00713EEA" w:rsidRDefault="00A34DFE" w:rsidP="00467181">
      <w:pPr>
        <w:spacing w:after="0" w:line="240" w:lineRule="auto"/>
        <w:rPr>
          <w:szCs w:val="24"/>
        </w:rPr>
      </w:pPr>
    </w:p>
    <w:p w:rsidR="00A34DFE" w:rsidRPr="00713EEA" w:rsidRDefault="00A34DFE" w:rsidP="00467181">
      <w:pPr>
        <w:spacing w:after="0" w:line="240" w:lineRule="auto"/>
        <w:ind w:firstLine="720"/>
        <w:rPr>
          <w:szCs w:val="24"/>
        </w:rPr>
      </w:pPr>
      <w:r w:rsidRPr="00713EEA">
        <w:rPr>
          <w:szCs w:val="24"/>
        </w:rPr>
        <w:t>Vīza:</w:t>
      </w:r>
    </w:p>
    <w:p w:rsidR="00A34DFE" w:rsidRPr="00713EEA" w:rsidRDefault="00355C16" w:rsidP="00467181">
      <w:pPr>
        <w:spacing w:after="0" w:line="240" w:lineRule="auto"/>
        <w:ind w:firstLine="720"/>
        <w:rPr>
          <w:szCs w:val="24"/>
        </w:rPr>
      </w:pPr>
      <w:r>
        <w:rPr>
          <w:szCs w:val="24"/>
        </w:rPr>
        <w:t>Valsts sekretār</w:t>
      </w:r>
      <w:r w:rsidR="00661A40">
        <w:rPr>
          <w:szCs w:val="24"/>
        </w:rPr>
        <w:t>s</w:t>
      </w:r>
      <w:r>
        <w:rPr>
          <w:szCs w:val="24"/>
        </w:rPr>
        <w:tab/>
      </w:r>
      <w:r>
        <w:rPr>
          <w:szCs w:val="24"/>
        </w:rPr>
        <w:tab/>
      </w:r>
      <w:r>
        <w:rPr>
          <w:szCs w:val="24"/>
        </w:rPr>
        <w:tab/>
      </w:r>
      <w:r>
        <w:rPr>
          <w:szCs w:val="24"/>
        </w:rPr>
        <w:tab/>
        <w:t xml:space="preserve">         </w:t>
      </w:r>
      <w:r w:rsidR="00661A40">
        <w:rPr>
          <w:szCs w:val="24"/>
        </w:rPr>
        <w:tab/>
      </w:r>
      <w:r w:rsidR="00661A40">
        <w:rPr>
          <w:szCs w:val="24"/>
        </w:rPr>
        <w:tab/>
        <w:t>K.Ozoliņš</w:t>
      </w:r>
    </w:p>
    <w:p w:rsidR="00A34DFE" w:rsidRDefault="00A34DFE" w:rsidP="00467181">
      <w:pPr>
        <w:spacing w:after="0" w:line="240" w:lineRule="auto"/>
        <w:ind w:firstLine="720"/>
        <w:rPr>
          <w:szCs w:val="24"/>
        </w:rPr>
      </w:pPr>
    </w:p>
    <w:p w:rsidR="00355C16" w:rsidRDefault="00355C16" w:rsidP="00467181">
      <w:pPr>
        <w:spacing w:after="0" w:line="240" w:lineRule="auto"/>
        <w:ind w:firstLine="720"/>
        <w:rPr>
          <w:szCs w:val="24"/>
        </w:rPr>
      </w:pPr>
    </w:p>
    <w:p w:rsidR="0018416D" w:rsidRPr="006F25B3" w:rsidRDefault="0018416D" w:rsidP="00467181">
      <w:pPr>
        <w:tabs>
          <w:tab w:val="left" w:pos="5325"/>
        </w:tabs>
        <w:spacing w:after="0" w:line="240" w:lineRule="auto"/>
        <w:jc w:val="both"/>
        <w:rPr>
          <w:sz w:val="20"/>
          <w:szCs w:val="20"/>
        </w:rPr>
      </w:pPr>
      <w:r w:rsidRPr="006F25B3">
        <w:rPr>
          <w:sz w:val="20"/>
          <w:szCs w:val="20"/>
        </w:rPr>
        <w:t>2</w:t>
      </w:r>
      <w:r w:rsidR="00661A40">
        <w:rPr>
          <w:sz w:val="20"/>
          <w:szCs w:val="20"/>
        </w:rPr>
        <w:t>6</w:t>
      </w:r>
      <w:r w:rsidRPr="006F25B3">
        <w:rPr>
          <w:sz w:val="20"/>
          <w:szCs w:val="20"/>
        </w:rPr>
        <w:t>.08.2013. 1</w:t>
      </w:r>
      <w:r w:rsidR="00661A40">
        <w:rPr>
          <w:sz w:val="20"/>
          <w:szCs w:val="20"/>
        </w:rPr>
        <w:t>5</w:t>
      </w:r>
      <w:r w:rsidRPr="006F25B3">
        <w:rPr>
          <w:sz w:val="20"/>
          <w:szCs w:val="20"/>
        </w:rPr>
        <w:t>:45</w:t>
      </w:r>
    </w:p>
    <w:p w:rsidR="0018416D" w:rsidRPr="006F25B3" w:rsidRDefault="0018416D" w:rsidP="0018416D">
      <w:pPr>
        <w:tabs>
          <w:tab w:val="left" w:pos="5325"/>
        </w:tabs>
        <w:spacing w:after="0" w:line="240" w:lineRule="auto"/>
        <w:jc w:val="both"/>
        <w:rPr>
          <w:sz w:val="20"/>
          <w:szCs w:val="20"/>
        </w:rPr>
      </w:pPr>
      <w:r w:rsidRPr="006F25B3">
        <w:rPr>
          <w:sz w:val="20"/>
          <w:szCs w:val="20"/>
        </w:rPr>
        <w:t>1</w:t>
      </w:r>
      <w:r w:rsidR="004B20A4">
        <w:rPr>
          <w:sz w:val="20"/>
          <w:szCs w:val="20"/>
        </w:rPr>
        <w:t>9</w:t>
      </w:r>
      <w:r w:rsidR="00B54B05">
        <w:rPr>
          <w:sz w:val="20"/>
          <w:szCs w:val="20"/>
        </w:rPr>
        <w:t>36</w:t>
      </w:r>
      <w:bookmarkStart w:id="0" w:name="_GoBack"/>
      <w:bookmarkEnd w:id="0"/>
    </w:p>
    <w:p w:rsidR="0018416D" w:rsidRPr="006F25B3" w:rsidRDefault="0018416D" w:rsidP="0018416D">
      <w:pPr>
        <w:tabs>
          <w:tab w:val="left" w:pos="5325"/>
        </w:tabs>
        <w:spacing w:after="0" w:line="240" w:lineRule="auto"/>
        <w:jc w:val="both"/>
        <w:rPr>
          <w:sz w:val="20"/>
          <w:szCs w:val="20"/>
        </w:rPr>
      </w:pPr>
      <w:r w:rsidRPr="006F25B3">
        <w:rPr>
          <w:sz w:val="20"/>
          <w:szCs w:val="20"/>
        </w:rPr>
        <w:t>I.Strautmane, 67028231,</w:t>
      </w:r>
    </w:p>
    <w:p w:rsidR="00A34DFE" w:rsidRPr="006F25B3" w:rsidRDefault="0018416D" w:rsidP="0018416D">
      <w:pPr>
        <w:tabs>
          <w:tab w:val="left" w:pos="5325"/>
        </w:tabs>
        <w:spacing w:after="0" w:line="240" w:lineRule="auto"/>
        <w:jc w:val="both"/>
        <w:rPr>
          <w:sz w:val="20"/>
          <w:szCs w:val="20"/>
        </w:rPr>
      </w:pPr>
      <w:r w:rsidRPr="006F25B3">
        <w:rPr>
          <w:sz w:val="20"/>
          <w:szCs w:val="20"/>
        </w:rPr>
        <w:t>Inguna.strautmane@sam.gov.lv</w:t>
      </w:r>
    </w:p>
    <w:sectPr w:rsidR="00A34DFE" w:rsidRPr="006F25B3" w:rsidSect="00467181">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12" w:rsidRDefault="00A06012">
      <w:r>
        <w:separator/>
      </w:r>
    </w:p>
  </w:endnote>
  <w:endnote w:type="continuationSeparator" w:id="0">
    <w:p w:rsidR="00A06012" w:rsidRDefault="00A0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62" w:rsidRDefault="00606E62" w:rsidP="00D8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E62" w:rsidRDefault="00606E62" w:rsidP="004B7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62" w:rsidRDefault="00194ED0" w:rsidP="00D840DC">
    <w:pPr>
      <w:pStyle w:val="Footer"/>
      <w:framePr w:wrap="around" w:vAnchor="text" w:hAnchor="margin" w:xAlign="right" w:y="1"/>
      <w:rPr>
        <w:rStyle w:val="PageNumber"/>
      </w:rPr>
    </w:pPr>
    <w:r>
      <w:rPr>
        <w:rStyle w:val="PageNumber"/>
      </w:rPr>
      <w:t>o</w:t>
    </w:r>
  </w:p>
  <w:p w:rsidR="00606E62" w:rsidRPr="00E4246F" w:rsidRDefault="00606E62" w:rsidP="00E4246F">
    <w:pPr>
      <w:spacing w:after="0" w:line="240" w:lineRule="auto"/>
      <w:jc w:val="both"/>
      <w:rPr>
        <w:sz w:val="20"/>
        <w:szCs w:val="20"/>
      </w:rPr>
    </w:pPr>
    <w:r w:rsidRPr="00775D1B">
      <w:rPr>
        <w:sz w:val="20"/>
        <w:szCs w:val="20"/>
      </w:rPr>
      <w:fldChar w:fldCharType="begin"/>
    </w:r>
    <w:r w:rsidRPr="00E4246F">
      <w:rPr>
        <w:sz w:val="20"/>
        <w:szCs w:val="20"/>
      </w:rPr>
      <w:instrText xml:space="preserve"> FILENAME </w:instrText>
    </w:r>
    <w:r w:rsidRPr="00775D1B">
      <w:rPr>
        <w:sz w:val="20"/>
        <w:szCs w:val="20"/>
      </w:rPr>
      <w:fldChar w:fldCharType="separate"/>
    </w:r>
    <w:r w:rsidR="0005743B">
      <w:rPr>
        <w:noProof/>
        <w:sz w:val="20"/>
        <w:szCs w:val="20"/>
      </w:rPr>
      <w:t>SAMAnot_2</w:t>
    </w:r>
    <w:r w:rsidR="008A0417">
      <w:rPr>
        <w:noProof/>
        <w:sz w:val="20"/>
        <w:szCs w:val="20"/>
      </w:rPr>
      <w:t>6</w:t>
    </w:r>
    <w:r w:rsidR="0005743B">
      <w:rPr>
        <w:noProof/>
        <w:sz w:val="20"/>
        <w:szCs w:val="20"/>
      </w:rPr>
      <w:t>0813_CSDDdiv</w:t>
    </w:r>
    <w:r w:rsidRPr="00775D1B">
      <w:rPr>
        <w:sz w:val="20"/>
        <w:szCs w:val="20"/>
      </w:rPr>
      <w:fldChar w:fldCharType="end"/>
    </w:r>
    <w:r w:rsidRPr="00E4246F">
      <w:rPr>
        <w:sz w:val="20"/>
        <w:szCs w:val="20"/>
      </w:rPr>
      <w:t xml:space="preserve">; </w:t>
    </w:r>
    <w:r w:rsidRPr="0088206D">
      <w:rPr>
        <w:sz w:val="20"/>
        <w:szCs w:val="20"/>
      </w:rPr>
      <w:t xml:space="preserve">Par </w:t>
    </w:r>
    <w:r w:rsidRPr="00E4246F">
      <w:rPr>
        <w:bCs/>
        <w:sz w:val="20"/>
        <w:szCs w:val="20"/>
        <w:lang w:eastAsia="lv-LV"/>
      </w:rPr>
      <w:t>Min</w:t>
    </w:r>
    <w:r w:rsidRPr="0088206D">
      <w:rPr>
        <w:bCs/>
        <w:sz w:val="20"/>
        <w:szCs w:val="20"/>
        <w:lang w:eastAsia="lv-LV"/>
      </w:rPr>
      <w:t>istru kabineta rīkojuma projektu</w:t>
    </w:r>
    <w:r w:rsidRPr="00E4246F">
      <w:rPr>
        <w:bCs/>
        <w:sz w:val="20"/>
        <w:szCs w:val="20"/>
        <w:lang w:eastAsia="lv-LV"/>
      </w:rPr>
      <w:t xml:space="preserve"> </w:t>
    </w:r>
    <w:r w:rsidRPr="00E4246F">
      <w:rPr>
        <w:sz w:val="20"/>
        <w:szCs w:val="20"/>
      </w:rPr>
      <w:t>„Par valstij dividendēs izmaksājamo valsts akciju sabiedrības „Ceļu satiksmes drošības direkcija” peļņas daļu””</w:t>
    </w:r>
  </w:p>
  <w:p w:rsidR="00606E62" w:rsidRDefault="00606E62" w:rsidP="007924DD">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5D" w:rsidRPr="00AD0130" w:rsidRDefault="00E43B5D" w:rsidP="00AD0130">
    <w:pPr>
      <w:spacing w:after="0" w:line="240" w:lineRule="auto"/>
      <w:rPr>
        <w:sz w:val="20"/>
        <w:szCs w:val="20"/>
      </w:rPr>
    </w:pPr>
    <w:r w:rsidRPr="00AD0130">
      <w:rPr>
        <w:sz w:val="20"/>
        <w:szCs w:val="20"/>
      </w:rPr>
      <w:t>SAMAnot_2</w:t>
    </w:r>
    <w:r w:rsidR="008A0417">
      <w:rPr>
        <w:sz w:val="20"/>
        <w:szCs w:val="20"/>
      </w:rPr>
      <w:t>6</w:t>
    </w:r>
    <w:r w:rsidRPr="00AD0130">
      <w:rPr>
        <w:sz w:val="20"/>
        <w:szCs w:val="20"/>
      </w:rPr>
      <w:t>0813_CSDDdiv; Par Ministru kabineta rīkojuma projektu „Par valstij dividendēs izmaksājamo valsts akciju sabiedrības „Ceļu satiksmes drošības direkcija” peļņas daļu””</w:t>
    </w:r>
  </w:p>
  <w:p w:rsidR="00E43B5D" w:rsidRDefault="00E43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12" w:rsidRDefault="00A06012">
      <w:r>
        <w:separator/>
      </w:r>
    </w:p>
  </w:footnote>
  <w:footnote w:type="continuationSeparator" w:id="0">
    <w:p w:rsidR="00A06012" w:rsidRDefault="00A0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17" w:rsidRDefault="008A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868638"/>
      <w:docPartObj>
        <w:docPartGallery w:val="Page Numbers (Top of Page)"/>
        <w:docPartUnique/>
      </w:docPartObj>
    </w:sdtPr>
    <w:sdtEndPr>
      <w:rPr>
        <w:noProof/>
      </w:rPr>
    </w:sdtEndPr>
    <w:sdtContent>
      <w:p w:rsidR="0005743B" w:rsidRDefault="0005743B">
        <w:pPr>
          <w:pStyle w:val="Header"/>
          <w:jc w:val="center"/>
        </w:pPr>
        <w:r>
          <w:fldChar w:fldCharType="begin"/>
        </w:r>
        <w:r>
          <w:instrText xml:space="preserve"> PAGE   \* MERGEFORMAT </w:instrText>
        </w:r>
        <w:r>
          <w:fldChar w:fldCharType="separate"/>
        </w:r>
        <w:r w:rsidR="00B54B05">
          <w:rPr>
            <w:noProof/>
          </w:rPr>
          <w:t>7</w:t>
        </w:r>
        <w:r>
          <w:rPr>
            <w:noProof/>
          </w:rPr>
          <w:fldChar w:fldCharType="end"/>
        </w:r>
      </w:p>
    </w:sdtContent>
  </w:sdt>
  <w:p w:rsidR="00194ED0" w:rsidRDefault="00194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17" w:rsidRDefault="008A0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7FC"/>
    <w:multiLevelType w:val="hybridMultilevel"/>
    <w:tmpl w:val="C3CCE3D8"/>
    <w:lvl w:ilvl="0" w:tplc="0426000D">
      <w:start w:val="1"/>
      <w:numFmt w:val="bullet"/>
      <w:lvlText w:val=""/>
      <w:lvlJc w:val="left"/>
      <w:pPr>
        <w:ind w:left="1146" w:hanging="360"/>
      </w:pPr>
      <w:rPr>
        <w:rFonts w:ascii="Wingdings" w:hAnsi="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nsid w:val="1B0E1293"/>
    <w:multiLevelType w:val="hybridMultilevel"/>
    <w:tmpl w:val="B644E9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5232096A"/>
    <w:multiLevelType w:val="hybridMultilevel"/>
    <w:tmpl w:val="2FA8B3C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nsid w:val="590261F4"/>
    <w:multiLevelType w:val="hybridMultilevel"/>
    <w:tmpl w:val="6F7C6126"/>
    <w:lvl w:ilvl="0" w:tplc="CAA002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CE03B68"/>
    <w:multiLevelType w:val="hybridMultilevel"/>
    <w:tmpl w:val="E9120118"/>
    <w:lvl w:ilvl="0" w:tplc="A39890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65541323"/>
    <w:multiLevelType w:val="hybridMultilevel"/>
    <w:tmpl w:val="75D4C65E"/>
    <w:lvl w:ilvl="0" w:tplc="743694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9C"/>
    <w:rsid w:val="0001012D"/>
    <w:rsid w:val="000257B3"/>
    <w:rsid w:val="000368D1"/>
    <w:rsid w:val="00042B43"/>
    <w:rsid w:val="00046A45"/>
    <w:rsid w:val="0005743B"/>
    <w:rsid w:val="0006635A"/>
    <w:rsid w:val="00072E9D"/>
    <w:rsid w:val="00076481"/>
    <w:rsid w:val="00082856"/>
    <w:rsid w:val="00084832"/>
    <w:rsid w:val="00085C6B"/>
    <w:rsid w:val="0009304F"/>
    <w:rsid w:val="000A3D40"/>
    <w:rsid w:val="000B37D4"/>
    <w:rsid w:val="000B5E22"/>
    <w:rsid w:val="000B7ECE"/>
    <w:rsid w:val="000C7CD4"/>
    <w:rsid w:val="000D3819"/>
    <w:rsid w:val="000D6DB8"/>
    <w:rsid w:val="000E3FE7"/>
    <w:rsid w:val="000E4BDB"/>
    <w:rsid w:val="0010089D"/>
    <w:rsid w:val="00100C3E"/>
    <w:rsid w:val="001012B1"/>
    <w:rsid w:val="00110D7A"/>
    <w:rsid w:val="00111DA0"/>
    <w:rsid w:val="00113597"/>
    <w:rsid w:val="00115270"/>
    <w:rsid w:val="00124012"/>
    <w:rsid w:val="0012616F"/>
    <w:rsid w:val="00137350"/>
    <w:rsid w:val="00140E53"/>
    <w:rsid w:val="00144F7F"/>
    <w:rsid w:val="00145692"/>
    <w:rsid w:val="001554B7"/>
    <w:rsid w:val="00155C9E"/>
    <w:rsid w:val="001643A7"/>
    <w:rsid w:val="00174D65"/>
    <w:rsid w:val="001825C5"/>
    <w:rsid w:val="0018416D"/>
    <w:rsid w:val="00194ED0"/>
    <w:rsid w:val="0019573B"/>
    <w:rsid w:val="00197169"/>
    <w:rsid w:val="001A297A"/>
    <w:rsid w:val="001B4580"/>
    <w:rsid w:val="001C08A1"/>
    <w:rsid w:val="001D12FB"/>
    <w:rsid w:val="001D7247"/>
    <w:rsid w:val="001E0830"/>
    <w:rsid w:val="001E3115"/>
    <w:rsid w:val="001E6C89"/>
    <w:rsid w:val="001F06E1"/>
    <w:rsid w:val="00200E8C"/>
    <w:rsid w:val="00203DEB"/>
    <w:rsid w:val="00217541"/>
    <w:rsid w:val="002269AA"/>
    <w:rsid w:val="002310DC"/>
    <w:rsid w:val="00233886"/>
    <w:rsid w:val="00240BF4"/>
    <w:rsid w:val="00244D76"/>
    <w:rsid w:val="0025645B"/>
    <w:rsid w:val="00261931"/>
    <w:rsid w:val="0026497D"/>
    <w:rsid w:val="00265954"/>
    <w:rsid w:val="002864B2"/>
    <w:rsid w:val="00293153"/>
    <w:rsid w:val="00294E1C"/>
    <w:rsid w:val="002A0589"/>
    <w:rsid w:val="002A2B58"/>
    <w:rsid w:val="002B442D"/>
    <w:rsid w:val="002B47F7"/>
    <w:rsid w:val="002B533F"/>
    <w:rsid w:val="002B7C16"/>
    <w:rsid w:val="002C7945"/>
    <w:rsid w:val="002D1977"/>
    <w:rsid w:val="002D2CAB"/>
    <w:rsid w:val="002D3D68"/>
    <w:rsid w:val="002D5D36"/>
    <w:rsid w:val="002D712D"/>
    <w:rsid w:val="002E10A2"/>
    <w:rsid w:val="002E72B5"/>
    <w:rsid w:val="002F1AD7"/>
    <w:rsid w:val="002F2CF5"/>
    <w:rsid w:val="002F3B5F"/>
    <w:rsid w:val="002F439F"/>
    <w:rsid w:val="00300F73"/>
    <w:rsid w:val="00303D7E"/>
    <w:rsid w:val="00310432"/>
    <w:rsid w:val="003108CE"/>
    <w:rsid w:val="003146B0"/>
    <w:rsid w:val="00325840"/>
    <w:rsid w:val="00340F72"/>
    <w:rsid w:val="0035363F"/>
    <w:rsid w:val="00355C16"/>
    <w:rsid w:val="003623A4"/>
    <w:rsid w:val="003626BA"/>
    <w:rsid w:val="00363690"/>
    <w:rsid w:val="0037430E"/>
    <w:rsid w:val="003871E8"/>
    <w:rsid w:val="00395B28"/>
    <w:rsid w:val="003A2F65"/>
    <w:rsid w:val="003A3486"/>
    <w:rsid w:val="003A620B"/>
    <w:rsid w:val="003B12E6"/>
    <w:rsid w:val="003B3FBF"/>
    <w:rsid w:val="003C1733"/>
    <w:rsid w:val="003D0E94"/>
    <w:rsid w:val="003D1328"/>
    <w:rsid w:val="003D2A8C"/>
    <w:rsid w:val="003D36B4"/>
    <w:rsid w:val="003E6C7F"/>
    <w:rsid w:val="003E7553"/>
    <w:rsid w:val="003F37F5"/>
    <w:rsid w:val="003F3872"/>
    <w:rsid w:val="003F4441"/>
    <w:rsid w:val="0040379E"/>
    <w:rsid w:val="004078E8"/>
    <w:rsid w:val="00412D20"/>
    <w:rsid w:val="00415CAA"/>
    <w:rsid w:val="004237C4"/>
    <w:rsid w:val="00431737"/>
    <w:rsid w:val="004330C0"/>
    <w:rsid w:val="00435C58"/>
    <w:rsid w:val="00436944"/>
    <w:rsid w:val="00457259"/>
    <w:rsid w:val="004576DF"/>
    <w:rsid w:val="00467181"/>
    <w:rsid w:val="0047032E"/>
    <w:rsid w:val="004705B7"/>
    <w:rsid w:val="0047185E"/>
    <w:rsid w:val="00481091"/>
    <w:rsid w:val="00481D85"/>
    <w:rsid w:val="00487DFE"/>
    <w:rsid w:val="00490AC6"/>
    <w:rsid w:val="00492EB8"/>
    <w:rsid w:val="004A32FF"/>
    <w:rsid w:val="004A4CEB"/>
    <w:rsid w:val="004A6C30"/>
    <w:rsid w:val="004A753E"/>
    <w:rsid w:val="004B0A07"/>
    <w:rsid w:val="004B20A4"/>
    <w:rsid w:val="004B7207"/>
    <w:rsid w:val="004C126A"/>
    <w:rsid w:val="004C2F08"/>
    <w:rsid w:val="004C33B9"/>
    <w:rsid w:val="004C5E99"/>
    <w:rsid w:val="004C7665"/>
    <w:rsid w:val="004D0F26"/>
    <w:rsid w:val="004D481B"/>
    <w:rsid w:val="004E014D"/>
    <w:rsid w:val="004E3631"/>
    <w:rsid w:val="004E5DAF"/>
    <w:rsid w:val="0050031C"/>
    <w:rsid w:val="00500D8A"/>
    <w:rsid w:val="0050320E"/>
    <w:rsid w:val="0050469F"/>
    <w:rsid w:val="005122C1"/>
    <w:rsid w:val="00517258"/>
    <w:rsid w:val="00522759"/>
    <w:rsid w:val="005325D2"/>
    <w:rsid w:val="00553A75"/>
    <w:rsid w:val="00557DE7"/>
    <w:rsid w:val="005677F1"/>
    <w:rsid w:val="00570C16"/>
    <w:rsid w:val="00572F0B"/>
    <w:rsid w:val="00590186"/>
    <w:rsid w:val="00590EFB"/>
    <w:rsid w:val="005A4EF3"/>
    <w:rsid w:val="005B0ACA"/>
    <w:rsid w:val="005C2A97"/>
    <w:rsid w:val="005D2530"/>
    <w:rsid w:val="005D6C2D"/>
    <w:rsid w:val="005E1FE5"/>
    <w:rsid w:val="005E4777"/>
    <w:rsid w:val="005E51E6"/>
    <w:rsid w:val="005E64E4"/>
    <w:rsid w:val="005F0612"/>
    <w:rsid w:val="005F69B9"/>
    <w:rsid w:val="006009A0"/>
    <w:rsid w:val="00602FE4"/>
    <w:rsid w:val="006057C7"/>
    <w:rsid w:val="00606C1B"/>
    <w:rsid w:val="00606E62"/>
    <w:rsid w:val="0061033C"/>
    <w:rsid w:val="00611483"/>
    <w:rsid w:val="00615981"/>
    <w:rsid w:val="00616BAB"/>
    <w:rsid w:val="00616DFD"/>
    <w:rsid w:val="00616EAB"/>
    <w:rsid w:val="0062074B"/>
    <w:rsid w:val="00620E02"/>
    <w:rsid w:val="00640990"/>
    <w:rsid w:val="00646E47"/>
    <w:rsid w:val="00651C7C"/>
    <w:rsid w:val="006560E2"/>
    <w:rsid w:val="006619C7"/>
    <w:rsid w:val="00661A40"/>
    <w:rsid w:val="00665DA5"/>
    <w:rsid w:val="0067078B"/>
    <w:rsid w:val="00671240"/>
    <w:rsid w:val="006764ED"/>
    <w:rsid w:val="00685A37"/>
    <w:rsid w:val="006A4293"/>
    <w:rsid w:val="006A4E2F"/>
    <w:rsid w:val="006B2EE7"/>
    <w:rsid w:val="006B44C0"/>
    <w:rsid w:val="006E2664"/>
    <w:rsid w:val="006E2822"/>
    <w:rsid w:val="006F25B3"/>
    <w:rsid w:val="006F7ED2"/>
    <w:rsid w:val="00704E79"/>
    <w:rsid w:val="007105B4"/>
    <w:rsid w:val="00710E65"/>
    <w:rsid w:val="00712326"/>
    <w:rsid w:val="00713EEA"/>
    <w:rsid w:val="0073270B"/>
    <w:rsid w:val="00733001"/>
    <w:rsid w:val="00751F67"/>
    <w:rsid w:val="00752E02"/>
    <w:rsid w:val="00757154"/>
    <w:rsid w:val="007624EA"/>
    <w:rsid w:val="00764531"/>
    <w:rsid w:val="00775D1B"/>
    <w:rsid w:val="0077784A"/>
    <w:rsid w:val="00780E33"/>
    <w:rsid w:val="00780E8E"/>
    <w:rsid w:val="0078231B"/>
    <w:rsid w:val="0078384F"/>
    <w:rsid w:val="00785E37"/>
    <w:rsid w:val="007924DD"/>
    <w:rsid w:val="00792F44"/>
    <w:rsid w:val="00795423"/>
    <w:rsid w:val="007A3B64"/>
    <w:rsid w:val="007A48C5"/>
    <w:rsid w:val="007A4FDF"/>
    <w:rsid w:val="007A71C8"/>
    <w:rsid w:val="007B3A4C"/>
    <w:rsid w:val="007B3C39"/>
    <w:rsid w:val="007B6D9F"/>
    <w:rsid w:val="007C2173"/>
    <w:rsid w:val="007C331B"/>
    <w:rsid w:val="007D4E95"/>
    <w:rsid w:val="007E05A0"/>
    <w:rsid w:val="00800087"/>
    <w:rsid w:val="0080143C"/>
    <w:rsid w:val="00803814"/>
    <w:rsid w:val="00825805"/>
    <w:rsid w:val="00836000"/>
    <w:rsid w:val="00845B8F"/>
    <w:rsid w:val="0085271F"/>
    <w:rsid w:val="00853B8D"/>
    <w:rsid w:val="008567D4"/>
    <w:rsid w:val="00863771"/>
    <w:rsid w:val="00863894"/>
    <w:rsid w:val="00876F15"/>
    <w:rsid w:val="00880B1D"/>
    <w:rsid w:val="00881E83"/>
    <w:rsid w:val="0088206D"/>
    <w:rsid w:val="00882CF9"/>
    <w:rsid w:val="008832B8"/>
    <w:rsid w:val="00883E4B"/>
    <w:rsid w:val="00886EDA"/>
    <w:rsid w:val="008901AA"/>
    <w:rsid w:val="008905EC"/>
    <w:rsid w:val="008A0417"/>
    <w:rsid w:val="008A101F"/>
    <w:rsid w:val="008B1D70"/>
    <w:rsid w:val="008B781B"/>
    <w:rsid w:val="008C35E6"/>
    <w:rsid w:val="008D13FC"/>
    <w:rsid w:val="008D7458"/>
    <w:rsid w:val="008E18CB"/>
    <w:rsid w:val="008E5461"/>
    <w:rsid w:val="008F36AC"/>
    <w:rsid w:val="008F4F8F"/>
    <w:rsid w:val="00902FA1"/>
    <w:rsid w:val="009044C5"/>
    <w:rsid w:val="00905D8A"/>
    <w:rsid w:val="009075F8"/>
    <w:rsid w:val="00910026"/>
    <w:rsid w:val="00914CE4"/>
    <w:rsid w:val="00925A89"/>
    <w:rsid w:val="00943372"/>
    <w:rsid w:val="00966683"/>
    <w:rsid w:val="00967EB3"/>
    <w:rsid w:val="00970F40"/>
    <w:rsid w:val="00974A21"/>
    <w:rsid w:val="0098647B"/>
    <w:rsid w:val="009912E3"/>
    <w:rsid w:val="00994AA2"/>
    <w:rsid w:val="009A2C8E"/>
    <w:rsid w:val="009B36FF"/>
    <w:rsid w:val="009B7007"/>
    <w:rsid w:val="009C0E12"/>
    <w:rsid w:val="009D0291"/>
    <w:rsid w:val="009D545C"/>
    <w:rsid w:val="009D5B67"/>
    <w:rsid w:val="009D660D"/>
    <w:rsid w:val="009D6AFF"/>
    <w:rsid w:val="009E1BAB"/>
    <w:rsid w:val="009E5807"/>
    <w:rsid w:val="009F5B12"/>
    <w:rsid w:val="00A06012"/>
    <w:rsid w:val="00A07DA2"/>
    <w:rsid w:val="00A10996"/>
    <w:rsid w:val="00A10B03"/>
    <w:rsid w:val="00A125CB"/>
    <w:rsid w:val="00A21ABE"/>
    <w:rsid w:val="00A22215"/>
    <w:rsid w:val="00A22E02"/>
    <w:rsid w:val="00A237EA"/>
    <w:rsid w:val="00A33FF8"/>
    <w:rsid w:val="00A34DFE"/>
    <w:rsid w:val="00A4456B"/>
    <w:rsid w:val="00A454A4"/>
    <w:rsid w:val="00A46647"/>
    <w:rsid w:val="00A478DA"/>
    <w:rsid w:val="00A60F45"/>
    <w:rsid w:val="00A81ACA"/>
    <w:rsid w:val="00A84E31"/>
    <w:rsid w:val="00A86FEF"/>
    <w:rsid w:val="00A9434C"/>
    <w:rsid w:val="00A973BD"/>
    <w:rsid w:val="00AA242A"/>
    <w:rsid w:val="00AA645F"/>
    <w:rsid w:val="00AB07E7"/>
    <w:rsid w:val="00AB6128"/>
    <w:rsid w:val="00AB6B10"/>
    <w:rsid w:val="00AB7FEA"/>
    <w:rsid w:val="00AD0130"/>
    <w:rsid w:val="00AD3A08"/>
    <w:rsid w:val="00AD6628"/>
    <w:rsid w:val="00AD7DBE"/>
    <w:rsid w:val="00AE10FE"/>
    <w:rsid w:val="00AE1474"/>
    <w:rsid w:val="00AE673A"/>
    <w:rsid w:val="00B128C7"/>
    <w:rsid w:val="00B204CB"/>
    <w:rsid w:val="00B310A3"/>
    <w:rsid w:val="00B452E7"/>
    <w:rsid w:val="00B470EC"/>
    <w:rsid w:val="00B54B05"/>
    <w:rsid w:val="00B57682"/>
    <w:rsid w:val="00B619A0"/>
    <w:rsid w:val="00B701FC"/>
    <w:rsid w:val="00B70DDB"/>
    <w:rsid w:val="00B81B33"/>
    <w:rsid w:val="00B86640"/>
    <w:rsid w:val="00B866C8"/>
    <w:rsid w:val="00BA577B"/>
    <w:rsid w:val="00BB1018"/>
    <w:rsid w:val="00BB3C40"/>
    <w:rsid w:val="00BB4690"/>
    <w:rsid w:val="00BB5F38"/>
    <w:rsid w:val="00BC1082"/>
    <w:rsid w:val="00BC35F4"/>
    <w:rsid w:val="00BC4B0C"/>
    <w:rsid w:val="00BD034B"/>
    <w:rsid w:val="00BD03EE"/>
    <w:rsid w:val="00BE6335"/>
    <w:rsid w:val="00BF5393"/>
    <w:rsid w:val="00BF71AB"/>
    <w:rsid w:val="00C02CC9"/>
    <w:rsid w:val="00C26E4F"/>
    <w:rsid w:val="00C36001"/>
    <w:rsid w:val="00C41876"/>
    <w:rsid w:val="00C4599C"/>
    <w:rsid w:val="00C53A9F"/>
    <w:rsid w:val="00C60C40"/>
    <w:rsid w:val="00C618BD"/>
    <w:rsid w:val="00C63B53"/>
    <w:rsid w:val="00C7639D"/>
    <w:rsid w:val="00C813AA"/>
    <w:rsid w:val="00C8644E"/>
    <w:rsid w:val="00C8753B"/>
    <w:rsid w:val="00C90F7C"/>
    <w:rsid w:val="00C9105C"/>
    <w:rsid w:val="00C9627B"/>
    <w:rsid w:val="00CA4307"/>
    <w:rsid w:val="00CC365D"/>
    <w:rsid w:val="00CC6919"/>
    <w:rsid w:val="00CE17D9"/>
    <w:rsid w:val="00CE2A66"/>
    <w:rsid w:val="00CE4699"/>
    <w:rsid w:val="00CE6610"/>
    <w:rsid w:val="00CE721F"/>
    <w:rsid w:val="00D006B7"/>
    <w:rsid w:val="00D01008"/>
    <w:rsid w:val="00D02631"/>
    <w:rsid w:val="00D0554D"/>
    <w:rsid w:val="00D10EAB"/>
    <w:rsid w:val="00D226E3"/>
    <w:rsid w:val="00D23790"/>
    <w:rsid w:val="00D34DCC"/>
    <w:rsid w:val="00D52A95"/>
    <w:rsid w:val="00D55F46"/>
    <w:rsid w:val="00D645B6"/>
    <w:rsid w:val="00D67AE9"/>
    <w:rsid w:val="00D72AEB"/>
    <w:rsid w:val="00D80C09"/>
    <w:rsid w:val="00D840DC"/>
    <w:rsid w:val="00D9172F"/>
    <w:rsid w:val="00D941D8"/>
    <w:rsid w:val="00D958BD"/>
    <w:rsid w:val="00D97388"/>
    <w:rsid w:val="00DB791F"/>
    <w:rsid w:val="00DC6876"/>
    <w:rsid w:val="00DC7E8C"/>
    <w:rsid w:val="00DD3A97"/>
    <w:rsid w:val="00DD49F4"/>
    <w:rsid w:val="00DD7D18"/>
    <w:rsid w:val="00DE6659"/>
    <w:rsid w:val="00DF443B"/>
    <w:rsid w:val="00E01896"/>
    <w:rsid w:val="00E03270"/>
    <w:rsid w:val="00E16373"/>
    <w:rsid w:val="00E226A7"/>
    <w:rsid w:val="00E24305"/>
    <w:rsid w:val="00E25900"/>
    <w:rsid w:val="00E2645D"/>
    <w:rsid w:val="00E30AAB"/>
    <w:rsid w:val="00E326C6"/>
    <w:rsid w:val="00E33DD9"/>
    <w:rsid w:val="00E4246F"/>
    <w:rsid w:val="00E43B5D"/>
    <w:rsid w:val="00E536D9"/>
    <w:rsid w:val="00E56430"/>
    <w:rsid w:val="00E57A7C"/>
    <w:rsid w:val="00E63574"/>
    <w:rsid w:val="00E707C3"/>
    <w:rsid w:val="00E73685"/>
    <w:rsid w:val="00E76600"/>
    <w:rsid w:val="00E83682"/>
    <w:rsid w:val="00E9152C"/>
    <w:rsid w:val="00E924AE"/>
    <w:rsid w:val="00E97C80"/>
    <w:rsid w:val="00EA0EF2"/>
    <w:rsid w:val="00EA3E7F"/>
    <w:rsid w:val="00EB1ACD"/>
    <w:rsid w:val="00EB4CD8"/>
    <w:rsid w:val="00EB527F"/>
    <w:rsid w:val="00ED59C6"/>
    <w:rsid w:val="00ED7629"/>
    <w:rsid w:val="00EE54AE"/>
    <w:rsid w:val="00EE5B16"/>
    <w:rsid w:val="00EF256D"/>
    <w:rsid w:val="00F04ABC"/>
    <w:rsid w:val="00F066A2"/>
    <w:rsid w:val="00F1266D"/>
    <w:rsid w:val="00F15880"/>
    <w:rsid w:val="00F16DCB"/>
    <w:rsid w:val="00F231C0"/>
    <w:rsid w:val="00F258A2"/>
    <w:rsid w:val="00F33BBB"/>
    <w:rsid w:val="00F40E33"/>
    <w:rsid w:val="00F4371B"/>
    <w:rsid w:val="00F57361"/>
    <w:rsid w:val="00F6061E"/>
    <w:rsid w:val="00F6251D"/>
    <w:rsid w:val="00F64B80"/>
    <w:rsid w:val="00F655DF"/>
    <w:rsid w:val="00F82798"/>
    <w:rsid w:val="00F836F7"/>
    <w:rsid w:val="00FA094F"/>
    <w:rsid w:val="00FB5DAD"/>
    <w:rsid w:val="00FB5EBF"/>
    <w:rsid w:val="00FC1F98"/>
    <w:rsid w:val="00FC2297"/>
    <w:rsid w:val="00FC2F6A"/>
    <w:rsid w:val="00FD08B1"/>
    <w:rsid w:val="00FE1922"/>
    <w:rsid w:val="00FE42C7"/>
    <w:rsid w:val="00FF2E68"/>
    <w:rsid w:val="00FF72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C"/>
    <w:pPr>
      <w:spacing w:after="200" w:line="276" w:lineRule="auto"/>
    </w:pPr>
    <w:rPr>
      <w:sz w:val="24"/>
      <w:lang w:eastAsia="en-US"/>
    </w:rPr>
  </w:style>
  <w:style w:type="paragraph" w:styleId="Heading1">
    <w:name w:val="heading 1"/>
    <w:basedOn w:val="Normal"/>
    <w:next w:val="Normal"/>
    <w:link w:val="Heading1Char"/>
    <w:uiPriority w:val="99"/>
    <w:qFormat/>
    <w:rsid w:val="003146B0"/>
    <w:pPr>
      <w:keepNext/>
      <w:tabs>
        <w:tab w:val="left" w:pos="6521"/>
        <w:tab w:val="left" w:pos="7938"/>
      </w:tabs>
      <w:spacing w:after="0" w:line="240" w:lineRule="auto"/>
      <w:jc w:val="center"/>
      <w:outlineLvl w:val="0"/>
    </w:pPr>
    <w:rPr>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5"/>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233886"/>
    <w:pPr>
      <w:spacing w:after="120" w:line="240" w:lineRule="auto"/>
    </w:pPr>
    <w:rPr>
      <w:szCs w:val="24"/>
      <w:lang w:val="en-GB"/>
    </w:rPr>
  </w:style>
  <w:style w:type="character" w:customStyle="1" w:styleId="BodyTextChar">
    <w:name w:val="Body Text Char"/>
    <w:basedOn w:val="DefaultParagraphFont"/>
    <w:link w:val="BodyText"/>
    <w:uiPriority w:val="99"/>
    <w:semiHidden/>
    <w:rsid w:val="00A77C15"/>
    <w:rPr>
      <w:sz w:val="24"/>
      <w:lang w:eastAsia="en-US"/>
    </w:rPr>
  </w:style>
  <w:style w:type="character" w:styleId="Hyperlink">
    <w:name w:val="Hyperlink"/>
    <w:basedOn w:val="DefaultParagraphFont"/>
    <w:uiPriority w:val="99"/>
    <w:rsid w:val="00233886"/>
    <w:rPr>
      <w:rFonts w:cs="Times New Roman"/>
      <w:color w:val="0000FF"/>
      <w:u w:val="single"/>
    </w:rPr>
  </w:style>
  <w:style w:type="paragraph" w:styleId="Header">
    <w:name w:val="header"/>
    <w:basedOn w:val="Normal"/>
    <w:link w:val="HeaderChar"/>
    <w:uiPriority w:val="99"/>
    <w:rsid w:val="00E73685"/>
    <w:pPr>
      <w:tabs>
        <w:tab w:val="center" w:pos="4153"/>
        <w:tab w:val="right" w:pos="8306"/>
      </w:tabs>
    </w:pPr>
  </w:style>
  <w:style w:type="character" w:customStyle="1" w:styleId="HeaderChar">
    <w:name w:val="Header Char"/>
    <w:basedOn w:val="DefaultParagraphFont"/>
    <w:link w:val="Header"/>
    <w:uiPriority w:val="99"/>
    <w:rsid w:val="00A77C15"/>
    <w:rPr>
      <w:sz w:val="24"/>
      <w:lang w:eastAsia="en-US"/>
    </w:rPr>
  </w:style>
  <w:style w:type="paragraph" w:styleId="Footer">
    <w:name w:val="footer"/>
    <w:basedOn w:val="Normal"/>
    <w:link w:val="FooterChar"/>
    <w:uiPriority w:val="99"/>
    <w:rsid w:val="00E73685"/>
    <w:pPr>
      <w:tabs>
        <w:tab w:val="center" w:pos="4153"/>
        <w:tab w:val="right" w:pos="8306"/>
      </w:tabs>
    </w:pPr>
  </w:style>
  <w:style w:type="character" w:customStyle="1" w:styleId="FooterChar">
    <w:name w:val="Footer Char"/>
    <w:basedOn w:val="DefaultParagraphFont"/>
    <w:link w:val="Footer"/>
    <w:uiPriority w:val="99"/>
    <w:semiHidden/>
    <w:rsid w:val="00A77C15"/>
    <w:rPr>
      <w:sz w:val="24"/>
      <w:lang w:eastAsia="en-US"/>
    </w:rPr>
  </w:style>
  <w:style w:type="character" w:styleId="PageNumber">
    <w:name w:val="page number"/>
    <w:basedOn w:val="DefaultParagraphFont"/>
    <w:uiPriority w:val="99"/>
    <w:rsid w:val="004B7207"/>
    <w:rPr>
      <w:rFonts w:cs="Times New Roman"/>
    </w:rPr>
  </w:style>
  <w:style w:type="paragraph" w:customStyle="1" w:styleId="naisf">
    <w:name w:val="naisf"/>
    <w:basedOn w:val="Normal"/>
    <w:uiPriority w:val="99"/>
    <w:rsid w:val="00BF71AB"/>
    <w:pPr>
      <w:spacing w:before="75" w:after="75" w:line="240" w:lineRule="auto"/>
      <w:ind w:firstLine="375"/>
      <w:jc w:val="both"/>
    </w:pPr>
    <w:rPr>
      <w:szCs w:val="24"/>
      <w:lang w:eastAsia="lv-LV"/>
    </w:rPr>
  </w:style>
  <w:style w:type="paragraph" w:customStyle="1" w:styleId="naispant">
    <w:name w:val="naispant"/>
    <w:basedOn w:val="Normal"/>
    <w:uiPriority w:val="99"/>
    <w:rsid w:val="00BF71AB"/>
    <w:pPr>
      <w:spacing w:before="75" w:after="75" w:line="240" w:lineRule="auto"/>
      <w:ind w:left="375" w:firstLine="375"/>
      <w:jc w:val="both"/>
    </w:pPr>
    <w:rPr>
      <w:b/>
      <w:bCs/>
      <w:szCs w:val="24"/>
      <w:lang w:eastAsia="lv-LV"/>
    </w:rPr>
  </w:style>
  <w:style w:type="character" w:styleId="CommentReference">
    <w:name w:val="annotation reference"/>
    <w:basedOn w:val="DefaultParagraphFont"/>
    <w:uiPriority w:val="99"/>
    <w:rsid w:val="000E3FE7"/>
    <w:rPr>
      <w:rFonts w:cs="Times New Roman"/>
      <w:sz w:val="16"/>
      <w:szCs w:val="16"/>
    </w:rPr>
  </w:style>
  <w:style w:type="paragraph" w:styleId="CommentText">
    <w:name w:val="annotation text"/>
    <w:basedOn w:val="Normal"/>
    <w:link w:val="CommentTextChar"/>
    <w:uiPriority w:val="99"/>
    <w:rsid w:val="000E3FE7"/>
    <w:rPr>
      <w:sz w:val="20"/>
      <w:szCs w:val="20"/>
    </w:rPr>
  </w:style>
  <w:style w:type="character" w:customStyle="1" w:styleId="CommentTextChar">
    <w:name w:val="Comment Text Char"/>
    <w:basedOn w:val="DefaultParagraphFont"/>
    <w:link w:val="CommentText"/>
    <w:uiPriority w:val="99"/>
    <w:locked/>
    <w:rsid w:val="000E3FE7"/>
    <w:rPr>
      <w:rFonts w:eastAsia="Times New Roman" w:cs="Times New Roman"/>
      <w:lang w:eastAsia="en-US"/>
    </w:rPr>
  </w:style>
  <w:style w:type="paragraph" w:styleId="CommentSubject">
    <w:name w:val="annotation subject"/>
    <w:basedOn w:val="CommentText"/>
    <w:next w:val="CommentText"/>
    <w:link w:val="CommentSubjectChar"/>
    <w:uiPriority w:val="99"/>
    <w:rsid w:val="000E3FE7"/>
    <w:rPr>
      <w:b/>
      <w:bCs/>
    </w:rPr>
  </w:style>
  <w:style w:type="character" w:customStyle="1" w:styleId="CommentSubjectChar">
    <w:name w:val="Comment Subject Char"/>
    <w:basedOn w:val="CommentTextChar"/>
    <w:link w:val="CommentSubject"/>
    <w:uiPriority w:val="99"/>
    <w:locked/>
    <w:rsid w:val="000E3FE7"/>
    <w:rPr>
      <w:rFonts w:eastAsia="Times New Roman" w:cs="Times New Roman"/>
      <w:b/>
      <w:bCs/>
      <w:lang w:eastAsia="en-US"/>
    </w:rPr>
  </w:style>
  <w:style w:type="paragraph" w:styleId="BalloonText">
    <w:name w:val="Balloon Text"/>
    <w:basedOn w:val="Normal"/>
    <w:link w:val="BalloonTextChar"/>
    <w:uiPriority w:val="99"/>
    <w:rsid w:val="000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E3FE7"/>
    <w:rPr>
      <w:rFonts w:ascii="Tahoma" w:eastAsia="Times New Roman" w:hAnsi="Tahoma" w:cs="Tahoma"/>
      <w:sz w:val="16"/>
      <w:szCs w:val="16"/>
      <w:lang w:eastAsia="en-US"/>
    </w:rPr>
  </w:style>
  <w:style w:type="paragraph" w:customStyle="1" w:styleId="tvhtml">
    <w:name w:val="tv_html"/>
    <w:basedOn w:val="Normal"/>
    <w:uiPriority w:val="99"/>
    <w:rsid w:val="008F36AC"/>
    <w:pPr>
      <w:spacing w:before="100" w:beforeAutospacing="1" w:after="100" w:afterAutospacing="1" w:line="240" w:lineRule="auto"/>
    </w:pPr>
    <w:rPr>
      <w:rFonts w:ascii="Verdana" w:hAnsi="Verdana"/>
      <w:sz w:val="18"/>
      <w:szCs w:val="18"/>
      <w:lang w:eastAsia="lv-LV"/>
    </w:rPr>
  </w:style>
  <w:style w:type="paragraph" w:styleId="ListParagraph">
    <w:name w:val="List Paragraph"/>
    <w:basedOn w:val="Normal"/>
    <w:uiPriority w:val="34"/>
    <w:qFormat/>
    <w:rsid w:val="00CC6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C"/>
    <w:pPr>
      <w:spacing w:after="200" w:line="276" w:lineRule="auto"/>
    </w:pPr>
    <w:rPr>
      <w:sz w:val="24"/>
      <w:lang w:eastAsia="en-US"/>
    </w:rPr>
  </w:style>
  <w:style w:type="paragraph" w:styleId="Heading1">
    <w:name w:val="heading 1"/>
    <w:basedOn w:val="Normal"/>
    <w:next w:val="Normal"/>
    <w:link w:val="Heading1Char"/>
    <w:uiPriority w:val="99"/>
    <w:qFormat/>
    <w:rsid w:val="003146B0"/>
    <w:pPr>
      <w:keepNext/>
      <w:tabs>
        <w:tab w:val="left" w:pos="6521"/>
        <w:tab w:val="left" w:pos="7938"/>
      </w:tabs>
      <w:spacing w:after="0" w:line="240" w:lineRule="auto"/>
      <w:jc w:val="center"/>
      <w:outlineLvl w:val="0"/>
    </w:pPr>
    <w:rPr>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5"/>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233886"/>
    <w:pPr>
      <w:spacing w:after="120" w:line="240" w:lineRule="auto"/>
    </w:pPr>
    <w:rPr>
      <w:szCs w:val="24"/>
      <w:lang w:val="en-GB"/>
    </w:rPr>
  </w:style>
  <w:style w:type="character" w:customStyle="1" w:styleId="BodyTextChar">
    <w:name w:val="Body Text Char"/>
    <w:basedOn w:val="DefaultParagraphFont"/>
    <w:link w:val="BodyText"/>
    <w:uiPriority w:val="99"/>
    <w:semiHidden/>
    <w:rsid w:val="00A77C15"/>
    <w:rPr>
      <w:sz w:val="24"/>
      <w:lang w:eastAsia="en-US"/>
    </w:rPr>
  </w:style>
  <w:style w:type="character" w:styleId="Hyperlink">
    <w:name w:val="Hyperlink"/>
    <w:basedOn w:val="DefaultParagraphFont"/>
    <w:uiPriority w:val="99"/>
    <w:rsid w:val="00233886"/>
    <w:rPr>
      <w:rFonts w:cs="Times New Roman"/>
      <w:color w:val="0000FF"/>
      <w:u w:val="single"/>
    </w:rPr>
  </w:style>
  <w:style w:type="paragraph" w:styleId="Header">
    <w:name w:val="header"/>
    <w:basedOn w:val="Normal"/>
    <w:link w:val="HeaderChar"/>
    <w:uiPriority w:val="99"/>
    <w:rsid w:val="00E73685"/>
    <w:pPr>
      <w:tabs>
        <w:tab w:val="center" w:pos="4153"/>
        <w:tab w:val="right" w:pos="8306"/>
      </w:tabs>
    </w:pPr>
  </w:style>
  <w:style w:type="character" w:customStyle="1" w:styleId="HeaderChar">
    <w:name w:val="Header Char"/>
    <w:basedOn w:val="DefaultParagraphFont"/>
    <w:link w:val="Header"/>
    <w:uiPriority w:val="99"/>
    <w:rsid w:val="00A77C15"/>
    <w:rPr>
      <w:sz w:val="24"/>
      <w:lang w:eastAsia="en-US"/>
    </w:rPr>
  </w:style>
  <w:style w:type="paragraph" w:styleId="Footer">
    <w:name w:val="footer"/>
    <w:basedOn w:val="Normal"/>
    <w:link w:val="FooterChar"/>
    <w:uiPriority w:val="99"/>
    <w:rsid w:val="00E73685"/>
    <w:pPr>
      <w:tabs>
        <w:tab w:val="center" w:pos="4153"/>
        <w:tab w:val="right" w:pos="8306"/>
      </w:tabs>
    </w:pPr>
  </w:style>
  <w:style w:type="character" w:customStyle="1" w:styleId="FooterChar">
    <w:name w:val="Footer Char"/>
    <w:basedOn w:val="DefaultParagraphFont"/>
    <w:link w:val="Footer"/>
    <w:uiPriority w:val="99"/>
    <w:semiHidden/>
    <w:rsid w:val="00A77C15"/>
    <w:rPr>
      <w:sz w:val="24"/>
      <w:lang w:eastAsia="en-US"/>
    </w:rPr>
  </w:style>
  <w:style w:type="character" w:styleId="PageNumber">
    <w:name w:val="page number"/>
    <w:basedOn w:val="DefaultParagraphFont"/>
    <w:uiPriority w:val="99"/>
    <w:rsid w:val="004B7207"/>
    <w:rPr>
      <w:rFonts w:cs="Times New Roman"/>
    </w:rPr>
  </w:style>
  <w:style w:type="paragraph" w:customStyle="1" w:styleId="naisf">
    <w:name w:val="naisf"/>
    <w:basedOn w:val="Normal"/>
    <w:uiPriority w:val="99"/>
    <w:rsid w:val="00BF71AB"/>
    <w:pPr>
      <w:spacing w:before="75" w:after="75" w:line="240" w:lineRule="auto"/>
      <w:ind w:firstLine="375"/>
      <w:jc w:val="both"/>
    </w:pPr>
    <w:rPr>
      <w:szCs w:val="24"/>
      <w:lang w:eastAsia="lv-LV"/>
    </w:rPr>
  </w:style>
  <w:style w:type="paragraph" w:customStyle="1" w:styleId="naispant">
    <w:name w:val="naispant"/>
    <w:basedOn w:val="Normal"/>
    <w:uiPriority w:val="99"/>
    <w:rsid w:val="00BF71AB"/>
    <w:pPr>
      <w:spacing w:before="75" w:after="75" w:line="240" w:lineRule="auto"/>
      <w:ind w:left="375" w:firstLine="375"/>
      <w:jc w:val="both"/>
    </w:pPr>
    <w:rPr>
      <w:b/>
      <w:bCs/>
      <w:szCs w:val="24"/>
      <w:lang w:eastAsia="lv-LV"/>
    </w:rPr>
  </w:style>
  <w:style w:type="character" w:styleId="CommentReference">
    <w:name w:val="annotation reference"/>
    <w:basedOn w:val="DefaultParagraphFont"/>
    <w:uiPriority w:val="99"/>
    <w:rsid w:val="000E3FE7"/>
    <w:rPr>
      <w:rFonts w:cs="Times New Roman"/>
      <w:sz w:val="16"/>
      <w:szCs w:val="16"/>
    </w:rPr>
  </w:style>
  <w:style w:type="paragraph" w:styleId="CommentText">
    <w:name w:val="annotation text"/>
    <w:basedOn w:val="Normal"/>
    <w:link w:val="CommentTextChar"/>
    <w:uiPriority w:val="99"/>
    <w:rsid w:val="000E3FE7"/>
    <w:rPr>
      <w:sz w:val="20"/>
      <w:szCs w:val="20"/>
    </w:rPr>
  </w:style>
  <w:style w:type="character" w:customStyle="1" w:styleId="CommentTextChar">
    <w:name w:val="Comment Text Char"/>
    <w:basedOn w:val="DefaultParagraphFont"/>
    <w:link w:val="CommentText"/>
    <w:uiPriority w:val="99"/>
    <w:locked/>
    <w:rsid w:val="000E3FE7"/>
    <w:rPr>
      <w:rFonts w:eastAsia="Times New Roman" w:cs="Times New Roman"/>
      <w:lang w:eastAsia="en-US"/>
    </w:rPr>
  </w:style>
  <w:style w:type="paragraph" w:styleId="CommentSubject">
    <w:name w:val="annotation subject"/>
    <w:basedOn w:val="CommentText"/>
    <w:next w:val="CommentText"/>
    <w:link w:val="CommentSubjectChar"/>
    <w:uiPriority w:val="99"/>
    <w:rsid w:val="000E3FE7"/>
    <w:rPr>
      <w:b/>
      <w:bCs/>
    </w:rPr>
  </w:style>
  <w:style w:type="character" w:customStyle="1" w:styleId="CommentSubjectChar">
    <w:name w:val="Comment Subject Char"/>
    <w:basedOn w:val="CommentTextChar"/>
    <w:link w:val="CommentSubject"/>
    <w:uiPriority w:val="99"/>
    <w:locked/>
    <w:rsid w:val="000E3FE7"/>
    <w:rPr>
      <w:rFonts w:eastAsia="Times New Roman" w:cs="Times New Roman"/>
      <w:b/>
      <w:bCs/>
      <w:lang w:eastAsia="en-US"/>
    </w:rPr>
  </w:style>
  <w:style w:type="paragraph" w:styleId="BalloonText">
    <w:name w:val="Balloon Text"/>
    <w:basedOn w:val="Normal"/>
    <w:link w:val="BalloonTextChar"/>
    <w:uiPriority w:val="99"/>
    <w:rsid w:val="000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E3FE7"/>
    <w:rPr>
      <w:rFonts w:ascii="Tahoma" w:eastAsia="Times New Roman" w:hAnsi="Tahoma" w:cs="Tahoma"/>
      <w:sz w:val="16"/>
      <w:szCs w:val="16"/>
      <w:lang w:eastAsia="en-US"/>
    </w:rPr>
  </w:style>
  <w:style w:type="paragraph" w:customStyle="1" w:styleId="tvhtml">
    <w:name w:val="tv_html"/>
    <w:basedOn w:val="Normal"/>
    <w:uiPriority w:val="99"/>
    <w:rsid w:val="008F36AC"/>
    <w:pPr>
      <w:spacing w:before="100" w:beforeAutospacing="1" w:after="100" w:afterAutospacing="1" w:line="240" w:lineRule="auto"/>
    </w:pPr>
    <w:rPr>
      <w:rFonts w:ascii="Verdana" w:hAnsi="Verdana"/>
      <w:sz w:val="18"/>
      <w:szCs w:val="18"/>
      <w:lang w:eastAsia="lv-LV"/>
    </w:rPr>
  </w:style>
  <w:style w:type="paragraph" w:styleId="ListParagraph">
    <w:name w:val="List Paragraph"/>
    <w:basedOn w:val="Normal"/>
    <w:uiPriority w:val="34"/>
    <w:qFormat/>
    <w:rsid w:val="00CC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891">
      <w:marLeft w:val="0"/>
      <w:marRight w:val="0"/>
      <w:marTop w:val="0"/>
      <w:marBottom w:val="0"/>
      <w:divBdr>
        <w:top w:val="none" w:sz="0" w:space="0" w:color="auto"/>
        <w:left w:val="none" w:sz="0" w:space="0" w:color="auto"/>
        <w:bottom w:val="none" w:sz="0" w:space="0" w:color="auto"/>
        <w:right w:val="none" w:sz="0" w:space="0" w:color="auto"/>
      </w:divBdr>
    </w:div>
    <w:div w:id="190731892">
      <w:marLeft w:val="0"/>
      <w:marRight w:val="0"/>
      <w:marTop w:val="0"/>
      <w:marBottom w:val="0"/>
      <w:divBdr>
        <w:top w:val="none" w:sz="0" w:space="0" w:color="auto"/>
        <w:left w:val="none" w:sz="0" w:space="0" w:color="auto"/>
        <w:bottom w:val="none" w:sz="0" w:space="0" w:color="auto"/>
        <w:right w:val="none" w:sz="0" w:space="0" w:color="auto"/>
      </w:divBdr>
    </w:div>
    <w:div w:id="190731893">
      <w:marLeft w:val="0"/>
      <w:marRight w:val="0"/>
      <w:marTop w:val="0"/>
      <w:marBottom w:val="0"/>
      <w:divBdr>
        <w:top w:val="none" w:sz="0" w:space="0" w:color="auto"/>
        <w:left w:val="none" w:sz="0" w:space="0" w:color="auto"/>
        <w:bottom w:val="none" w:sz="0" w:space="0" w:color="auto"/>
        <w:right w:val="none" w:sz="0" w:space="0" w:color="auto"/>
      </w:divBdr>
    </w:div>
    <w:div w:id="2582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1936</Words>
  <Characters>13548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Par Ministru kabineta rīkojuma projektu „Par valstij dividendēs izmaksājamo valsts akciju sabiedrības „Ceļu satiksmes drošības direkcija” peļņas daļu””</vt:lpstr>
    </vt:vector>
  </TitlesOfParts>
  <Manager>I.Strautmane</Manager>
  <Company>Satiksmes ministrija</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valstij dividendēs izmaksājamo valsts akciju sabiedrības „Ceļu satiksmes drošības direkcija” peļņas daļu””</dc:title>
  <dc:subject>Anotācija</dc:subject>
  <dc:creator>R.Nīmanis</dc:creator>
  <dc:description>I.Strautmane, 67028237, inguna.strautmane@sam.gov.lv</dc:description>
  <cp:lastModifiedBy>Linda Pūce</cp:lastModifiedBy>
  <cp:revision>11</cp:revision>
  <cp:lastPrinted>2013-08-23T07:51:00Z</cp:lastPrinted>
  <dcterms:created xsi:type="dcterms:W3CDTF">2013-08-26T12:05:00Z</dcterms:created>
  <dcterms:modified xsi:type="dcterms:W3CDTF">2013-08-27T07:10:00Z</dcterms:modified>
</cp:coreProperties>
</file>