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04" w:rsidRPr="00F109C1" w:rsidRDefault="00262C04" w:rsidP="000A7339">
      <w:pPr>
        <w:jc w:val="center"/>
        <w:rPr>
          <w:b/>
          <w:bCs/>
        </w:rPr>
      </w:pPr>
      <w:bookmarkStart w:id="0" w:name="_GoBack"/>
      <w:bookmarkEnd w:id="0"/>
      <w:r w:rsidRPr="00CF7CB3">
        <w:rPr>
          <w:sz w:val="28"/>
          <w:szCs w:val="28"/>
        </w:rPr>
        <w:t>Ministru kabineta rīkojuma projekta „</w:t>
      </w:r>
      <w:r w:rsidRPr="00F109C1">
        <w:rPr>
          <w:bCs/>
          <w:sz w:val="28"/>
          <w:szCs w:val="28"/>
        </w:rPr>
        <w:t>Par nekustamā īpašuma pirkšanu valsts autoceļa A1 Rīga (Baltezers)-Igaunijas robeža (Ainaži)</w:t>
      </w:r>
      <w:r w:rsidRPr="00F109C1">
        <w:rPr>
          <w:sz w:val="28"/>
          <w:szCs w:val="28"/>
        </w:rPr>
        <w:t xml:space="preserve"> </w:t>
      </w:r>
      <w:r w:rsidRPr="00F109C1">
        <w:rPr>
          <w:bCs/>
          <w:sz w:val="28"/>
          <w:szCs w:val="28"/>
        </w:rPr>
        <w:t>rekonstrukcijas projekta īstenošanai</w:t>
      </w:r>
      <w:r w:rsidRPr="00CF7CB3">
        <w:rPr>
          <w:sz w:val="28"/>
          <w:szCs w:val="28"/>
        </w:rPr>
        <w:t xml:space="preserve">” sākotnējās ietekmes novērtējuma </w:t>
      </w:r>
      <w:smartTag w:uri="schemas-tilde-lv/tildestengine" w:element="veidnes">
        <w:smartTagPr>
          <w:attr w:name="id" w:val="-1"/>
          <w:attr w:name="baseform" w:val="ziņojums"/>
          <w:attr w:name="text" w:val="ziņojums"/>
        </w:smartTagPr>
        <w:r w:rsidRPr="00CF7CB3">
          <w:rPr>
            <w:sz w:val="28"/>
            <w:szCs w:val="28"/>
          </w:rPr>
          <w:t>ziņojums</w:t>
        </w:r>
      </w:smartTag>
      <w:r w:rsidRPr="00CF7CB3">
        <w:rPr>
          <w:sz w:val="28"/>
          <w:szCs w:val="28"/>
        </w:rPr>
        <w:t xml:space="preserve"> (anotācija)</w:t>
      </w:r>
    </w:p>
    <w:p w:rsidR="00262C04" w:rsidRPr="00BA2F34" w:rsidRDefault="00262C04" w:rsidP="000A7339">
      <w:pPr>
        <w:jc w:val="center"/>
        <w:rPr>
          <w:b/>
          <w:bCs/>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262C04" w:rsidRPr="0062008E" w:rsidTr="00EC3695">
        <w:tc>
          <w:tcPr>
            <w:tcW w:w="9491" w:type="dxa"/>
            <w:gridSpan w:val="3"/>
            <w:vAlign w:val="center"/>
          </w:tcPr>
          <w:p w:rsidR="00262C04" w:rsidRPr="0062008E" w:rsidRDefault="00262C04" w:rsidP="00EC3695">
            <w:pPr>
              <w:jc w:val="center"/>
              <w:rPr>
                <w:b/>
                <w:color w:val="000000"/>
              </w:rPr>
            </w:pPr>
            <w:r w:rsidRPr="0062008E">
              <w:rPr>
                <w:b/>
                <w:color w:val="000000"/>
              </w:rPr>
              <w:t xml:space="preserve">I.Tiesību akta projekta izstrādes nepieciešamība </w:t>
            </w:r>
          </w:p>
        </w:tc>
      </w:tr>
      <w:tr w:rsidR="00262C04" w:rsidRPr="0062008E" w:rsidTr="00EC369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bottom w:val="outset" w:sz="6" w:space="0" w:color="auto"/>
              <w:right w:val="outset" w:sz="6" w:space="0" w:color="auto"/>
            </w:tcBorders>
          </w:tcPr>
          <w:p w:rsidR="00262C04" w:rsidRPr="0062008E" w:rsidRDefault="00262C04" w:rsidP="00EC3695">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262C04" w:rsidRPr="0062008E" w:rsidRDefault="00262C04" w:rsidP="00EC3695">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tcBorders>
          </w:tcPr>
          <w:p w:rsidR="00262C04" w:rsidRPr="00186B23" w:rsidRDefault="00262C04" w:rsidP="00EC3695">
            <w:pPr>
              <w:pStyle w:val="Heading2"/>
              <w:spacing w:before="120"/>
              <w:ind w:firstLine="723"/>
              <w:jc w:val="both"/>
              <w:rPr>
                <w:sz w:val="24"/>
                <w:szCs w:val="24"/>
              </w:rPr>
            </w:pPr>
            <w:r w:rsidRPr="00186B23">
              <w:rPr>
                <w:sz w:val="24"/>
                <w:szCs w:val="24"/>
              </w:rPr>
              <w:t>Sabiedrības vajadzībām nepieciešamā nekustamā īpašuma atsavināšanas likuma</w:t>
            </w:r>
            <w:r>
              <w:rPr>
                <w:sz w:val="24"/>
                <w:szCs w:val="24"/>
              </w:rPr>
              <w:t xml:space="preserve"> (turpmāk – Likums)</w:t>
            </w:r>
            <w:r w:rsidRPr="00186B23">
              <w:rPr>
                <w:sz w:val="24"/>
                <w:szCs w:val="24"/>
              </w:rPr>
              <w:t xml:space="preserve"> 9.pants.</w:t>
            </w:r>
          </w:p>
        </w:tc>
      </w:tr>
      <w:tr w:rsidR="00262C04" w:rsidRPr="0062008E" w:rsidTr="00EC3695">
        <w:trPr>
          <w:trHeight w:val="527"/>
        </w:trPr>
        <w:tc>
          <w:tcPr>
            <w:tcW w:w="426" w:type="dxa"/>
          </w:tcPr>
          <w:p w:rsidR="00262C04" w:rsidRPr="0062008E" w:rsidRDefault="00262C04" w:rsidP="00EC3695">
            <w:pPr>
              <w:spacing w:before="100" w:beforeAutospacing="1" w:after="100" w:afterAutospacing="1"/>
              <w:rPr>
                <w:color w:val="000000"/>
              </w:rPr>
            </w:pPr>
            <w:r w:rsidRPr="0062008E">
              <w:rPr>
                <w:color w:val="000000"/>
              </w:rPr>
              <w:t>2.</w:t>
            </w:r>
          </w:p>
        </w:tc>
        <w:tc>
          <w:tcPr>
            <w:tcW w:w="2538" w:type="dxa"/>
          </w:tcPr>
          <w:p w:rsidR="00262C04" w:rsidRPr="0062008E" w:rsidRDefault="00262C04" w:rsidP="00EC3695">
            <w:pPr>
              <w:spacing w:before="100" w:beforeAutospacing="1" w:after="100" w:afterAutospacing="1"/>
              <w:rPr>
                <w:color w:val="000000"/>
                <w:lang w:eastAsia="en-US"/>
              </w:rPr>
            </w:pPr>
            <w:r w:rsidRPr="0062008E">
              <w:rPr>
                <w:color w:val="000000"/>
              </w:rPr>
              <w:t xml:space="preserve"> Pašreizējā situācija un problēmas</w:t>
            </w:r>
          </w:p>
          <w:p w:rsidR="00262C04" w:rsidRPr="0062008E" w:rsidRDefault="00262C04" w:rsidP="00EC3695">
            <w:pPr>
              <w:spacing w:before="100" w:beforeAutospacing="1" w:after="100" w:afterAutospacing="1"/>
              <w:rPr>
                <w:color w:val="000000"/>
              </w:rPr>
            </w:pPr>
          </w:p>
        </w:tc>
        <w:tc>
          <w:tcPr>
            <w:tcW w:w="6527" w:type="dxa"/>
          </w:tcPr>
          <w:p w:rsidR="00262C04" w:rsidRDefault="00262C04" w:rsidP="00EC3695">
            <w:pPr>
              <w:ind w:firstLine="774"/>
              <w:jc w:val="both"/>
            </w:pPr>
            <w:r>
              <w:rPr>
                <w:bCs/>
              </w:rPr>
              <w:t xml:space="preserve">Īstenojot </w:t>
            </w:r>
            <w:r w:rsidRPr="000F39A9">
              <w:rPr>
                <w:bCs/>
              </w:rPr>
              <w:t xml:space="preserve">valsts autoceļa </w:t>
            </w:r>
            <w:r w:rsidRPr="00D00C7F">
              <w:rPr>
                <w:bCs/>
              </w:rPr>
              <w:t>A1 Rīga (Baltezers)-Igaunijas robeža (Ainaži)</w:t>
            </w:r>
            <w:r>
              <w:rPr>
                <w:bCs/>
              </w:rPr>
              <w:t xml:space="preserve"> </w:t>
            </w:r>
            <w:r w:rsidRPr="000F39A9">
              <w:rPr>
                <w:bCs/>
              </w:rPr>
              <w:t>rekonstrukcijas projekt</w:t>
            </w:r>
            <w:r>
              <w:rPr>
                <w:bCs/>
              </w:rPr>
              <w:t xml:space="preserve">u (posms 6,3.-12,2.km) no zemes īpašnieka nepieciešams atpirkt </w:t>
            </w:r>
            <w:r>
              <w:t xml:space="preserve">nekustamo īpašumu „Draudzības iela A” (nekustamā īpašuma kadastra </w:t>
            </w:r>
            <w:proofErr w:type="spellStart"/>
            <w:r>
              <w:t>Nr</w:t>
            </w:r>
            <w:proofErr w:type="spellEnd"/>
            <w:r>
              <w:t>. 8044 010 0314) – zemes vienību 0,0028 ha platībā (zemes vienības kadastra apzīmējums 8044 010 0313) – Ādažos, Ādažu novadā (turpmāk – nekustamais īpašums „Draudzības iela A”).</w:t>
            </w:r>
          </w:p>
          <w:p w:rsidR="00262C04" w:rsidRPr="000A7339" w:rsidRDefault="00262C04" w:rsidP="00EC3695">
            <w:pPr>
              <w:ind w:firstLine="756"/>
              <w:jc w:val="both"/>
              <w:rPr>
                <w:bCs/>
              </w:rPr>
            </w:pPr>
            <w:r>
              <w:rPr>
                <w:bCs/>
              </w:rPr>
              <w:t>V</w:t>
            </w:r>
            <w:r w:rsidRPr="000F39A9">
              <w:rPr>
                <w:bCs/>
              </w:rPr>
              <w:t xml:space="preserve">alsts autoceļa </w:t>
            </w:r>
            <w:r w:rsidRPr="00D00C7F">
              <w:rPr>
                <w:bCs/>
              </w:rPr>
              <w:t>A1 Rīga (Baltezers)-Igaunijas robeža (Ainaži)</w:t>
            </w:r>
            <w:r>
              <w:rPr>
                <w:bCs/>
              </w:rPr>
              <w:t xml:space="preserve"> </w:t>
            </w:r>
            <w:r w:rsidRPr="000F39A9">
              <w:rPr>
                <w:bCs/>
              </w:rPr>
              <w:t>rekonstrukcijas projekt</w:t>
            </w:r>
            <w:r>
              <w:rPr>
                <w:bCs/>
              </w:rPr>
              <w:t>s (posms 6,3.-12,2.km) tika realizēts no Eiropas Savienības Kohēzijas fonda līdzekļiem. N</w:t>
            </w:r>
            <w:r w:rsidRPr="000A7339">
              <w:rPr>
                <w:bCs/>
              </w:rPr>
              <w:t xml:space="preserve">ekustamais īpašums apgrūtināts no 2006.gada 29.jūnija. </w:t>
            </w:r>
          </w:p>
          <w:p w:rsidR="00262C04" w:rsidRPr="000A7339" w:rsidRDefault="00262C04" w:rsidP="00EC3695">
            <w:pPr>
              <w:ind w:firstLine="753"/>
              <w:jc w:val="both"/>
            </w:pPr>
            <w:r w:rsidRPr="000A7339">
              <w:t xml:space="preserve">Lai nekavētu no Eiropas Savienības Kohēzijas fonda līdzfinansēto valsts autoceļa A1 Rīga (Baltezers) – Igaunijas robeža (Ainaži) posma Ādaži - Gauja rekonstrukcijas projekta realizāciju, sakarā ar papildus risinājumiem 2006.gada 29.jūnijā no nekustamā īpašuma „Draudzības iela 2” (nekustamā īpašuma kadastra </w:t>
            </w:r>
            <w:proofErr w:type="spellStart"/>
            <w:r w:rsidRPr="000A7339">
              <w:t>Nr</w:t>
            </w:r>
            <w:proofErr w:type="spellEnd"/>
            <w:r w:rsidRPr="000A7339">
              <w:t xml:space="preserve">. 80440100014) īpašnieka Jāņa </w:t>
            </w:r>
            <w:proofErr w:type="spellStart"/>
            <w:r w:rsidRPr="000A7339">
              <w:t>Feldmaņa</w:t>
            </w:r>
            <w:proofErr w:type="spellEnd"/>
            <w:r w:rsidRPr="000A7339">
              <w:t xml:space="preserve"> uz tehniskā projekta izmaiņu plāna tika saņemta piekrišana tehniskā projekta risinājumam Rīgas gatves un Draudzības ielas krustojuma izbūvei. Ar šo parakstu viņš piekrīt pārdot Satiksmes ministrijai aptuveni 28 kvadrātmetri lielu platību sava zemes gabala, kā arī pieprasa atlīdzību par zemes tirgus vērtību plus kompensāciju par izmaksām, kas var rasties sakarā ar zemes pārdošanu. </w:t>
            </w:r>
          </w:p>
          <w:p w:rsidR="00262C04" w:rsidRPr="0026788E" w:rsidRDefault="00262C04" w:rsidP="00EC3695">
            <w:pPr>
              <w:ind w:firstLine="753"/>
              <w:jc w:val="both"/>
              <w:rPr>
                <w:b/>
                <w:szCs w:val="28"/>
              </w:rPr>
            </w:pPr>
            <w:r w:rsidRPr="000A7339">
              <w:t xml:space="preserve">Autoceļa būvdarbi minētajā krustojuma izbūves posmā tika uzsākti 2006.gadā un pabeigti 2006.gadā. Zemes robežu uzmērīšanas darbi tika paredzēti uzsākt jau 2006.gadā, taču to realizācija aizkavējās, jo pagasta pašvaldībai bija jāpieņem </w:t>
            </w:r>
            <w:smartTag w:uri="schemas-tilde-lv/tildestengine" w:element="veidnes">
              <w:smartTagPr>
                <w:attr w:name="id" w:val="-1"/>
                <w:attr w:name="baseform" w:val="lēmums"/>
                <w:attr w:name="text" w:val="lēmums"/>
              </w:smartTagPr>
              <w:r w:rsidRPr="000A7339">
                <w:t>lēmums</w:t>
              </w:r>
            </w:smartTag>
            <w:r w:rsidRPr="000A7339">
              <w:t xml:space="preserve"> par sadali, pēc tam nepieciešams grozīt pieņemto lēmumu atsavināmās platības dēļ, kā arī sakarā ar </w:t>
            </w:r>
            <w:proofErr w:type="spellStart"/>
            <w:r w:rsidRPr="000A7339">
              <w:t>neskaidrībām</w:t>
            </w:r>
            <w:proofErr w:type="spellEnd"/>
            <w:r w:rsidRPr="000A7339">
              <w:t xml:space="preserve"> ar īpašuma robežām (blakus gabala īpašnieki nepiekrita dabā esošajām robežām), kā arī mainījās normatīvo aktu prasības zemes ierīcībā un zemes kadastrālajā uzmērīšanā. Pēc minēto neskaidrību atrisināšanas 2012.gada 16.jūlijā tika noslēgts </w:t>
            </w:r>
            <w:smartTag w:uri="schemas-tilde-lv/tildestengine" w:element="veidnes">
              <w:smartTagPr>
                <w:attr w:name="id" w:val="-1"/>
                <w:attr w:name="baseform" w:val="līgums"/>
                <w:attr w:name="text" w:val="līgums"/>
              </w:smartTagPr>
              <w:r w:rsidRPr="000A7339">
                <w:t>līgums</w:t>
              </w:r>
            </w:smartTag>
            <w:r w:rsidRPr="000A7339">
              <w:t xml:space="preserve"> ar sabiedrību ar ierobežotu atbildību „</w:t>
            </w:r>
            <w:proofErr w:type="spellStart"/>
            <w:r w:rsidRPr="000A7339">
              <w:t>Latvijasmērnieks.lv</w:t>
            </w:r>
            <w:proofErr w:type="spellEnd"/>
            <w:r w:rsidRPr="000A7339">
              <w:t>” par zemes ierīcības projekta izstrādāšanas un zemes robežu uzmērīšanas darbu uzsākšanu. Minētos darbus sabiedrība ar ierobežotu atbildību „</w:t>
            </w:r>
            <w:proofErr w:type="spellStart"/>
            <w:r w:rsidRPr="000A7339">
              <w:t>Latvijasmērnieks.lv</w:t>
            </w:r>
            <w:proofErr w:type="spellEnd"/>
            <w:r w:rsidRPr="000A7339">
              <w:t xml:space="preserve">” pabeidza 2013.gada 30.martā, kad arī tika uzsākts atsavināšanas process atbilstoši Likumam. Ņemot vērā to, ka atsavināmais īpašums tika apgrūtināts 2006.gadā, uzsākot autoceļa būvdarbus (uz nekustamā īpašuma izvietojot kompleksu inženierbūvi – </w:t>
            </w:r>
            <w:r w:rsidRPr="000A7339">
              <w:lastRenderedPageBreak/>
              <w:t>autoceļu), Satiksmes ministrijas izveidotā atlīdzības noteikšanas komisija, lai noteiktu atsavināmā īpašuma taisnīgu atlīdzību, darba uzdevumā vērtētājam lūdza noteikt īpašuma tirgus vērtību uz tā apgrūtināšanas brīdi – 2006.gadu, neiekļaujot vērtējumā uz nekustamā īpašuma izvietotās autoceļa konstrukcijas vērtību. Iegūtais vērtējums parāda atsavināmā īpašuma iespējamo tirgus vērtību uz brīdi, kad tika uzsākti būvniecības darbi. Nosakot atlīdzību uz 2006.gadu, īpašniekam tiek nodrošināts tāds mantiskais stāvoklis, kas līdzvērtīgs viņa iepriekšējam mantiskajam stāvoklim (atbilstoši Likuma 21.pantam).</w:t>
            </w:r>
          </w:p>
          <w:p w:rsidR="00262C04" w:rsidRDefault="00262C04" w:rsidP="00EC3695">
            <w:pPr>
              <w:ind w:firstLine="753"/>
              <w:jc w:val="both"/>
            </w:pPr>
            <w:r>
              <w:t xml:space="preserve">Nekustamais īpašums „Draudzības iela A” atdalīts no nekustamā īpašuma „Draudzības iela 2” (nekustamā īpašuma kadastra </w:t>
            </w:r>
            <w:proofErr w:type="spellStart"/>
            <w:r>
              <w:t>Nr</w:t>
            </w:r>
            <w:proofErr w:type="spellEnd"/>
            <w:r>
              <w:t>. 8044 010 0014) zemes vienības ar kadastra apzīmējumu 8044 010 0014.</w:t>
            </w:r>
          </w:p>
          <w:p w:rsidR="00262C04" w:rsidRDefault="00262C04" w:rsidP="00EC3695">
            <w:pPr>
              <w:ind w:firstLine="753"/>
              <w:jc w:val="both"/>
            </w:pPr>
            <w:r>
              <w:t xml:space="preserve">Nekustamais īpašums „Draudzības iela 2” (nekustamā īpašuma kadastra </w:t>
            </w:r>
            <w:proofErr w:type="spellStart"/>
            <w:r>
              <w:t>Nr</w:t>
            </w:r>
            <w:proofErr w:type="spellEnd"/>
            <w:r>
              <w:t xml:space="preserve">. 8044 010 0014) reģistrēts Rīgas rajona tiesas zemesgrāmatu nodaļas Ādažu novada zemesgrāmatas nodalījumā </w:t>
            </w:r>
            <w:proofErr w:type="spellStart"/>
            <w:r>
              <w:t>Nr</w:t>
            </w:r>
            <w:proofErr w:type="spellEnd"/>
            <w:r>
              <w:t>. 34.</w:t>
            </w:r>
          </w:p>
          <w:p w:rsidR="00262C04" w:rsidRDefault="00262C04" w:rsidP="00EC3695">
            <w:pPr>
              <w:ind w:right="-7" w:firstLine="720"/>
              <w:jc w:val="both"/>
            </w:pPr>
            <w:r>
              <w:t>Nekustamajam īpašumam „Draudzības iela A” ir noteikti šādi apgrūtinājumi (saskaņā ar Nekustamā īpašuma v</w:t>
            </w:r>
            <w:r w:rsidRPr="00CE14D2">
              <w:t>alsts kadastr</w:t>
            </w:r>
            <w:r>
              <w:t>a informācijas sistēmas datiem):</w:t>
            </w:r>
          </w:p>
          <w:p w:rsidR="00262C04" w:rsidRDefault="00262C04" w:rsidP="000A7339">
            <w:pPr>
              <w:numPr>
                <w:ilvl w:val="0"/>
                <w:numId w:val="1"/>
              </w:numPr>
              <w:tabs>
                <w:tab w:val="clear" w:pos="1758"/>
              </w:tabs>
              <w:ind w:left="36" w:firstLine="717"/>
              <w:jc w:val="both"/>
            </w:pPr>
            <w:r>
              <w:t>aizsargjoslas teritorija gar ielu – sarkanā līnija – 0,0028 ha platībā;</w:t>
            </w:r>
          </w:p>
          <w:p w:rsidR="00262C04" w:rsidRDefault="00262C04" w:rsidP="000A7339">
            <w:pPr>
              <w:numPr>
                <w:ilvl w:val="0"/>
                <w:numId w:val="1"/>
              </w:numPr>
              <w:tabs>
                <w:tab w:val="clear" w:pos="1758"/>
              </w:tabs>
              <w:ind w:left="12" w:firstLine="741"/>
              <w:jc w:val="both"/>
            </w:pPr>
            <w:r>
              <w:t>applūstošā (10% applūduma varbūtība) teritorija – 0,0028 ha platībā.</w:t>
            </w:r>
          </w:p>
          <w:p w:rsidR="00262C04" w:rsidRDefault="00262C04" w:rsidP="00EC3695">
            <w:pPr>
              <w:ind w:firstLine="753"/>
              <w:jc w:val="both"/>
            </w:pPr>
            <w:r>
              <w:t>Nekustamā īpašuma īpašnieks ir piekritis nekustamā īpašuma „Draudzības iela A” atsavināšanai atbilstoši aprēķinātajam atlīdzības apmēram, informējot par to telefoniski.</w:t>
            </w:r>
          </w:p>
          <w:p w:rsidR="00262C04" w:rsidRDefault="00262C04" w:rsidP="00EC3695">
            <w:pPr>
              <w:ind w:firstLine="753"/>
              <w:jc w:val="both"/>
              <w:rPr>
                <w:lang w:eastAsia="en-US"/>
              </w:rPr>
            </w:pPr>
            <w:r w:rsidRPr="007A1D87">
              <w:t xml:space="preserve">Pamatojoties uz </w:t>
            </w:r>
            <w:r>
              <w:t>Likuma 9.</w:t>
            </w:r>
            <w:r w:rsidRPr="007A1D87">
              <w:t>pantu un Ministru kabineta 2011.gada 15.marta noteikumu Nr.204 „Kārtība, kādā nosaka taisnīgu atlīdzību par sabiedrības vajadzībām atsavināmo nekustamo īpašumu” 36.1.apakšpunktu, Satiksmes ministrija</w:t>
            </w:r>
            <w:r>
              <w:t xml:space="preserve"> ar 2013.gada 4.novembra lēmumu Nr.03-14/4319</w:t>
            </w:r>
            <w:r w:rsidRPr="007A1D87">
              <w:t xml:space="preserve"> apstiprināja</w:t>
            </w:r>
            <w:r>
              <w:t xml:space="preserve"> taisnīgas</w:t>
            </w:r>
            <w:r w:rsidRPr="007A1D87">
              <w:t xml:space="preserve"> </w:t>
            </w:r>
            <w:r>
              <w:t>atlīdzības apmēru</w:t>
            </w:r>
            <w:r>
              <w:rPr>
                <w:bCs/>
                <w:szCs w:val="28"/>
              </w:rPr>
              <w:t xml:space="preserve"> par nekustamo īpašumu </w:t>
            </w:r>
            <w:r>
              <w:t xml:space="preserve">„Draudzības iela A”, nosakot to EUR 1261,16 apmērā, kas sastāv no nekustamā īpašuma tirgus vērtības </w:t>
            </w:r>
            <w:smartTag w:uri="schemas-tilde-lv/tildestengine" w:element="currency2">
              <w:smartTagPr>
                <w:attr w:name="currency_id" w:val="16"/>
                <w:attr w:name="currency_key" w:val="EUR"/>
                <w:attr w:name="currency_value" w:val="1"/>
                <w:attr w:name="currency_text" w:val="EUR"/>
              </w:smartTagPr>
              <w:r w:rsidRPr="005D28BA">
                <w:t>EUR</w:t>
              </w:r>
            </w:smartTag>
            <w:r w:rsidRPr="005D28BA">
              <w:t> 877,91</w:t>
            </w:r>
            <w:r>
              <w:t xml:space="preserve"> un kompensējamiem zaudējumiem </w:t>
            </w:r>
            <w:smartTag w:uri="schemas-tilde-lv/tildestengine" w:element="currency2">
              <w:smartTagPr>
                <w:attr w:name="currency_id" w:val="16"/>
                <w:attr w:name="currency_key" w:val="EUR"/>
                <w:attr w:name="currency_value" w:val="1"/>
                <w:attr w:name="currency_text" w:val="EUR"/>
              </w:smartTagPr>
              <w:r w:rsidRPr="005D28BA">
                <w:t>EUR</w:t>
              </w:r>
            </w:smartTag>
            <w:r w:rsidRPr="005D28BA">
              <w:t xml:space="preserve"> 383,25.</w:t>
            </w:r>
            <w:r>
              <w:t xml:space="preserve"> Kompensējamos zaudējumus veido </w:t>
            </w:r>
            <w:r>
              <w:rPr>
                <w:lang w:eastAsia="en-US"/>
              </w:rPr>
              <w:t>aprēķinātie likumiskie procenti par nokavējumu līdz vērtēšanas dienai –</w:t>
            </w:r>
            <w:smartTag w:uri="schemas-tilde-lv/tildestengine" w:element="currency2">
              <w:smartTagPr>
                <w:attr w:name="currency_id" w:val="16"/>
                <w:attr w:name="currency_key" w:val="EUR"/>
                <w:attr w:name="currency_value" w:val="1"/>
                <w:attr w:name="currency_text" w:val="EUR"/>
              </w:smartTagPr>
              <w:r w:rsidRPr="005D28BA">
                <w:t>EUR</w:t>
              </w:r>
            </w:smartTag>
            <w:r w:rsidRPr="005D28BA">
              <w:t xml:space="preserve"> 368,52</w:t>
            </w:r>
            <w:r>
              <w:rPr>
                <w:lang w:eastAsia="en-US"/>
              </w:rPr>
              <w:t xml:space="preserve"> un nekustamā īpašuma nodokļa maksājumi </w:t>
            </w:r>
            <w:smartTag w:uri="schemas-tilde-lv/tildestengine" w:element="currency2">
              <w:smartTagPr>
                <w:attr w:name="currency_text" w:val="EUR"/>
                <w:attr w:name="currency_value" w:val="-"/>
                <w:attr w:name="currency_key" w:val="EUR"/>
                <w:attr w:name="currency_id" w:val="16"/>
              </w:smartTagPr>
              <w:r>
                <w:rPr>
                  <w:lang w:eastAsia="en-US"/>
                </w:rPr>
                <w:t xml:space="preserve">- </w:t>
              </w:r>
              <w:smartTag w:uri="schemas-tilde-lv/tildestengine" w:element="currency2">
                <w:smartTagPr>
                  <w:attr w:name="currency_text" w:val="latu"/>
                  <w:attr w:name="currency_value" w:val="."/>
                  <w:attr w:name="currency_key" w:val="LVL"/>
                  <w:attr w:name="currency_id" w:val="48"/>
                </w:smartTagPr>
                <w:r w:rsidRPr="005D28BA">
                  <w:rPr>
                    <w:lang w:eastAsia="en-US"/>
                  </w:rPr>
                  <w:t>EUR</w:t>
                </w:r>
              </w:smartTag>
            </w:smartTag>
            <w:r w:rsidRPr="005D28BA">
              <w:rPr>
                <w:lang w:eastAsia="en-US"/>
              </w:rPr>
              <w:t xml:space="preserve"> 14,72</w:t>
            </w:r>
            <w:r>
              <w:rPr>
                <w:lang w:eastAsia="en-US"/>
              </w:rPr>
              <w:t>.</w:t>
            </w:r>
          </w:p>
          <w:p w:rsidR="00262C04" w:rsidRPr="00451C6F" w:rsidRDefault="00262C04" w:rsidP="00EC3695">
            <w:pPr>
              <w:ind w:firstLine="732"/>
              <w:jc w:val="both"/>
            </w:pPr>
            <w:r w:rsidRPr="0059735D">
              <w:t>Kompensējamie zaudējumi</w:t>
            </w:r>
            <w:r>
              <w:t xml:space="preserve"> </w:t>
            </w:r>
            <w:r w:rsidRPr="00451C6F">
              <w:t xml:space="preserve">tika pielīdzināti likumiskajiem procentiem, saskaņā ar Civillikuma 1765.pantu, kurā noteikts, ka procentu apmērs cieši jānosaka aktā vai darījumā. </w:t>
            </w:r>
            <w:r w:rsidRPr="00451C6F">
              <w:rPr>
                <w:u w:val="single"/>
              </w:rPr>
              <w:t>Ja tas nav darīts</w:t>
            </w:r>
            <w:r w:rsidRPr="00451C6F">
              <w:t>, kā arī tajā gadījumā, ja likums nosaka aprēķināt likumiskos procentus, tas ir, seši procenti no simta gadā.</w:t>
            </w:r>
          </w:p>
          <w:p w:rsidR="00262C04" w:rsidRPr="00451C6F" w:rsidRDefault="00262C04" w:rsidP="00EC3695">
            <w:pPr>
              <w:ind w:firstLine="732"/>
              <w:jc w:val="both"/>
            </w:pPr>
            <w:r w:rsidRPr="00451C6F">
              <w:t xml:space="preserve">Minētie zaudējumi, kas tika pielīdzināti likumiskajiem procentiem līdz nekustamā īpašuma vērtēšanas dienai, tika noteikti, pamatojoties uz darba uzdevumu, ko uzdeva nekustamo īpašumu vērtētājam - noteikt īpašuma tirgus vērtību uz </w:t>
            </w:r>
            <w:r w:rsidRPr="00451C6F">
              <w:lastRenderedPageBreak/>
              <w:t>nekustamo īpašumu apgrūtināšanas brīdi – 2006.gada 29.jūniju, kā arī ņemot vērā to apstākli, ka minēto īpašumu izmantošana ir ierobežota ar to apgrūtināšanas brīdi.</w:t>
            </w:r>
          </w:p>
          <w:p w:rsidR="00262C04" w:rsidRPr="000A7339" w:rsidRDefault="00262C04" w:rsidP="00EC3695">
            <w:pPr>
              <w:ind w:left="54" w:firstLine="62"/>
              <w:jc w:val="both"/>
            </w:pPr>
            <w:r w:rsidRPr="000A7339">
              <w:t xml:space="preserve">         Nekustamā īpašuma „Draudzības iela A” (nekustamā īpašuma kadastra </w:t>
            </w:r>
            <w:proofErr w:type="spellStart"/>
            <w:r w:rsidRPr="000A7339">
              <w:t>Nr</w:t>
            </w:r>
            <w:proofErr w:type="spellEnd"/>
            <w:r w:rsidRPr="000A7339">
              <w:t>. 8044 010 0314) tirgus vērtība noteikta ievērojot Latvijas Īpašuma Vērtētāju Asociācijas 2012.gada 10.aprīļa vēstules Nr.50 „Par ar autoceļu būvniecību vai rekonstrukciju saistītu projektu vajadzībām atsavināmo zemesgabalu un to daļu vērtību robežu tabulu” 1.2.apakšpunktu, kurā noteikts, ka zemes vienības, kas saskaņā ar normatīvo aktu prasībām uzsāktajai izmantošanai ir uzskatāma par apbūves vai komerciālas izmantošanas zemi, vai kas atrodas pilsētas, ciema vai citas apdzīvotas vietas administratīvajā teritorijā, tirgus vērtība var pārsniegt Vērtību tabulā uzrādītās robežvērtības.</w:t>
            </w:r>
          </w:p>
          <w:p w:rsidR="00262C04" w:rsidRPr="000A7339" w:rsidRDefault="00262C04" w:rsidP="00EC3695">
            <w:pPr>
              <w:ind w:firstLine="732"/>
              <w:jc w:val="both"/>
            </w:pPr>
            <w:r w:rsidRPr="000A7339">
              <w:t xml:space="preserve">Iepriekš minētais nekustamais īpašums atrodas Ādažos, Ādažu novadā, kas tika atdalīts no nekustamā īpašuma „Draudzības iela 2” (nekustamā īpašuma kadastra </w:t>
            </w:r>
            <w:proofErr w:type="spellStart"/>
            <w:r w:rsidRPr="000A7339">
              <w:t>Nr</w:t>
            </w:r>
            <w:proofErr w:type="spellEnd"/>
            <w:r w:rsidRPr="000A7339">
              <w:t>. 8044 010 0014), kura izmantošanas mērķis ir individuālo dzīvojamo māju apbūves zeme.</w:t>
            </w:r>
          </w:p>
          <w:p w:rsidR="00262C04" w:rsidRDefault="00262C04" w:rsidP="00EC3695">
            <w:pPr>
              <w:ind w:firstLine="732"/>
              <w:jc w:val="both"/>
            </w:pPr>
            <w:r>
              <w:rPr>
                <w:b/>
              </w:rPr>
              <w:t xml:space="preserve"> </w:t>
            </w:r>
            <w:r>
              <w:t>Kompensējamie zaudējumi, ko veido nekustamā īpašuma nodokļa maksājumi ir aprēķināti par laika periodu no 2007.gada līdz 2013.gada 2.jūlijam (nekustamā īpašuma apsekošanas datumu).</w:t>
            </w:r>
          </w:p>
          <w:p w:rsidR="00262C04" w:rsidRDefault="00262C04" w:rsidP="00EC3695">
            <w:pPr>
              <w:ind w:firstLine="732"/>
              <w:jc w:val="both"/>
            </w:pPr>
            <w:proofErr w:type="spellStart"/>
            <w:r w:rsidRPr="002F1065">
              <w:rPr>
                <w:bCs/>
                <w:szCs w:val="28"/>
              </w:rPr>
              <w:t>Euro</w:t>
            </w:r>
            <w:proofErr w:type="spellEnd"/>
            <w:r w:rsidRPr="002F1065">
              <w:rPr>
                <w:bCs/>
                <w:szCs w:val="28"/>
              </w:rPr>
              <w:t xml:space="preserve"> aprēķinos tiek izmantots Eiropas Savienības Padomes noteiktais maiņas kurss </w:t>
            </w:r>
            <w:r w:rsidRPr="002F1065">
              <w:t>(1</w:t>
            </w:r>
            <w:r w:rsidRPr="002F1065">
              <w:rPr>
                <w:iCs/>
              </w:rPr>
              <w:t xml:space="preserve">euro </w:t>
            </w:r>
            <w:r w:rsidRPr="002F1065">
              <w:t xml:space="preserve">= </w:t>
            </w:r>
            <w:smartTag w:uri="schemas-tilde-lv/tildestengine" w:element="currency2">
              <w:smartTagPr>
                <w:attr w:name="currency_text" w:val="latu"/>
                <w:attr w:name="currency_value" w:val="."/>
                <w:attr w:name="currency_key" w:val="LVL"/>
                <w:attr w:name="currency_id" w:val="48"/>
              </w:smartTagPr>
              <w:r w:rsidRPr="002F1065">
                <w:t>0.702804 lati</w:t>
              </w:r>
            </w:smartTag>
            <w:r w:rsidRPr="002F1065">
              <w:t>).</w:t>
            </w:r>
          </w:p>
          <w:p w:rsidR="00262C04" w:rsidRPr="009479B2" w:rsidRDefault="00262C04" w:rsidP="00EC3695">
            <w:pPr>
              <w:ind w:firstLine="774"/>
              <w:jc w:val="both"/>
              <w:rPr>
                <w:b/>
                <w:bCs/>
              </w:rPr>
            </w:pPr>
            <w:r w:rsidRPr="000109AB">
              <w:t xml:space="preserve">Ņemot vērā </w:t>
            </w:r>
            <w:r>
              <w:t xml:space="preserve">iepriekš </w:t>
            </w:r>
            <w:r w:rsidRPr="000109AB">
              <w:t>minēto, Satiksmes ministrija ir izstrādājusi Ministru kabineta rīkojuma projektu „</w:t>
            </w:r>
            <w:r w:rsidRPr="009E3005">
              <w:t xml:space="preserve">Par </w:t>
            </w:r>
            <w:r>
              <w:t>nekustamā īpašuma</w:t>
            </w:r>
            <w:r w:rsidRPr="009E3005">
              <w:t xml:space="preserve"> pirkšanu valsts autoceļa </w:t>
            </w:r>
            <w:r>
              <w:t>A1 Rīga (Baltezers)-Igaunijas robeža (Ainaži)</w:t>
            </w:r>
            <w:r w:rsidRPr="009E3005">
              <w:t xml:space="preserve"> rekonstrukcijas projekta </w:t>
            </w:r>
            <w:r>
              <w:t>īstenošanai</w:t>
            </w:r>
            <w:r w:rsidRPr="000109AB">
              <w:t xml:space="preserve">” (turpmāk – Rīkojuma projekts). </w:t>
            </w:r>
          </w:p>
        </w:tc>
      </w:tr>
      <w:tr w:rsidR="00262C04" w:rsidRPr="0062008E" w:rsidTr="00EC3695">
        <w:trPr>
          <w:trHeight w:val="886"/>
        </w:trPr>
        <w:tc>
          <w:tcPr>
            <w:tcW w:w="426" w:type="dxa"/>
          </w:tcPr>
          <w:p w:rsidR="00262C04" w:rsidRPr="0062008E" w:rsidRDefault="00262C04" w:rsidP="00EC3695">
            <w:pPr>
              <w:tabs>
                <w:tab w:val="left" w:pos="720"/>
                <w:tab w:val="center" w:pos="4153"/>
                <w:tab w:val="right" w:pos="8306"/>
              </w:tabs>
              <w:spacing w:before="100" w:beforeAutospacing="1" w:after="100" w:afterAutospacing="1"/>
            </w:pPr>
            <w:r w:rsidRPr="0062008E">
              <w:lastRenderedPageBreak/>
              <w:t>3.</w:t>
            </w:r>
          </w:p>
        </w:tc>
        <w:tc>
          <w:tcPr>
            <w:tcW w:w="2538" w:type="dxa"/>
          </w:tcPr>
          <w:p w:rsidR="00262C04" w:rsidRPr="0062008E" w:rsidRDefault="00262C04" w:rsidP="00EC3695">
            <w:pPr>
              <w:tabs>
                <w:tab w:val="left" w:pos="720"/>
                <w:tab w:val="center" w:pos="4153"/>
                <w:tab w:val="right" w:pos="8306"/>
              </w:tabs>
              <w:spacing w:before="100" w:beforeAutospacing="1" w:after="100" w:afterAutospacing="1"/>
              <w:rPr>
                <w:color w:val="000000"/>
              </w:rPr>
            </w:pPr>
            <w:r w:rsidRPr="0062008E">
              <w:rPr>
                <w:color w:val="000000"/>
              </w:rPr>
              <w:t>Saistītie politikas ietekmes novērtējumi un pētījumi</w:t>
            </w:r>
          </w:p>
        </w:tc>
        <w:tc>
          <w:tcPr>
            <w:tcW w:w="6527" w:type="dxa"/>
          </w:tcPr>
          <w:p w:rsidR="00262C04" w:rsidRPr="0062008E" w:rsidRDefault="00262C04" w:rsidP="00EC3695">
            <w:pPr>
              <w:ind w:firstLine="783"/>
              <w:jc w:val="both"/>
            </w:pPr>
            <w:r>
              <w:t>Projekts šo jomu neskar.</w:t>
            </w:r>
          </w:p>
        </w:tc>
      </w:tr>
      <w:tr w:rsidR="00262C04" w:rsidRPr="0062008E" w:rsidTr="00EC3695">
        <w:trPr>
          <w:trHeight w:val="347"/>
        </w:trPr>
        <w:tc>
          <w:tcPr>
            <w:tcW w:w="426" w:type="dxa"/>
          </w:tcPr>
          <w:p w:rsidR="00262C04" w:rsidRPr="0062008E" w:rsidRDefault="00262C04" w:rsidP="00EC3695">
            <w:pPr>
              <w:tabs>
                <w:tab w:val="left" w:pos="720"/>
                <w:tab w:val="center" w:pos="4153"/>
                <w:tab w:val="right" w:pos="8306"/>
              </w:tabs>
              <w:spacing w:before="100" w:beforeAutospacing="1" w:after="100" w:afterAutospacing="1"/>
            </w:pPr>
            <w:r w:rsidRPr="0062008E">
              <w:t>4.</w:t>
            </w:r>
          </w:p>
        </w:tc>
        <w:tc>
          <w:tcPr>
            <w:tcW w:w="2538" w:type="dxa"/>
          </w:tcPr>
          <w:p w:rsidR="00262C04" w:rsidRPr="0062008E" w:rsidRDefault="00262C04" w:rsidP="00EC3695">
            <w:pPr>
              <w:tabs>
                <w:tab w:val="left" w:pos="720"/>
                <w:tab w:val="center" w:pos="4153"/>
                <w:tab w:val="right" w:pos="8306"/>
              </w:tabs>
              <w:spacing w:before="100" w:beforeAutospacing="1" w:after="100" w:afterAutospacing="1"/>
            </w:pPr>
            <w:r w:rsidRPr="0062008E">
              <w:t>Tiesiskā regulējuma mērķis un būtība</w:t>
            </w:r>
          </w:p>
        </w:tc>
        <w:tc>
          <w:tcPr>
            <w:tcW w:w="6527" w:type="dxa"/>
          </w:tcPr>
          <w:p w:rsidR="00262C04" w:rsidRPr="00A47726" w:rsidRDefault="00262C04" w:rsidP="00EC3695">
            <w:pPr>
              <w:ind w:firstLine="783"/>
              <w:jc w:val="both"/>
            </w:pPr>
            <w:r w:rsidRPr="0062008E">
              <w:t>Rīkojuma projekts paredz atļ</w:t>
            </w:r>
            <w:r>
              <w:t xml:space="preserve">aut Satiksmes ministrijai pirkt sākotnējās ietekmes novērtējuma ziņojuma (anotācijas) I. sadaļas otrajā punktā minēto nekustamo īpašumu. </w:t>
            </w:r>
          </w:p>
          <w:p w:rsidR="00262C04" w:rsidRPr="006A52D1" w:rsidRDefault="00262C04" w:rsidP="00EC3695">
            <w:pPr>
              <w:ind w:firstLine="825"/>
              <w:jc w:val="both"/>
            </w:pPr>
            <w:r w:rsidRPr="00E74ED5">
              <w:t>Satiksmes ministrija minēt</w:t>
            </w:r>
            <w:r>
              <w:t xml:space="preserve">o nekustamo īpašumu </w:t>
            </w:r>
            <w:r w:rsidRPr="00E74ED5">
              <w:t xml:space="preserve">normatīvajos </w:t>
            </w:r>
            <w:smartTag w:uri="schemas-tilde-lv/tildestengine" w:element="currency2">
              <w:smartTagPr>
                <w:attr w:name="currency_text" w:val="latu"/>
                <w:attr w:name="currency_value" w:val="."/>
                <w:attr w:name="currency_key" w:val="LVL"/>
                <w:attr w:name="currency_id" w:val="48"/>
              </w:smartTagPr>
              <w:r w:rsidRPr="00E74ED5">
                <w:t>aktos</w:t>
              </w:r>
            </w:smartTag>
            <w:r w:rsidRPr="00E74ED5">
              <w:t xml:space="preserve"> noteiktajā kārtībā ierakstīs zemesgrāmatā uz valsts vārd</w:t>
            </w:r>
            <w:r>
              <w:t>a Satiksmes ministrijas personā</w:t>
            </w:r>
            <w:r w:rsidRPr="006A52D1">
              <w:t>.</w:t>
            </w:r>
            <w:r>
              <w:t xml:space="preserve"> </w:t>
            </w:r>
          </w:p>
          <w:p w:rsidR="00262C04" w:rsidRPr="0062008E" w:rsidRDefault="00262C04" w:rsidP="00EC3695">
            <w:pPr>
              <w:ind w:firstLine="840"/>
              <w:jc w:val="both"/>
            </w:pPr>
            <w:r w:rsidRPr="006A52D1">
              <w:t>Rīkojuma projekts indivīda tiesības neierobežo.</w:t>
            </w:r>
          </w:p>
        </w:tc>
      </w:tr>
      <w:tr w:rsidR="00262C04" w:rsidRPr="0062008E" w:rsidTr="00EC3695">
        <w:trPr>
          <w:trHeight w:val="656"/>
        </w:trPr>
        <w:tc>
          <w:tcPr>
            <w:tcW w:w="426" w:type="dxa"/>
          </w:tcPr>
          <w:p w:rsidR="00262C04" w:rsidRPr="0062008E" w:rsidRDefault="00262C04" w:rsidP="00EC3695">
            <w:pPr>
              <w:tabs>
                <w:tab w:val="left" w:pos="720"/>
                <w:tab w:val="center" w:pos="4153"/>
                <w:tab w:val="right" w:pos="8306"/>
              </w:tabs>
              <w:spacing w:before="100" w:beforeAutospacing="1" w:after="100" w:afterAutospacing="1"/>
            </w:pPr>
            <w:r w:rsidRPr="0062008E">
              <w:t>5.</w:t>
            </w:r>
          </w:p>
        </w:tc>
        <w:tc>
          <w:tcPr>
            <w:tcW w:w="2538" w:type="dxa"/>
          </w:tcPr>
          <w:p w:rsidR="00262C04" w:rsidRPr="0062008E" w:rsidRDefault="00262C04" w:rsidP="00EC3695">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Pr>
          <w:p w:rsidR="00262C04" w:rsidRPr="0062008E" w:rsidRDefault="00262C04" w:rsidP="00EC3695">
            <w:pPr>
              <w:ind w:firstLine="798"/>
            </w:pPr>
            <w:r w:rsidRPr="0062008E">
              <w:t xml:space="preserve">Satiksmes ministrija un valsts akciju sabiedrība „Latvijas Valsts ceļi”. </w:t>
            </w:r>
          </w:p>
        </w:tc>
      </w:tr>
      <w:tr w:rsidR="00262C04" w:rsidRPr="0062008E" w:rsidTr="00EC3695">
        <w:trPr>
          <w:trHeight w:val="943"/>
        </w:trPr>
        <w:tc>
          <w:tcPr>
            <w:tcW w:w="426" w:type="dxa"/>
          </w:tcPr>
          <w:p w:rsidR="00262C04" w:rsidRPr="0062008E" w:rsidRDefault="00262C04" w:rsidP="00EC3695">
            <w:pPr>
              <w:tabs>
                <w:tab w:val="left" w:pos="720"/>
                <w:tab w:val="center" w:pos="4153"/>
                <w:tab w:val="right" w:pos="8306"/>
              </w:tabs>
              <w:spacing w:before="100" w:beforeAutospacing="1" w:after="100" w:afterAutospacing="1"/>
            </w:pPr>
            <w:r w:rsidRPr="0062008E">
              <w:t>6.</w:t>
            </w:r>
          </w:p>
        </w:tc>
        <w:tc>
          <w:tcPr>
            <w:tcW w:w="2538" w:type="dxa"/>
          </w:tcPr>
          <w:p w:rsidR="00262C04" w:rsidRPr="0062008E" w:rsidRDefault="00262C04" w:rsidP="00EC3695">
            <w:pPr>
              <w:tabs>
                <w:tab w:val="left" w:pos="720"/>
                <w:tab w:val="center" w:pos="4153"/>
                <w:tab w:val="right" w:pos="8306"/>
              </w:tabs>
              <w:spacing w:before="100" w:beforeAutospacing="1" w:after="100" w:afterAutospacing="1"/>
            </w:pPr>
            <w:r w:rsidRPr="0062008E">
              <w:t>Iemesli, kādēļ netika nodrošināta sabiedrības līdzdalība</w:t>
            </w:r>
          </w:p>
        </w:tc>
        <w:tc>
          <w:tcPr>
            <w:tcW w:w="6527" w:type="dxa"/>
          </w:tcPr>
          <w:p w:rsidR="00262C04" w:rsidRPr="00DC5FE7" w:rsidRDefault="00262C04" w:rsidP="00EC3695">
            <w:pPr>
              <w:ind w:firstLine="783"/>
              <w:jc w:val="both"/>
            </w:pPr>
            <w:r>
              <w:t>Rīkojuma projekts skar tikai attiecīgā nekustamā īpašuma īpašnieku, līdz ar to plašāka sabiedrības līdzdalība nav nepieciešama.</w:t>
            </w:r>
          </w:p>
        </w:tc>
      </w:tr>
      <w:tr w:rsidR="00262C04" w:rsidRPr="0062008E" w:rsidTr="00EC3695">
        <w:trPr>
          <w:trHeight w:val="381"/>
        </w:trPr>
        <w:tc>
          <w:tcPr>
            <w:tcW w:w="426" w:type="dxa"/>
          </w:tcPr>
          <w:p w:rsidR="00262C04" w:rsidRPr="0062008E" w:rsidRDefault="00262C04" w:rsidP="00EC3695">
            <w:pPr>
              <w:tabs>
                <w:tab w:val="left" w:pos="720"/>
                <w:tab w:val="center" w:pos="4153"/>
                <w:tab w:val="right" w:pos="8306"/>
              </w:tabs>
              <w:spacing w:before="100" w:beforeAutospacing="1" w:after="100" w:afterAutospacing="1"/>
            </w:pPr>
            <w:r w:rsidRPr="0062008E">
              <w:t>7.</w:t>
            </w:r>
          </w:p>
        </w:tc>
        <w:tc>
          <w:tcPr>
            <w:tcW w:w="2538" w:type="dxa"/>
          </w:tcPr>
          <w:p w:rsidR="00262C04" w:rsidRPr="0062008E" w:rsidRDefault="00262C04" w:rsidP="00EC3695">
            <w:pPr>
              <w:tabs>
                <w:tab w:val="left" w:pos="720"/>
                <w:tab w:val="center" w:pos="4153"/>
                <w:tab w:val="right" w:pos="8306"/>
              </w:tabs>
              <w:spacing w:before="100" w:beforeAutospacing="1" w:after="100" w:afterAutospacing="1"/>
            </w:pPr>
            <w:r w:rsidRPr="0062008E">
              <w:t>Cita informācija</w:t>
            </w:r>
          </w:p>
        </w:tc>
        <w:tc>
          <w:tcPr>
            <w:tcW w:w="6527" w:type="dxa"/>
          </w:tcPr>
          <w:p w:rsidR="00262C04" w:rsidRPr="0062008E" w:rsidRDefault="00262C04" w:rsidP="00EC3695">
            <w:pPr>
              <w:ind w:firstLine="783"/>
              <w:jc w:val="both"/>
            </w:pPr>
            <w:r>
              <w:t>Nav.</w:t>
            </w:r>
          </w:p>
        </w:tc>
      </w:tr>
    </w:tbl>
    <w:p w:rsidR="00262C04" w:rsidRPr="0075254F" w:rsidRDefault="00262C04" w:rsidP="000A7339">
      <w:pPr>
        <w:rPr>
          <w:vanish/>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309"/>
        <w:gridCol w:w="1095"/>
        <w:gridCol w:w="209"/>
        <w:gridCol w:w="1603"/>
        <w:gridCol w:w="1214"/>
        <w:gridCol w:w="1214"/>
        <w:gridCol w:w="1280"/>
      </w:tblGrid>
      <w:tr w:rsidR="00262C04" w:rsidTr="00EC3695">
        <w:tc>
          <w:tcPr>
            <w:tcW w:w="5000" w:type="pct"/>
            <w:gridSpan w:val="8"/>
            <w:tcBorders>
              <w:top w:val="outset" w:sz="6" w:space="0" w:color="000000"/>
              <w:bottom w:val="outset" w:sz="6" w:space="0" w:color="000000"/>
            </w:tcBorders>
          </w:tcPr>
          <w:p w:rsidR="00262C04" w:rsidRDefault="00262C04" w:rsidP="00EC3695">
            <w:pPr>
              <w:spacing w:before="100" w:beforeAutospacing="1" w:after="100" w:afterAutospacing="1"/>
              <w:jc w:val="center"/>
              <w:rPr>
                <w:b/>
                <w:bCs/>
              </w:rPr>
            </w:pPr>
            <w:r>
              <w:rPr>
                <w:b/>
                <w:bCs/>
              </w:rPr>
              <w:t>III. Tiesību akta projekta ietekme uz valsts budžetu un pašvaldību budžetiem</w:t>
            </w:r>
          </w:p>
        </w:tc>
      </w:tr>
      <w:tr w:rsidR="00262C04" w:rsidTr="00EC3695">
        <w:tc>
          <w:tcPr>
            <w:tcW w:w="1513" w:type="pct"/>
            <w:gridSpan w:val="2"/>
            <w:vMerge w:val="restart"/>
            <w:tcBorders>
              <w:top w:val="outset" w:sz="6" w:space="0" w:color="000000"/>
              <w:bottom w:val="outset" w:sz="6" w:space="0" w:color="000000"/>
              <w:right w:val="outset" w:sz="6" w:space="0" w:color="000000"/>
            </w:tcBorders>
            <w:vAlign w:val="center"/>
          </w:tcPr>
          <w:p w:rsidR="00262C04" w:rsidRDefault="00262C04" w:rsidP="00EC3695">
            <w:pPr>
              <w:spacing w:before="100" w:beforeAutospacing="1" w:after="100" w:afterAutospacing="1"/>
              <w:jc w:val="center"/>
              <w:rPr>
                <w:b/>
                <w:bCs/>
              </w:rPr>
            </w:pPr>
            <w:r>
              <w:rPr>
                <w:b/>
                <w:bCs/>
              </w:rPr>
              <w:t>Rādītāji</w:t>
            </w:r>
          </w:p>
        </w:tc>
        <w:tc>
          <w:tcPr>
            <w:tcW w:w="1532" w:type="pct"/>
            <w:gridSpan w:val="3"/>
            <w:vMerge w:val="restart"/>
            <w:tcBorders>
              <w:top w:val="outset" w:sz="6" w:space="0" w:color="000000"/>
              <w:left w:val="outset" w:sz="6" w:space="0" w:color="000000"/>
              <w:bottom w:val="outset" w:sz="6" w:space="0" w:color="000000"/>
              <w:right w:val="outset" w:sz="6" w:space="0" w:color="000000"/>
            </w:tcBorders>
            <w:vAlign w:val="center"/>
          </w:tcPr>
          <w:p w:rsidR="00262C04" w:rsidRDefault="00262C04" w:rsidP="000A7339">
            <w:pPr>
              <w:spacing w:before="100" w:beforeAutospacing="1" w:after="100" w:afterAutospacing="1"/>
              <w:jc w:val="center"/>
              <w:rPr>
                <w:b/>
                <w:bCs/>
              </w:rPr>
            </w:pPr>
            <w:r>
              <w:rPr>
                <w:b/>
                <w:bCs/>
              </w:rPr>
              <w:t>2014.gads</w:t>
            </w:r>
          </w:p>
        </w:tc>
        <w:tc>
          <w:tcPr>
            <w:tcW w:w="1955" w:type="pct"/>
            <w:gridSpan w:val="3"/>
            <w:tcBorders>
              <w:top w:val="outset" w:sz="6" w:space="0" w:color="000000"/>
              <w:left w:val="outset" w:sz="6" w:space="0" w:color="000000"/>
              <w:bottom w:val="outset" w:sz="6" w:space="0" w:color="000000"/>
            </w:tcBorders>
            <w:vAlign w:val="center"/>
          </w:tcPr>
          <w:p w:rsidR="00262C04" w:rsidRDefault="00262C04" w:rsidP="00EC3695">
            <w:pPr>
              <w:spacing w:before="100" w:beforeAutospacing="1" w:after="100" w:afterAutospacing="1"/>
              <w:jc w:val="center"/>
            </w:pPr>
            <w:r>
              <w:t>Turpmākie trīs gadi (</w:t>
            </w:r>
            <w:proofErr w:type="spellStart"/>
            <w:r>
              <w:t>tūkst</w:t>
            </w:r>
            <w:proofErr w:type="spellEnd"/>
            <w:smartTag w:uri="schemas-tilde-lv/tildestengine" w:element="currency2">
              <w:smartTagPr>
                <w:attr w:name="currency_text" w:val="latu"/>
                <w:attr w:name="currency_value" w:val="."/>
                <w:attr w:name="currency_key" w:val="LVL"/>
                <w:attr w:name="currency_id" w:val="48"/>
              </w:smartTagPr>
              <w:r>
                <w:t>. latu</w:t>
              </w:r>
            </w:smartTag>
            <w:r>
              <w:t>)</w:t>
            </w:r>
          </w:p>
        </w:tc>
      </w:tr>
      <w:tr w:rsidR="00262C04" w:rsidTr="00EC3695">
        <w:tc>
          <w:tcPr>
            <w:tcW w:w="1513" w:type="pct"/>
            <w:gridSpan w:val="2"/>
            <w:vMerge/>
            <w:tcBorders>
              <w:top w:val="outset" w:sz="6" w:space="0" w:color="000000"/>
              <w:bottom w:val="outset" w:sz="6" w:space="0" w:color="000000"/>
              <w:right w:val="outset" w:sz="6" w:space="0" w:color="000000"/>
            </w:tcBorders>
            <w:vAlign w:val="center"/>
          </w:tcPr>
          <w:p w:rsidR="00262C04" w:rsidRDefault="00262C04" w:rsidP="00EC3695">
            <w:pPr>
              <w:rPr>
                <w:b/>
                <w:bCs/>
              </w:rPr>
            </w:pPr>
          </w:p>
        </w:tc>
        <w:tc>
          <w:tcPr>
            <w:tcW w:w="1532" w:type="pct"/>
            <w:gridSpan w:val="3"/>
            <w:vMerge/>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rPr>
                <w:b/>
                <w:bCs/>
              </w:rPr>
            </w:pPr>
          </w:p>
        </w:tc>
        <w:tc>
          <w:tcPr>
            <w:tcW w:w="640" w:type="pct"/>
            <w:tcBorders>
              <w:top w:val="outset" w:sz="6" w:space="0" w:color="000000"/>
              <w:left w:val="outset" w:sz="6" w:space="0" w:color="000000"/>
              <w:bottom w:val="outset" w:sz="6" w:space="0" w:color="000000"/>
              <w:right w:val="outset" w:sz="6" w:space="0" w:color="000000"/>
            </w:tcBorders>
            <w:vAlign w:val="center"/>
          </w:tcPr>
          <w:p w:rsidR="00262C04" w:rsidRDefault="00262C04" w:rsidP="000A7339">
            <w:pPr>
              <w:spacing w:before="100" w:beforeAutospacing="1" w:after="100" w:afterAutospacing="1"/>
              <w:jc w:val="center"/>
              <w:rPr>
                <w:b/>
                <w:bCs/>
              </w:rPr>
            </w:pPr>
            <w:r>
              <w:rPr>
                <w:b/>
                <w:bCs/>
              </w:rPr>
              <w:t>2015</w:t>
            </w:r>
          </w:p>
        </w:tc>
        <w:tc>
          <w:tcPr>
            <w:tcW w:w="640" w:type="pct"/>
            <w:tcBorders>
              <w:top w:val="outset" w:sz="6" w:space="0" w:color="000000"/>
              <w:left w:val="outset" w:sz="6" w:space="0" w:color="000000"/>
              <w:bottom w:val="outset" w:sz="6" w:space="0" w:color="000000"/>
              <w:right w:val="outset" w:sz="6" w:space="0" w:color="000000"/>
            </w:tcBorders>
            <w:vAlign w:val="center"/>
          </w:tcPr>
          <w:p w:rsidR="00262C04" w:rsidRDefault="00262C04" w:rsidP="000A7339">
            <w:pPr>
              <w:spacing w:before="100" w:beforeAutospacing="1" w:after="100" w:afterAutospacing="1"/>
              <w:jc w:val="center"/>
              <w:rPr>
                <w:b/>
                <w:bCs/>
              </w:rPr>
            </w:pPr>
            <w:r>
              <w:rPr>
                <w:b/>
                <w:bCs/>
              </w:rPr>
              <w:t>2016</w:t>
            </w:r>
          </w:p>
        </w:tc>
        <w:tc>
          <w:tcPr>
            <w:tcW w:w="675" w:type="pct"/>
            <w:tcBorders>
              <w:top w:val="outset" w:sz="6" w:space="0" w:color="000000"/>
              <w:left w:val="outset" w:sz="6" w:space="0" w:color="000000"/>
              <w:bottom w:val="outset" w:sz="6" w:space="0" w:color="000000"/>
            </w:tcBorders>
            <w:vAlign w:val="center"/>
          </w:tcPr>
          <w:p w:rsidR="00262C04" w:rsidRDefault="00262C04" w:rsidP="000A7339">
            <w:pPr>
              <w:spacing w:before="100" w:beforeAutospacing="1" w:after="100" w:afterAutospacing="1"/>
              <w:jc w:val="center"/>
              <w:rPr>
                <w:b/>
                <w:bCs/>
              </w:rPr>
            </w:pPr>
            <w:r>
              <w:rPr>
                <w:b/>
                <w:bCs/>
              </w:rPr>
              <w:t>2017</w:t>
            </w:r>
          </w:p>
        </w:tc>
      </w:tr>
      <w:tr w:rsidR="00262C04" w:rsidTr="00EC3695">
        <w:tc>
          <w:tcPr>
            <w:tcW w:w="1513" w:type="pct"/>
            <w:gridSpan w:val="2"/>
            <w:vMerge/>
            <w:tcBorders>
              <w:top w:val="outset" w:sz="6" w:space="0" w:color="000000"/>
              <w:bottom w:val="outset" w:sz="6" w:space="0" w:color="000000"/>
              <w:right w:val="outset" w:sz="6" w:space="0" w:color="000000"/>
            </w:tcBorders>
            <w:vAlign w:val="center"/>
          </w:tcPr>
          <w:p w:rsidR="00262C04" w:rsidRDefault="00262C04" w:rsidP="00EC3695">
            <w:pPr>
              <w:rPr>
                <w:b/>
                <w:bCs/>
              </w:rPr>
            </w:pPr>
          </w:p>
        </w:tc>
        <w:tc>
          <w:tcPr>
            <w:tcW w:w="687" w:type="pct"/>
            <w:gridSpan w:val="2"/>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spacing w:before="100" w:beforeAutospacing="1" w:after="100" w:afterAutospacing="1"/>
              <w:jc w:val="center"/>
            </w:pPr>
            <w: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spacing w:before="100" w:beforeAutospacing="1" w:after="100" w:afterAutospacing="1"/>
              <w:jc w:val="center"/>
            </w:pPr>
            <w:r>
              <w:t>Izmaiņas kārtējā gadā, salīdzinot ar budžetu kārtējam gadam</w:t>
            </w:r>
          </w:p>
        </w:tc>
        <w:tc>
          <w:tcPr>
            <w:tcW w:w="640" w:type="pct"/>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spacing w:before="100" w:beforeAutospacing="1" w:after="100" w:afterAutospacing="1"/>
              <w:jc w:val="center"/>
            </w:pPr>
            <w:r>
              <w:t>Izmaiņas, salīdzinot ar kārtējo (n) gadu</w:t>
            </w:r>
          </w:p>
        </w:tc>
        <w:tc>
          <w:tcPr>
            <w:tcW w:w="640" w:type="pct"/>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spacing w:before="100" w:beforeAutospacing="1" w:after="100" w:afterAutospacing="1"/>
              <w:jc w:val="center"/>
            </w:pPr>
            <w:r>
              <w:t>Izmaiņas, salīdzinot ar kārtējo (n) gadu</w:t>
            </w:r>
          </w:p>
        </w:tc>
        <w:tc>
          <w:tcPr>
            <w:tcW w:w="675" w:type="pct"/>
            <w:tcBorders>
              <w:top w:val="outset" w:sz="6" w:space="0" w:color="000000"/>
              <w:left w:val="outset" w:sz="6" w:space="0" w:color="000000"/>
              <w:bottom w:val="outset" w:sz="6" w:space="0" w:color="000000"/>
            </w:tcBorders>
            <w:vAlign w:val="center"/>
          </w:tcPr>
          <w:p w:rsidR="00262C04" w:rsidRDefault="00262C04" w:rsidP="00EC3695">
            <w:pPr>
              <w:spacing w:before="100" w:beforeAutospacing="1" w:after="100" w:afterAutospacing="1"/>
              <w:jc w:val="center"/>
            </w:pPr>
            <w:r>
              <w:t>Izmaiņas, salīdzinot ar kārtējo (n) gadu</w:t>
            </w:r>
          </w:p>
        </w:tc>
      </w:tr>
      <w:tr w:rsidR="00262C04" w:rsidTr="00EC3695">
        <w:tc>
          <w:tcPr>
            <w:tcW w:w="1513" w:type="pct"/>
            <w:gridSpan w:val="2"/>
            <w:tcBorders>
              <w:top w:val="outset" w:sz="6" w:space="0" w:color="000000"/>
              <w:bottom w:val="outset" w:sz="6" w:space="0" w:color="000000"/>
              <w:right w:val="outset" w:sz="6" w:space="0" w:color="000000"/>
            </w:tcBorders>
            <w:vAlign w:val="center"/>
          </w:tcPr>
          <w:p w:rsidR="00262C04" w:rsidRDefault="00262C04" w:rsidP="00EC3695">
            <w:pPr>
              <w:spacing w:before="100" w:beforeAutospacing="1" w:after="100" w:afterAutospacing="1"/>
              <w:jc w:val="center"/>
            </w:pPr>
            <w:r>
              <w:t>1</w:t>
            </w:r>
          </w:p>
        </w:tc>
        <w:tc>
          <w:tcPr>
            <w:tcW w:w="687" w:type="pct"/>
            <w:gridSpan w:val="2"/>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spacing w:before="100" w:beforeAutospacing="1" w:after="100" w:afterAutospacing="1"/>
              <w:jc w:val="center"/>
            </w:pPr>
            <w: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spacing w:before="100" w:beforeAutospacing="1" w:after="100" w:afterAutospacing="1"/>
              <w:jc w:val="center"/>
            </w:pPr>
            <w:r>
              <w:t>3</w:t>
            </w:r>
          </w:p>
        </w:tc>
        <w:tc>
          <w:tcPr>
            <w:tcW w:w="640" w:type="pct"/>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spacing w:before="100" w:beforeAutospacing="1" w:after="100" w:afterAutospacing="1"/>
              <w:jc w:val="center"/>
            </w:pPr>
            <w:r>
              <w:t>4</w:t>
            </w:r>
          </w:p>
        </w:tc>
        <w:tc>
          <w:tcPr>
            <w:tcW w:w="640" w:type="pct"/>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spacing w:before="100" w:beforeAutospacing="1" w:after="100" w:afterAutospacing="1"/>
              <w:jc w:val="center"/>
            </w:pPr>
            <w:r>
              <w:t>5</w:t>
            </w:r>
          </w:p>
        </w:tc>
        <w:tc>
          <w:tcPr>
            <w:tcW w:w="675" w:type="pct"/>
            <w:tcBorders>
              <w:top w:val="outset" w:sz="6" w:space="0" w:color="000000"/>
              <w:left w:val="outset" w:sz="6" w:space="0" w:color="000000"/>
              <w:bottom w:val="outset" w:sz="6" w:space="0" w:color="000000"/>
            </w:tcBorders>
            <w:vAlign w:val="center"/>
          </w:tcPr>
          <w:p w:rsidR="00262C04" w:rsidRDefault="00262C04" w:rsidP="00EC3695">
            <w:pPr>
              <w:spacing w:before="100" w:beforeAutospacing="1" w:after="100" w:afterAutospacing="1"/>
              <w:jc w:val="center"/>
            </w:pPr>
            <w:r>
              <w:t>6</w:t>
            </w:r>
          </w:p>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1. Budžeta ieņēmumi:</w:t>
            </w:r>
          </w:p>
        </w:tc>
        <w:tc>
          <w:tcPr>
            <w:tcW w:w="687" w:type="pct"/>
            <w:gridSpan w:val="2"/>
            <w:vMerge w:val="restart"/>
            <w:tcBorders>
              <w:top w:val="outset" w:sz="6" w:space="0" w:color="000000"/>
              <w:left w:val="outset" w:sz="6" w:space="0" w:color="000000"/>
              <w:right w:val="outset" w:sz="6" w:space="0" w:color="000000"/>
            </w:tcBorders>
            <w:vAlign w:val="center"/>
          </w:tcPr>
          <w:p w:rsidR="00262C04" w:rsidRDefault="00262C04" w:rsidP="00EC3695">
            <w:pPr>
              <w:jc w:val="center"/>
            </w:pPr>
            <w:r>
              <w:t>Projekts šo jomu neskar.</w:t>
            </w:r>
          </w:p>
        </w:tc>
        <w:tc>
          <w:tcPr>
            <w:tcW w:w="845" w:type="pct"/>
            <w:vMerge w:val="restart"/>
            <w:tcBorders>
              <w:top w:val="outset" w:sz="6" w:space="0" w:color="000000"/>
              <w:left w:val="outset" w:sz="6" w:space="0" w:color="000000"/>
              <w:right w:val="outset" w:sz="6" w:space="0" w:color="000000"/>
            </w:tcBorders>
            <w:vAlign w:val="center"/>
          </w:tcPr>
          <w:p w:rsidR="00262C04" w:rsidRDefault="00262C04" w:rsidP="00EC3695">
            <w:pPr>
              <w:jc w:val="center"/>
            </w:pPr>
            <w:r>
              <w:t>Projekts šo jomu neskar.</w:t>
            </w:r>
          </w:p>
        </w:tc>
        <w:tc>
          <w:tcPr>
            <w:tcW w:w="640" w:type="pct"/>
            <w:vMerge w:val="restart"/>
            <w:tcBorders>
              <w:top w:val="outset" w:sz="6" w:space="0" w:color="000000"/>
              <w:left w:val="outset" w:sz="6" w:space="0" w:color="000000"/>
              <w:right w:val="outset" w:sz="6" w:space="0" w:color="000000"/>
            </w:tcBorders>
            <w:vAlign w:val="center"/>
          </w:tcPr>
          <w:p w:rsidR="00262C04" w:rsidRDefault="00262C04" w:rsidP="00EC3695">
            <w:pPr>
              <w:jc w:val="center"/>
            </w:pPr>
            <w:r>
              <w:t>Projekts šo jomu neskar.</w:t>
            </w:r>
          </w:p>
        </w:tc>
        <w:tc>
          <w:tcPr>
            <w:tcW w:w="640" w:type="pct"/>
            <w:vMerge w:val="restart"/>
            <w:tcBorders>
              <w:top w:val="outset" w:sz="6" w:space="0" w:color="000000"/>
              <w:left w:val="outset" w:sz="6" w:space="0" w:color="000000"/>
              <w:right w:val="outset" w:sz="6" w:space="0" w:color="000000"/>
            </w:tcBorders>
            <w:vAlign w:val="center"/>
          </w:tcPr>
          <w:p w:rsidR="00262C04" w:rsidRDefault="00262C04" w:rsidP="00EC3695">
            <w:pPr>
              <w:jc w:val="center"/>
            </w:pPr>
            <w:r>
              <w:t>Projekts šo jomu neskar.</w:t>
            </w:r>
          </w:p>
        </w:tc>
        <w:tc>
          <w:tcPr>
            <w:tcW w:w="675" w:type="pct"/>
            <w:vMerge w:val="restart"/>
            <w:tcBorders>
              <w:top w:val="outset" w:sz="6" w:space="0" w:color="000000"/>
              <w:left w:val="outset" w:sz="6" w:space="0" w:color="000000"/>
            </w:tcBorders>
            <w:vAlign w:val="center"/>
          </w:tcPr>
          <w:p w:rsidR="00262C04" w:rsidRDefault="00262C04" w:rsidP="00EC3695">
            <w:pPr>
              <w:jc w:val="center"/>
            </w:pPr>
            <w:r>
              <w:t>Projekts šo jomu neskar.</w:t>
            </w:r>
          </w:p>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1.1. valsts pamatbudžets, tai skaitā ieņēmumi no maksas pakalpojumiem un citi pašu ieņēmumi</w:t>
            </w:r>
          </w:p>
        </w:tc>
        <w:tc>
          <w:tcPr>
            <w:tcW w:w="687" w:type="pct"/>
            <w:gridSpan w:val="2"/>
            <w:vMerge/>
            <w:tcBorders>
              <w:left w:val="outset" w:sz="6" w:space="0" w:color="000000"/>
              <w:right w:val="outset" w:sz="6" w:space="0" w:color="000000"/>
            </w:tcBorders>
            <w:vAlign w:val="center"/>
          </w:tcPr>
          <w:p w:rsidR="00262C04" w:rsidRDefault="00262C04" w:rsidP="00EC3695">
            <w:pPr>
              <w:jc w:val="center"/>
            </w:pPr>
          </w:p>
        </w:tc>
        <w:tc>
          <w:tcPr>
            <w:tcW w:w="845" w:type="pct"/>
            <w:vMerge/>
            <w:tcBorders>
              <w:left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right w:val="outset" w:sz="6" w:space="0" w:color="000000"/>
            </w:tcBorders>
            <w:vAlign w:val="center"/>
          </w:tcPr>
          <w:p w:rsidR="00262C04" w:rsidRDefault="00262C04" w:rsidP="00EC3695">
            <w:pPr>
              <w:jc w:val="center"/>
            </w:pPr>
          </w:p>
        </w:tc>
        <w:tc>
          <w:tcPr>
            <w:tcW w:w="675" w:type="pct"/>
            <w:vMerge/>
            <w:tcBorders>
              <w:left w:val="outset" w:sz="6" w:space="0" w:color="000000"/>
            </w:tcBorders>
            <w:vAlign w:val="center"/>
          </w:tcPr>
          <w:p w:rsidR="00262C04" w:rsidRDefault="00262C04" w:rsidP="00EC3695">
            <w:pPr>
              <w:jc w:val="center"/>
            </w:pPr>
          </w:p>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1.2. valsts speciālais budžets</w:t>
            </w:r>
          </w:p>
        </w:tc>
        <w:tc>
          <w:tcPr>
            <w:tcW w:w="687" w:type="pct"/>
            <w:gridSpan w:val="2"/>
            <w:vMerge/>
            <w:tcBorders>
              <w:left w:val="outset" w:sz="6" w:space="0" w:color="000000"/>
              <w:right w:val="outset" w:sz="6" w:space="0" w:color="000000"/>
            </w:tcBorders>
            <w:vAlign w:val="center"/>
          </w:tcPr>
          <w:p w:rsidR="00262C04" w:rsidRDefault="00262C04" w:rsidP="00EC3695">
            <w:pPr>
              <w:jc w:val="center"/>
            </w:pPr>
          </w:p>
        </w:tc>
        <w:tc>
          <w:tcPr>
            <w:tcW w:w="845" w:type="pct"/>
            <w:vMerge/>
            <w:tcBorders>
              <w:left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right w:val="outset" w:sz="6" w:space="0" w:color="000000"/>
            </w:tcBorders>
            <w:vAlign w:val="center"/>
          </w:tcPr>
          <w:p w:rsidR="00262C04" w:rsidRDefault="00262C04" w:rsidP="00EC3695">
            <w:pPr>
              <w:jc w:val="center"/>
            </w:pPr>
          </w:p>
        </w:tc>
        <w:tc>
          <w:tcPr>
            <w:tcW w:w="675" w:type="pct"/>
            <w:vMerge/>
            <w:tcBorders>
              <w:left w:val="outset" w:sz="6" w:space="0" w:color="000000"/>
            </w:tcBorders>
            <w:vAlign w:val="center"/>
          </w:tcPr>
          <w:p w:rsidR="00262C04" w:rsidRDefault="00262C04" w:rsidP="00EC3695">
            <w:pPr>
              <w:jc w:val="center"/>
            </w:pPr>
          </w:p>
        </w:tc>
      </w:tr>
      <w:tr w:rsidR="00262C04" w:rsidTr="00EC3695">
        <w:tc>
          <w:tcPr>
            <w:tcW w:w="1513" w:type="pct"/>
            <w:gridSpan w:val="2"/>
            <w:tcBorders>
              <w:top w:val="outset" w:sz="6" w:space="0" w:color="000000"/>
              <w:bottom w:val="single" w:sz="4" w:space="0" w:color="auto"/>
              <w:right w:val="outset" w:sz="6" w:space="0" w:color="000000"/>
            </w:tcBorders>
          </w:tcPr>
          <w:p w:rsidR="00262C04" w:rsidRDefault="00262C04" w:rsidP="00EC3695">
            <w:pPr>
              <w:spacing w:before="100" w:beforeAutospacing="1" w:after="100" w:afterAutospacing="1"/>
            </w:pPr>
            <w:r>
              <w:t>1.3. pašvaldību budžets</w:t>
            </w:r>
          </w:p>
        </w:tc>
        <w:tc>
          <w:tcPr>
            <w:tcW w:w="687" w:type="pct"/>
            <w:gridSpan w:val="2"/>
            <w:vMerge/>
            <w:tcBorders>
              <w:left w:val="outset" w:sz="6" w:space="0" w:color="000000"/>
              <w:bottom w:val="single" w:sz="4" w:space="0" w:color="auto"/>
              <w:right w:val="outset" w:sz="6" w:space="0" w:color="000000"/>
            </w:tcBorders>
            <w:vAlign w:val="center"/>
          </w:tcPr>
          <w:p w:rsidR="00262C04" w:rsidRDefault="00262C04" w:rsidP="00EC3695">
            <w:pPr>
              <w:jc w:val="center"/>
            </w:pPr>
          </w:p>
        </w:tc>
        <w:tc>
          <w:tcPr>
            <w:tcW w:w="845" w:type="pct"/>
            <w:vMerge/>
            <w:tcBorders>
              <w:left w:val="outset" w:sz="6" w:space="0" w:color="000000"/>
              <w:bottom w:val="single" w:sz="4" w:space="0" w:color="auto"/>
              <w:right w:val="outset" w:sz="6" w:space="0" w:color="000000"/>
            </w:tcBorders>
            <w:vAlign w:val="center"/>
          </w:tcPr>
          <w:p w:rsidR="00262C04" w:rsidRDefault="00262C04" w:rsidP="00EC3695">
            <w:pPr>
              <w:jc w:val="center"/>
            </w:pPr>
          </w:p>
        </w:tc>
        <w:tc>
          <w:tcPr>
            <w:tcW w:w="640" w:type="pct"/>
            <w:vMerge/>
            <w:tcBorders>
              <w:left w:val="outset" w:sz="6" w:space="0" w:color="000000"/>
              <w:bottom w:val="single" w:sz="4" w:space="0" w:color="auto"/>
              <w:right w:val="outset" w:sz="6" w:space="0" w:color="000000"/>
            </w:tcBorders>
            <w:vAlign w:val="center"/>
          </w:tcPr>
          <w:p w:rsidR="00262C04" w:rsidRDefault="00262C04" w:rsidP="00EC3695">
            <w:pPr>
              <w:jc w:val="center"/>
            </w:pPr>
          </w:p>
        </w:tc>
        <w:tc>
          <w:tcPr>
            <w:tcW w:w="640" w:type="pct"/>
            <w:vMerge/>
            <w:tcBorders>
              <w:left w:val="outset" w:sz="6" w:space="0" w:color="000000"/>
              <w:bottom w:val="single" w:sz="4" w:space="0" w:color="auto"/>
              <w:right w:val="outset" w:sz="6" w:space="0" w:color="000000"/>
            </w:tcBorders>
            <w:vAlign w:val="center"/>
          </w:tcPr>
          <w:p w:rsidR="00262C04" w:rsidRDefault="00262C04" w:rsidP="00EC3695">
            <w:pPr>
              <w:jc w:val="center"/>
            </w:pPr>
          </w:p>
        </w:tc>
        <w:tc>
          <w:tcPr>
            <w:tcW w:w="675" w:type="pct"/>
            <w:vMerge/>
            <w:tcBorders>
              <w:left w:val="outset" w:sz="6" w:space="0" w:color="000000"/>
              <w:bottom w:val="single" w:sz="4" w:space="0" w:color="auto"/>
            </w:tcBorders>
            <w:vAlign w:val="center"/>
          </w:tcPr>
          <w:p w:rsidR="00262C04" w:rsidRDefault="00262C04" w:rsidP="00EC3695">
            <w:pPr>
              <w:jc w:val="center"/>
            </w:pPr>
          </w:p>
        </w:tc>
      </w:tr>
      <w:tr w:rsidR="00262C04" w:rsidTr="00EC3695">
        <w:tc>
          <w:tcPr>
            <w:tcW w:w="1513" w:type="pct"/>
            <w:gridSpan w:val="2"/>
            <w:tcBorders>
              <w:top w:val="single" w:sz="4" w:space="0" w:color="auto"/>
              <w:left w:val="single" w:sz="4" w:space="0" w:color="auto"/>
              <w:bottom w:val="single" w:sz="4" w:space="0" w:color="auto"/>
              <w:right w:val="single" w:sz="4" w:space="0" w:color="auto"/>
            </w:tcBorders>
          </w:tcPr>
          <w:p w:rsidR="00262C04" w:rsidRDefault="00262C04" w:rsidP="00EC3695">
            <w:pPr>
              <w:spacing w:before="100" w:beforeAutospacing="1" w:after="100" w:afterAutospacing="1"/>
            </w:pPr>
            <w:r>
              <w:t>2. Budžeta izdevumi:</w:t>
            </w:r>
          </w:p>
        </w:tc>
        <w:tc>
          <w:tcPr>
            <w:tcW w:w="687" w:type="pct"/>
            <w:gridSpan w:val="2"/>
            <w:vMerge w:val="restart"/>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r>
              <w:t>Projekts šo jomu neskar.</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r>
              <w:t>Projekts šo jomu neskar.</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r>
              <w:t>Projekts šo jomu neskar.</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r>
              <w:t>Projekts šo jomu neskar.</w:t>
            </w:r>
          </w:p>
        </w:tc>
        <w:tc>
          <w:tcPr>
            <w:tcW w:w="675" w:type="pct"/>
            <w:vMerge w:val="restart"/>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r>
              <w:t>Projekts šo jomu neskar.</w:t>
            </w:r>
          </w:p>
        </w:tc>
      </w:tr>
      <w:tr w:rsidR="00262C04" w:rsidTr="00EC3695">
        <w:tc>
          <w:tcPr>
            <w:tcW w:w="1513" w:type="pct"/>
            <w:gridSpan w:val="2"/>
            <w:tcBorders>
              <w:top w:val="single" w:sz="4" w:space="0" w:color="auto"/>
              <w:left w:val="single" w:sz="4" w:space="0" w:color="auto"/>
              <w:bottom w:val="single" w:sz="4" w:space="0" w:color="auto"/>
              <w:right w:val="single" w:sz="4" w:space="0" w:color="auto"/>
            </w:tcBorders>
          </w:tcPr>
          <w:p w:rsidR="00262C04" w:rsidRDefault="00262C04" w:rsidP="00EC3695">
            <w:pPr>
              <w:spacing w:before="100" w:beforeAutospacing="1" w:after="100" w:afterAutospacing="1"/>
            </w:pPr>
            <w:r>
              <w:t>2.1. valsts pamatbudžets</w:t>
            </w:r>
          </w:p>
        </w:tc>
        <w:tc>
          <w:tcPr>
            <w:tcW w:w="687" w:type="pct"/>
            <w:gridSpan w:val="2"/>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spacing w:line="360" w:lineRule="auto"/>
              <w:jc w:val="center"/>
            </w:pPr>
          </w:p>
        </w:tc>
        <w:tc>
          <w:tcPr>
            <w:tcW w:w="640" w:type="pct"/>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p>
        </w:tc>
        <w:tc>
          <w:tcPr>
            <w:tcW w:w="640" w:type="pct"/>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p>
        </w:tc>
        <w:tc>
          <w:tcPr>
            <w:tcW w:w="675" w:type="pct"/>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p>
        </w:tc>
      </w:tr>
      <w:tr w:rsidR="00262C04" w:rsidTr="00EC3695">
        <w:tc>
          <w:tcPr>
            <w:tcW w:w="1513" w:type="pct"/>
            <w:gridSpan w:val="2"/>
            <w:tcBorders>
              <w:top w:val="single" w:sz="4" w:space="0" w:color="auto"/>
              <w:left w:val="single" w:sz="4" w:space="0" w:color="auto"/>
              <w:bottom w:val="single" w:sz="4" w:space="0" w:color="auto"/>
              <w:right w:val="single" w:sz="4" w:space="0" w:color="auto"/>
            </w:tcBorders>
          </w:tcPr>
          <w:p w:rsidR="00262C04" w:rsidRDefault="00262C04" w:rsidP="00EC3695">
            <w:pPr>
              <w:spacing w:before="100" w:beforeAutospacing="1" w:after="100" w:afterAutospacing="1"/>
            </w:pPr>
            <w:r>
              <w:t>2.2. valsts speciālais budžets</w:t>
            </w:r>
          </w:p>
        </w:tc>
        <w:tc>
          <w:tcPr>
            <w:tcW w:w="687" w:type="pct"/>
            <w:gridSpan w:val="2"/>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p>
        </w:tc>
        <w:tc>
          <w:tcPr>
            <w:tcW w:w="640" w:type="pct"/>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p>
        </w:tc>
        <w:tc>
          <w:tcPr>
            <w:tcW w:w="640" w:type="pct"/>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p>
        </w:tc>
        <w:tc>
          <w:tcPr>
            <w:tcW w:w="675" w:type="pct"/>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p>
        </w:tc>
      </w:tr>
      <w:tr w:rsidR="00262C04" w:rsidTr="00EC3695">
        <w:tc>
          <w:tcPr>
            <w:tcW w:w="1513" w:type="pct"/>
            <w:gridSpan w:val="2"/>
            <w:tcBorders>
              <w:top w:val="single" w:sz="4" w:space="0" w:color="auto"/>
              <w:left w:val="single" w:sz="4" w:space="0" w:color="auto"/>
              <w:bottom w:val="single" w:sz="4" w:space="0" w:color="auto"/>
              <w:right w:val="single" w:sz="4" w:space="0" w:color="auto"/>
            </w:tcBorders>
          </w:tcPr>
          <w:p w:rsidR="00262C04" w:rsidRDefault="00262C04" w:rsidP="00EC3695">
            <w:pPr>
              <w:spacing w:before="100" w:beforeAutospacing="1" w:after="100" w:afterAutospacing="1"/>
            </w:pPr>
            <w:r>
              <w:t>2.3. pašvaldību budžets</w:t>
            </w:r>
          </w:p>
        </w:tc>
        <w:tc>
          <w:tcPr>
            <w:tcW w:w="687" w:type="pct"/>
            <w:gridSpan w:val="2"/>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p>
        </w:tc>
        <w:tc>
          <w:tcPr>
            <w:tcW w:w="640" w:type="pct"/>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p>
        </w:tc>
        <w:tc>
          <w:tcPr>
            <w:tcW w:w="640" w:type="pct"/>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p>
        </w:tc>
        <w:tc>
          <w:tcPr>
            <w:tcW w:w="675" w:type="pct"/>
            <w:vMerge/>
            <w:tcBorders>
              <w:top w:val="single" w:sz="4" w:space="0" w:color="auto"/>
              <w:left w:val="single" w:sz="4" w:space="0" w:color="auto"/>
              <w:bottom w:val="single" w:sz="4" w:space="0" w:color="auto"/>
              <w:right w:val="single" w:sz="4" w:space="0" w:color="auto"/>
            </w:tcBorders>
            <w:vAlign w:val="center"/>
          </w:tcPr>
          <w:p w:rsidR="00262C04" w:rsidRDefault="00262C04" w:rsidP="00EC3695">
            <w:pPr>
              <w:jc w:val="center"/>
            </w:pPr>
          </w:p>
        </w:tc>
      </w:tr>
      <w:tr w:rsidR="00262C04" w:rsidTr="00EC3695">
        <w:tc>
          <w:tcPr>
            <w:tcW w:w="1513" w:type="pct"/>
            <w:gridSpan w:val="2"/>
            <w:tcBorders>
              <w:top w:val="single" w:sz="4" w:space="0" w:color="auto"/>
              <w:bottom w:val="outset" w:sz="6" w:space="0" w:color="000000"/>
              <w:right w:val="outset" w:sz="6" w:space="0" w:color="000000"/>
            </w:tcBorders>
          </w:tcPr>
          <w:p w:rsidR="00262C04" w:rsidRDefault="00262C04" w:rsidP="00EC3695">
            <w:pPr>
              <w:spacing w:before="100" w:beforeAutospacing="1" w:after="100" w:afterAutospacing="1"/>
            </w:pPr>
            <w:r>
              <w:t>3. Finansiālā ietekme:</w:t>
            </w:r>
          </w:p>
        </w:tc>
        <w:tc>
          <w:tcPr>
            <w:tcW w:w="687" w:type="pct"/>
            <w:gridSpan w:val="2"/>
            <w:vMerge w:val="restart"/>
            <w:tcBorders>
              <w:top w:val="single" w:sz="4" w:space="0" w:color="auto"/>
              <w:left w:val="outset" w:sz="6" w:space="0" w:color="000000"/>
              <w:right w:val="outset" w:sz="6" w:space="0" w:color="000000"/>
            </w:tcBorders>
            <w:vAlign w:val="center"/>
          </w:tcPr>
          <w:p w:rsidR="00262C04" w:rsidRDefault="00262C04" w:rsidP="00EC3695">
            <w:pPr>
              <w:jc w:val="center"/>
            </w:pPr>
            <w:r>
              <w:t>Projekts šo jomu neskar.</w:t>
            </w:r>
          </w:p>
        </w:tc>
        <w:tc>
          <w:tcPr>
            <w:tcW w:w="845" w:type="pct"/>
            <w:vMerge w:val="restart"/>
            <w:tcBorders>
              <w:top w:val="single" w:sz="4" w:space="0" w:color="auto"/>
              <w:left w:val="outset" w:sz="6" w:space="0" w:color="000000"/>
              <w:right w:val="outset" w:sz="6" w:space="0" w:color="000000"/>
            </w:tcBorders>
            <w:vAlign w:val="center"/>
          </w:tcPr>
          <w:p w:rsidR="00262C04" w:rsidRPr="00331FD8" w:rsidRDefault="00262C04" w:rsidP="00EC3695">
            <w:pPr>
              <w:jc w:val="center"/>
              <w:rPr>
                <w:highlight w:val="yellow"/>
              </w:rPr>
            </w:pPr>
            <w:r>
              <w:t>Projekts šo jomu neskar.</w:t>
            </w:r>
          </w:p>
        </w:tc>
        <w:tc>
          <w:tcPr>
            <w:tcW w:w="640" w:type="pct"/>
            <w:vMerge w:val="restart"/>
            <w:tcBorders>
              <w:top w:val="single" w:sz="4" w:space="0" w:color="auto"/>
              <w:left w:val="outset" w:sz="6" w:space="0" w:color="000000"/>
              <w:right w:val="outset" w:sz="6" w:space="0" w:color="000000"/>
            </w:tcBorders>
            <w:vAlign w:val="center"/>
          </w:tcPr>
          <w:p w:rsidR="00262C04" w:rsidRDefault="00262C04" w:rsidP="00EC3695">
            <w:pPr>
              <w:jc w:val="center"/>
            </w:pPr>
            <w:r>
              <w:t>Projekts šo jomu neskar.</w:t>
            </w:r>
          </w:p>
        </w:tc>
        <w:tc>
          <w:tcPr>
            <w:tcW w:w="640" w:type="pct"/>
            <w:vMerge w:val="restart"/>
            <w:tcBorders>
              <w:top w:val="single" w:sz="4" w:space="0" w:color="auto"/>
              <w:left w:val="outset" w:sz="6" w:space="0" w:color="000000"/>
              <w:right w:val="outset" w:sz="6" w:space="0" w:color="000000"/>
            </w:tcBorders>
            <w:vAlign w:val="center"/>
          </w:tcPr>
          <w:p w:rsidR="00262C04" w:rsidRDefault="00262C04" w:rsidP="00EC3695">
            <w:pPr>
              <w:jc w:val="center"/>
            </w:pPr>
            <w:r>
              <w:t>Projekts šo jomu neskar.</w:t>
            </w:r>
          </w:p>
        </w:tc>
        <w:tc>
          <w:tcPr>
            <w:tcW w:w="675" w:type="pct"/>
            <w:vMerge w:val="restart"/>
            <w:tcBorders>
              <w:top w:val="single" w:sz="4" w:space="0" w:color="auto"/>
              <w:left w:val="outset" w:sz="6" w:space="0" w:color="000000"/>
            </w:tcBorders>
            <w:vAlign w:val="center"/>
          </w:tcPr>
          <w:p w:rsidR="00262C04" w:rsidRDefault="00262C04" w:rsidP="00EC3695">
            <w:pPr>
              <w:jc w:val="center"/>
            </w:pPr>
            <w:r>
              <w:t>Projekts šo jomu neskar.</w:t>
            </w:r>
          </w:p>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3.1. valsts pamatbudžets</w:t>
            </w:r>
          </w:p>
        </w:tc>
        <w:tc>
          <w:tcPr>
            <w:tcW w:w="687" w:type="pct"/>
            <w:gridSpan w:val="2"/>
            <w:vMerge/>
            <w:tcBorders>
              <w:left w:val="outset" w:sz="6" w:space="0" w:color="000000"/>
              <w:right w:val="outset" w:sz="6" w:space="0" w:color="000000"/>
            </w:tcBorders>
            <w:vAlign w:val="center"/>
          </w:tcPr>
          <w:p w:rsidR="00262C04" w:rsidRDefault="00262C04" w:rsidP="00EC3695">
            <w:pPr>
              <w:spacing w:line="360" w:lineRule="auto"/>
              <w:jc w:val="center"/>
            </w:pPr>
          </w:p>
        </w:tc>
        <w:tc>
          <w:tcPr>
            <w:tcW w:w="845" w:type="pct"/>
            <w:vMerge/>
            <w:tcBorders>
              <w:left w:val="outset" w:sz="6" w:space="0" w:color="000000"/>
              <w:right w:val="outset" w:sz="6" w:space="0" w:color="000000"/>
            </w:tcBorders>
            <w:vAlign w:val="center"/>
          </w:tcPr>
          <w:p w:rsidR="00262C04" w:rsidRPr="00331FD8" w:rsidRDefault="00262C04" w:rsidP="00EC3695">
            <w:pPr>
              <w:spacing w:line="360" w:lineRule="auto"/>
              <w:jc w:val="center"/>
              <w:rPr>
                <w:highlight w:val="yellow"/>
              </w:rPr>
            </w:pPr>
          </w:p>
        </w:tc>
        <w:tc>
          <w:tcPr>
            <w:tcW w:w="640" w:type="pct"/>
            <w:vMerge/>
            <w:tcBorders>
              <w:left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right w:val="outset" w:sz="6" w:space="0" w:color="000000"/>
            </w:tcBorders>
            <w:vAlign w:val="center"/>
          </w:tcPr>
          <w:p w:rsidR="00262C04" w:rsidRDefault="00262C04" w:rsidP="00EC3695">
            <w:pPr>
              <w:jc w:val="center"/>
            </w:pPr>
          </w:p>
        </w:tc>
        <w:tc>
          <w:tcPr>
            <w:tcW w:w="675" w:type="pct"/>
            <w:vMerge/>
            <w:tcBorders>
              <w:left w:val="outset" w:sz="6" w:space="0" w:color="000000"/>
            </w:tcBorders>
            <w:vAlign w:val="center"/>
          </w:tcPr>
          <w:p w:rsidR="00262C04" w:rsidRDefault="00262C04" w:rsidP="00EC3695">
            <w:pPr>
              <w:jc w:val="center"/>
            </w:pPr>
          </w:p>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3.2. speciālais budžets</w:t>
            </w:r>
          </w:p>
        </w:tc>
        <w:tc>
          <w:tcPr>
            <w:tcW w:w="687" w:type="pct"/>
            <w:gridSpan w:val="2"/>
            <w:vMerge/>
            <w:tcBorders>
              <w:left w:val="outset" w:sz="6" w:space="0" w:color="000000"/>
              <w:right w:val="outset" w:sz="6" w:space="0" w:color="000000"/>
            </w:tcBorders>
            <w:vAlign w:val="center"/>
          </w:tcPr>
          <w:p w:rsidR="00262C04" w:rsidRDefault="00262C04" w:rsidP="00EC3695">
            <w:pPr>
              <w:spacing w:line="360" w:lineRule="auto"/>
              <w:jc w:val="center"/>
            </w:pPr>
          </w:p>
        </w:tc>
        <w:tc>
          <w:tcPr>
            <w:tcW w:w="845" w:type="pct"/>
            <w:vMerge/>
            <w:tcBorders>
              <w:left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right w:val="outset" w:sz="6" w:space="0" w:color="000000"/>
            </w:tcBorders>
            <w:vAlign w:val="center"/>
          </w:tcPr>
          <w:p w:rsidR="00262C04" w:rsidRDefault="00262C04" w:rsidP="00EC3695">
            <w:pPr>
              <w:jc w:val="center"/>
            </w:pPr>
          </w:p>
        </w:tc>
        <w:tc>
          <w:tcPr>
            <w:tcW w:w="675" w:type="pct"/>
            <w:vMerge/>
            <w:tcBorders>
              <w:left w:val="outset" w:sz="6" w:space="0" w:color="000000"/>
            </w:tcBorders>
            <w:vAlign w:val="center"/>
          </w:tcPr>
          <w:p w:rsidR="00262C04" w:rsidRDefault="00262C04" w:rsidP="00EC3695">
            <w:pPr>
              <w:jc w:val="center"/>
            </w:pPr>
          </w:p>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3.3. pašvaldību budžets</w:t>
            </w:r>
          </w:p>
        </w:tc>
        <w:tc>
          <w:tcPr>
            <w:tcW w:w="687" w:type="pct"/>
            <w:gridSpan w:val="2"/>
            <w:vMerge/>
            <w:tcBorders>
              <w:left w:val="outset" w:sz="6" w:space="0" w:color="000000"/>
              <w:bottom w:val="outset" w:sz="6" w:space="0" w:color="000000"/>
              <w:right w:val="outset" w:sz="6" w:space="0" w:color="000000"/>
            </w:tcBorders>
            <w:vAlign w:val="center"/>
          </w:tcPr>
          <w:p w:rsidR="00262C04" w:rsidRDefault="00262C04" w:rsidP="00EC3695">
            <w:pPr>
              <w:spacing w:line="360" w:lineRule="auto"/>
              <w:jc w:val="center"/>
            </w:pPr>
          </w:p>
        </w:tc>
        <w:tc>
          <w:tcPr>
            <w:tcW w:w="845" w:type="pct"/>
            <w:vMerge/>
            <w:tcBorders>
              <w:left w:val="outset" w:sz="6" w:space="0" w:color="000000"/>
              <w:bottom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bottom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bottom w:val="outset" w:sz="6" w:space="0" w:color="000000"/>
              <w:right w:val="outset" w:sz="6" w:space="0" w:color="000000"/>
            </w:tcBorders>
            <w:vAlign w:val="center"/>
          </w:tcPr>
          <w:p w:rsidR="00262C04" w:rsidRDefault="00262C04" w:rsidP="00EC3695">
            <w:pPr>
              <w:jc w:val="center"/>
            </w:pPr>
          </w:p>
        </w:tc>
        <w:tc>
          <w:tcPr>
            <w:tcW w:w="675" w:type="pct"/>
            <w:vMerge/>
            <w:tcBorders>
              <w:left w:val="outset" w:sz="6" w:space="0" w:color="000000"/>
              <w:bottom w:val="outset" w:sz="6" w:space="0" w:color="000000"/>
            </w:tcBorders>
            <w:vAlign w:val="center"/>
          </w:tcPr>
          <w:p w:rsidR="00262C04" w:rsidRDefault="00262C04" w:rsidP="00EC3695">
            <w:pPr>
              <w:jc w:val="center"/>
            </w:pPr>
          </w:p>
        </w:tc>
      </w:tr>
      <w:tr w:rsidR="00262C04" w:rsidTr="00EC3695">
        <w:trPr>
          <w:trHeight w:val="1400"/>
        </w:trPr>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4. Finanšu līdzekļi papildu izde</w:t>
            </w:r>
            <w:r>
              <w:softHyphen/>
              <w:t>vumu finansēšanai (kompensējošu izdevumu samazinājumu norāda ar "+" zīmi)</w:t>
            </w:r>
          </w:p>
        </w:tc>
        <w:tc>
          <w:tcPr>
            <w:tcW w:w="687" w:type="pct"/>
            <w:gridSpan w:val="2"/>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spacing w:before="100" w:beforeAutospacing="1" w:after="100" w:afterAutospacing="1"/>
              <w:jc w:val="center"/>
            </w:pPr>
            <w:r>
              <w:t>X</w:t>
            </w:r>
          </w:p>
        </w:tc>
        <w:tc>
          <w:tcPr>
            <w:tcW w:w="845" w:type="pct"/>
            <w:tcBorders>
              <w:top w:val="outset" w:sz="6" w:space="0" w:color="000000"/>
              <w:left w:val="outset" w:sz="6" w:space="0" w:color="000000"/>
              <w:right w:val="outset" w:sz="6" w:space="0" w:color="000000"/>
            </w:tcBorders>
            <w:vAlign w:val="center"/>
          </w:tcPr>
          <w:p w:rsidR="00262C04" w:rsidRDefault="00262C04" w:rsidP="00EC3695">
            <w:pPr>
              <w:jc w:val="center"/>
            </w:pPr>
            <w:r>
              <w:t>Projekts šo jomu neskar.</w:t>
            </w:r>
          </w:p>
        </w:tc>
        <w:tc>
          <w:tcPr>
            <w:tcW w:w="640" w:type="pct"/>
            <w:tcBorders>
              <w:top w:val="outset" w:sz="6" w:space="0" w:color="000000"/>
              <w:left w:val="outset" w:sz="6" w:space="0" w:color="000000"/>
              <w:right w:val="outset" w:sz="6" w:space="0" w:color="000000"/>
            </w:tcBorders>
            <w:vAlign w:val="center"/>
          </w:tcPr>
          <w:p w:rsidR="00262C04" w:rsidRDefault="00262C04" w:rsidP="00EC3695">
            <w:pPr>
              <w:jc w:val="center"/>
            </w:pPr>
            <w:r>
              <w:t>Projekts šo jomu neskar.</w:t>
            </w:r>
          </w:p>
        </w:tc>
        <w:tc>
          <w:tcPr>
            <w:tcW w:w="640" w:type="pct"/>
            <w:tcBorders>
              <w:top w:val="outset" w:sz="6" w:space="0" w:color="000000"/>
              <w:left w:val="outset" w:sz="6" w:space="0" w:color="000000"/>
              <w:right w:val="outset" w:sz="6" w:space="0" w:color="000000"/>
            </w:tcBorders>
            <w:vAlign w:val="center"/>
          </w:tcPr>
          <w:p w:rsidR="00262C04" w:rsidRDefault="00262C04" w:rsidP="00EC3695">
            <w:pPr>
              <w:jc w:val="center"/>
            </w:pPr>
            <w:r>
              <w:t>Projekts šo jomu neskar.</w:t>
            </w:r>
          </w:p>
        </w:tc>
        <w:tc>
          <w:tcPr>
            <w:tcW w:w="675" w:type="pct"/>
            <w:tcBorders>
              <w:top w:val="outset" w:sz="6" w:space="0" w:color="000000"/>
              <w:left w:val="outset" w:sz="6" w:space="0" w:color="000000"/>
            </w:tcBorders>
            <w:vAlign w:val="center"/>
          </w:tcPr>
          <w:p w:rsidR="00262C04" w:rsidRDefault="00262C04" w:rsidP="00EC3695">
            <w:pPr>
              <w:jc w:val="center"/>
            </w:pPr>
            <w:r>
              <w:t>Projekts šo jomu neskar.</w:t>
            </w:r>
          </w:p>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5. Precizēta finansiālā ietekme:</w:t>
            </w:r>
          </w:p>
        </w:tc>
        <w:tc>
          <w:tcPr>
            <w:tcW w:w="687" w:type="pct"/>
            <w:gridSpan w:val="2"/>
            <w:vMerge w:val="restart"/>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spacing w:before="100" w:beforeAutospacing="1" w:after="100" w:afterAutospacing="1"/>
              <w:jc w:val="center"/>
            </w:pPr>
            <w:r>
              <w:t>X</w:t>
            </w:r>
          </w:p>
        </w:tc>
        <w:tc>
          <w:tcPr>
            <w:tcW w:w="845" w:type="pct"/>
            <w:vMerge w:val="restart"/>
            <w:tcBorders>
              <w:top w:val="outset" w:sz="6" w:space="0" w:color="000000"/>
              <w:left w:val="outset" w:sz="6" w:space="0" w:color="000000"/>
              <w:right w:val="outset" w:sz="6" w:space="0" w:color="000000"/>
            </w:tcBorders>
            <w:vAlign w:val="center"/>
          </w:tcPr>
          <w:p w:rsidR="00262C04" w:rsidRDefault="00262C04" w:rsidP="00EC3695">
            <w:pPr>
              <w:jc w:val="center"/>
            </w:pPr>
            <w:r>
              <w:t>Projekts šo jomu neskar.</w:t>
            </w:r>
          </w:p>
        </w:tc>
        <w:tc>
          <w:tcPr>
            <w:tcW w:w="640" w:type="pct"/>
            <w:vMerge w:val="restart"/>
            <w:tcBorders>
              <w:top w:val="outset" w:sz="6" w:space="0" w:color="000000"/>
              <w:left w:val="outset" w:sz="6" w:space="0" w:color="000000"/>
              <w:right w:val="outset" w:sz="6" w:space="0" w:color="000000"/>
            </w:tcBorders>
            <w:vAlign w:val="center"/>
          </w:tcPr>
          <w:p w:rsidR="00262C04" w:rsidRDefault="00262C04" w:rsidP="00EC3695">
            <w:pPr>
              <w:jc w:val="center"/>
            </w:pPr>
            <w:r>
              <w:t>Projekts šo jomu neskar.</w:t>
            </w:r>
          </w:p>
        </w:tc>
        <w:tc>
          <w:tcPr>
            <w:tcW w:w="640" w:type="pct"/>
            <w:vMerge w:val="restart"/>
            <w:tcBorders>
              <w:top w:val="outset" w:sz="6" w:space="0" w:color="000000"/>
              <w:left w:val="outset" w:sz="6" w:space="0" w:color="000000"/>
              <w:right w:val="outset" w:sz="6" w:space="0" w:color="000000"/>
            </w:tcBorders>
            <w:vAlign w:val="center"/>
          </w:tcPr>
          <w:p w:rsidR="00262C04" w:rsidRDefault="00262C04" w:rsidP="00EC3695">
            <w:pPr>
              <w:jc w:val="center"/>
            </w:pPr>
            <w:r>
              <w:t>Projekts šo jomu neskar.</w:t>
            </w:r>
          </w:p>
        </w:tc>
        <w:tc>
          <w:tcPr>
            <w:tcW w:w="675" w:type="pct"/>
            <w:vMerge w:val="restart"/>
            <w:tcBorders>
              <w:top w:val="outset" w:sz="6" w:space="0" w:color="000000"/>
              <w:left w:val="outset" w:sz="6" w:space="0" w:color="000000"/>
            </w:tcBorders>
            <w:vAlign w:val="center"/>
          </w:tcPr>
          <w:p w:rsidR="00262C04" w:rsidRDefault="00262C04" w:rsidP="00EC3695">
            <w:pPr>
              <w:jc w:val="center"/>
            </w:pPr>
            <w:r>
              <w:t>Projekts šo jomu neskar.</w:t>
            </w:r>
          </w:p>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5.1. valsts pamatbudžets</w:t>
            </w:r>
          </w:p>
        </w:tc>
        <w:tc>
          <w:tcPr>
            <w:tcW w:w="687" w:type="pct"/>
            <w:gridSpan w:val="2"/>
            <w:vMerge/>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jc w:val="center"/>
            </w:pPr>
          </w:p>
        </w:tc>
        <w:tc>
          <w:tcPr>
            <w:tcW w:w="845" w:type="pct"/>
            <w:vMerge/>
            <w:tcBorders>
              <w:left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right w:val="outset" w:sz="6" w:space="0" w:color="000000"/>
            </w:tcBorders>
            <w:vAlign w:val="center"/>
          </w:tcPr>
          <w:p w:rsidR="00262C04" w:rsidRDefault="00262C04" w:rsidP="00EC3695">
            <w:pPr>
              <w:jc w:val="center"/>
            </w:pPr>
          </w:p>
        </w:tc>
        <w:tc>
          <w:tcPr>
            <w:tcW w:w="675" w:type="pct"/>
            <w:vMerge/>
            <w:tcBorders>
              <w:left w:val="outset" w:sz="6" w:space="0" w:color="000000"/>
            </w:tcBorders>
            <w:vAlign w:val="center"/>
          </w:tcPr>
          <w:p w:rsidR="00262C04" w:rsidRDefault="00262C04" w:rsidP="00EC3695">
            <w:pPr>
              <w:jc w:val="center"/>
            </w:pPr>
          </w:p>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5.2. speciālais budžets</w:t>
            </w:r>
          </w:p>
        </w:tc>
        <w:tc>
          <w:tcPr>
            <w:tcW w:w="687" w:type="pct"/>
            <w:gridSpan w:val="2"/>
            <w:vMerge/>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jc w:val="center"/>
            </w:pPr>
          </w:p>
        </w:tc>
        <w:tc>
          <w:tcPr>
            <w:tcW w:w="845" w:type="pct"/>
            <w:vMerge/>
            <w:tcBorders>
              <w:left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right w:val="outset" w:sz="6" w:space="0" w:color="000000"/>
            </w:tcBorders>
            <w:vAlign w:val="center"/>
          </w:tcPr>
          <w:p w:rsidR="00262C04" w:rsidRDefault="00262C04" w:rsidP="00EC3695">
            <w:pPr>
              <w:jc w:val="center"/>
            </w:pPr>
          </w:p>
        </w:tc>
        <w:tc>
          <w:tcPr>
            <w:tcW w:w="675" w:type="pct"/>
            <w:vMerge/>
            <w:tcBorders>
              <w:left w:val="outset" w:sz="6" w:space="0" w:color="000000"/>
            </w:tcBorders>
            <w:vAlign w:val="center"/>
          </w:tcPr>
          <w:p w:rsidR="00262C04" w:rsidRDefault="00262C04" w:rsidP="00EC3695">
            <w:pPr>
              <w:jc w:val="center"/>
            </w:pPr>
          </w:p>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5.3. pašvaldību budžets</w:t>
            </w:r>
          </w:p>
        </w:tc>
        <w:tc>
          <w:tcPr>
            <w:tcW w:w="687" w:type="pct"/>
            <w:gridSpan w:val="2"/>
            <w:vMerge/>
            <w:tcBorders>
              <w:top w:val="outset" w:sz="6" w:space="0" w:color="000000"/>
              <w:left w:val="outset" w:sz="6" w:space="0" w:color="000000"/>
              <w:bottom w:val="outset" w:sz="6" w:space="0" w:color="000000"/>
              <w:right w:val="outset" w:sz="6" w:space="0" w:color="000000"/>
            </w:tcBorders>
            <w:vAlign w:val="center"/>
          </w:tcPr>
          <w:p w:rsidR="00262C04" w:rsidRDefault="00262C04" w:rsidP="00EC3695">
            <w:pPr>
              <w:jc w:val="center"/>
            </w:pPr>
          </w:p>
        </w:tc>
        <w:tc>
          <w:tcPr>
            <w:tcW w:w="845" w:type="pct"/>
            <w:vMerge/>
            <w:tcBorders>
              <w:left w:val="outset" w:sz="6" w:space="0" w:color="000000"/>
              <w:bottom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bottom w:val="outset" w:sz="6" w:space="0" w:color="000000"/>
              <w:right w:val="outset" w:sz="6" w:space="0" w:color="000000"/>
            </w:tcBorders>
            <w:vAlign w:val="center"/>
          </w:tcPr>
          <w:p w:rsidR="00262C04" w:rsidRDefault="00262C04" w:rsidP="00EC3695">
            <w:pPr>
              <w:jc w:val="center"/>
            </w:pPr>
          </w:p>
        </w:tc>
        <w:tc>
          <w:tcPr>
            <w:tcW w:w="640" w:type="pct"/>
            <w:vMerge/>
            <w:tcBorders>
              <w:left w:val="outset" w:sz="6" w:space="0" w:color="000000"/>
              <w:bottom w:val="outset" w:sz="6" w:space="0" w:color="000000"/>
              <w:right w:val="outset" w:sz="6" w:space="0" w:color="000000"/>
            </w:tcBorders>
            <w:vAlign w:val="center"/>
          </w:tcPr>
          <w:p w:rsidR="00262C04" w:rsidRDefault="00262C04" w:rsidP="00EC3695">
            <w:pPr>
              <w:jc w:val="center"/>
            </w:pPr>
          </w:p>
        </w:tc>
        <w:tc>
          <w:tcPr>
            <w:tcW w:w="675" w:type="pct"/>
            <w:vMerge/>
            <w:tcBorders>
              <w:left w:val="outset" w:sz="6" w:space="0" w:color="000000"/>
              <w:bottom w:val="outset" w:sz="6" w:space="0" w:color="000000"/>
            </w:tcBorders>
            <w:vAlign w:val="center"/>
          </w:tcPr>
          <w:p w:rsidR="00262C04" w:rsidRDefault="00262C04" w:rsidP="00EC3695">
            <w:pPr>
              <w:jc w:val="center"/>
            </w:pPr>
          </w:p>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487" w:type="pct"/>
            <w:gridSpan w:val="6"/>
            <w:vMerge w:val="restart"/>
            <w:tcBorders>
              <w:top w:val="outset" w:sz="6" w:space="0" w:color="000000"/>
              <w:left w:val="outset" w:sz="6" w:space="0" w:color="000000"/>
              <w:bottom w:val="outset" w:sz="6" w:space="0" w:color="000000"/>
            </w:tcBorders>
            <w:vAlign w:val="center"/>
          </w:tcPr>
          <w:p w:rsidR="00262C04" w:rsidRDefault="00262C04" w:rsidP="00EC3695">
            <w:pPr>
              <w:jc w:val="both"/>
            </w:pPr>
            <w:r>
              <w:t> Projekts šo jomu neskar.</w:t>
            </w:r>
          </w:p>
          <w:p w:rsidR="00262C04" w:rsidRDefault="00262C04" w:rsidP="00EC3695">
            <w:pPr>
              <w:jc w:val="both"/>
            </w:pPr>
          </w:p>
          <w:p w:rsidR="00262C04" w:rsidRDefault="00262C04" w:rsidP="00EC3695"/>
          <w:p w:rsidR="00262C04" w:rsidRDefault="00262C04" w:rsidP="00EC3695"/>
          <w:p w:rsidR="00262C04" w:rsidRDefault="00262C04" w:rsidP="00EC3695"/>
          <w:p w:rsidR="00262C04" w:rsidRDefault="00262C04" w:rsidP="00EC3695"/>
          <w:p w:rsidR="00262C04" w:rsidRPr="00675F9F" w:rsidRDefault="00262C04" w:rsidP="00EC3695">
            <w:pPr>
              <w:ind w:firstLine="720"/>
              <w:jc w:val="both"/>
            </w:pPr>
          </w:p>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6.1. detalizēts ieņēmumu aprēķins</w:t>
            </w:r>
          </w:p>
        </w:tc>
        <w:tc>
          <w:tcPr>
            <w:tcW w:w="3487" w:type="pct"/>
            <w:gridSpan w:val="6"/>
            <w:vMerge/>
            <w:tcBorders>
              <w:top w:val="outset" w:sz="6" w:space="0" w:color="000000"/>
              <w:left w:val="outset" w:sz="6" w:space="0" w:color="000000"/>
              <w:bottom w:val="outset" w:sz="6" w:space="0" w:color="000000"/>
            </w:tcBorders>
            <w:vAlign w:val="center"/>
          </w:tcPr>
          <w:p w:rsidR="00262C04" w:rsidRDefault="00262C04" w:rsidP="00EC3695"/>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6.2. detalizēts izdevumu aprēķins</w:t>
            </w:r>
          </w:p>
        </w:tc>
        <w:tc>
          <w:tcPr>
            <w:tcW w:w="3487" w:type="pct"/>
            <w:gridSpan w:val="6"/>
            <w:vMerge/>
            <w:tcBorders>
              <w:top w:val="outset" w:sz="6" w:space="0" w:color="000000"/>
              <w:left w:val="outset" w:sz="6" w:space="0" w:color="000000"/>
              <w:bottom w:val="outset" w:sz="6" w:space="0" w:color="000000"/>
            </w:tcBorders>
            <w:vAlign w:val="center"/>
          </w:tcPr>
          <w:p w:rsidR="00262C04" w:rsidRDefault="00262C04" w:rsidP="00EC3695"/>
        </w:tc>
      </w:tr>
      <w:tr w:rsidR="00262C04" w:rsidTr="00EC3695">
        <w:tc>
          <w:tcPr>
            <w:tcW w:w="1513" w:type="pct"/>
            <w:gridSpan w:val="2"/>
            <w:tcBorders>
              <w:top w:val="outset" w:sz="6" w:space="0" w:color="000000"/>
              <w:bottom w:val="outset" w:sz="6" w:space="0" w:color="000000"/>
              <w:right w:val="outset" w:sz="6" w:space="0" w:color="000000"/>
            </w:tcBorders>
          </w:tcPr>
          <w:p w:rsidR="00262C04" w:rsidRDefault="00262C04" w:rsidP="00EC3695">
            <w:pPr>
              <w:spacing w:before="100" w:beforeAutospacing="1" w:after="100" w:afterAutospacing="1"/>
            </w:pPr>
            <w:r>
              <w:t>7. Cita informācija</w:t>
            </w:r>
          </w:p>
        </w:tc>
        <w:tc>
          <w:tcPr>
            <w:tcW w:w="3487" w:type="pct"/>
            <w:gridSpan w:val="6"/>
            <w:tcBorders>
              <w:top w:val="outset" w:sz="6" w:space="0" w:color="000000"/>
              <w:left w:val="outset" w:sz="6" w:space="0" w:color="000000"/>
              <w:bottom w:val="outset" w:sz="6" w:space="0" w:color="000000"/>
            </w:tcBorders>
          </w:tcPr>
          <w:p w:rsidR="00262C04" w:rsidRPr="009479B2" w:rsidRDefault="00262C04" w:rsidP="00C32912">
            <w:pPr>
              <w:ind w:firstLine="720"/>
              <w:jc w:val="both"/>
              <w:rPr>
                <w:szCs w:val="28"/>
              </w:rPr>
            </w:pPr>
            <w:r>
              <w:t>Izstrādātajam R</w:t>
            </w:r>
            <w:r w:rsidRPr="00847684">
              <w:t xml:space="preserve">īkojuma projektam nav ietekmes uz valsts budžetu, jo papildus līdzekļi no valsts budžeta nav nepieciešami un </w:t>
            </w:r>
            <w:r w:rsidRPr="00847684">
              <w:lastRenderedPageBreak/>
              <w:t>izdevu</w:t>
            </w:r>
            <w:r>
              <w:t xml:space="preserve">mi, kas saistīti ar nepieciešamā nekustamā īpašuma </w:t>
            </w:r>
            <w:r w:rsidRPr="00847684">
              <w:t>pirkšanu un ierakstīšanu zemesgrāmatā tiks segti</w:t>
            </w:r>
            <w:r>
              <w:t xml:space="preserve"> no</w:t>
            </w:r>
            <w:r>
              <w:rPr>
                <w:szCs w:val="28"/>
              </w:rPr>
              <w:t xml:space="preserve"> valsts budžetā 2014</w:t>
            </w:r>
            <w:r w:rsidRPr="000C7E56">
              <w:rPr>
                <w:szCs w:val="28"/>
              </w:rPr>
              <w:t>.gadam</w:t>
            </w:r>
            <w:r w:rsidRPr="00A30512">
              <w:rPr>
                <w:szCs w:val="28"/>
              </w:rPr>
              <w:t xml:space="preserve"> Satiksmes ministrijas budžeta programmas 23.00.00 </w:t>
            </w:r>
            <w:r>
              <w:rPr>
                <w:szCs w:val="28"/>
              </w:rPr>
              <w:t>„</w:t>
            </w:r>
            <w:r w:rsidRPr="00A30512">
              <w:rPr>
                <w:szCs w:val="28"/>
              </w:rPr>
              <w:t>Valsts autoceļu fonds</w:t>
            </w:r>
            <w:r>
              <w:rPr>
                <w:szCs w:val="28"/>
              </w:rPr>
              <w:t>”</w:t>
            </w:r>
            <w:r w:rsidRPr="00A30512">
              <w:rPr>
                <w:szCs w:val="28"/>
              </w:rPr>
              <w:t xml:space="preserve"> apakšprogramm</w:t>
            </w:r>
            <w:r>
              <w:rPr>
                <w:szCs w:val="28"/>
              </w:rPr>
              <w:t>ā</w:t>
            </w:r>
            <w:r w:rsidRPr="00A30512">
              <w:rPr>
                <w:szCs w:val="28"/>
              </w:rPr>
              <w:t xml:space="preserve"> 23.06.00 </w:t>
            </w:r>
            <w:r>
              <w:rPr>
                <w:szCs w:val="28"/>
              </w:rPr>
              <w:t>„</w:t>
            </w:r>
            <w:r w:rsidRPr="00A30512">
              <w:rPr>
                <w:szCs w:val="28"/>
              </w:rPr>
              <w:t>Valsts autoceļu pārvaldīšana, uzturēšana un atjaunošana</w:t>
            </w:r>
            <w:r>
              <w:rPr>
                <w:szCs w:val="28"/>
              </w:rPr>
              <w:t>”</w:t>
            </w:r>
            <w:r w:rsidRPr="00A30512">
              <w:rPr>
                <w:szCs w:val="28"/>
              </w:rPr>
              <w:t xml:space="preserve"> paredzētajiem līdzekļiem</w:t>
            </w:r>
            <w:r>
              <w:rPr>
                <w:szCs w:val="28"/>
              </w:rPr>
              <w:t>.</w:t>
            </w:r>
          </w:p>
        </w:tc>
      </w:tr>
      <w:tr w:rsidR="00262C04" w:rsidRPr="0062008E" w:rsidTr="00EC36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Pr>
          <w:p w:rsidR="00262C04" w:rsidRPr="0062008E" w:rsidRDefault="00262C04" w:rsidP="00EC3695">
            <w:pPr>
              <w:jc w:val="center"/>
              <w:rPr>
                <w:b/>
                <w:color w:val="000000"/>
              </w:rPr>
            </w:pPr>
            <w:r w:rsidRPr="0062008E">
              <w:rPr>
                <w:b/>
                <w:color w:val="000000"/>
              </w:rPr>
              <w:lastRenderedPageBreak/>
              <w:t>VII. Tiesību akta projekta izpildes nodrošināšana un tās ietekme uz institūcijām</w:t>
            </w:r>
          </w:p>
        </w:tc>
      </w:tr>
      <w:tr w:rsidR="00262C04" w:rsidRPr="0062008E" w:rsidTr="00EC36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296" w:type="pct"/>
          </w:tcPr>
          <w:p w:rsidR="00262C04" w:rsidRPr="0062008E" w:rsidRDefault="00262C04" w:rsidP="00EC3695">
            <w:pPr>
              <w:spacing w:before="100" w:beforeAutospacing="1" w:after="100" w:afterAutospacing="1"/>
              <w:jc w:val="both"/>
              <w:rPr>
                <w:color w:val="000000"/>
              </w:rPr>
            </w:pPr>
            <w:r w:rsidRPr="0062008E">
              <w:rPr>
                <w:color w:val="000000"/>
              </w:rPr>
              <w:t>1.</w:t>
            </w:r>
          </w:p>
        </w:tc>
        <w:tc>
          <w:tcPr>
            <w:tcW w:w="1794" w:type="pct"/>
            <w:gridSpan w:val="2"/>
          </w:tcPr>
          <w:p w:rsidR="00262C04" w:rsidRPr="0062008E" w:rsidRDefault="00262C04" w:rsidP="00EC3695">
            <w:pPr>
              <w:spacing w:before="100" w:beforeAutospacing="1" w:after="100" w:afterAutospacing="1"/>
              <w:jc w:val="both"/>
              <w:rPr>
                <w:color w:val="000000"/>
              </w:rPr>
            </w:pPr>
            <w:r w:rsidRPr="0062008E">
              <w:rPr>
                <w:color w:val="000000"/>
              </w:rPr>
              <w:t>Projekta izpildē iesaistītās institūcijas</w:t>
            </w:r>
          </w:p>
        </w:tc>
        <w:tc>
          <w:tcPr>
            <w:tcW w:w="2910" w:type="pct"/>
            <w:gridSpan w:val="5"/>
          </w:tcPr>
          <w:p w:rsidR="00262C04" w:rsidRPr="0062008E" w:rsidRDefault="00262C04" w:rsidP="00EC3695">
            <w:pPr>
              <w:spacing w:before="120"/>
              <w:jc w:val="both"/>
              <w:rPr>
                <w:color w:val="000000"/>
              </w:rPr>
            </w:pPr>
            <w:r w:rsidRPr="0062008E">
              <w:rPr>
                <w:color w:val="000000"/>
              </w:rPr>
              <w:t>Rīkojuma izpildi nodrošinās Satiksmes ministrija un valsts akciju sabiedrība „Latvijas Valsts ceļi”.</w:t>
            </w:r>
          </w:p>
        </w:tc>
      </w:tr>
      <w:tr w:rsidR="00262C04" w:rsidRPr="0062008E" w:rsidTr="00EC36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296" w:type="pct"/>
          </w:tcPr>
          <w:p w:rsidR="00262C04" w:rsidRPr="0062008E" w:rsidRDefault="00262C04" w:rsidP="00EC3695">
            <w:pPr>
              <w:spacing w:before="100" w:beforeAutospacing="1" w:after="100" w:afterAutospacing="1"/>
              <w:jc w:val="both"/>
            </w:pPr>
            <w:r w:rsidRPr="0062008E">
              <w:t>2.</w:t>
            </w:r>
          </w:p>
        </w:tc>
        <w:tc>
          <w:tcPr>
            <w:tcW w:w="1794" w:type="pct"/>
            <w:gridSpan w:val="2"/>
          </w:tcPr>
          <w:p w:rsidR="00262C04" w:rsidRPr="0062008E" w:rsidRDefault="00262C04" w:rsidP="00EC3695">
            <w:pPr>
              <w:spacing w:before="100" w:beforeAutospacing="1" w:after="100" w:afterAutospacing="1"/>
              <w:jc w:val="both"/>
            </w:pPr>
            <w:r w:rsidRPr="0062008E">
              <w:t>Projekta izpildes ietekme uz pārvaldes funkcijām</w:t>
            </w:r>
          </w:p>
        </w:tc>
        <w:tc>
          <w:tcPr>
            <w:tcW w:w="2910" w:type="pct"/>
            <w:gridSpan w:val="5"/>
          </w:tcPr>
          <w:p w:rsidR="00262C04" w:rsidRDefault="00262C04" w:rsidP="00EC3695">
            <w:pPr>
              <w:jc w:val="both"/>
            </w:pPr>
            <w:r>
              <w:t>Projekts šo jomu neskar.</w:t>
            </w:r>
          </w:p>
          <w:p w:rsidR="00262C04" w:rsidRPr="0062008E" w:rsidRDefault="00262C04" w:rsidP="00EC3695">
            <w:pPr>
              <w:jc w:val="both"/>
              <w:rPr>
                <w:color w:val="000000"/>
              </w:rPr>
            </w:pPr>
          </w:p>
        </w:tc>
      </w:tr>
      <w:tr w:rsidR="00262C04" w:rsidRPr="0062008E" w:rsidTr="00EC36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296" w:type="pct"/>
          </w:tcPr>
          <w:p w:rsidR="00262C04" w:rsidRPr="0062008E" w:rsidRDefault="00262C04" w:rsidP="00EC3695">
            <w:pPr>
              <w:spacing w:before="100" w:beforeAutospacing="1" w:after="100" w:afterAutospacing="1"/>
              <w:jc w:val="both"/>
              <w:rPr>
                <w:color w:val="000000"/>
              </w:rPr>
            </w:pPr>
            <w:r w:rsidRPr="0062008E">
              <w:rPr>
                <w:color w:val="000000"/>
              </w:rPr>
              <w:t>3.</w:t>
            </w:r>
          </w:p>
        </w:tc>
        <w:tc>
          <w:tcPr>
            <w:tcW w:w="1794" w:type="pct"/>
            <w:gridSpan w:val="2"/>
          </w:tcPr>
          <w:p w:rsidR="00262C04" w:rsidRPr="0062008E" w:rsidRDefault="00262C04" w:rsidP="00EC3695">
            <w:pPr>
              <w:spacing w:before="100" w:beforeAutospacing="1" w:after="100" w:afterAutospacing="1"/>
              <w:jc w:val="both"/>
              <w:rPr>
                <w:color w:val="000000"/>
              </w:rPr>
            </w:pPr>
            <w:r w:rsidRPr="0062008E">
              <w:rPr>
                <w:color w:val="000000"/>
              </w:rPr>
              <w:t xml:space="preserve">Projekta izpildes ietekme uz pārvaldes institucionālo struktūru </w:t>
            </w:r>
          </w:p>
          <w:p w:rsidR="00262C04" w:rsidRPr="0062008E" w:rsidRDefault="00262C04" w:rsidP="00EC3695">
            <w:pPr>
              <w:spacing w:before="100" w:beforeAutospacing="1" w:after="100" w:afterAutospacing="1"/>
              <w:jc w:val="both"/>
              <w:rPr>
                <w:color w:val="000000"/>
              </w:rPr>
            </w:pPr>
            <w:r w:rsidRPr="0062008E">
              <w:rPr>
                <w:color w:val="000000"/>
              </w:rPr>
              <w:t>Jaunu institūciju izveide</w:t>
            </w:r>
          </w:p>
        </w:tc>
        <w:tc>
          <w:tcPr>
            <w:tcW w:w="2910" w:type="pct"/>
            <w:gridSpan w:val="5"/>
          </w:tcPr>
          <w:p w:rsidR="00262C04" w:rsidRDefault="00262C04" w:rsidP="00EC3695">
            <w:pPr>
              <w:jc w:val="both"/>
            </w:pPr>
            <w:r>
              <w:t>Projekts šo jomu neskar.</w:t>
            </w:r>
          </w:p>
          <w:p w:rsidR="00262C04" w:rsidRPr="0062008E" w:rsidRDefault="00262C04" w:rsidP="00EC3695">
            <w:pPr>
              <w:spacing w:before="120"/>
              <w:jc w:val="both"/>
              <w:rPr>
                <w:color w:val="000000"/>
                <w:highlight w:val="magenta"/>
              </w:rPr>
            </w:pPr>
          </w:p>
        </w:tc>
      </w:tr>
      <w:tr w:rsidR="00262C04" w:rsidRPr="0062008E" w:rsidTr="00EC36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296" w:type="pct"/>
          </w:tcPr>
          <w:p w:rsidR="00262C04" w:rsidRPr="0062008E" w:rsidRDefault="00262C04" w:rsidP="00EC3695">
            <w:pPr>
              <w:spacing w:before="100" w:beforeAutospacing="1" w:after="100" w:afterAutospacing="1"/>
              <w:jc w:val="both"/>
              <w:rPr>
                <w:color w:val="000000"/>
              </w:rPr>
            </w:pPr>
            <w:r w:rsidRPr="0062008E">
              <w:rPr>
                <w:color w:val="000000"/>
              </w:rPr>
              <w:t>4.</w:t>
            </w:r>
          </w:p>
        </w:tc>
        <w:tc>
          <w:tcPr>
            <w:tcW w:w="1794" w:type="pct"/>
            <w:gridSpan w:val="2"/>
          </w:tcPr>
          <w:p w:rsidR="00262C04" w:rsidRPr="0062008E" w:rsidRDefault="00262C04" w:rsidP="00EC3695">
            <w:pPr>
              <w:spacing w:before="100" w:beforeAutospacing="1" w:after="100" w:afterAutospacing="1"/>
              <w:jc w:val="both"/>
              <w:rPr>
                <w:color w:val="000000"/>
              </w:rPr>
            </w:pPr>
            <w:r w:rsidRPr="0062008E">
              <w:rPr>
                <w:color w:val="000000"/>
              </w:rPr>
              <w:t>Projekta izpildes ietekme uz pārvaldes institucionālo struktūru.</w:t>
            </w:r>
          </w:p>
          <w:p w:rsidR="00262C04" w:rsidRPr="0062008E" w:rsidRDefault="00262C04" w:rsidP="00EC3695">
            <w:pPr>
              <w:spacing w:before="100" w:beforeAutospacing="1" w:after="100" w:afterAutospacing="1"/>
              <w:jc w:val="both"/>
              <w:rPr>
                <w:color w:val="000000"/>
              </w:rPr>
            </w:pPr>
            <w:r w:rsidRPr="0062008E">
              <w:rPr>
                <w:color w:val="000000"/>
              </w:rPr>
              <w:t>Esošu institūciju likvidācija</w:t>
            </w:r>
          </w:p>
        </w:tc>
        <w:tc>
          <w:tcPr>
            <w:tcW w:w="2910" w:type="pct"/>
            <w:gridSpan w:val="5"/>
          </w:tcPr>
          <w:p w:rsidR="00262C04" w:rsidRDefault="00262C04" w:rsidP="00EC3695">
            <w:pPr>
              <w:jc w:val="both"/>
            </w:pPr>
            <w:r>
              <w:t>Projekts šo jomu neskar.</w:t>
            </w:r>
          </w:p>
          <w:p w:rsidR="00262C04" w:rsidRPr="0062008E" w:rsidRDefault="00262C04" w:rsidP="00EC3695">
            <w:pPr>
              <w:jc w:val="both"/>
              <w:rPr>
                <w:color w:val="000000"/>
              </w:rPr>
            </w:pPr>
          </w:p>
        </w:tc>
      </w:tr>
      <w:tr w:rsidR="00262C04" w:rsidRPr="0062008E" w:rsidTr="00EC36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907"/>
        </w:trPr>
        <w:tc>
          <w:tcPr>
            <w:tcW w:w="296" w:type="pct"/>
          </w:tcPr>
          <w:p w:rsidR="00262C04" w:rsidRPr="0062008E" w:rsidRDefault="00262C04" w:rsidP="00EC3695">
            <w:pPr>
              <w:spacing w:before="100" w:beforeAutospacing="1" w:after="100" w:afterAutospacing="1"/>
              <w:jc w:val="both"/>
              <w:rPr>
                <w:color w:val="000000"/>
              </w:rPr>
            </w:pPr>
            <w:r w:rsidRPr="0062008E">
              <w:rPr>
                <w:color w:val="000000"/>
              </w:rPr>
              <w:t>5.</w:t>
            </w:r>
          </w:p>
        </w:tc>
        <w:tc>
          <w:tcPr>
            <w:tcW w:w="1794" w:type="pct"/>
            <w:gridSpan w:val="2"/>
          </w:tcPr>
          <w:p w:rsidR="00262C04" w:rsidRPr="0062008E" w:rsidRDefault="00262C04" w:rsidP="00EC3695">
            <w:pPr>
              <w:spacing w:before="100" w:beforeAutospacing="1" w:after="100" w:afterAutospacing="1"/>
              <w:jc w:val="both"/>
              <w:rPr>
                <w:color w:val="000000"/>
              </w:rPr>
            </w:pPr>
            <w:r w:rsidRPr="0062008E">
              <w:rPr>
                <w:color w:val="000000"/>
              </w:rPr>
              <w:t>Projekta izpildes ietekme uz pārvaldes institucionālo struktūru.</w:t>
            </w:r>
          </w:p>
          <w:p w:rsidR="00262C04" w:rsidRPr="0062008E" w:rsidRDefault="00262C04" w:rsidP="00EC3695">
            <w:pPr>
              <w:spacing w:before="100" w:beforeAutospacing="1" w:after="100" w:afterAutospacing="1"/>
              <w:jc w:val="both"/>
              <w:rPr>
                <w:color w:val="000000"/>
              </w:rPr>
            </w:pPr>
            <w:r w:rsidRPr="0062008E">
              <w:rPr>
                <w:color w:val="000000"/>
              </w:rPr>
              <w:t>Esošu institūciju reorganizācija</w:t>
            </w:r>
          </w:p>
        </w:tc>
        <w:tc>
          <w:tcPr>
            <w:tcW w:w="2910" w:type="pct"/>
            <w:gridSpan w:val="5"/>
          </w:tcPr>
          <w:p w:rsidR="00262C04" w:rsidRDefault="00262C04" w:rsidP="00EC3695">
            <w:pPr>
              <w:jc w:val="both"/>
            </w:pPr>
            <w:r>
              <w:t>Projekts šo jomu neskar.</w:t>
            </w:r>
          </w:p>
          <w:p w:rsidR="00262C04" w:rsidRPr="0062008E" w:rsidRDefault="00262C04" w:rsidP="00EC3695">
            <w:pPr>
              <w:jc w:val="both"/>
              <w:rPr>
                <w:color w:val="000000"/>
              </w:rPr>
            </w:pPr>
          </w:p>
        </w:tc>
      </w:tr>
      <w:tr w:rsidR="00262C04" w:rsidRPr="0062008E" w:rsidTr="00EC36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296" w:type="pct"/>
          </w:tcPr>
          <w:p w:rsidR="00262C04" w:rsidRPr="0062008E" w:rsidRDefault="00262C04" w:rsidP="00EC3695">
            <w:pPr>
              <w:spacing w:before="100" w:beforeAutospacing="1" w:after="100" w:afterAutospacing="1"/>
              <w:jc w:val="both"/>
              <w:rPr>
                <w:color w:val="000000"/>
              </w:rPr>
            </w:pPr>
            <w:r w:rsidRPr="0062008E">
              <w:rPr>
                <w:color w:val="000000"/>
              </w:rPr>
              <w:t>6.</w:t>
            </w:r>
          </w:p>
        </w:tc>
        <w:tc>
          <w:tcPr>
            <w:tcW w:w="1794" w:type="pct"/>
            <w:gridSpan w:val="2"/>
          </w:tcPr>
          <w:p w:rsidR="00262C04" w:rsidRPr="0062008E" w:rsidRDefault="00262C04" w:rsidP="00EC3695">
            <w:pPr>
              <w:spacing w:before="100" w:beforeAutospacing="1" w:after="100" w:afterAutospacing="1"/>
              <w:jc w:val="both"/>
              <w:rPr>
                <w:color w:val="000000"/>
              </w:rPr>
            </w:pPr>
            <w:r w:rsidRPr="0062008E">
              <w:rPr>
                <w:color w:val="000000"/>
              </w:rPr>
              <w:t>4. Cita informācija</w:t>
            </w:r>
          </w:p>
        </w:tc>
        <w:tc>
          <w:tcPr>
            <w:tcW w:w="2910" w:type="pct"/>
            <w:gridSpan w:val="5"/>
          </w:tcPr>
          <w:p w:rsidR="00262C04" w:rsidRPr="0062008E" w:rsidRDefault="00262C04" w:rsidP="00EC3695">
            <w:pPr>
              <w:spacing w:before="100" w:beforeAutospacing="1" w:after="100" w:afterAutospacing="1"/>
              <w:jc w:val="both"/>
              <w:rPr>
                <w:color w:val="000000"/>
              </w:rPr>
            </w:pPr>
            <w:r>
              <w:rPr>
                <w:color w:val="000000"/>
              </w:rPr>
              <w:t>Nav.</w:t>
            </w:r>
          </w:p>
        </w:tc>
      </w:tr>
    </w:tbl>
    <w:p w:rsidR="00262C04" w:rsidRPr="007A1D87" w:rsidRDefault="00262C04" w:rsidP="000A7339">
      <w:pPr>
        <w:spacing w:before="120" w:after="120"/>
        <w:jc w:val="both"/>
        <w:rPr>
          <w:sz w:val="28"/>
          <w:szCs w:val="28"/>
        </w:rPr>
      </w:pPr>
      <w:r w:rsidRPr="007A1D87">
        <w:rPr>
          <w:sz w:val="28"/>
          <w:szCs w:val="28"/>
        </w:rPr>
        <w:t>Anotācijas II, IV, V un VI sadaļa – projekts šīs jomas neskar.</w:t>
      </w:r>
    </w:p>
    <w:p w:rsidR="00262C04" w:rsidRDefault="00262C04" w:rsidP="000A7339">
      <w:pPr>
        <w:jc w:val="both"/>
        <w:rPr>
          <w:b/>
          <w:color w:val="000000"/>
          <w:sz w:val="28"/>
          <w:szCs w:val="28"/>
          <w:lang w:eastAsia="en-US"/>
        </w:rPr>
      </w:pPr>
    </w:p>
    <w:p w:rsidR="00262C04" w:rsidRPr="00E74ED5" w:rsidRDefault="00262C04" w:rsidP="000A7339">
      <w:pPr>
        <w:jc w:val="both"/>
        <w:rPr>
          <w:b/>
          <w:color w:val="000000"/>
          <w:sz w:val="28"/>
          <w:szCs w:val="28"/>
          <w:lang w:eastAsia="en-US"/>
        </w:rPr>
      </w:pPr>
    </w:p>
    <w:p w:rsidR="00262C04" w:rsidRPr="00E74ED5" w:rsidRDefault="00262C04" w:rsidP="000A7339">
      <w:pPr>
        <w:pStyle w:val="naisf"/>
        <w:spacing w:before="0" w:after="0"/>
        <w:ind w:firstLine="684"/>
        <w:rPr>
          <w:sz w:val="28"/>
          <w:szCs w:val="28"/>
        </w:rPr>
      </w:pPr>
      <w:r w:rsidRPr="00E74ED5">
        <w:rPr>
          <w:sz w:val="28"/>
          <w:szCs w:val="28"/>
        </w:rPr>
        <w:tab/>
        <w:t>Satiksmes ministrs</w:t>
      </w:r>
      <w:r w:rsidRPr="00E74ED5">
        <w:rPr>
          <w:sz w:val="28"/>
          <w:szCs w:val="28"/>
        </w:rPr>
        <w:tab/>
      </w:r>
      <w:r w:rsidRPr="00E74ED5">
        <w:rPr>
          <w:sz w:val="28"/>
          <w:szCs w:val="28"/>
        </w:rPr>
        <w:tab/>
      </w:r>
      <w:r w:rsidRPr="00E74ED5">
        <w:rPr>
          <w:sz w:val="28"/>
          <w:szCs w:val="28"/>
        </w:rPr>
        <w:tab/>
      </w:r>
      <w:r w:rsidRPr="00E74ED5">
        <w:rPr>
          <w:sz w:val="28"/>
          <w:szCs w:val="28"/>
        </w:rPr>
        <w:tab/>
      </w:r>
      <w:r>
        <w:rPr>
          <w:sz w:val="28"/>
          <w:szCs w:val="28"/>
        </w:rPr>
        <w:tab/>
      </w:r>
      <w:r>
        <w:rPr>
          <w:sz w:val="28"/>
          <w:szCs w:val="28"/>
        </w:rPr>
        <w:tab/>
      </w:r>
      <w:r>
        <w:rPr>
          <w:sz w:val="28"/>
          <w:szCs w:val="28"/>
        </w:rPr>
        <w:tab/>
        <w:t>A.Matīss</w:t>
      </w:r>
    </w:p>
    <w:p w:rsidR="00262C04" w:rsidRDefault="00262C04" w:rsidP="000A7339">
      <w:pPr>
        <w:pStyle w:val="naisf"/>
        <w:spacing w:before="0" w:after="0"/>
        <w:ind w:firstLine="0"/>
        <w:rPr>
          <w:sz w:val="28"/>
          <w:szCs w:val="28"/>
        </w:rPr>
      </w:pPr>
    </w:p>
    <w:p w:rsidR="00262C04" w:rsidRPr="00E74ED5" w:rsidRDefault="00262C04" w:rsidP="000A7339">
      <w:pPr>
        <w:pStyle w:val="naisf"/>
        <w:spacing w:before="0" w:after="0"/>
        <w:ind w:firstLine="0"/>
        <w:rPr>
          <w:sz w:val="28"/>
          <w:szCs w:val="28"/>
        </w:rPr>
      </w:pPr>
    </w:p>
    <w:p w:rsidR="00262C04" w:rsidRPr="00483D2A" w:rsidRDefault="00262C04" w:rsidP="00C32912">
      <w:pPr>
        <w:ind w:firstLine="684"/>
        <w:jc w:val="both"/>
        <w:rPr>
          <w:sz w:val="28"/>
          <w:szCs w:val="28"/>
        </w:rPr>
      </w:pPr>
      <w:r w:rsidRPr="00483D2A">
        <w:rPr>
          <w:sz w:val="28"/>
          <w:szCs w:val="28"/>
        </w:rPr>
        <w:t>Vizē: Valsts sekretār</w:t>
      </w:r>
      <w:r>
        <w:rPr>
          <w:sz w:val="28"/>
          <w:szCs w:val="28"/>
        </w:rPr>
        <w:t xml:space="preserve">s </w:t>
      </w:r>
      <w:r>
        <w:rPr>
          <w:sz w:val="28"/>
          <w:szCs w:val="28"/>
        </w:rPr>
        <w:tab/>
      </w:r>
      <w:r>
        <w:rPr>
          <w:sz w:val="28"/>
          <w:szCs w:val="28"/>
        </w:rPr>
        <w:tab/>
      </w:r>
      <w:r>
        <w:rPr>
          <w:sz w:val="28"/>
          <w:szCs w:val="28"/>
        </w:rPr>
        <w:tab/>
      </w:r>
      <w:r>
        <w:rPr>
          <w:sz w:val="28"/>
          <w:szCs w:val="28"/>
        </w:rPr>
        <w:tab/>
      </w:r>
      <w:r>
        <w:rPr>
          <w:sz w:val="28"/>
          <w:szCs w:val="28"/>
        </w:rPr>
        <w:tab/>
      </w:r>
      <w:r>
        <w:rPr>
          <w:sz w:val="28"/>
          <w:szCs w:val="28"/>
        </w:rPr>
        <w:tab/>
        <w:t>K. Ozoliņš</w:t>
      </w:r>
    </w:p>
    <w:p w:rsidR="00262C04" w:rsidRDefault="00262C04" w:rsidP="000A7339">
      <w:pPr>
        <w:jc w:val="both"/>
        <w:rPr>
          <w:sz w:val="20"/>
          <w:szCs w:val="20"/>
        </w:rPr>
      </w:pPr>
    </w:p>
    <w:p w:rsidR="00262C04" w:rsidRDefault="00262C04" w:rsidP="000A7339">
      <w:pPr>
        <w:jc w:val="both"/>
        <w:rPr>
          <w:sz w:val="20"/>
          <w:szCs w:val="20"/>
        </w:rPr>
      </w:pPr>
    </w:p>
    <w:p w:rsidR="00262C04" w:rsidRDefault="00262C04" w:rsidP="000A7339">
      <w:pPr>
        <w:jc w:val="both"/>
        <w:rPr>
          <w:sz w:val="20"/>
          <w:szCs w:val="20"/>
        </w:rPr>
      </w:pPr>
    </w:p>
    <w:p w:rsidR="00262C04" w:rsidRDefault="00262C04" w:rsidP="000A7339">
      <w:pPr>
        <w:jc w:val="both"/>
        <w:rPr>
          <w:sz w:val="20"/>
          <w:szCs w:val="20"/>
        </w:rPr>
      </w:pPr>
    </w:p>
    <w:p w:rsidR="00262C04" w:rsidRPr="009C35A8" w:rsidRDefault="00262C04" w:rsidP="000A7339">
      <w:pPr>
        <w:jc w:val="both"/>
        <w:rPr>
          <w:sz w:val="20"/>
          <w:szCs w:val="20"/>
        </w:rPr>
      </w:pPr>
      <w:r>
        <w:rPr>
          <w:sz w:val="20"/>
          <w:szCs w:val="20"/>
        </w:rPr>
        <w:t>27.01.2014. 10:15</w:t>
      </w:r>
    </w:p>
    <w:p w:rsidR="00262C04" w:rsidRPr="009C35A8" w:rsidRDefault="00262C04" w:rsidP="000A7339">
      <w:pPr>
        <w:jc w:val="both"/>
        <w:rPr>
          <w:sz w:val="20"/>
          <w:szCs w:val="20"/>
        </w:rPr>
      </w:pPr>
      <w:r>
        <w:rPr>
          <w:sz w:val="20"/>
          <w:szCs w:val="20"/>
        </w:rPr>
        <w:t>1399</w:t>
      </w:r>
    </w:p>
    <w:p w:rsidR="00262C04" w:rsidRPr="009C35A8" w:rsidRDefault="00262C04" w:rsidP="000A7339">
      <w:pPr>
        <w:jc w:val="both"/>
        <w:rPr>
          <w:sz w:val="20"/>
          <w:szCs w:val="20"/>
        </w:rPr>
      </w:pPr>
      <w:r w:rsidRPr="009C35A8">
        <w:rPr>
          <w:sz w:val="20"/>
          <w:szCs w:val="20"/>
        </w:rPr>
        <w:t>V.Putāns</w:t>
      </w:r>
    </w:p>
    <w:p w:rsidR="00262C04" w:rsidRPr="00B229BB" w:rsidRDefault="00262C04" w:rsidP="000A7339">
      <w:pPr>
        <w:jc w:val="both"/>
        <w:rPr>
          <w:sz w:val="20"/>
          <w:szCs w:val="20"/>
        </w:rPr>
      </w:pPr>
      <w:r>
        <w:rPr>
          <w:sz w:val="20"/>
          <w:szCs w:val="20"/>
        </w:rPr>
        <w:t>67028</w:t>
      </w:r>
      <w:r w:rsidRPr="009C35A8">
        <w:rPr>
          <w:sz w:val="20"/>
          <w:szCs w:val="20"/>
        </w:rPr>
        <w:t>149,</w:t>
      </w:r>
      <w:r>
        <w:rPr>
          <w:sz w:val="20"/>
          <w:szCs w:val="20"/>
        </w:rPr>
        <w:t xml:space="preserve"> </w:t>
      </w:r>
      <w:r w:rsidRPr="009C35A8">
        <w:rPr>
          <w:sz w:val="20"/>
          <w:szCs w:val="20"/>
        </w:rPr>
        <w:t>varis.putans@lvceli.lv</w:t>
      </w:r>
    </w:p>
    <w:p w:rsidR="00262C04" w:rsidRDefault="00262C04"/>
    <w:sectPr w:rsidR="00262C04" w:rsidSect="001E3FDC">
      <w:headerReference w:type="even" r:id="rId8"/>
      <w:headerReference w:type="default" r:id="rId9"/>
      <w:footerReference w:type="default" r:id="rId10"/>
      <w:footerReference w:type="first" r:id="rId11"/>
      <w:pgSz w:w="11906" w:h="16838"/>
      <w:pgMar w:top="1446" w:right="1134" w:bottom="1265" w:left="1701" w:header="709" w:footer="4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04" w:rsidRDefault="00262C04" w:rsidP="00C32912">
      <w:r>
        <w:separator/>
      </w:r>
    </w:p>
  </w:endnote>
  <w:endnote w:type="continuationSeparator" w:id="0">
    <w:p w:rsidR="00262C04" w:rsidRDefault="00262C04" w:rsidP="00C3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04" w:rsidRPr="009479B2" w:rsidRDefault="00262C04" w:rsidP="009479B2">
    <w:pPr>
      <w:jc w:val="both"/>
      <w:rPr>
        <w:b/>
        <w:bCs/>
      </w:rPr>
    </w:pPr>
    <w:r>
      <w:rPr>
        <w:sz w:val="20"/>
        <w:szCs w:val="20"/>
      </w:rPr>
      <w:t>SAMAnot_270114_Draudz</w:t>
    </w:r>
    <w:r w:rsidRPr="00CF7CB3">
      <w:rPr>
        <w:sz w:val="20"/>
        <w:szCs w:val="20"/>
      </w:rPr>
      <w:t xml:space="preserve">; </w:t>
    </w:r>
    <w:r>
      <w:rPr>
        <w:sz w:val="20"/>
        <w:szCs w:val="20"/>
      </w:rPr>
      <w:t xml:space="preserve">Ministru kabineta rīkojuma projekta </w:t>
    </w:r>
    <w:r>
      <w:rPr>
        <w:sz w:val="20"/>
      </w:rPr>
      <w:t>„</w:t>
    </w:r>
    <w:r w:rsidRPr="00D00C7F">
      <w:rPr>
        <w:bCs/>
        <w:sz w:val="20"/>
      </w:rPr>
      <w:t>Par nekustamā īpašuma pirkšanu valsts autoceļa A1 Rīga (Baltezers)-Igaunijas robeža (Ainaži)</w:t>
    </w:r>
    <w:r w:rsidRPr="00D00C7F">
      <w:rPr>
        <w:sz w:val="20"/>
      </w:rPr>
      <w:t xml:space="preserve"> </w:t>
    </w:r>
    <w:r w:rsidRPr="00D00C7F">
      <w:rPr>
        <w:bCs/>
        <w:sz w:val="20"/>
      </w:rPr>
      <w:t>rekonstrukcijas projekta īstenošanai</w:t>
    </w:r>
    <w:r w:rsidRPr="004128C3">
      <w:rPr>
        <w:sz w:val="20"/>
      </w:rPr>
      <w:t>”</w:t>
    </w:r>
    <w:r>
      <w:rPr>
        <w:sz w:val="20"/>
        <w:szCs w:val="20"/>
      </w:rPr>
      <w:t xml:space="preserve"> sākotnējās ietekmes novērtējuma </w:t>
    </w:r>
    <w:smartTag w:uri="schemas-tilde-lv/tildestengine" w:element="veidnes">
      <w:smartTagPr>
        <w:attr w:name="text" w:val="ziņojums"/>
        <w:attr w:name="baseform" w:val="ziņojums"/>
        <w:attr w:name="id" w:val="-1"/>
      </w:smartTagPr>
      <w:r>
        <w:rPr>
          <w:sz w:val="20"/>
          <w:szCs w:val="20"/>
        </w:rPr>
        <w:t>ziņojums</w:t>
      </w:r>
    </w:smartTag>
    <w:r>
      <w:rPr>
        <w:sz w:val="20"/>
        <w:szCs w:val="20"/>
      </w:rPr>
      <w:t xml:space="preserve"> (anotācija)</w:t>
    </w:r>
  </w:p>
  <w:p w:rsidR="00262C04" w:rsidRPr="009479B2" w:rsidRDefault="00262C04" w:rsidP="009479B2">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04" w:rsidRPr="009479B2" w:rsidRDefault="00262C04" w:rsidP="00CF7CB3">
    <w:pPr>
      <w:jc w:val="both"/>
      <w:rPr>
        <w:b/>
        <w:bCs/>
      </w:rPr>
    </w:pPr>
    <w:r>
      <w:rPr>
        <w:sz w:val="20"/>
        <w:szCs w:val="20"/>
      </w:rPr>
      <w:t>SAMAnot_270114_Draudz</w:t>
    </w:r>
    <w:r w:rsidRPr="00CF7CB3">
      <w:rPr>
        <w:sz w:val="20"/>
        <w:szCs w:val="20"/>
      </w:rPr>
      <w:t xml:space="preserve">; </w:t>
    </w:r>
    <w:r>
      <w:rPr>
        <w:sz w:val="20"/>
        <w:szCs w:val="20"/>
      </w:rPr>
      <w:t xml:space="preserve">Ministru kabineta rīkojuma projekta </w:t>
    </w:r>
    <w:r>
      <w:rPr>
        <w:sz w:val="20"/>
      </w:rPr>
      <w:t>„</w:t>
    </w:r>
    <w:r w:rsidRPr="00D00C7F">
      <w:rPr>
        <w:bCs/>
        <w:sz w:val="20"/>
      </w:rPr>
      <w:t>Par nekustamā īpašuma pirkšanu valsts autoceļa A1 Rīga (Baltezers)-Igaunijas robeža (Ainaži)</w:t>
    </w:r>
    <w:r w:rsidRPr="00D00C7F">
      <w:rPr>
        <w:sz w:val="20"/>
      </w:rPr>
      <w:t xml:space="preserve"> </w:t>
    </w:r>
    <w:r w:rsidRPr="00D00C7F">
      <w:rPr>
        <w:bCs/>
        <w:sz w:val="20"/>
      </w:rPr>
      <w:t>rekonstrukcijas projekta īstenošanai</w:t>
    </w:r>
    <w:r w:rsidRPr="004128C3">
      <w:rPr>
        <w:sz w:val="20"/>
      </w:rPr>
      <w:t>”</w:t>
    </w:r>
    <w:r>
      <w:rPr>
        <w:sz w:val="20"/>
        <w:szCs w:val="20"/>
      </w:rPr>
      <w:t xml:space="preserve"> sākotnējās ietekmes novērtējuma </w:t>
    </w:r>
    <w:smartTag w:uri="schemas-tilde-lv/tildestengine" w:element="veidnes">
      <w:smartTagPr>
        <w:attr w:name="text" w:val="ziņojums"/>
        <w:attr w:name="baseform" w:val="ziņojums"/>
        <w:attr w:name="id" w:val="-1"/>
      </w:smartTagPr>
      <w:r>
        <w:rPr>
          <w:sz w:val="20"/>
          <w:szCs w:val="20"/>
        </w:rPr>
        <w:t>ziņojums</w:t>
      </w:r>
    </w:smartTag>
    <w:r>
      <w:rPr>
        <w:sz w:val="20"/>
        <w:szCs w:val="20"/>
      </w:rPr>
      <w:t xml:space="preserve"> (anotācija)</w:t>
    </w:r>
  </w:p>
  <w:p w:rsidR="00262C04" w:rsidRPr="00C06BB1" w:rsidRDefault="00262C04" w:rsidP="00C06BB1">
    <w:pPr>
      <w:jc w:val="both"/>
      <w:rPr>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04" w:rsidRDefault="00262C04" w:rsidP="00C32912">
      <w:r>
        <w:separator/>
      </w:r>
    </w:p>
  </w:footnote>
  <w:footnote w:type="continuationSeparator" w:id="0">
    <w:p w:rsidR="00262C04" w:rsidRDefault="00262C04" w:rsidP="00C32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04" w:rsidRDefault="00262C04"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C04" w:rsidRDefault="00262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04" w:rsidRDefault="00262C04"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55E">
      <w:rPr>
        <w:rStyle w:val="PageNumber"/>
        <w:noProof/>
      </w:rPr>
      <w:t>5</w:t>
    </w:r>
    <w:r>
      <w:rPr>
        <w:rStyle w:val="PageNumber"/>
      </w:rPr>
      <w:fldChar w:fldCharType="end"/>
    </w:r>
  </w:p>
  <w:p w:rsidR="00262C04" w:rsidRDefault="00262C04"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28DC"/>
    <w:multiLevelType w:val="hybridMultilevel"/>
    <w:tmpl w:val="227A115A"/>
    <w:lvl w:ilvl="0" w:tplc="0A98C71C">
      <w:start w:val="18"/>
      <w:numFmt w:val="bullet"/>
      <w:lvlText w:val="-"/>
      <w:lvlJc w:val="left"/>
      <w:pPr>
        <w:tabs>
          <w:tab w:val="num" w:pos="1758"/>
        </w:tabs>
        <w:ind w:left="1758" w:hanging="1005"/>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339"/>
    <w:rsid w:val="000109AB"/>
    <w:rsid w:val="000A7339"/>
    <w:rsid w:val="000C7E56"/>
    <w:rsid w:val="000F39A9"/>
    <w:rsid w:val="00133989"/>
    <w:rsid w:val="00186B23"/>
    <w:rsid w:val="001E3FDC"/>
    <w:rsid w:val="0021331B"/>
    <w:rsid w:val="0026155E"/>
    <w:rsid w:val="00262C04"/>
    <w:rsid w:val="0026788E"/>
    <w:rsid w:val="002F1065"/>
    <w:rsid w:val="00331FD8"/>
    <w:rsid w:val="004128C3"/>
    <w:rsid w:val="00451C6F"/>
    <w:rsid w:val="00483D2A"/>
    <w:rsid w:val="004E0155"/>
    <w:rsid w:val="005429C0"/>
    <w:rsid w:val="0059735D"/>
    <w:rsid w:val="005D28BA"/>
    <w:rsid w:val="0062008E"/>
    <w:rsid w:val="00675F9F"/>
    <w:rsid w:val="006A52D1"/>
    <w:rsid w:val="0075254F"/>
    <w:rsid w:val="007A1D87"/>
    <w:rsid w:val="00801535"/>
    <w:rsid w:val="00847684"/>
    <w:rsid w:val="009479B2"/>
    <w:rsid w:val="00991ABA"/>
    <w:rsid w:val="009C35A8"/>
    <w:rsid w:val="009E3005"/>
    <w:rsid w:val="00A23269"/>
    <w:rsid w:val="00A30512"/>
    <w:rsid w:val="00A47726"/>
    <w:rsid w:val="00AE62A1"/>
    <w:rsid w:val="00B229BB"/>
    <w:rsid w:val="00B54BB1"/>
    <w:rsid w:val="00BA2F34"/>
    <w:rsid w:val="00C06BB1"/>
    <w:rsid w:val="00C32912"/>
    <w:rsid w:val="00C86D00"/>
    <w:rsid w:val="00CB4763"/>
    <w:rsid w:val="00CE14D2"/>
    <w:rsid w:val="00CF7CB3"/>
    <w:rsid w:val="00D00C7F"/>
    <w:rsid w:val="00DC5FE7"/>
    <w:rsid w:val="00E74ED5"/>
    <w:rsid w:val="00EC3695"/>
    <w:rsid w:val="00F109C1"/>
    <w:rsid w:val="00F541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39"/>
    <w:rPr>
      <w:rFonts w:eastAsia="Times New Roman"/>
      <w:sz w:val="24"/>
      <w:szCs w:val="24"/>
    </w:rPr>
  </w:style>
  <w:style w:type="paragraph" w:styleId="Heading2">
    <w:name w:val="heading 2"/>
    <w:basedOn w:val="Normal"/>
    <w:next w:val="Normal"/>
    <w:link w:val="Heading2Char"/>
    <w:uiPriority w:val="99"/>
    <w:qFormat/>
    <w:rsid w:val="000A7339"/>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A7339"/>
    <w:rPr>
      <w:rFonts w:eastAsia="Times New Roman" w:cs="Times New Roman"/>
      <w:sz w:val="20"/>
      <w:szCs w:val="20"/>
    </w:rPr>
  </w:style>
  <w:style w:type="paragraph" w:styleId="Header">
    <w:name w:val="header"/>
    <w:basedOn w:val="Normal"/>
    <w:link w:val="HeaderChar"/>
    <w:uiPriority w:val="99"/>
    <w:rsid w:val="000A7339"/>
    <w:pPr>
      <w:tabs>
        <w:tab w:val="center" w:pos="4153"/>
        <w:tab w:val="right" w:pos="8306"/>
      </w:tabs>
    </w:pPr>
  </w:style>
  <w:style w:type="character" w:customStyle="1" w:styleId="HeaderChar">
    <w:name w:val="Header Char"/>
    <w:basedOn w:val="DefaultParagraphFont"/>
    <w:link w:val="Header"/>
    <w:uiPriority w:val="99"/>
    <w:locked/>
    <w:rsid w:val="000A7339"/>
    <w:rPr>
      <w:rFonts w:eastAsia="Times New Roman" w:cs="Times New Roman"/>
      <w:sz w:val="24"/>
      <w:szCs w:val="24"/>
      <w:lang w:eastAsia="lv-LV"/>
    </w:rPr>
  </w:style>
  <w:style w:type="paragraph" w:styleId="Footer">
    <w:name w:val="footer"/>
    <w:basedOn w:val="Normal"/>
    <w:link w:val="FooterChar"/>
    <w:uiPriority w:val="99"/>
    <w:rsid w:val="000A7339"/>
    <w:pPr>
      <w:tabs>
        <w:tab w:val="center" w:pos="4153"/>
        <w:tab w:val="right" w:pos="8306"/>
      </w:tabs>
    </w:pPr>
  </w:style>
  <w:style w:type="character" w:customStyle="1" w:styleId="FooterChar">
    <w:name w:val="Footer Char"/>
    <w:basedOn w:val="DefaultParagraphFont"/>
    <w:link w:val="Footer"/>
    <w:uiPriority w:val="99"/>
    <w:locked/>
    <w:rsid w:val="000A7339"/>
    <w:rPr>
      <w:rFonts w:eastAsia="Times New Roman" w:cs="Times New Roman"/>
      <w:sz w:val="24"/>
      <w:szCs w:val="24"/>
      <w:lang w:eastAsia="lv-LV"/>
    </w:rPr>
  </w:style>
  <w:style w:type="character" w:styleId="PageNumber">
    <w:name w:val="page number"/>
    <w:basedOn w:val="DefaultParagraphFont"/>
    <w:uiPriority w:val="99"/>
    <w:rsid w:val="000A7339"/>
    <w:rPr>
      <w:rFonts w:cs="Times New Roman"/>
    </w:rPr>
  </w:style>
  <w:style w:type="paragraph" w:customStyle="1" w:styleId="naisf">
    <w:name w:val="naisf"/>
    <w:basedOn w:val="Normal"/>
    <w:uiPriority w:val="99"/>
    <w:rsid w:val="000A7339"/>
    <w:pPr>
      <w:spacing w:before="75" w:after="75"/>
      <w:ind w:firstLine="375"/>
      <w:jc w:val="both"/>
    </w:pPr>
  </w:style>
  <w:style w:type="character" w:styleId="CommentReference">
    <w:name w:val="annotation reference"/>
    <w:basedOn w:val="DefaultParagraphFont"/>
    <w:uiPriority w:val="99"/>
    <w:semiHidden/>
    <w:rsid w:val="00C32912"/>
    <w:rPr>
      <w:rFonts w:cs="Times New Roman"/>
      <w:sz w:val="16"/>
      <w:szCs w:val="16"/>
    </w:rPr>
  </w:style>
  <w:style w:type="paragraph" w:styleId="CommentText">
    <w:name w:val="annotation text"/>
    <w:basedOn w:val="Normal"/>
    <w:link w:val="CommentTextChar"/>
    <w:uiPriority w:val="99"/>
    <w:semiHidden/>
    <w:rsid w:val="00C32912"/>
    <w:rPr>
      <w:sz w:val="20"/>
      <w:szCs w:val="20"/>
    </w:rPr>
  </w:style>
  <w:style w:type="character" w:customStyle="1" w:styleId="CommentTextChar">
    <w:name w:val="Comment Text Char"/>
    <w:basedOn w:val="DefaultParagraphFont"/>
    <w:link w:val="CommentText"/>
    <w:uiPriority w:val="99"/>
    <w:semiHidden/>
    <w:locked/>
    <w:rsid w:val="00C3291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C32912"/>
    <w:rPr>
      <w:b/>
      <w:bCs/>
    </w:rPr>
  </w:style>
  <w:style w:type="character" w:customStyle="1" w:styleId="CommentSubjectChar">
    <w:name w:val="Comment Subject Char"/>
    <w:basedOn w:val="CommentTextChar"/>
    <w:link w:val="CommentSubject"/>
    <w:uiPriority w:val="99"/>
    <w:semiHidden/>
    <w:locked/>
    <w:rsid w:val="00C32912"/>
    <w:rPr>
      <w:rFonts w:eastAsia="Times New Roman" w:cs="Times New Roman"/>
      <w:b/>
      <w:bCs/>
      <w:sz w:val="20"/>
      <w:szCs w:val="20"/>
      <w:lang w:eastAsia="lv-LV"/>
    </w:rPr>
  </w:style>
  <w:style w:type="paragraph" w:styleId="BalloonText">
    <w:name w:val="Balloon Text"/>
    <w:basedOn w:val="Normal"/>
    <w:link w:val="BalloonTextChar"/>
    <w:uiPriority w:val="99"/>
    <w:semiHidden/>
    <w:rsid w:val="00C329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912"/>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7131</Words>
  <Characters>4065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pirkšanu valsts autoceļa A1 Rīga (Baltezers) - Igaunijas robeža (Ainaži) rekonstrukcijas projekta īstenošanai</dc:title>
  <dc:subject/>
  <dc:creator>Agnese Breice;Agnese.Breice@sam.gov.lv;Satiksmes ministrijas Juridiskā departamenta Nekustamo īpašumu nodaļas vecākā referente;tālr. 67028037</dc:creator>
  <cp:keywords>Anotācija</cp:keywords>
  <dc:description/>
  <cp:lastModifiedBy>Agnese Breice</cp:lastModifiedBy>
  <cp:revision>7</cp:revision>
  <cp:lastPrinted>2014-01-27T12:39:00Z</cp:lastPrinted>
  <dcterms:created xsi:type="dcterms:W3CDTF">2014-01-07T09:56:00Z</dcterms:created>
  <dcterms:modified xsi:type="dcterms:W3CDTF">2014-01-30T09:08:00Z</dcterms:modified>
</cp:coreProperties>
</file>