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A2" w:rsidRDefault="00A77AA2" w:rsidP="00673259">
      <w:pPr>
        <w:jc w:val="center"/>
        <w:rPr>
          <w:rFonts w:ascii="Times New Roman" w:hAnsi="Times New Roman"/>
          <w:b/>
          <w:sz w:val="28"/>
          <w:szCs w:val="28"/>
        </w:rPr>
      </w:pPr>
      <w:r w:rsidRPr="00446D0F">
        <w:rPr>
          <w:rFonts w:ascii="Times New Roman" w:hAnsi="Times New Roman"/>
          <w:b/>
          <w:sz w:val="28"/>
          <w:szCs w:val="28"/>
        </w:rPr>
        <w:t>Noteikumu</w:t>
      </w:r>
      <w:r>
        <w:rPr>
          <w:rFonts w:ascii="Times New Roman" w:hAnsi="Times New Roman"/>
          <w:b/>
          <w:sz w:val="28"/>
          <w:szCs w:val="28"/>
        </w:rPr>
        <w:t xml:space="preserve"> </w:t>
      </w:r>
      <w:r w:rsidRPr="00446D0F">
        <w:rPr>
          <w:rFonts w:ascii="Times New Roman" w:hAnsi="Times New Roman"/>
          <w:b/>
          <w:sz w:val="28"/>
          <w:szCs w:val="28"/>
        </w:rPr>
        <w:t>projekta „</w:t>
      </w:r>
      <w:r>
        <w:rPr>
          <w:rFonts w:ascii="Times New Roman" w:hAnsi="Times New Roman"/>
          <w:b/>
          <w:sz w:val="28"/>
          <w:szCs w:val="28"/>
        </w:rPr>
        <w:t>Grozījums Ministru kabineta 2009. gada 4.augusta noteikumos Nr. 857 „Kārtība, kādā nodrošināma sakaru tīklu darbība Kuģu satiksmes uzraudzības un informācijas datu apmaiņas sistēmas ietvaros” ”</w:t>
      </w:r>
      <w:r w:rsidRPr="00446D0F">
        <w:rPr>
          <w:rFonts w:ascii="Times New Roman" w:hAnsi="Times New Roman"/>
          <w:b/>
          <w:sz w:val="28"/>
          <w:szCs w:val="28"/>
        </w:rPr>
        <w:t xml:space="preserve"> sākotnējās ietekmes novērtējuma ziņojums (anotācija)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A77AA2" w:rsidRPr="00253EEF" w:rsidTr="00253EEF">
        <w:tc>
          <w:tcPr>
            <w:tcW w:w="9039" w:type="dxa"/>
            <w:gridSpan w:val="3"/>
          </w:tcPr>
          <w:p w:rsidR="00A77AA2" w:rsidRPr="00253EEF" w:rsidRDefault="00A77AA2" w:rsidP="00253EEF">
            <w:pPr>
              <w:pStyle w:val="ListParagraph"/>
              <w:spacing w:after="0" w:line="240" w:lineRule="auto"/>
              <w:ind w:left="1080"/>
              <w:jc w:val="center"/>
              <w:rPr>
                <w:rFonts w:ascii="Times New Roman" w:hAnsi="Times New Roman"/>
                <w:b/>
                <w:sz w:val="24"/>
                <w:szCs w:val="24"/>
              </w:rPr>
            </w:pPr>
            <w:r w:rsidRPr="00253EEF">
              <w:rPr>
                <w:rFonts w:ascii="Times New Roman" w:hAnsi="Times New Roman"/>
                <w:b/>
                <w:sz w:val="24"/>
                <w:szCs w:val="24"/>
              </w:rPr>
              <w:t>I. Tiesību akta projekta izstrādes nepieciešamība</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1.</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Pamatojums</w:t>
            </w:r>
          </w:p>
          <w:p w:rsidR="00A77AA2" w:rsidRPr="00253EEF" w:rsidRDefault="00A77AA2" w:rsidP="00253EEF">
            <w:pPr>
              <w:spacing w:after="0" w:line="240" w:lineRule="auto"/>
              <w:rPr>
                <w:rFonts w:ascii="Times New Roman" w:hAnsi="Times New Roman"/>
                <w:sz w:val="24"/>
                <w:szCs w:val="24"/>
              </w:rPr>
            </w:pPr>
          </w:p>
        </w:tc>
        <w:tc>
          <w:tcPr>
            <w:tcW w:w="5103" w:type="dxa"/>
          </w:tcPr>
          <w:p w:rsidR="00A77AA2" w:rsidRPr="00253EEF" w:rsidRDefault="00A77AA2" w:rsidP="00253EEF">
            <w:pPr>
              <w:pStyle w:val="NoSpacing"/>
              <w:jc w:val="both"/>
              <w:rPr>
                <w:rFonts w:ascii="Times New Roman" w:hAnsi="Times New Roman"/>
                <w:sz w:val="24"/>
                <w:szCs w:val="24"/>
              </w:rPr>
            </w:pPr>
            <w:r w:rsidRPr="00253EEF">
              <w:rPr>
                <w:rFonts w:ascii="Times New Roman" w:hAnsi="Times New Roman"/>
                <w:sz w:val="24"/>
                <w:szCs w:val="24"/>
              </w:rPr>
              <w:t>Eiropas Parlamenta un Padomes 2010.gada 20.oktobra Direktīva 2010/65/ES par ziņošanas formalitātēm kuģiem, kuri ienāk dalībvalstu ostās un/vai iziet no tām, un ar ko atceļ Direktīvu 2002/6/EK (turpmāk arī – direktīva 2010/65/ES).</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2.</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Pašreizējā situācija un problēmas</w:t>
            </w:r>
          </w:p>
        </w:tc>
        <w:tc>
          <w:tcPr>
            <w:tcW w:w="5103" w:type="dxa"/>
          </w:tcPr>
          <w:p w:rsidR="00A77AA2" w:rsidRPr="00253EEF" w:rsidRDefault="00A77AA2" w:rsidP="00253EEF">
            <w:pPr>
              <w:spacing w:after="0" w:line="240" w:lineRule="auto"/>
              <w:jc w:val="both"/>
              <w:rPr>
                <w:rFonts w:ascii="Times New Roman" w:hAnsi="Times New Roman"/>
                <w:sz w:val="24"/>
                <w:szCs w:val="24"/>
              </w:rPr>
            </w:pPr>
            <w:r w:rsidRPr="00253EEF">
              <w:rPr>
                <w:rFonts w:ascii="Times New Roman" w:hAnsi="Times New Roman"/>
                <w:sz w:val="24"/>
                <w:szCs w:val="24"/>
              </w:rPr>
              <w:t>2010.gada 20.oktobrī tika pieņemta Eiropas Parlamenta un Padomes direktīva 2010/65/ES, kurā ir noteiktas prasības dalībvalstij nodrošināt kuģu ziņošanas formalitāšu informācijas ievadīšanu valstu SafeSeaNet sistēmās, un nodrošināt to pieejamību kompetentajām institūcijām. Šī prasība Latvijā jau ir ieviesta ar Ministru kabineta 2009.gada 4.augusta noteikumiem Nr. 857 „Kārtība, kādā nodrošināma sakaru tīklu darbība Kuģu satiksmes uzraudzības un informācijas datu apmaiņas sistēmas ietvaros” (turpmāk – MK noteikumi nr. 857). Līdz ar to MK noteikumi nr.857 tikai jāpapildina ar atsauci uz Direktīvu 2010/65/ES.</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 xml:space="preserve">3. </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Saistītie politikas ietekmes novērtējumi un pētījumi</w:t>
            </w:r>
          </w:p>
        </w:tc>
        <w:tc>
          <w:tcPr>
            <w:tcW w:w="5103"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Projekts šo jomu neskar.</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 xml:space="preserve">4. </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Tiesiskā regulējuma mērķis un būtība</w:t>
            </w:r>
          </w:p>
        </w:tc>
        <w:tc>
          <w:tcPr>
            <w:tcW w:w="5103" w:type="dxa"/>
          </w:tcPr>
          <w:p w:rsidR="00A77AA2" w:rsidRPr="00253EEF" w:rsidRDefault="00A77AA2" w:rsidP="00253EEF">
            <w:pPr>
              <w:spacing w:after="0" w:line="240" w:lineRule="auto"/>
              <w:jc w:val="both"/>
              <w:rPr>
                <w:rFonts w:ascii="Times New Roman" w:hAnsi="Times New Roman"/>
                <w:b/>
                <w:sz w:val="24"/>
                <w:szCs w:val="24"/>
              </w:rPr>
            </w:pPr>
            <w:r w:rsidRPr="00253EEF">
              <w:rPr>
                <w:rFonts w:ascii="Times New Roman" w:hAnsi="Times New Roman"/>
                <w:sz w:val="24"/>
                <w:szCs w:val="24"/>
              </w:rPr>
              <w:t>Noteikumu projekts papildina MK noteikumus nr.857 ar informatīvu atsauci uz Direktīvu 2010/65/ES, kuras atsevišķas prasības atbilst MK noteikumu nr. 857 attiecīgajām tiesību normām.</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 xml:space="preserve">5. </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Projekta izstrādē iesaistītās institūcijas</w:t>
            </w:r>
          </w:p>
        </w:tc>
        <w:tc>
          <w:tcPr>
            <w:tcW w:w="5103" w:type="dxa"/>
          </w:tcPr>
          <w:p w:rsidR="00A77AA2" w:rsidRPr="00253EEF" w:rsidRDefault="00A77AA2" w:rsidP="00253EEF">
            <w:pPr>
              <w:spacing w:after="0" w:line="240" w:lineRule="auto"/>
              <w:jc w:val="both"/>
              <w:rPr>
                <w:rFonts w:ascii="Times New Roman" w:hAnsi="Times New Roman"/>
                <w:sz w:val="24"/>
                <w:szCs w:val="24"/>
              </w:rPr>
            </w:pPr>
            <w:r w:rsidRPr="00253EEF">
              <w:rPr>
                <w:rFonts w:ascii="Times New Roman" w:hAnsi="Times New Roman"/>
                <w:sz w:val="24"/>
                <w:szCs w:val="24"/>
              </w:rPr>
              <w:t>Valsts akciju sabiedrība „Latvijas Jūras administrācija”.</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 xml:space="preserve">6. </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Iemesli, kādēļ netika nodrošināta sabiedrības līdzdalība</w:t>
            </w:r>
          </w:p>
        </w:tc>
        <w:tc>
          <w:tcPr>
            <w:tcW w:w="5103"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Projekts šo jomu neskar.</w:t>
            </w:r>
          </w:p>
        </w:tc>
      </w:tr>
      <w:tr w:rsidR="00A77AA2" w:rsidRPr="00253EEF" w:rsidTr="00253EEF">
        <w:tc>
          <w:tcPr>
            <w:tcW w:w="675"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 xml:space="preserve">7. </w:t>
            </w:r>
          </w:p>
        </w:tc>
        <w:tc>
          <w:tcPr>
            <w:tcW w:w="3261" w:type="dxa"/>
          </w:tcPr>
          <w:p w:rsidR="00A77AA2" w:rsidRPr="00253EEF" w:rsidRDefault="00A77AA2" w:rsidP="00253EEF">
            <w:pPr>
              <w:spacing w:after="0" w:line="240" w:lineRule="auto"/>
              <w:rPr>
                <w:rFonts w:ascii="Times New Roman" w:hAnsi="Times New Roman"/>
                <w:sz w:val="24"/>
                <w:szCs w:val="24"/>
              </w:rPr>
            </w:pPr>
            <w:r w:rsidRPr="00253EEF">
              <w:rPr>
                <w:rFonts w:ascii="Times New Roman" w:hAnsi="Times New Roman"/>
                <w:sz w:val="24"/>
                <w:szCs w:val="24"/>
              </w:rPr>
              <w:t>Cita informācija</w:t>
            </w:r>
          </w:p>
        </w:tc>
        <w:tc>
          <w:tcPr>
            <w:tcW w:w="5103" w:type="dxa"/>
          </w:tcPr>
          <w:p w:rsidR="00A77AA2" w:rsidRPr="00253EEF" w:rsidRDefault="00A77AA2" w:rsidP="00253EEF">
            <w:pPr>
              <w:spacing w:after="0" w:line="240" w:lineRule="auto"/>
              <w:jc w:val="both"/>
              <w:rPr>
                <w:rFonts w:ascii="Times New Roman" w:hAnsi="Times New Roman"/>
                <w:sz w:val="24"/>
                <w:szCs w:val="24"/>
              </w:rPr>
            </w:pPr>
            <w:r w:rsidRPr="00253EEF">
              <w:rPr>
                <w:rFonts w:ascii="Times New Roman" w:hAnsi="Times New Roman"/>
                <w:sz w:val="24"/>
                <w:szCs w:val="24"/>
              </w:rPr>
              <w:t>Direktīvas 2010/65/ES prasības nacionālajos normatīvajos aktos tiks pārņemtas arī ar Ministru kabineta noteikumiem „Noteikumi par ostu formalitātēm” (projekts izsludināts Valsts sekretāru sanāksmē 2012.gada 23.februārī, VSS – 182).</w:t>
            </w:r>
          </w:p>
          <w:p w:rsidR="00A77AA2" w:rsidRPr="00253EEF" w:rsidRDefault="00A77AA2" w:rsidP="00253EEF">
            <w:pPr>
              <w:spacing w:after="0" w:line="240" w:lineRule="auto"/>
              <w:jc w:val="both"/>
              <w:rPr>
                <w:rFonts w:ascii="Times New Roman" w:hAnsi="Times New Roman"/>
                <w:sz w:val="24"/>
                <w:szCs w:val="24"/>
              </w:rPr>
            </w:pPr>
          </w:p>
          <w:p w:rsidR="00A77AA2" w:rsidRPr="00253EEF" w:rsidRDefault="00A77AA2" w:rsidP="00253EEF">
            <w:pPr>
              <w:spacing w:after="0" w:line="240" w:lineRule="auto"/>
              <w:jc w:val="both"/>
              <w:rPr>
                <w:rFonts w:ascii="Times New Roman" w:hAnsi="Times New Roman"/>
                <w:sz w:val="24"/>
                <w:szCs w:val="24"/>
              </w:rPr>
            </w:pPr>
          </w:p>
          <w:p w:rsidR="00A77AA2" w:rsidRPr="00253EEF" w:rsidRDefault="00A77AA2" w:rsidP="00253EEF">
            <w:pPr>
              <w:spacing w:after="0" w:line="240" w:lineRule="auto"/>
              <w:jc w:val="both"/>
              <w:rPr>
                <w:rFonts w:ascii="Times New Roman" w:hAnsi="Times New Roman"/>
                <w:sz w:val="24"/>
                <w:szCs w:val="24"/>
              </w:rPr>
            </w:pPr>
          </w:p>
        </w:tc>
      </w:tr>
    </w:tbl>
    <w:tbl>
      <w:tblPr>
        <w:tblpPr w:leftFromText="180" w:rightFromText="180" w:bottomFromText="200" w:vertAnchor="text" w:horzAnchor="margin" w:tblpY="5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3212"/>
        <w:gridCol w:w="5103"/>
      </w:tblGrid>
      <w:tr w:rsidR="00A77AA2" w:rsidRPr="00253EEF" w:rsidTr="00CD4036">
        <w:tc>
          <w:tcPr>
            <w:tcW w:w="9039" w:type="dxa"/>
            <w:gridSpan w:val="3"/>
          </w:tcPr>
          <w:p w:rsidR="00A77AA2" w:rsidRDefault="00A77AA2" w:rsidP="00CD4036">
            <w:pPr>
              <w:pStyle w:val="naisnod"/>
              <w:spacing w:before="0" w:after="0" w:line="276" w:lineRule="auto"/>
            </w:pPr>
            <w:r>
              <w:t>IV. Tiesību akta projekta ietekme uz spēkā esošo tiesību normu sistēmu</w:t>
            </w:r>
          </w:p>
        </w:tc>
      </w:tr>
      <w:tr w:rsidR="00A77AA2" w:rsidRPr="00253EEF" w:rsidTr="00F82001">
        <w:tc>
          <w:tcPr>
            <w:tcW w:w="724" w:type="dxa"/>
          </w:tcPr>
          <w:p w:rsidR="00A77AA2" w:rsidRPr="0059594A" w:rsidRDefault="00A77AA2" w:rsidP="00CD4036">
            <w:pPr>
              <w:pStyle w:val="naiskr"/>
              <w:tabs>
                <w:tab w:val="left" w:pos="2628"/>
              </w:tabs>
              <w:spacing w:before="0" w:after="0" w:line="276" w:lineRule="auto"/>
              <w:jc w:val="both"/>
              <w:rPr>
                <w:iCs/>
              </w:rPr>
            </w:pPr>
            <w:r w:rsidRPr="0059594A">
              <w:rPr>
                <w:iCs/>
              </w:rPr>
              <w:t>1.</w:t>
            </w:r>
          </w:p>
        </w:tc>
        <w:tc>
          <w:tcPr>
            <w:tcW w:w="3212" w:type="dxa"/>
          </w:tcPr>
          <w:p w:rsidR="00A77AA2" w:rsidRPr="0059594A" w:rsidRDefault="00A77AA2" w:rsidP="00CD4036">
            <w:pPr>
              <w:pStyle w:val="naiskr"/>
              <w:tabs>
                <w:tab w:val="left" w:pos="2628"/>
              </w:tabs>
              <w:spacing w:before="0" w:after="0" w:line="276" w:lineRule="auto"/>
              <w:jc w:val="both"/>
              <w:rPr>
                <w:iCs/>
              </w:rPr>
            </w:pPr>
            <w:r w:rsidRPr="0059594A">
              <w:rPr>
                <w:sz w:val="22"/>
                <w:szCs w:val="22"/>
              </w:rPr>
              <w:t>Nepieciešamie saistītie tiesību aktu projekti</w:t>
            </w:r>
          </w:p>
        </w:tc>
        <w:tc>
          <w:tcPr>
            <w:tcW w:w="5103" w:type="dxa"/>
          </w:tcPr>
          <w:p w:rsidR="00A77AA2" w:rsidRPr="00253EEF" w:rsidRDefault="00A77AA2" w:rsidP="00CD4036">
            <w:pPr>
              <w:pStyle w:val="NoSpacing"/>
              <w:jc w:val="both"/>
              <w:rPr>
                <w:rFonts w:ascii="Times New Roman" w:hAnsi="Times New Roman"/>
                <w:sz w:val="24"/>
                <w:szCs w:val="24"/>
              </w:rPr>
            </w:pPr>
            <w:r w:rsidRPr="00253EEF">
              <w:rPr>
                <w:rFonts w:ascii="Times New Roman" w:hAnsi="Times New Roman"/>
                <w:sz w:val="24"/>
                <w:szCs w:val="24"/>
              </w:rPr>
              <w:t>Pilnīgai direktīvas 2010/65/ES pārņemšanai tika izstrādāts Ministru kabineta noteikumu projekts „Noteikumi par ostu formalitātēm” (projekts izsludināts Valsts sekretāru sanāksmē 2012.gada 23.februārī, VSS – 182).</w:t>
            </w:r>
          </w:p>
          <w:p w:rsidR="00A77AA2" w:rsidRPr="00253EEF" w:rsidRDefault="00A77AA2" w:rsidP="003B36DE">
            <w:pPr>
              <w:jc w:val="both"/>
              <w:rPr>
                <w:rFonts w:ascii="Times New Roman" w:hAnsi="Times New Roman"/>
                <w:color w:val="000000"/>
                <w:sz w:val="24"/>
                <w:szCs w:val="24"/>
              </w:rPr>
            </w:pPr>
            <w:r w:rsidRPr="00253EEF">
              <w:rPr>
                <w:rFonts w:ascii="Times New Roman" w:hAnsi="Times New Roman"/>
                <w:sz w:val="24"/>
                <w:szCs w:val="24"/>
              </w:rPr>
              <w:t>Atbildīgā institūcija par šo grozījumu veikšanu – Satiksmes ministrija.</w:t>
            </w:r>
          </w:p>
        </w:tc>
      </w:tr>
      <w:tr w:rsidR="00A77AA2" w:rsidRPr="00253EEF" w:rsidTr="00F82001">
        <w:tc>
          <w:tcPr>
            <w:tcW w:w="724" w:type="dxa"/>
          </w:tcPr>
          <w:p w:rsidR="00A77AA2" w:rsidRPr="0059594A" w:rsidRDefault="00A77AA2" w:rsidP="00CD4036">
            <w:pPr>
              <w:pStyle w:val="naiskr"/>
              <w:tabs>
                <w:tab w:val="left" w:pos="2628"/>
              </w:tabs>
              <w:spacing w:before="0" w:after="0" w:line="276" w:lineRule="auto"/>
              <w:jc w:val="both"/>
              <w:rPr>
                <w:iCs/>
              </w:rPr>
            </w:pPr>
            <w:r w:rsidRPr="0059594A">
              <w:rPr>
                <w:iCs/>
              </w:rPr>
              <w:t>2.</w:t>
            </w:r>
          </w:p>
        </w:tc>
        <w:tc>
          <w:tcPr>
            <w:tcW w:w="3212" w:type="dxa"/>
          </w:tcPr>
          <w:p w:rsidR="00A77AA2" w:rsidRPr="0059594A" w:rsidRDefault="00A77AA2" w:rsidP="00CD4036">
            <w:pPr>
              <w:pStyle w:val="naiskr"/>
              <w:tabs>
                <w:tab w:val="left" w:pos="2628"/>
              </w:tabs>
              <w:spacing w:before="0" w:after="0" w:line="276" w:lineRule="auto"/>
              <w:jc w:val="both"/>
              <w:rPr>
                <w:iCs/>
              </w:rPr>
            </w:pPr>
            <w:r w:rsidRPr="0059594A">
              <w:rPr>
                <w:sz w:val="22"/>
                <w:szCs w:val="22"/>
              </w:rPr>
              <w:t>Cita informācija</w:t>
            </w:r>
          </w:p>
        </w:tc>
        <w:tc>
          <w:tcPr>
            <w:tcW w:w="5103" w:type="dxa"/>
          </w:tcPr>
          <w:p w:rsidR="00A77AA2" w:rsidRDefault="00A77AA2" w:rsidP="00CD4036">
            <w:pPr>
              <w:pStyle w:val="naiskr"/>
              <w:spacing w:before="0" w:after="0" w:line="276" w:lineRule="auto"/>
              <w:jc w:val="both"/>
              <w:rPr>
                <w:sz w:val="22"/>
                <w:szCs w:val="22"/>
              </w:rPr>
            </w:pPr>
            <w:r w:rsidRPr="0059594A">
              <w:rPr>
                <w:sz w:val="22"/>
                <w:szCs w:val="22"/>
              </w:rPr>
              <w:t>Nav.</w:t>
            </w:r>
          </w:p>
          <w:p w:rsidR="00A77AA2" w:rsidRPr="0059594A" w:rsidRDefault="00A77AA2" w:rsidP="00CD4036">
            <w:pPr>
              <w:pStyle w:val="naiskr"/>
              <w:spacing w:before="0" w:after="0" w:line="276" w:lineRule="auto"/>
              <w:jc w:val="both"/>
            </w:pPr>
          </w:p>
        </w:tc>
      </w:tr>
    </w:tbl>
    <w:p w:rsidR="00A77AA2" w:rsidRPr="00CD4036" w:rsidRDefault="00A77AA2" w:rsidP="00673259">
      <w:pPr>
        <w:rPr>
          <w:rFonts w:ascii="Times New Roman" w:hAnsi="Times New Roman"/>
          <w:sz w:val="24"/>
          <w:szCs w:val="24"/>
        </w:rPr>
      </w:pPr>
    </w:p>
    <w:tbl>
      <w:tblPr>
        <w:tblW w:w="535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7"/>
        <w:gridCol w:w="3262"/>
        <w:gridCol w:w="5102"/>
      </w:tblGrid>
      <w:tr w:rsidR="00A77AA2" w:rsidRPr="00253EEF" w:rsidTr="00CD4036">
        <w:tc>
          <w:tcPr>
            <w:tcW w:w="5000" w:type="pct"/>
            <w:gridSpan w:val="3"/>
            <w:tcBorders>
              <w:top w:val="single" w:sz="6" w:space="0" w:color="auto"/>
              <w:left w:val="single" w:sz="6" w:space="0" w:color="auto"/>
              <w:bottom w:val="outset" w:sz="6" w:space="0" w:color="000000"/>
              <w:right w:val="single" w:sz="6" w:space="0" w:color="auto"/>
            </w:tcBorders>
          </w:tcPr>
          <w:p w:rsidR="00A77AA2" w:rsidRPr="00253EEF" w:rsidRDefault="00A77AA2" w:rsidP="00C6385B">
            <w:pPr>
              <w:pStyle w:val="NoSpacing"/>
              <w:jc w:val="center"/>
              <w:rPr>
                <w:rFonts w:ascii="Times New Roman" w:hAnsi="Times New Roman"/>
                <w:b/>
                <w:sz w:val="24"/>
                <w:szCs w:val="24"/>
              </w:rPr>
            </w:pPr>
            <w:r w:rsidRPr="00253EEF">
              <w:rPr>
                <w:rFonts w:ascii="Times New Roman" w:hAnsi="Times New Roman"/>
                <w:b/>
                <w:sz w:val="24"/>
                <w:szCs w:val="24"/>
              </w:rPr>
              <w:t>V. Tiesību akta projekta atbilstība Latvijas Republikas starptautiskajām saistībām</w:t>
            </w:r>
          </w:p>
        </w:tc>
      </w:tr>
      <w:tr w:rsidR="00A77AA2" w:rsidRPr="00253EEF" w:rsidTr="00CB5E2D">
        <w:tc>
          <w:tcPr>
            <w:tcW w:w="333" w:type="pct"/>
            <w:tcBorders>
              <w:top w:val="outset" w:sz="6" w:space="0" w:color="000000"/>
              <w:bottom w:val="outset" w:sz="6" w:space="0" w:color="000000"/>
              <w:right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1.</w:t>
            </w:r>
          </w:p>
        </w:tc>
        <w:tc>
          <w:tcPr>
            <w:tcW w:w="1820" w:type="pct"/>
            <w:tcBorders>
              <w:top w:val="outset" w:sz="6" w:space="0" w:color="000000"/>
              <w:left w:val="outset" w:sz="6" w:space="0" w:color="000000"/>
              <w:bottom w:val="outset" w:sz="6" w:space="0" w:color="000000"/>
              <w:right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Saistības pret Eiropas Savienību</w:t>
            </w:r>
          </w:p>
        </w:tc>
        <w:tc>
          <w:tcPr>
            <w:tcW w:w="2847" w:type="pct"/>
            <w:tcBorders>
              <w:top w:val="outset" w:sz="6" w:space="0" w:color="000000"/>
              <w:left w:val="outset" w:sz="6" w:space="0" w:color="000000"/>
              <w:bottom w:val="outset" w:sz="6" w:space="0" w:color="000000"/>
            </w:tcBorders>
          </w:tcPr>
          <w:p w:rsidR="00A77AA2" w:rsidRPr="00253EEF" w:rsidRDefault="00A77AA2" w:rsidP="00F34C76">
            <w:pPr>
              <w:pStyle w:val="NoSpacing"/>
              <w:jc w:val="both"/>
              <w:rPr>
                <w:rFonts w:ascii="Times New Roman" w:hAnsi="Times New Roman"/>
                <w:sz w:val="24"/>
                <w:szCs w:val="24"/>
              </w:rPr>
            </w:pPr>
            <w:r w:rsidRPr="00253EEF">
              <w:rPr>
                <w:rFonts w:ascii="Times New Roman" w:hAnsi="Times New Roman"/>
                <w:sz w:val="24"/>
                <w:szCs w:val="24"/>
              </w:rPr>
              <w:t xml:space="preserve">Ar noteikumu projektu tiek pievienota MK noteikumiem Nr. 857 informatīva atsauce uz Eiropas Parlamenta un Padomes 2010.gada 20.oktobra Direktīvu 2010/65/ES par ziņošanas formalitātēm kuģiem, kuri ienāk dalībvalstu ostās un/vai iziet no tām, un ar ko atceļ Direktīvu 2002/6/EK. Pamatojums-Direktīvas 2010/65/ES atsevišķas prasības jau atbilst Noteikumu Nr. 857 attiecīgajām tiesību normām. Direktīvas 2010/65/ES pārņemšanas termiņš ir </w:t>
            </w:r>
            <w:r w:rsidRPr="00253EEF">
              <w:rPr>
                <w:rFonts w:ascii="Times New Roman" w:hAnsi="Times New Roman"/>
                <w:sz w:val="24"/>
                <w:szCs w:val="24"/>
                <w:u w:val="single"/>
              </w:rPr>
              <w:t>2012.gada 19.maijs.</w:t>
            </w:r>
          </w:p>
        </w:tc>
      </w:tr>
      <w:tr w:rsidR="00A77AA2" w:rsidRPr="00253EEF" w:rsidTr="00CB5E2D">
        <w:tc>
          <w:tcPr>
            <w:tcW w:w="333" w:type="pct"/>
            <w:tcBorders>
              <w:top w:val="outset" w:sz="6" w:space="0" w:color="000000"/>
              <w:bottom w:val="outset" w:sz="6" w:space="0" w:color="000000"/>
              <w:right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2.</w:t>
            </w:r>
          </w:p>
        </w:tc>
        <w:tc>
          <w:tcPr>
            <w:tcW w:w="1820" w:type="pct"/>
            <w:tcBorders>
              <w:top w:val="outset" w:sz="6" w:space="0" w:color="000000"/>
              <w:left w:val="outset" w:sz="6" w:space="0" w:color="000000"/>
              <w:bottom w:val="outset" w:sz="6" w:space="0" w:color="000000"/>
              <w:right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Citas starptautiskās saistības</w:t>
            </w:r>
          </w:p>
        </w:tc>
        <w:tc>
          <w:tcPr>
            <w:tcW w:w="2847" w:type="pct"/>
            <w:tcBorders>
              <w:top w:val="outset" w:sz="6" w:space="0" w:color="000000"/>
              <w:left w:val="outset" w:sz="6" w:space="0" w:color="000000"/>
              <w:bottom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Projekts šo jomu neskar.</w:t>
            </w:r>
          </w:p>
        </w:tc>
      </w:tr>
      <w:tr w:rsidR="00A77AA2" w:rsidRPr="00253EEF" w:rsidTr="00CB5E2D">
        <w:tc>
          <w:tcPr>
            <w:tcW w:w="333" w:type="pct"/>
            <w:tcBorders>
              <w:top w:val="outset" w:sz="6" w:space="0" w:color="000000"/>
              <w:bottom w:val="outset" w:sz="6" w:space="0" w:color="000000"/>
              <w:right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3.</w:t>
            </w:r>
          </w:p>
        </w:tc>
        <w:tc>
          <w:tcPr>
            <w:tcW w:w="1820" w:type="pct"/>
            <w:tcBorders>
              <w:top w:val="outset" w:sz="6" w:space="0" w:color="000000"/>
              <w:left w:val="outset" w:sz="6" w:space="0" w:color="000000"/>
              <w:bottom w:val="outset" w:sz="6" w:space="0" w:color="000000"/>
              <w:right w:val="outset" w:sz="6" w:space="0" w:color="000000"/>
            </w:tcBorders>
          </w:tcPr>
          <w:p w:rsidR="00A77AA2" w:rsidRPr="00253EEF" w:rsidRDefault="00A77AA2" w:rsidP="00CD4036">
            <w:pPr>
              <w:pStyle w:val="NoSpacing"/>
              <w:rPr>
                <w:rFonts w:ascii="Times New Roman" w:hAnsi="Times New Roman"/>
                <w:sz w:val="24"/>
                <w:szCs w:val="24"/>
              </w:rPr>
            </w:pPr>
            <w:r w:rsidRPr="00253EEF">
              <w:rPr>
                <w:rFonts w:ascii="Times New Roman" w:hAnsi="Times New Roman"/>
                <w:sz w:val="24"/>
                <w:szCs w:val="24"/>
              </w:rPr>
              <w:t>Cita informācija</w:t>
            </w:r>
          </w:p>
        </w:tc>
        <w:tc>
          <w:tcPr>
            <w:tcW w:w="2847" w:type="pct"/>
            <w:tcBorders>
              <w:top w:val="outset" w:sz="6" w:space="0" w:color="000000"/>
              <w:left w:val="outset" w:sz="6" w:space="0" w:color="000000"/>
              <w:bottom w:val="outset" w:sz="6" w:space="0" w:color="000000"/>
            </w:tcBorders>
          </w:tcPr>
          <w:p w:rsidR="00A77AA2" w:rsidRPr="00253EEF" w:rsidRDefault="00A77AA2" w:rsidP="00D343C3">
            <w:pPr>
              <w:pStyle w:val="NoSpacing"/>
              <w:jc w:val="both"/>
              <w:rPr>
                <w:rFonts w:ascii="Times New Roman" w:hAnsi="Times New Roman"/>
                <w:sz w:val="24"/>
                <w:szCs w:val="24"/>
              </w:rPr>
            </w:pPr>
            <w:r w:rsidRPr="00253EEF">
              <w:rPr>
                <w:rFonts w:ascii="Times New Roman" w:hAnsi="Times New Roman"/>
                <w:sz w:val="24"/>
                <w:szCs w:val="24"/>
              </w:rPr>
              <w:t>Direktīva 2010/65/ES nacionālajos normatīvajos aktos tiks pārņemta pilnībā ar Ministru kabineta noteikumu projektu „Noteikumi par ostu formalitātēm” (VSS-182).</w:t>
            </w:r>
          </w:p>
        </w:tc>
      </w:tr>
    </w:tbl>
    <w:p w:rsidR="00A77AA2" w:rsidRPr="00CD4036" w:rsidRDefault="00A77AA2" w:rsidP="00673259">
      <w:pPr>
        <w:rPr>
          <w:rFonts w:ascii="Times New Roman" w:hAnsi="Times New Roman"/>
          <w:sz w:val="24"/>
          <w:szCs w:val="24"/>
        </w:rPr>
      </w:pPr>
    </w:p>
    <w:tbl>
      <w:tblPr>
        <w:tblW w:w="535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105"/>
        <w:gridCol w:w="2081"/>
        <w:gridCol w:w="2081"/>
        <w:gridCol w:w="2694"/>
      </w:tblGrid>
      <w:tr w:rsidR="00A77AA2" w:rsidRPr="00253EEF" w:rsidTr="002D5806">
        <w:tc>
          <w:tcPr>
            <w:tcW w:w="5000" w:type="pct"/>
            <w:gridSpan w:val="4"/>
            <w:tcBorders>
              <w:top w:val="outset" w:sz="6" w:space="0" w:color="000000"/>
              <w:bottom w:val="outset" w:sz="6" w:space="0" w:color="000000"/>
            </w:tcBorders>
            <w:vAlign w:val="center"/>
          </w:tcPr>
          <w:p w:rsidR="00A77AA2" w:rsidRPr="00253EEF" w:rsidRDefault="00A77AA2" w:rsidP="000D67B8">
            <w:pPr>
              <w:pStyle w:val="NoSpacing"/>
              <w:jc w:val="center"/>
              <w:rPr>
                <w:rFonts w:ascii="Times New Roman" w:hAnsi="Times New Roman"/>
                <w:b/>
                <w:sz w:val="24"/>
                <w:szCs w:val="24"/>
              </w:rPr>
            </w:pPr>
            <w:r w:rsidRPr="00253EEF">
              <w:rPr>
                <w:rFonts w:ascii="Times New Roman" w:hAnsi="Times New Roman"/>
                <w:b/>
                <w:sz w:val="24"/>
                <w:szCs w:val="24"/>
              </w:rPr>
              <w:t>1.tabula</w:t>
            </w:r>
          </w:p>
          <w:p w:rsidR="00A77AA2" w:rsidRPr="00253EEF" w:rsidRDefault="00A77AA2" w:rsidP="000D67B8">
            <w:pPr>
              <w:pStyle w:val="NoSpacing"/>
              <w:jc w:val="center"/>
              <w:rPr>
                <w:rFonts w:ascii="Times New Roman" w:hAnsi="Times New Roman"/>
                <w:b/>
                <w:sz w:val="24"/>
                <w:szCs w:val="24"/>
              </w:rPr>
            </w:pPr>
            <w:r w:rsidRPr="00253EEF">
              <w:rPr>
                <w:rFonts w:ascii="Times New Roman" w:hAnsi="Times New Roman"/>
                <w:b/>
                <w:sz w:val="24"/>
                <w:szCs w:val="24"/>
              </w:rPr>
              <w:t>Tiesību akta projekta atbilstība ES tiesību aktiem</w:t>
            </w: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Attiecīgā ES tiesību akta datums, numurs un nosaukums</w:t>
            </w:r>
          </w:p>
        </w:tc>
        <w:tc>
          <w:tcPr>
            <w:tcW w:w="3825" w:type="pct"/>
            <w:gridSpan w:val="3"/>
            <w:tcBorders>
              <w:top w:val="outset" w:sz="6" w:space="0" w:color="000000"/>
              <w:left w:val="outset" w:sz="6" w:space="0" w:color="000000"/>
              <w:bottom w:val="outset" w:sz="6" w:space="0" w:color="000000"/>
            </w:tcBorders>
            <w:vAlign w:val="center"/>
          </w:tcPr>
          <w:p w:rsidR="00A77AA2" w:rsidRPr="00253EEF" w:rsidRDefault="00A77AA2" w:rsidP="004221E5">
            <w:pPr>
              <w:pStyle w:val="NoSpacing"/>
              <w:jc w:val="both"/>
              <w:rPr>
                <w:rFonts w:ascii="Times New Roman" w:hAnsi="Times New Roman"/>
                <w:b/>
                <w:sz w:val="24"/>
                <w:szCs w:val="24"/>
              </w:rPr>
            </w:pPr>
            <w:r w:rsidRPr="00253EEF">
              <w:rPr>
                <w:rFonts w:ascii="Times New Roman" w:hAnsi="Times New Roman"/>
                <w:b/>
                <w:sz w:val="24"/>
                <w:szCs w:val="24"/>
              </w:rPr>
              <w:t>Eiropas Parlamenta un Padomes 2010.gada 20.oktobra Direktīva 2010/65/ES par ziņošanas formalitātēm kuģiem, kuri ienāk dalībvalstu ostās un/vai iziet no tām, un ar ko atceļ Direktīvu 2002/6/EK (Direktīva 2010/65/ES).</w:t>
            </w:r>
          </w:p>
        </w:tc>
      </w:tr>
      <w:tr w:rsidR="00A77AA2" w:rsidRPr="00253EEF" w:rsidTr="002D5806">
        <w:tc>
          <w:tcPr>
            <w:tcW w:w="5000" w:type="pct"/>
            <w:gridSpan w:val="4"/>
            <w:tcBorders>
              <w:top w:val="outset" w:sz="6" w:space="0" w:color="000000"/>
              <w:bottom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 </w:t>
            </w: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A</w:t>
            </w: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B</w:t>
            </w: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C</w:t>
            </w:r>
          </w:p>
        </w:tc>
        <w:tc>
          <w:tcPr>
            <w:tcW w:w="1503" w:type="pct"/>
            <w:tcBorders>
              <w:top w:val="outset" w:sz="6" w:space="0" w:color="000000"/>
              <w:left w:val="outset" w:sz="6" w:space="0" w:color="000000"/>
              <w:bottom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D</w:t>
            </w:r>
          </w:p>
        </w:tc>
      </w:tr>
      <w:tr w:rsidR="00A77AA2" w:rsidRPr="00253EEF" w:rsidTr="002D5806">
        <w:tc>
          <w:tcPr>
            <w:tcW w:w="1175" w:type="pct"/>
            <w:tcBorders>
              <w:top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Attiecīgā ES tiesību akta panta numurs (uzskaitot katru tiesību akta</w:t>
            </w:r>
            <w:r w:rsidRPr="00253EEF">
              <w:rPr>
                <w:rFonts w:ascii="Times New Roman" w:hAnsi="Times New Roman"/>
                <w:sz w:val="24"/>
                <w:szCs w:val="24"/>
              </w:rPr>
              <w:br/>
              <w:t>vienību - pantu, daļu, punktu, apakšpunktu)</w:t>
            </w:r>
          </w:p>
        </w:tc>
        <w:tc>
          <w:tcPr>
            <w:tcW w:w="1161" w:type="pct"/>
            <w:tcBorders>
              <w:top w:val="outset" w:sz="6" w:space="0" w:color="000000"/>
              <w:left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161" w:type="pct"/>
            <w:tcBorders>
              <w:top w:val="outset" w:sz="6" w:space="0" w:color="000000"/>
              <w:left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Informācija par to, vai šīs tabulas A ailē minētās ES tiesību akta vienības tiek pārņemtas vai ieviestas pilnībā vai daļēji.</w:t>
            </w:r>
          </w:p>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Norāda institūciju, kas ir atbildīga par šo saistību izpildi pilnībā</w:t>
            </w:r>
          </w:p>
        </w:tc>
        <w:tc>
          <w:tcPr>
            <w:tcW w:w="1503" w:type="pct"/>
            <w:tcBorders>
              <w:top w:val="outset" w:sz="6" w:space="0" w:color="000000"/>
              <w:left w:val="outset" w:sz="6" w:space="0" w:color="000000"/>
              <w:bottom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Informācija par to, vai šīs tabulas B ailē minētās projekta vienības paredz stingrākas prasības nekā šīs tabulas A ailē minētās ES tiesību akta vienības.</w:t>
            </w:r>
          </w:p>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Ja projekts satur stingrākas prasības nekā attiecīgais ES tiesību akts, - norāda pamatojumu un samērīgumu.</w:t>
            </w:r>
          </w:p>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77AA2" w:rsidRPr="00253EEF" w:rsidTr="002D5806">
        <w:tc>
          <w:tcPr>
            <w:tcW w:w="1175" w:type="pct"/>
            <w:tcBorders>
              <w:top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1.panta 1.punkts</w:t>
            </w:r>
          </w:p>
        </w:tc>
        <w:tc>
          <w:tcPr>
            <w:tcW w:w="1161" w:type="pct"/>
            <w:tcBorders>
              <w:top w:val="outset" w:sz="6" w:space="0" w:color="000000"/>
              <w:left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Nav jāpārņem</w:t>
            </w:r>
          </w:p>
        </w:tc>
        <w:tc>
          <w:tcPr>
            <w:tcW w:w="1161" w:type="pct"/>
            <w:vMerge w:val="restart"/>
            <w:tcBorders>
              <w:top w:val="outset" w:sz="6" w:space="0" w:color="000000"/>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Direktīvas normas pārņemtas pilnībā.</w:t>
            </w:r>
          </w:p>
        </w:tc>
        <w:tc>
          <w:tcPr>
            <w:tcW w:w="1503" w:type="pct"/>
            <w:vMerge w:val="restart"/>
            <w:tcBorders>
              <w:top w:val="outset" w:sz="6" w:space="0" w:color="000000"/>
              <w:lef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Projekts stingrākas prasības neparedz</w:t>
            </w:r>
          </w:p>
        </w:tc>
      </w:tr>
      <w:tr w:rsidR="00A77AA2" w:rsidRPr="00253EEF" w:rsidTr="002D5806">
        <w:tc>
          <w:tcPr>
            <w:tcW w:w="1175" w:type="pct"/>
            <w:tcBorders>
              <w:top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1.panta 2.punkts</w:t>
            </w:r>
          </w:p>
        </w:tc>
        <w:tc>
          <w:tcPr>
            <w:tcW w:w="1161" w:type="pct"/>
            <w:vMerge w:val="restart"/>
            <w:tcBorders>
              <w:top w:val="outset" w:sz="6" w:space="0" w:color="000000"/>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Tiks pārņemts ar Ministru kabineta noteikumiem „Noteikumi par ostu formalitātēm” (projekts izsludināts Valsts sekretāru sanāksmē 2012.gada 23.februārī, VSS-182)</w:t>
            </w: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1.panta 3.punkts</w:t>
            </w: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2.panta a) apakšpunkts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2.panta b) apakšpunkts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2.panta c) apakšpunkts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2.panta d) apakšpunkts</w:t>
            </w:r>
          </w:p>
        </w:tc>
        <w:tc>
          <w:tcPr>
            <w:tcW w:w="1161" w:type="pct"/>
            <w:vMerge/>
            <w:tcBorders>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2.panta e) apakšpunkts</w:t>
            </w: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Atbilst Ministru kabineta 2009.gada 4.augusta noteikumu Nr.857 I. nodaļai, IV nodaļai un pielikumam.</w:t>
            </w:r>
          </w:p>
        </w:tc>
        <w:tc>
          <w:tcPr>
            <w:tcW w:w="1161" w:type="pct"/>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2.panta f) apakšpunkts</w:t>
            </w: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8F0B09">
            <w:pPr>
              <w:pStyle w:val="NoSpacing"/>
              <w:rPr>
                <w:rFonts w:ascii="Times New Roman" w:hAnsi="Times New Roman"/>
                <w:sz w:val="24"/>
                <w:szCs w:val="24"/>
              </w:rPr>
            </w:pPr>
            <w:r w:rsidRPr="00253EEF">
              <w:rPr>
                <w:rFonts w:ascii="Times New Roman" w:hAnsi="Times New Roman"/>
                <w:sz w:val="24"/>
                <w:szCs w:val="24"/>
              </w:rPr>
              <w:t>Termins „elektroniska datu pārraide” Ministru kabineta 2009.gada 4.augusta noteikumos Nr.857 netiek lietots, jo tiek veidota un lietota atsauce uzreiz uz konkrētu elektronisku datu pārraides veidu –nacionālo SafeSeaNet sistēmu.</w:t>
            </w:r>
          </w:p>
        </w:tc>
        <w:tc>
          <w:tcPr>
            <w:tcW w:w="1161" w:type="pct"/>
            <w:vMerge w:val="restart"/>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val="restart"/>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3.panta 1.punkts</w:t>
            </w:r>
          </w:p>
          <w:p w:rsidR="00A77AA2" w:rsidRPr="00253EEF" w:rsidRDefault="00A77AA2" w:rsidP="000D67B8">
            <w:pPr>
              <w:pStyle w:val="NoSpacing"/>
              <w:rPr>
                <w:rFonts w:ascii="Times New Roman" w:hAnsi="Times New Roman"/>
                <w:sz w:val="24"/>
                <w:szCs w:val="24"/>
              </w:rPr>
            </w:pP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Tiks pārņemts ar Ministru kabineta noteikumiem „Noteikumi par ostu formalitātēm”</w:t>
            </w:r>
          </w:p>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3.panta 2.punkts</w:t>
            </w:r>
          </w:p>
          <w:p w:rsidR="00A77AA2" w:rsidRPr="00253EEF" w:rsidRDefault="00A77AA2" w:rsidP="000D67B8">
            <w:pPr>
              <w:pStyle w:val="NoSpacing"/>
              <w:rPr>
                <w:rFonts w:ascii="Times New Roman" w:hAnsi="Times New Roman"/>
                <w:sz w:val="24"/>
                <w:szCs w:val="24"/>
              </w:rPr>
            </w:pP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Nav jāpārņem</w:t>
            </w:r>
          </w:p>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4.panta a) apakšpunkts</w:t>
            </w:r>
          </w:p>
        </w:tc>
        <w:tc>
          <w:tcPr>
            <w:tcW w:w="1161" w:type="pct"/>
            <w:vMerge w:val="restart"/>
            <w:tcBorders>
              <w:top w:val="outset" w:sz="6" w:space="0" w:color="000000"/>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Tiks pārņemts ar Ministru kabineta noteikumiem „Noteikumi par ostu formalitātēm”</w:t>
            </w: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4.panta b) apakšpunkts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4.panta c) apakšpunkts</w:t>
            </w:r>
          </w:p>
        </w:tc>
        <w:tc>
          <w:tcPr>
            <w:tcW w:w="1161" w:type="pct"/>
            <w:vMerge/>
            <w:tcBorders>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5.panta 1.punkts</w:t>
            </w:r>
          </w:p>
        </w:tc>
        <w:tc>
          <w:tcPr>
            <w:tcW w:w="1161" w:type="pct"/>
            <w:vMerge w:val="restart"/>
            <w:tcBorders>
              <w:top w:val="outset" w:sz="6" w:space="0" w:color="000000"/>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Atbilst Ministru kabineta 2009.gada 4.augusta noteikumu Nr.857 IV. nodaļai</w:t>
            </w:r>
          </w:p>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un</w:t>
            </w:r>
          </w:p>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tiks pārņemts ar Ministru kabineta noteikumiem „Noteikumi par ostu formalitātēm”.</w:t>
            </w:r>
          </w:p>
          <w:p w:rsidR="00A77AA2" w:rsidRPr="00253EEF" w:rsidRDefault="00A77AA2" w:rsidP="000D67B8">
            <w:pPr>
              <w:pStyle w:val="NoSpacing"/>
              <w:rPr>
                <w:rFonts w:ascii="Times New Roman" w:hAnsi="Times New Roman"/>
                <w:sz w:val="24"/>
                <w:szCs w:val="24"/>
              </w:rPr>
            </w:pPr>
          </w:p>
        </w:tc>
        <w:tc>
          <w:tcPr>
            <w:tcW w:w="1161" w:type="pct"/>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5.panta 2.punkts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val="restart"/>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val="restart"/>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5.panta 3.punkts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5.panta 4.punkts</w:t>
            </w:r>
          </w:p>
        </w:tc>
        <w:tc>
          <w:tcPr>
            <w:tcW w:w="1161" w:type="pct"/>
            <w:vMerge/>
            <w:tcBorders>
              <w:left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6.pants</w:t>
            </w:r>
          </w:p>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7.pants</w:t>
            </w:r>
          </w:p>
          <w:p w:rsidR="00A77AA2" w:rsidRPr="00253EEF" w:rsidRDefault="00A77AA2" w:rsidP="000D67B8">
            <w:pPr>
              <w:pStyle w:val="NoSpacing"/>
              <w:rPr>
                <w:rFonts w:ascii="Times New Roman" w:hAnsi="Times New Roman"/>
                <w:sz w:val="24"/>
                <w:szCs w:val="24"/>
              </w:rPr>
            </w:pP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Tiks pārņemts ar Ministru kabineta noteikumiem „Noteikumi par ostu formalitātēm”.</w:t>
            </w:r>
          </w:p>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8.pants</w:t>
            </w:r>
          </w:p>
          <w:p w:rsidR="00A77AA2" w:rsidRPr="00253EEF" w:rsidRDefault="00A77AA2" w:rsidP="000D67B8">
            <w:pPr>
              <w:pStyle w:val="NoSpacing"/>
              <w:rPr>
                <w:rFonts w:ascii="Times New Roman" w:hAnsi="Times New Roman"/>
                <w:sz w:val="24"/>
                <w:szCs w:val="24"/>
              </w:rPr>
            </w:pP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Atbilst Ministru kabineta 2009.gada 4.augusta noteikumu Nr.857 IV. nodaļai.</w:t>
            </w:r>
          </w:p>
          <w:p w:rsidR="00A77AA2" w:rsidRPr="00253EEF" w:rsidRDefault="00A77AA2" w:rsidP="000D67B8">
            <w:pPr>
              <w:pStyle w:val="NoSpacing"/>
              <w:rPr>
                <w:rFonts w:ascii="Times New Roman" w:hAnsi="Times New Roman"/>
                <w:sz w:val="24"/>
                <w:szCs w:val="24"/>
              </w:rPr>
            </w:pPr>
          </w:p>
        </w:tc>
        <w:tc>
          <w:tcPr>
            <w:tcW w:w="1161" w:type="pct"/>
            <w:vMerge w:val="restart"/>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val="restart"/>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9.pants</w:t>
            </w:r>
          </w:p>
          <w:p w:rsidR="00A77AA2" w:rsidRPr="00253EEF" w:rsidRDefault="00A77AA2" w:rsidP="000D67B8">
            <w:pPr>
              <w:pStyle w:val="NoSpacing"/>
              <w:rPr>
                <w:rFonts w:ascii="Times New Roman" w:hAnsi="Times New Roman"/>
                <w:sz w:val="24"/>
                <w:szCs w:val="24"/>
              </w:rPr>
            </w:pP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686AE6">
            <w:pPr>
              <w:pStyle w:val="NoSpacing"/>
              <w:rPr>
                <w:rFonts w:ascii="Times New Roman" w:hAnsi="Times New Roman"/>
                <w:sz w:val="24"/>
                <w:szCs w:val="24"/>
              </w:rPr>
            </w:pPr>
            <w:r w:rsidRPr="00253EEF">
              <w:rPr>
                <w:rFonts w:ascii="Times New Roman" w:hAnsi="Times New Roman"/>
                <w:sz w:val="24"/>
                <w:szCs w:val="24"/>
              </w:rPr>
              <w:t>Tiks pārņemts ar Ministru kabineta noteikumiem „Noteikumi par ostu formalitātēm”</w:t>
            </w:r>
          </w:p>
        </w:tc>
        <w:tc>
          <w:tcPr>
            <w:tcW w:w="1161" w:type="pct"/>
            <w:vMerge/>
            <w:tcBorders>
              <w:left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tcBorders>
          </w:tcPr>
          <w:p w:rsidR="00A77AA2" w:rsidRPr="00253EEF" w:rsidRDefault="00A77AA2" w:rsidP="000D67B8">
            <w:pPr>
              <w:pStyle w:val="NoSpacing"/>
              <w:rPr>
                <w:rFonts w:ascii="Times New Roman" w:hAnsi="Times New Roman"/>
                <w:sz w:val="24"/>
                <w:szCs w:val="24"/>
              </w:rPr>
            </w:pPr>
          </w:p>
        </w:tc>
      </w:tr>
      <w:tr w:rsidR="00A77AA2" w:rsidRPr="00253EEF" w:rsidTr="002D5806">
        <w:tc>
          <w:tcPr>
            <w:tcW w:w="1175" w:type="pct"/>
            <w:tcBorders>
              <w:top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10.-16.pants</w:t>
            </w:r>
          </w:p>
        </w:tc>
        <w:tc>
          <w:tcPr>
            <w:tcW w:w="1161" w:type="pct"/>
            <w:tcBorders>
              <w:top w:val="outset" w:sz="6" w:space="0" w:color="000000"/>
              <w:left w:val="outset" w:sz="6" w:space="0" w:color="000000"/>
              <w:bottom w:val="outset" w:sz="6" w:space="0" w:color="000000"/>
              <w:right w:val="outset" w:sz="6" w:space="0" w:color="000000"/>
            </w:tcBorders>
            <w:vAlign w:val="center"/>
          </w:tcPr>
          <w:p w:rsidR="00A77AA2" w:rsidRPr="00253EEF" w:rsidRDefault="00A77AA2" w:rsidP="000D67B8">
            <w:pPr>
              <w:pStyle w:val="NoSpacing"/>
              <w:rPr>
                <w:rFonts w:ascii="Times New Roman" w:hAnsi="Times New Roman"/>
                <w:sz w:val="24"/>
                <w:szCs w:val="24"/>
              </w:rPr>
            </w:pPr>
            <w:r w:rsidRPr="00253EEF">
              <w:rPr>
                <w:rFonts w:ascii="Times New Roman" w:hAnsi="Times New Roman"/>
                <w:sz w:val="24"/>
                <w:szCs w:val="24"/>
              </w:rPr>
              <w:t>Nav jāpārņem</w:t>
            </w:r>
          </w:p>
          <w:p w:rsidR="00A77AA2" w:rsidRPr="00253EEF" w:rsidRDefault="00A77AA2" w:rsidP="000D67B8">
            <w:pPr>
              <w:pStyle w:val="NoSpacing"/>
              <w:rPr>
                <w:rFonts w:ascii="Times New Roman" w:hAnsi="Times New Roman"/>
                <w:sz w:val="24"/>
                <w:szCs w:val="24"/>
              </w:rPr>
            </w:pPr>
          </w:p>
        </w:tc>
        <w:tc>
          <w:tcPr>
            <w:tcW w:w="1161" w:type="pct"/>
            <w:vMerge/>
            <w:tcBorders>
              <w:left w:val="outset" w:sz="6" w:space="0" w:color="000000"/>
              <w:bottom w:val="outset" w:sz="6" w:space="0" w:color="000000"/>
              <w:right w:val="outset" w:sz="6" w:space="0" w:color="000000"/>
            </w:tcBorders>
          </w:tcPr>
          <w:p w:rsidR="00A77AA2" w:rsidRPr="00253EEF" w:rsidRDefault="00A77AA2" w:rsidP="000D67B8">
            <w:pPr>
              <w:pStyle w:val="NoSpacing"/>
              <w:rPr>
                <w:rFonts w:ascii="Times New Roman" w:hAnsi="Times New Roman"/>
                <w:sz w:val="24"/>
                <w:szCs w:val="24"/>
              </w:rPr>
            </w:pPr>
          </w:p>
        </w:tc>
        <w:tc>
          <w:tcPr>
            <w:tcW w:w="1503" w:type="pct"/>
            <w:vMerge/>
            <w:tcBorders>
              <w:left w:val="outset" w:sz="6" w:space="0" w:color="000000"/>
              <w:bottom w:val="outset" w:sz="6" w:space="0" w:color="000000"/>
            </w:tcBorders>
          </w:tcPr>
          <w:p w:rsidR="00A77AA2" w:rsidRPr="00253EEF" w:rsidRDefault="00A77AA2" w:rsidP="000D67B8">
            <w:pPr>
              <w:pStyle w:val="NoSpacing"/>
              <w:rPr>
                <w:rFonts w:ascii="Times New Roman" w:hAnsi="Times New Roman"/>
                <w:sz w:val="24"/>
                <w:szCs w:val="24"/>
              </w:rPr>
            </w:pPr>
          </w:p>
        </w:tc>
      </w:tr>
    </w:tbl>
    <w:p w:rsidR="00A77AA2" w:rsidRPr="000D67B8" w:rsidRDefault="00A77AA2" w:rsidP="00673259">
      <w:pPr>
        <w:rPr>
          <w:rFonts w:ascii="Times New Roman" w:hAnsi="Times New Roman"/>
          <w:sz w:val="24"/>
          <w:szCs w:val="24"/>
        </w:rPr>
      </w:pPr>
    </w:p>
    <w:p w:rsidR="00A77AA2" w:rsidRPr="0050149F" w:rsidRDefault="00A77AA2" w:rsidP="00673259">
      <w:pPr>
        <w:rPr>
          <w:rFonts w:ascii="Times New Roman" w:hAnsi="Times New Roman"/>
          <w:sz w:val="24"/>
          <w:szCs w:val="24"/>
        </w:rPr>
      </w:pPr>
      <w:r w:rsidRPr="0050149F">
        <w:rPr>
          <w:rFonts w:ascii="Times New Roman" w:hAnsi="Times New Roman"/>
          <w:sz w:val="24"/>
          <w:szCs w:val="24"/>
        </w:rPr>
        <w:t>Anotācijas II, III, VI, VII sadaļa – projekts šīs jomas neskar.</w:t>
      </w:r>
    </w:p>
    <w:p w:rsidR="00A77AA2" w:rsidRDefault="00A77AA2" w:rsidP="00673259">
      <w:pPr>
        <w:ind w:firstLine="720"/>
        <w:rPr>
          <w:rFonts w:ascii="Times New Roman" w:hAnsi="Times New Roman"/>
          <w:sz w:val="28"/>
          <w:szCs w:val="28"/>
        </w:rPr>
      </w:pPr>
    </w:p>
    <w:p w:rsidR="00A77AA2" w:rsidRPr="00330775" w:rsidRDefault="00A77AA2" w:rsidP="00673259">
      <w:pPr>
        <w:ind w:firstLine="720"/>
        <w:rPr>
          <w:rFonts w:ascii="Times New Roman" w:hAnsi="Times New Roman"/>
          <w:sz w:val="28"/>
          <w:szCs w:val="28"/>
        </w:rPr>
      </w:pPr>
      <w:r w:rsidRPr="00330775">
        <w:rPr>
          <w:rFonts w:ascii="Times New Roman" w:hAnsi="Times New Roman"/>
          <w:sz w:val="28"/>
          <w:szCs w:val="28"/>
        </w:rPr>
        <w:t>Satiksmes ministrs</w:t>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Pr>
          <w:rFonts w:ascii="Times New Roman" w:hAnsi="Times New Roman"/>
          <w:sz w:val="28"/>
          <w:szCs w:val="28"/>
        </w:rPr>
        <w:t>A. Ronis</w:t>
      </w:r>
    </w:p>
    <w:p w:rsidR="00A77AA2" w:rsidRDefault="00A77AA2" w:rsidP="00802541">
      <w:pPr>
        <w:pStyle w:val="NoSpacing"/>
        <w:ind w:firstLine="720"/>
        <w:jc w:val="both"/>
        <w:rPr>
          <w:rFonts w:ascii="Times New Roman" w:hAnsi="Times New Roman"/>
          <w:sz w:val="28"/>
          <w:szCs w:val="28"/>
        </w:rPr>
      </w:pPr>
    </w:p>
    <w:p w:rsidR="00A77AA2" w:rsidRDefault="00A77AA2" w:rsidP="00802541">
      <w:pPr>
        <w:pStyle w:val="NoSpacing"/>
        <w:ind w:firstLine="720"/>
        <w:jc w:val="both"/>
        <w:rPr>
          <w:rFonts w:ascii="Times New Roman" w:hAnsi="Times New Roman"/>
          <w:sz w:val="28"/>
          <w:szCs w:val="28"/>
        </w:rPr>
      </w:pPr>
    </w:p>
    <w:p w:rsidR="00A77AA2" w:rsidRPr="00802541" w:rsidRDefault="00A77AA2" w:rsidP="00802541">
      <w:pPr>
        <w:pStyle w:val="NoSpacing"/>
        <w:ind w:firstLine="720"/>
        <w:jc w:val="both"/>
        <w:rPr>
          <w:rFonts w:ascii="Times New Roman" w:hAnsi="Times New Roman"/>
          <w:sz w:val="28"/>
          <w:szCs w:val="28"/>
        </w:rPr>
      </w:pPr>
      <w:r w:rsidRPr="00802541">
        <w:rPr>
          <w:rFonts w:ascii="Times New Roman" w:hAnsi="Times New Roman"/>
          <w:sz w:val="28"/>
          <w:szCs w:val="28"/>
        </w:rPr>
        <w:t>Vīza:</w:t>
      </w:r>
    </w:p>
    <w:p w:rsidR="00A77AA2" w:rsidRPr="00802541" w:rsidRDefault="00A77AA2" w:rsidP="00802541">
      <w:pPr>
        <w:pStyle w:val="NoSpacing"/>
        <w:ind w:firstLine="720"/>
        <w:jc w:val="both"/>
        <w:rPr>
          <w:rFonts w:ascii="Times New Roman" w:hAnsi="Times New Roman"/>
          <w:sz w:val="28"/>
          <w:szCs w:val="28"/>
        </w:rPr>
      </w:pPr>
      <w:r w:rsidRPr="00802541">
        <w:rPr>
          <w:rFonts w:ascii="Times New Roman" w:hAnsi="Times New Roman"/>
          <w:sz w:val="28"/>
          <w:szCs w:val="28"/>
        </w:rPr>
        <w:t>valsts sekretārs</w:t>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t>A.</w:t>
      </w:r>
      <w:r>
        <w:rPr>
          <w:rFonts w:ascii="Times New Roman" w:hAnsi="Times New Roman"/>
          <w:sz w:val="28"/>
          <w:szCs w:val="28"/>
        </w:rPr>
        <w:t xml:space="preserve"> </w:t>
      </w:r>
      <w:r w:rsidRPr="00802541">
        <w:rPr>
          <w:rFonts w:ascii="Times New Roman" w:hAnsi="Times New Roman"/>
          <w:sz w:val="28"/>
          <w:szCs w:val="28"/>
        </w:rPr>
        <w:t>Matīss</w:t>
      </w:r>
    </w:p>
    <w:p w:rsidR="00A77AA2" w:rsidRDefault="00A77AA2" w:rsidP="00673259">
      <w:pPr>
        <w:pStyle w:val="NoSpacing"/>
        <w:rPr>
          <w:rFonts w:ascii="Times New Roman" w:hAnsi="Times New Roman"/>
          <w:sz w:val="28"/>
          <w:szCs w:val="28"/>
        </w:rPr>
      </w:pPr>
    </w:p>
    <w:p w:rsidR="00A77AA2" w:rsidRDefault="00A77AA2" w:rsidP="00673259">
      <w:pPr>
        <w:pStyle w:val="NoSpacing"/>
        <w:rPr>
          <w:rFonts w:ascii="Times New Roman" w:hAnsi="Times New Roman"/>
          <w:sz w:val="28"/>
          <w:szCs w:val="28"/>
        </w:rPr>
      </w:pPr>
    </w:p>
    <w:p w:rsidR="00A77AA2" w:rsidRPr="00414DFE" w:rsidRDefault="00A77AA2" w:rsidP="00673259">
      <w:pPr>
        <w:pStyle w:val="NoSpacing"/>
        <w:rPr>
          <w:rFonts w:ascii="Times New Roman" w:hAnsi="Times New Roman"/>
          <w:sz w:val="28"/>
          <w:szCs w:val="28"/>
        </w:rPr>
      </w:pPr>
    </w:p>
    <w:p w:rsidR="00A77AA2" w:rsidRPr="00D00259" w:rsidRDefault="00A77AA2" w:rsidP="00673259">
      <w:pPr>
        <w:pStyle w:val="NoSpacing"/>
        <w:rPr>
          <w:rFonts w:ascii="Times New Roman" w:hAnsi="Times New Roman"/>
          <w:sz w:val="20"/>
          <w:szCs w:val="20"/>
        </w:rPr>
      </w:pPr>
      <w:r>
        <w:rPr>
          <w:rFonts w:ascii="Times New Roman" w:hAnsi="Times New Roman"/>
          <w:sz w:val="20"/>
          <w:szCs w:val="20"/>
        </w:rPr>
        <w:t>27.04.2012.</w:t>
      </w:r>
      <w:r w:rsidRPr="00D00259">
        <w:rPr>
          <w:rFonts w:ascii="Times New Roman" w:hAnsi="Times New Roman"/>
          <w:sz w:val="20"/>
          <w:szCs w:val="20"/>
        </w:rPr>
        <w:t xml:space="preserve">  14:30</w:t>
      </w:r>
    </w:p>
    <w:p w:rsidR="00A77AA2" w:rsidRPr="00D00259" w:rsidRDefault="00A77AA2" w:rsidP="00673259">
      <w:pPr>
        <w:pStyle w:val="NoSpacing"/>
        <w:rPr>
          <w:rFonts w:ascii="Times New Roman" w:hAnsi="Times New Roman"/>
          <w:sz w:val="20"/>
          <w:szCs w:val="20"/>
        </w:rPr>
      </w:pPr>
      <w:r>
        <w:rPr>
          <w:rFonts w:ascii="Times New Roman" w:hAnsi="Times New Roman"/>
          <w:sz w:val="20"/>
          <w:szCs w:val="20"/>
        </w:rPr>
        <w:t>836</w:t>
      </w:r>
    </w:p>
    <w:p w:rsidR="00A77AA2" w:rsidRPr="00D00259" w:rsidRDefault="00A77AA2" w:rsidP="00673259">
      <w:pPr>
        <w:pStyle w:val="NoSpacing"/>
        <w:rPr>
          <w:rFonts w:ascii="Times New Roman" w:hAnsi="Times New Roman"/>
          <w:sz w:val="20"/>
          <w:szCs w:val="20"/>
        </w:rPr>
      </w:pPr>
      <w:r w:rsidRPr="00D00259">
        <w:rPr>
          <w:rFonts w:ascii="Times New Roman" w:hAnsi="Times New Roman"/>
          <w:sz w:val="20"/>
          <w:szCs w:val="20"/>
        </w:rPr>
        <w:t>Laima Rituma</w:t>
      </w:r>
    </w:p>
    <w:p w:rsidR="00A77AA2" w:rsidRDefault="00A77AA2" w:rsidP="00673259">
      <w:pPr>
        <w:pStyle w:val="NoSpacing"/>
        <w:rPr>
          <w:rFonts w:ascii="Times New Roman" w:hAnsi="Times New Roman"/>
          <w:sz w:val="20"/>
          <w:szCs w:val="20"/>
        </w:rPr>
      </w:pPr>
      <w:r w:rsidRPr="00D00259">
        <w:rPr>
          <w:rFonts w:ascii="Times New Roman" w:hAnsi="Times New Roman"/>
          <w:sz w:val="20"/>
          <w:szCs w:val="20"/>
        </w:rPr>
        <w:t>67028198,</w:t>
      </w:r>
    </w:p>
    <w:p w:rsidR="00A77AA2" w:rsidRPr="00D00259" w:rsidRDefault="00A77AA2" w:rsidP="00673259">
      <w:pPr>
        <w:pStyle w:val="NoSpacing"/>
        <w:rPr>
          <w:rFonts w:ascii="Times New Roman" w:hAnsi="Times New Roman"/>
          <w:sz w:val="20"/>
          <w:szCs w:val="20"/>
        </w:rPr>
      </w:pPr>
      <w:r w:rsidRPr="00D00259">
        <w:rPr>
          <w:rFonts w:ascii="Times New Roman" w:hAnsi="Times New Roman"/>
          <w:sz w:val="20"/>
          <w:szCs w:val="20"/>
        </w:rPr>
        <w:t>laima.rituma@sam.gov.lv</w:t>
      </w:r>
    </w:p>
    <w:p w:rsidR="00A77AA2" w:rsidRDefault="00A77AA2" w:rsidP="00673259">
      <w:pPr>
        <w:pStyle w:val="NoSpacing"/>
        <w:rPr>
          <w:rFonts w:ascii="Times New Roman" w:hAnsi="Times New Roman"/>
          <w:sz w:val="20"/>
          <w:szCs w:val="20"/>
        </w:rPr>
      </w:pPr>
    </w:p>
    <w:p w:rsidR="00A77AA2" w:rsidRPr="00D00259" w:rsidRDefault="00A77AA2" w:rsidP="00673259">
      <w:pPr>
        <w:pStyle w:val="NoSpacing"/>
        <w:rPr>
          <w:rFonts w:ascii="Times New Roman" w:hAnsi="Times New Roman"/>
          <w:sz w:val="20"/>
          <w:szCs w:val="20"/>
        </w:rPr>
      </w:pPr>
    </w:p>
    <w:p w:rsidR="00A77AA2" w:rsidRDefault="00A77AA2" w:rsidP="00D40F89">
      <w:pPr>
        <w:pStyle w:val="NoSpacing"/>
        <w:rPr>
          <w:rFonts w:ascii="Times New Roman" w:hAnsi="Times New Roman"/>
          <w:sz w:val="20"/>
          <w:szCs w:val="20"/>
        </w:rPr>
      </w:pPr>
      <w:r w:rsidRPr="00D00259">
        <w:rPr>
          <w:rFonts w:ascii="Times New Roman" w:hAnsi="Times New Roman"/>
          <w:sz w:val="20"/>
          <w:szCs w:val="20"/>
        </w:rPr>
        <w:t>Jana Jankoviča,</w:t>
      </w:r>
    </w:p>
    <w:p w:rsidR="00A77AA2" w:rsidRPr="00D00259" w:rsidRDefault="00A77AA2" w:rsidP="00D40F89">
      <w:pPr>
        <w:pStyle w:val="NoSpacing"/>
        <w:rPr>
          <w:rFonts w:ascii="Times New Roman" w:hAnsi="Times New Roman"/>
          <w:sz w:val="20"/>
          <w:szCs w:val="20"/>
        </w:rPr>
      </w:pPr>
      <w:r w:rsidRPr="00D00259">
        <w:rPr>
          <w:rFonts w:ascii="Times New Roman" w:hAnsi="Times New Roman"/>
          <w:sz w:val="20"/>
          <w:szCs w:val="20"/>
        </w:rPr>
        <w:t>67062133,</w:t>
      </w:r>
    </w:p>
    <w:p w:rsidR="00A77AA2" w:rsidRPr="00D00259" w:rsidRDefault="00A77AA2" w:rsidP="00D40F89">
      <w:pPr>
        <w:pStyle w:val="NoSpacing"/>
        <w:rPr>
          <w:sz w:val="20"/>
          <w:szCs w:val="20"/>
        </w:rPr>
      </w:pPr>
      <w:r w:rsidRPr="00D00259">
        <w:rPr>
          <w:rFonts w:ascii="Times New Roman" w:hAnsi="Times New Roman"/>
          <w:sz w:val="20"/>
          <w:szCs w:val="20"/>
        </w:rPr>
        <w:t>jana.jankovica@lja.lv</w:t>
      </w:r>
    </w:p>
    <w:sectPr w:rsidR="00A77AA2" w:rsidRPr="00D00259" w:rsidSect="008F1055">
      <w:headerReference w:type="default" r:id="rId7"/>
      <w:footerReference w:type="defaul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A2" w:rsidRDefault="00A77AA2" w:rsidP="00C57F57">
      <w:pPr>
        <w:spacing w:after="0" w:line="240" w:lineRule="auto"/>
      </w:pPr>
      <w:r>
        <w:separator/>
      </w:r>
    </w:p>
  </w:endnote>
  <w:endnote w:type="continuationSeparator" w:id="0">
    <w:p w:rsidR="00A77AA2" w:rsidRDefault="00A77AA2" w:rsidP="00C5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A2" w:rsidRPr="005A397B" w:rsidRDefault="00A77AA2" w:rsidP="00045921">
    <w:pPr>
      <w:pStyle w:val="Footer"/>
      <w:jc w:val="both"/>
      <w:rPr>
        <w:rFonts w:ascii="Times New Roman" w:hAnsi="Times New Roman"/>
      </w:rPr>
    </w:pPr>
    <w:r w:rsidRPr="005A397B">
      <w:rPr>
        <w:rFonts w:ascii="Times New Roman" w:hAnsi="Times New Roman"/>
      </w:rPr>
      <w:t>SAMAnot_</w:t>
    </w:r>
    <w:r>
      <w:rPr>
        <w:rFonts w:ascii="Times New Roman" w:hAnsi="Times New Roman"/>
      </w:rPr>
      <w:t>270412</w:t>
    </w:r>
    <w:r w:rsidRPr="005A397B">
      <w:rPr>
        <w:rFonts w:ascii="Times New Roman" w:hAnsi="Times New Roman"/>
      </w:rPr>
      <w:t>; Noteikumu projekta „</w:t>
    </w:r>
    <w:r>
      <w:rPr>
        <w:rFonts w:ascii="Times New Roman" w:hAnsi="Times New Roman"/>
      </w:rPr>
      <w:t>Grozījums Ministru kabineta 2009.gada 4.augusta noteikumos Nr. 857 „Kārtība, kādā nodrošināma sakaru tīklu darbība Kuģu satiksmes uzraudzības un informācijas datu apmaiņas sistēmas ietvaros” ”</w:t>
    </w:r>
    <w:r w:rsidRPr="005A397B">
      <w:rPr>
        <w:rFonts w:ascii="Times New Roman" w:hAnsi="Times New Roman"/>
      </w:rPr>
      <w:t xml:space="preserve"> sākotnējās ietekmes novērtējuma ziņojums (anotācija)</w:t>
    </w:r>
  </w:p>
  <w:p w:rsidR="00A77AA2" w:rsidRPr="005A397B" w:rsidRDefault="00A77AA2" w:rsidP="00045921">
    <w:pPr>
      <w:jc w:val="both"/>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A2" w:rsidRPr="005A397B" w:rsidRDefault="00A77AA2" w:rsidP="00996FE9">
    <w:pPr>
      <w:pStyle w:val="Footer"/>
      <w:jc w:val="both"/>
      <w:rPr>
        <w:rFonts w:ascii="Times New Roman" w:hAnsi="Times New Roman"/>
      </w:rPr>
    </w:pPr>
    <w:r w:rsidRPr="005A397B">
      <w:rPr>
        <w:rFonts w:ascii="Times New Roman" w:hAnsi="Times New Roman"/>
      </w:rPr>
      <w:t>SAMAnot_</w:t>
    </w:r>
    <w:r>
      <w:rPr>
        <w:rFonts w:ascii="Times New Roman" w:hAnsi="Times New Roman"/>
      </w:rPr>
      <w:t>270412</w:t>
    </w:r>
    <w:r w:rsidRPr="005A397B">
      <w:rPr>
        <w:rFonts w:ascii="Times New Roman" w:hAnsi="Times New Roman"/>
      </w:rPr>
      <w:t>; Noteikumu projekta „</w:t>
    </w:r>
    <w:r>
      <w:rPr>
        <w:rFonts w:ascii="Times New Roman" w:hAnsi="Times New Roman"/>
      </w:rPr>
      <w:t>Grozījums Ministru kabineta 2009.gada 4.augusta noteikumos Nr. 857 „Kārtība, kādā nodrošināma sakaru tīklu darbība Kuģu satiksmes uzraudzības un informācijas datu apmaiņas sistēmas ietvaros” ”</w:t>
    </w:r>
    <w:r w:rsidRPr="005A397B">
      <w:rPr>
        <w:rFonts w:ascii="Times New Roman" w:hAnsi="Times New Roman"/>
      </w:rPr>
      <w:t xml:space="preserve"> sākotnējās ietekmes novērtējuma ziņojums (anotācija)</w:t>
    </w:r>
  </w:p>
  <w:p w:rsidR="00A77AA2" w:rsidRDefault="00A7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A2" w:rsidRDefault="00A77AA2" w:rsidP="00C57F57">
      <w:pPr>
        <w:spacing w:after="0" w:line="240" w:lineRule="auto"/>
      </w:pPr>
      <w:r>
        <w:separator/>
      </w:r>
    </w:p>
  </w:footnote>
  <w:footnote w:type="continuationSeparator" w:id="0">
    <w:p w:rsidR="00A77AA2" w:rsidRDefault="00A77AA2" w:rsidP="00C5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A2" w:rsidRDefault="00A77AA2">
    <w:pPr>
      <w:pStyle w:val="Header"/>
      <w:jc w:val="center"/>
    </w:pPr>
    <w:fldSimple w:instr=" PAGE   \* MERGEFORMAT ">
      <w:r>
        <w:rPr>
          <w:noProof/>
        </w:rPr>
        <w:t>5</w:t>
      </w:r>
    </w:fldSimple>
  </w:p>
  <w:p w:rsidR="00A77AA2" w:rsidRDefault="00A7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7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259"/>
    <w:rsid w:val="00004392"/>
    <w:rsid w:val="00004408"/>
    <w:rsid w:val="00007969"/>
    <w:rsid w:val="000252E5"/>
    <w:rsid w:val="00025CC0"/>
    <w:rsid w:val="000308B0"/>
    <w:rsid w:val="00032339"/>
    <w:rsid w:val="00032ED7"/>
    <w:rsid w:val="000359B7"/>
    <w:rsid w:val="00040776"/>
    <w:rsid w:val="00040B74"/>
    <w:rsid w:val="00040DAD"/>
    <w:rsid w:val="000410C8"/>
    <w:rsid w:val="000436C1"/>
    <w:rsid w:val="00043EF6"/>
    <w:rsid w:val="0004401E"/>
    <w:rsid w:val="00045921"/>
    <w:rsid w:val="00051248"/>
    <w:rsid w:val="0005355D"/>
    <w:rsid w:val="000553B6"/>
    <w:rsid w:val="00055B37"/>
    <w:rsid w:val="00060C67"/>
    <w:rsid w:val="00065665"/>
    <w:rsid w:val="0006766B"/>
    <w:rsid w:val="00072A29"/>
    <w:rsid w:val="00074473"/>
    <w:rsid w:val="00074C5E"/>
    <w:rsid w:val="00076AC9"/>
    <w:rsid w:val="0007723D"/>
    <w:rsid w:val="00082B51"/>
    <w:rsid w:val="000855CB"/>
    <w:rsid w:val="00085F68"/>
    <w:rsid w:val="00087561"/>
    <w:rsid w:val="000907CE"/>
    <w:rsid w:val="000912E5"/>
    <w:rsid w:val="0009350D"/>
    <w:rsid w:val="000955C3"/>
    <w:rsid w:val="000A02AF"/>
    <w:rsid w:val="000A034B"/>
    <w:rsid w:val="000A1354"/>
    <w:rsid w:val="000A6FB1"/>
    <w:rsid w:val="000B00C8"/>
    <w:rsid w:val="000B1730"/>
    <w:rsid w:val="000B4A94"/>
    <w:rsid w:val="000C014E"/>
    <w:rsid w:val="000C3449"/>
    <w:rsid w:val="000C4F72"/>
    <w:rsid w:val="000C5232"/>
    <w:rsid w:val="000C56C4"/>
    <w:rsid w:val="000D1B4B"/>
    <w:rsid w:val="000D23B1"/>
    <w:rsid w:val="000D67B8"/>
    <w:rsid w:val="000D6A45"/>
    <w:rsid w:val="000E28ED"/>
    <w:rsid w:val="000E3425"/>
    <w:rsid w:val="000E4B0B"/>
    <w:rsid w:val="000F0221"/>
    <w:rsid w:val="000F6DB7"/>
    <w:rsid w:val="000F7B05"/>
    <w:rsid w:val="001001C2"/>
    <w:rsid w:val="00101316"/>
    <w:rsid w:val="001042FC"/>
    <w:rsid w:val="00104752"/>
    <w:rsid w:val="00104801"/>
    <w:rsid w:val="00106E6C"/>
    <w:rsid w:val="00110CEC"/>
    <w:rsid w:val="001157F6"/>
    <w:rsid w:val="00116C7B"/>
    <w:rsid w:val="001250DA"/>
    <w:rsid w:val="0012526C"/>
    <w:rsid w:val="001260E2"/>
    <w:rsid w:val="00127A43"/>
    <w:rsid w:val="001302CB"/>
    <w:rsid w:val="0013041D"/>
    <w:rsid w:val="001305CC"/>
    <w:rsid w:val="00132FA9"/>
    <w:rsid w:val="00133CA2"/>
    <w:rsid w:val="00140F18"/>
    <w:rsid w:val="00144119"/>
    <w:rsid w:val="00144EEA"/>
    <w:rsid w:val="00146D4B"/>
    <w:rsid w:val="00150F6C"/>
    <w:rsid w:val="001519D1"/>
    <w:rsid w:val="00152D0B"/>
    <w:rsid w:val="001539DA"/>
    <w:rsid w:val="00157F7B"/>
    <w:rsid w:val="00160157"/>
    <w:rsid w:val="001616A6"/>
    <w:rsid w:val="00166FAF"/>
    <w:rsid w:val="00170032"/>
    <w:rsid w:val="00177768"/>
    <w:rsid w:val="001830A0"/>
    <w:rsid w:val="001832E2"/>
    <w:rsid w:val="00185B72"/>
    <w:rsid w:val="001872A4"/>
    <w:rsid w:val="0019277D"/>
    <w:rsid w:val="00193E69"/>
    <w:rsid w:val="00195B5A"/>
    <w:rsid w:val="001A08A2"/>
    <w:rsid w:val="001A21CA"/>
    <w:rsid w:val="001A4F44"/>
    <w:rsid w:val="001A5AC9"/>
    <w:rsid w:val="001A6845"/>
    <w:rsid w:val="001A7F97"/>
    <w:rsid w:val="001B35C5"/>
    <w:rsid w:val="001B3EB8"/>
    <w:rsid w:val="001B5757"/>
    <w:rsid w:val="001C31FB"/>
    <w:rsid w:val="001C5FB4"/>
    <w:rsid w:val="001C650A"/>
    <w:rsid w:val="001D119F"/>
    <w:rsid w:val="001D192F"/>
    <w:rsid w:val="001D447A"/>
    <w:rsid w:val="001D4ECD"/>
    <w:rsid w:val="001D59D1"/>
    <w:rsid w:val="001E0409"/>
    <w:rsid w:val="001E0575"/>
    <w:rsid w:val="001E0B1E"/>
    <w:rsid w:val="001E0EAE"/>
    <w:rsid w:val="001E16C0"/>
    <w:rsid w:val="001E1A6D"/>
    <w:rsid w:val="001E2D52"/>
    <w:rsid w:val="001E392D"/>
    <w:rsid w:val="001E5360"/>
    <w:rsid w:val="001E73B2"/>
    <w:rsid w:val="001F02A5"/>
    <w:rsid w:val="001F14FC"/>
    <w:rsid w:val="001F1C20"/>
    <w:rsid w:val="001F2B7F"/>
    <w:rsid w:val="001F3171"/>
    <w:rsid w:val="001F7511"/>
    <w:rsid w:val="00201611"/>
    <w:rsid w:val="002030AD"/>
    <w:rsid w:val="00203CA0"/>
    <w:rsid w:val="00204142"/>
    <w:rsid w:val="0021152B"/>
    <w:rsid w:val="00212BD7"/>
    <w:rsid w:val="0021318F"/>
    <w:rsid w:val="00213A9A"/>
    <w:rsid w:val="002175FB"/>
    <w:rsid w:val="00220D5A"/>
    <w:rsid w:val="0022169E"/>
    <w:rsid w:val="002227EB"/>
    <w:rsid w:val="002255B3"/>
    <w:rsid w:val="00225745"/>
    <w:rsid w:val="00231ED2"/>
    <w:rsid w:val="002341D0"/>
    <w:rsid w:val="0023633A"/>
    <w:rsid w:val="0024136B"/>
    <w:rsid w:val="00241974"/>
    <w:rsid w:val="00242927"/>
    <w:rsid w:val="002435B9"/>
    <w:rsid w:val="002458FF"/>
    <w:rsid w:val="00245F75"/>
    <w:rsid w:val="002476EC"/>
    <w:rsid w:val="00252D60"/>
    <w:rsid w:val="00253EEF"/>
    <w:rsid w:val="00255FDC"/>
    <w:rsid w:val="00257550"/>
    <w:rsid w:val="00260897"/>
    <w:rsid w:val="002616D4"/>
    <w:rsid w:val="0026201E"/>
    <w:rsid w:val="002626DE"/>
    <w:rsid w:val="00263B29"/>
    <w:rsid w:val="002716A8"/>
    <w:rsid w:val="00272A6F"/>
    <w:rsid w:val="00273759"/>
    <w:rsid w:val="00274093"/>
    <w:rsid w:val="00275ED2"/>
    <w:rsid w:val="00276C00"/>
    <w:rsid w:val="00276CA9"/>
    <w:rsid w:val="00282753"/>
    <w:rsid w:val="00282DE8"/>
    <w:rsid w:val="0028385C"/>
    <w:rsid w:val="0028759D"/>
    <w:rsid w:val="00291452"/>
    <w:rsid w:val="002915B8"/>
    <w:rsid w:val="00291F12"/>
    <w:rsid w:val="00291FE2"/>
    <w:rsid w:val="0029200C"/>
    <w:rsid w:val="00292546"/>
    <w:rsid w:val="00293810"/>
    <w:rsid w:val="00294F0E"/>
    <w:rsid w:val="00295E93"/>
    <w:rsid w:val="002A19DC"/>
    <w:rsid w:val="002A1B05"/>
    <w:rsid w:val="002A354B"/>
    <w:rsid w:val="002A764F"/>
    <w:rsid w:val="002A7682"/>
    <w:rsid w:val="002B141C"/>
    <w:rsid w:val="002B3077"/>
    <w:rsid w:val="002B5FAF"/>
    <w:rsid w:val="002B6E5A"/>
    <w:rsid w:val="002B7502"/>
    <w:rsid w:val="002C17EB"/>
    <w:rsid w:val="002C4BD2"/>
    <w:rsid w:val="002C4DE5"/>
    <w:rsid w:val="002D0519"/>
    <w:rsid w:val="002D0BEA"/>
    <w:rsid w:val="002D4296"/>
    <w:rsid w:val="002D5806"/>
    <w:rsid w:val="002D76B3"/>
    <w:rsid w:val="002E28B3"/>
    <w:rsid w:val="002E395C"/>
    <w:rsid w:val="002E7599"/>
    <w:rsid w:val="002F1A24"/>
    <w:rsid w:val="002F7D35"/>
    <w:rsid w:val="00300358"/>
    <w:rsid w:val="00301B53"/>
    <w:rsid w:val="003025B2"/>
    <w:rsid w:val="00303ACE"/>
    <w:rsid w:val="00306611"/>
    <w:rsid w:val="00307136"/>
    <w:rsid w:val="00307D97"/>
    <w:rsid w:val="00307EB0"/>
    <w:rsid w:val="00312C56"/>
    <w:rsid w:val="00315F87"/>
    <w:rsid w:val="00317371"/>
    <w:rsid w:val="003179F6"/>
    <w:rsid w:val="00317ECD"/>
    <w:rsid w:val="00320B2C"/>
    <w:rsid w:val="00322A38"/>
    <w:rsid w:val="003262E1"/>
    <w:rsid w:val="00326C18"/>
    <w:rsid w:val="003271DC"/>
    <w:rsid w:val="00327958"/>
    <w:rsid w:val="00330775"/>
    <w:rsid w:val="003360B7"/>
    <w:rsid w:val="00341F22"/>
    <w:rsid w:val="00342D89"/>
    <w:rsid w:val="00344AE8"/>
    <w:rsid w:val="00346A8D"/>
    <w:rsid w:val="003473F5"/>
    <w:rsid w:val="003539E6"/>
    <w:rsid w:val="00353D9D"/>
    <w:rsid w:val="00355BA9"/>
    <w:rsid w:val="003563C9"/>
    <w:rsid w:val="00356D2B"/>
    <w:rsid w:val="00366AA3"/>
    <w:rsid w:val="003701F9"/>
    <w:rsid w:val="00371EBF"/>
    <w:rsid w:val="00376570"/>
    <w:rsid w:val="0037660A"/>
    <w:rsid w:val="00376C40"/>
    <w:rsid w:val="00377A74"/>
    <w:rsid w:val="0038161D"/>
    <w:rsid w:val="00384454"/>
    <w:rsid w:val="003863DB"/>
    <w:rsid w:val="003864BF"/>
    <w:rsid w:val="00390AB5"/>
    <w:rsid w:val="0039251C"/>
    <w:rsid w:val="003931E2"/>
    <w:rsid w:val="00394529"/>
    <w:rsid w:val="00397D4B"/>
    <w:rsid w:val="003A175E"/>
    <w:rsid w:val="003A2ABB"/>
    <w:rsid w:val="003A366F"/>
    <w:rsid w:val="003A3D1D"/>
    <w:rsid w:val="003A6085"/>
    <w:rsid w:val="003A70E1"/>
    <w:rsid w:val="003B36DE"/>
    <w:rsid w:val="003B38DF"/>
    <w:rsid w:val="003B5473"/>
    <w:rsid w:val="003B7990"/>
    <w:rsid w:val="003C03D6"/>
    <w:rsid w:val="003C0786"/>
    <w:rsid w:val="003C21D8"/>
    <w:rsid w:val="003C3036"/>
    <w:rsid w:val="003C316B"/>
    <w:rsid w:val="003C4908"/>
    <w:rsid w:val="003C59EF"/>
    <w:rsid w:val="003C694F"/>
    <w:rsid w:val="003C7751"/>
    <w:rsid w:val="003D0745"/>
    <w:rsid w:val="003D20E2"/>
    <w:rsid w:val="003D3460"/>
    <w:rsid w:val="003D539A"/>
    <w:rsid w:val="003D6875"/>
    <w:rsid w:val="003D7BDE"/>
    <w:rsid w:val="003E0172"/>
    <w:rsid w:val="003E3297"/>
    <w:rsid w:val="003E580A"/>
    <w:rsid w:val="003E64FD"/>
    <w:rsid w:val="003E6990"/>
    <w:rsid w:val="003F02B9"/>
    <w:rsid w:val="003F0CE3"/>
    <w:rsid w:val="003F2506"/>
    <w:rsid w:val="003F292D"/>
    <w:rsid w:val="003F3146"/>
    <w:rsid w:val="003F5381"/>
    <w:rsid w:val="00402B5E"/>
    <w:rsid w:val="00403CFF"/>
    <w:rsid w:val="0040423D"/>
    <w:rsid w:val="004046B0"/>
    <w:rsid w:val="0040566D"/>
    <w:rsid w:val="00407522"/>
    <w:rsid w:val="00407B7D"/>
    <w:rsid w:val="004111E7"/>
    <w:rsid w:val="00414DFE"/>
    <w:rsid w:val="00415C1E"/>
    <w:rsid w:val="00415FCC"/>
    <w:rsid w:val="00416F08"/>
    <w:rsid w:val="00421A2D"/>
    <w:rsid w:val="00422164"/>
    <w:rsid w:val="004221E5"/>
    <w:rsid w:val="00426FEA"/>
    <w:rsid w:val="00430C28"/>
    <w:rsid w:val="00435902"/>
    <w:rsid w:val="0043602C"/>
    <w:rsid w:val="004364CB"/>
    <w:rsid w:val="00437633"/>
    <w:rsid w:val="004434B6"/>
    <w:rsid w:val="004453CC"/>
    <w:rsid w:val="0044683A"/>
    <w:rsid w:val="00446D0F"/>
    <w:rsid w:val="00453C64"/>
    <w:rsid w:val="00454B9C"/>
    <w:rsid w:val="004603E9"/>
    <w:rsid w:val="00460DFD"/>
    <w:rsid w:val="00461C53"/>
    <w:rsid w:val="00463F16"/>
    <w:rsid w:val="00466C4D"/>
    <w:rsid w:val="004675D7"/>
    <w:rsid w:val="004679EE"/>
    <w:rsid w:val="00473A0B"/>
    <w:rsid w:val="0047565B"/>
    <w:rsid w:val="00476520"/>
    <w:rsid w:val="00484DE5"/>
    <w:rsid w:val="00485B88"/>
    <w:rsid w:val="004863B6"/>
    <w:rsid w:val="004901DA"/>
    <w:rsid w:val="0049208F"/>
    <w:rsid w:val="004950C2"/>
    <w:rsid w:val="00496510"/>
    <w:rsid w:val="0049764D"/>
    <w:rsid w:val="004A046C"/>
    <w:rsid w:val="004A28D6"/>
    <w:rsid w:val="004A349A"/>
    <w:rsid w:val="004A36B8"/>
    <w:rsid w:val="004A676C"/>
    <w:rsid w:val="004A6F12"/>
    <w:rsid w:val="004A7F27"/>
    <w:rsid w:val="004B29EE"/>
    <w:rsid w:val="004B3333"/>
    <w:rsid w:val="004B426A"/>
    <w:rsid w:val="004B4A00"/>
    <w:rsid w:val="004C0B7E"/>
    <w:rsid w:val="004C6DF0"/>
    <w:rsid w:val="004D28B4"/>
    <w:rsid w:val="004D2BBA"/>
    <w:rsid w:val="004D6BE2"/>
    <w:rsid w:val="004D7E33"/>
    <w:rsid w:val="004E2429"/>
    <w:rsid w:val="004E5386"/>
    <w:rsid w:val="004E5937"/>
    <w:rsid w:val="004E5F04"/>
    <w:rsid w:val="004E62A1"/>
    <w:rsid w:val="004E6E62"/>
    <w:rsid w:val="004E786F"/>
    <w:rsid w:val="004F02BB"/>
    <w:rsid w:val="004F3DB2"/>
    <w:rsid w:val="004F4569"/>
    <w:rsid w:val="004F704A"/>
    <w:rsid w:val="004F7D04"/>
    <w:rsid w:val="00500B2C"/>
    <w:rsid w:val="005011F5"/>
    <w:rsid w:val="0050149F"/>
    <w:rsid w:val="00501C88"/>
    <w:rsid w:val="0050394D"/>
    <w:rsid w:val="00510AC5"/>
    <w:rsid w:val="00512740"/>
    <w:rsid w:val="005145A0"/>
    <w:rsid w:val="0051523F"/>
    <w:rsid w:val="00515FC1"/>
    <w:rsid w:val="0052316A"/>
    <w:rsid w:val="00526271"/>
    <w:rsid w:val="00526B25"/>
    <w:rsid w:val="005337E2"/>
    <w:rsid w:val="005338E4"/>
    <w:rsid w:val="0053478E"/>
    <w:rsid w:val="005351FD"/>
    <w:rsid w:val="005378E3"/>
    <w:rsid w:val="00542335"/>
    <w:rsid w:val="005427F4"/>
    <w:rsid w:val="00543394"/>
    <w:rsid w:val="00544FF2"/>
    <w:rsid w:val="005467D1"/>
    <w:rsid w:val="005504D7"/>
    <w:rsid w:val="00550D72"/>
    <w:rsid w:val="0055279E"/>
    <w:rsid w:val="005544B1"/>
    <w:rsid w:val="00560909"/>
    <w:rsid w:val="00563E8E"/>
    <w:rsid w:val="00563FFD"/>
    <w:rsid w:val="00564C35"/>
    <w:rsid w:val="005715A6"/>
    <w:rsid w:val="00573452"/>
    <w:rsid w:val="00573E51"/>
    <w:rsid w:val="005747AF"/>
    <w:rsid w:val="00577ABA"/>
    <w:rsid w:val="00584983"/>
    <w:rsid w:val="00585197"/>
    <w:rsid w:val="005856E6"/>
    <w:rsid w:val="00586423"/>
    <w:rsid w:val="00587676"/>
    <w:rsid w:val="00590101"/>
    <w:rsid w:val="0059200A"/>
    <w:rsid w:val="0059594A"/>
    <w:rsid w:val="00595AF2"/>
    <w:rsid w:val="00596315"/>
    <w:rsid w:val="005A0AD2"/>
    <w:rsid w:val="005A0AF6"/>
    <w:rsid w:val="005A1162"/>
    <w:rsid w:val="005A1F28"/>
    <w:rsid w:val="005A327D"/>
    <w:rsid w:val="005A397B"/>
    <w:rsid w:val="005A662D"/>
    <w:rsid w:val="005A799E"/>
    <w:rsid w:val="005B45DC"/>
    <w:rsid w:val="005B64E8"/>
    <w:rsid w:val="005B7327"/>
    <w:rsid w:val="005C122B"/>
    <w:rsid w:val="005C274B"/>
    <w:rsid w:val="005C72D9"/>
    <w:rsid w:val="005D1E81"/>
    <w:rsid w:val="005E3205"/>
    <w:rsid w:val="005E4487"/>
    <w:rsid w:val="005E5A21"/>
    <w:rsid w:val="005E606D"/>
    <w:rsid w:val="005E6753"/>
    <w:rsid w:val="005E6B18"/>
    <w:rsid w:val="005E6EE8"/>
    <w:rsid w:val="005F2AEE"/>
    <w:rsid w:val="005F314F"/>
    <w:rsid w:val="005F367C"/>
    <w:rsid w:val="005F37F3"/>
    <w:rsid w:val="005F6445"/>
    <w:rsid w:val="005F7392"/>
    <w:rsid w:val="00610726"/>
    <w:rsid w:val="00613EA1"/>
    <w:rsid w:val="00615CAD"/>
    <w:rsid w:val="00616E37"/>
    <w:rsid w:val="006218C0"/>
    <w:rsid w:val="00621F24"/>
    <w:rsid w:val="00637355"/>
    <w:rsid w:val="00640A9D"/>
    <w:rsid w:val="00644B1B"/>
    <w:rsid w:val="00644C7A"/>
    <w:rsid w:val="00652970"/>
    <w:rsid w:val="0065549C"/>
    <w:rsid w:val="00655AEA"/>
    <w:rsid w:val="00655C49"/>
    <w:rsid w:val="00663C2C"/>
    <w:rsid w:val="00667857"/>
    <w:rsid w:val="006679BC"/>
    <w:rsid w:val="006704A1"/>
    <w:rsid w:val="00670CC7"/>
    <w:rsid w:val="00671095"/>
    <w:rsid w:val="006719A1"/>
    <w:rsid w:val="00673259"/>
    <w:rsid w:val="006743A8"/>
    <w:rsid w:val="00674AA9"/>
    <w:rsid w:val="006775CC"/>
    <w:rsid w:val="00677FD3"/>
    <w:rsid w:val="00685773"/>
    <w:rsid w:val="00686AE6"/>
    <w:rsid w:val="00687CBE"/>
    <w:rsid w:val="00687D2F"/>
    <w:rsid w:val="00692ADB"/>
    <w:rsid w:val="00693A60"/>
    <w:rsid w:val="00694836"/>
    <w:rsid w:val="006952EE"/>
    <w:rsid w:val="006A1E8B"/>
    <w:rsid w:val="006A31E2"/>
    <w:rsid w:val="006A495B"/>
    <w:rsid w:val="006B0D52"/>
    <w:rsid w:val="006B33AD"/>
    <w:rsid w:val="006B6B1E"/>
    <w:rsid w:val="006B73C0"/>
    <w:rsid w:val="006C1A9A"/>
    <w:rsid w:val="006D14F7"/>
    <w:rsid w:val="006D6B7E"/>
    <w:rsid w:val="006E14FC"/>
    <w:rsid w:val="006E47D4"/>
    <w:rsid w:val="006F0DA3"/>
    <w:rsid w:val="006F2602"/>
    <w:rsid w:val="006F3B1D"/>
    <w:rsid w:val="006F4693"/>
    <w:rsid w:val="006F4D48"/>
    <w:rsid w:val="006F5354"/>
    <w:rsid w:val="007034D1"/>
    <w:rsid w:val="00707984"/>
    <w:rsid w:val="007104E6"/>
    <w:rsid w:val="00711A33"/>
    <w:rsid w:val="00711A63"/>
    <w:rsid w:val="007128AF"/>
    <w:rsid w:val="00712DC0"/>
    <w:rsid w:val="00713355"/>
    <w:rsid w:val="00714B41"/>
    <w:rsid w:val="007169A5"/>
    <w:rsid w:val="00717E69"/>
    <w:rsid w:val="0072062C"/>
    <w:rsid w:val="00721A70"/>
    <w:rsid w:val="00723FC0"/>
    <w:rsid w:val="00724507"/>
    <w:rsid w:val="00725F74"/>
    <w:rsid w:val="0073539F"/>
    <w:rsid w:val="00736310"/>
    <w:rsid w:val="00737F13"/>
    <w:rsid w:val="007407BA"/>
    <w:rsid w:val="00743C7F"/>
    <w:rsid w:val="007441FB"/>
    <w:rsid w:val="007442AD"/>
    <w:rsid w:val="0074483B"/>
    <w:rsid w:val="00744849"/>
    <w:rsid w:val="007461AF"/>
    <w:rsid w:val="00747470"/>
    <w:rsid w:val="007502A2"/>
    <w:rsid w:val="00750DC9"/>
    <w:rsid w:val="00753925"/>
    <w:rsid w:val="0075497B"/>
    <w:rsid w:val="00754B42"/>
    <w:rsid w:val="00755EA2"/>
    <w:rsid w:val="007575E8"/>
    <w:rsid w:val="0076059E"/>
    <w:rsid w:val="007721DC"/>
    <w:rsid w:val="00772CE1"/>
    <w:rsid w:val="007734DA"/>
    <w:rsid w:val="00773795"/>
    <w:rsid w:val="00774B18"/>
    <w:rsid w:val="007756D2"/>
    <w:rsid w:val="00775D7A"/>
    <w:rsid w:val="00780689"/>
    <w:rsid w:val="00784088"/>
    <w:rsid w:val="00785707"/>
    <w:rsid w:val="00786F81"/>
    <w:rsid w:val="00787E51"/>
    <w:rsid w:val="00787F2B"/>
    <w:rsid w:val="007931D4"/>
    <w:rsid w:val="00796914"/>
    <w:rsid w:val="007A1BC0"/>
    <w:rsid w:val="007A6043"/>
    <w:rsid w:val="007B1990"/>
    <w:rsid w:val="007B2030"/>
    <w:rsid w:val="007B5379"/>
    <w:rsid w:val="007C3BE8"/>
    <w:rsid w:val="007C3C48"/>
    <w:rsid w:val="007C444F"/>
    <w:rsid w:val="007D1E5E"/>
    <w:rsid w:val="007E4293"/>
    <w:rsid w:val="007E4E85"/>
    <w:rsid w:val="007F43C4"/>
    <w:rsid w:val="007F5B2E"/>
    <w:rsid w:val="007F5BDC"/>
    <w:rsid w:val="008007BA"/>
    <w:rsid w:val="00800CB0"/>
    <w:rsid w:val="00802541"/>
    <w:rsid w:val="00804B8E"/>
    <w:rsid w:val="00806769"/>
    <w:rsid w:val="00810952"/>
    <w:rsid w:val="00811A7B"/>
    <w:rsid w:val="008122D0"/>
    <w:rsid w:val="00812C25"/>
    <w:rsid w:val="00814D27"/>
    <w:rsid w:val="00814F45"/>
    <w:rsid w:val="008208EA"/>
    <w:rsid w:val="00823B9A"/>
    <w:rsid w:val="00824995"/>
    <w:rsid w:val="00825513"/>
    <w:rsid w:val="0082647D"/>
    <w:rsid w:val="00830879"/>
    <w:rsid w:val="008308B1"/>
    <w:rsid w:val="00832FB7"/>
    <w:rsid w:val="008331CA"/>
    <w:rsid w:val="0083458B"/>
    <w:rsid w:val="0083656F"/>
    <w:rsid w:val="00837995"/>
    <w:rsid w:val="008414AA"/>
    <w:rsid w:val="00842665"/>
    <w:rsid w:val="00845318"/>
    <w:rsid w:val="0084646C"/>
    <w:rsid w:val="0085158F"/>
    <w:rsid w:val="0085612B"/>
    <w:rsid w:val="008608C1"/>
    <w:rsid w:val="00862323"/>
    <w:rsid w:val="00863939"/>
    <w:rsid w:val="00863DC7"/>
    <w:rsid w:val="0086478A"/>
    <w:rsid w:val="008649B2"/>
    <w:rsid w:val="00866723"/>
    <w:rsid w:val="0087286C"/>
    <w:rsid w:val="0087374D"/>
    <w:rsid w:val="00873750"/>
    <w:rsid w:val="00874A45"/>
    <w:rsid w:val="00876CC1"/>
    <w:rsid w:val="00876D12"/>
    <w:rsid w:val="00880EDE"/>
    <w:rsid w:val="008855D3"/>
    <w:rsid w:val="00886A3F"/>
    <w:rsid w:val="00887B19"/>
    <w:rsid w:val="00890EBD"/>
    <w:rsid w:val="0089132A"/>
    <w:rsid w:val="00891B47"/>
    <w:rsid w:val="00894A93"/>
    <w:rsid w:val="008A3D4F"/>
    <w:rsid w:val="008B3BCB"/>
    <w:rsid w:val="008B7502"/>
    <w:rsid w:val="008C34EA"/>
    <w:rsid w:val="008C36E1"/>
    <w:rsid w:val="008D0F97"/>
    <w:rsid w:val="008D220B"/>
    <w:rsid w:val="008D3540"/>
    <w:rsid w:val="008D3A11"/>
    <w:rsid w:val="008D6B7E"/>
    <w:rsid w:val="008D6FB3"/>
    <w:rsid w:val="008E0C11"/>
    <w:rsid w:val="008E4564"/>
    <w:rsid w:val="008E4B0D"/>
    <w:rsid w:val="008E67AE"/>
    <w:rsid w:val="008E6D76"/>
    <w:rsid w:val="008F030C"/>
    <w:rsid w:val="008F0B09"/>
    <w:rsid w:val="008F1055"/>
    <w:rsid w:val="008F225E"/>
    <w:rsid w:val="008F3508"/>
    <w:rsid w:val="008F381F"/>
    <w:rsid w:val="008F4F12"/>
    <w:rsid w:val="008F5ED0"/>
    <w:rsid w:val="00901271"/>
    <w:rsid w:val="0090208F"/>
    <w:rsid w:val="00903D82"/>
    <w:rsid w:val="00904166"/>
    <w:rsid w:val="00905D97"/>
    <w:rsid w:val="00906DF3"/>
    <w:rsid w:val="00911BE6"/>
    <w:rsid w:val="00913311"/>
    <w:rsid w:val="009137D5"/>
    <w:rsid w:val="00914E07"/>
    <w:rsid w:val="00914FC5"/>
    <w:rsid w:val="00917F25"/>
    <w:rsid w:val="00917F4D"/>
    <w:rsid w:val="00924F49"/>
    <w:rsid w:val="00926CCF"/>
    <w:rsid w:val="009278E9"/>
    <w:rsid w:val="009308A9"/>
    <w:rsid w:val="00932DBB"/>
    <w:rsid w:val="009415E6"/>
    <w:rsid w:val="00942260"/>
    <w:rsid w:val="00942B44"/>
    <w:rsid w:val="009461BA"/>
    <w:rsid w:val="00946A32"/>
    <w:rsid w:val="00946CD8"/>
    <w:rsid w:val="009608FD"/>
    <w:rsid w:val="00960C6D"/>
    <w:rsid w:val="00964125"/>
    <w:rsid w:val="0096439B"/>
    <w:rsid w:val="00965431"/>
    <w:rsid w:val="009705FD"/>
    <w:rsid w:val="00971569"/>
    <w:rsid w:val="00973283"/>
    <w:rsid w:val="00973460"/>
    <w:rsid w:val="0097387E"/>
    <w:rsid w:val="00973E17"/>
    <w:rsid w:val="00974FCD"/>
    <w:rsid w:val="009804F0"/>
    <w:rsid w:val="00982122"/>
    <w:rsid w:val="00985B77"/>
    <w:rsid w:val="0099068D"/>
    <w:rsid w:val="00990F0E"/>
    <w:rsid w:val="00992922"/>
    <w:rsid w:val="00992B6F"/>
    <w:rsid w:val="00996578"/>
    <w:rsid w:val="00996FE9"/>
    <w:rsid w:val="009A184F"/>
    <w:rsid w:val="009A22CC"/>
    <w:rsid w:val="009B0A5F"/>
    <w:rsid w:val="009B11CE"/>
    <w:rsid w:val="009B127E"/>
    <w:rsid w:val="009B3D81"/>
    <w:rsid w:val="009B433B"/>
    <w:rsid w:val="009C3158"/>
    <w:rsid w:val="009C7BAD"/>
    <w:rsid w:val="009D624A"/>
    <w:rsid w:val="009D710E"/>
    <w:rsid w:val="009D744B"/>
    <w:rsid w:val="009D795B"/>
    <w:rsid w:val="009E1721"/>
    <w:rsid w:val="009E298E"/>
    <w:rsid w:val="009E4EF4"/>
    <w:rsid w:val="009E5111"/>
    <w:rsid w:val="009E61E7"/>
    <w:rsid w:val="009E6B44"/>
    <w:rsid w:val="009E706C"/>
    <w:rsid w:val="009F14E3"/>
    <w:rsid w:val="00A0594C"/>
    <w:rsid w:val="00A06AB8"/>
    <w:rsid w:val="00A12F13"/>
    <w:rsid w:val="00A14414"/>
    <w:rsid w:val="00A1499D"/>
    <w:rsid w:val="00A15258"/>
    <w:rsid w:val="00A16341"/>
    <w:rsid w:val="00A17FEA"/>
    <w:rsid w:val="00A209F4"/>
    <w:rsid w:val="00A21368"/>
    <w:rsid w:val="00A25713"/>
    <w:rsid w:val="00A33273"/>
    <w:rsid w:val="00A36ABD"/>
    <w:rsid w:val="00A36AC4"/>
    <w:rsid w:val="00A3794A"/>
    <w:rsid w:val="00A43BE3"/>
    <w:rsid w:val="00A44733"/>
    <w:rsid w:val="00A44C25"/>
    <w:rsid w:val="00A50520"/>
    <w:rsid w:val="00A517EB"/>
    <w:rsid w:val="00A5297A"/>
    <w:rsid w:val="00A53676"/>
    <w:rsid w:val="00A54061"/>
    <w:rsid w:val="00A55B1A"/>
    <w:rsid w:val="00A55BC3"/>
    <w:rsid w:val="00A55EC3"/>
    <w:rsid w:val="00A624E6"/>
    <w:rsid w:val="00A62B13"/>
    <w:rsid w:val="00A64673"/>
    <w:rsid w:val="00A64D1A"/>
    <w:rsid w:val="00A651B2"/>
    <w:rsid w:val="00A65A99"/>
    <w:rsid w:val="00A71B0F"/>
    <w:rsid w:val="00A744CA"/>
    <w:rsid w:val="00A745CE"/>
    <w:rsid w:val="00A77AA2"/>
    <w:rsid w:val="00A82101"/>
    <w:rsid w:val="00A82445"/>
    <w:rsid w:val="00A829D7"/>
    <w:rsid w:val="00A83EF5"/>
    <w:rsid w:val="00A87521"/>
    <w:rsid w:val="00A90229"/>
    <w:rsid w:val="00A9181C"/>
    <w:rsid w:val="00A91DB2"/>
    <w:rsid w:val="00A944F4"/>
    <w:rsid w:val="00A9714B"/>
    <w:rsid w:val="00A978E7"/>
    <w:rsid w:val="00AA3705"/>
    <w:rsid w:val="00AA46BB"/>
    <w:rsid w:val="00AA6335"/>
    <w:rsid w:val="00AA699B"/>
    <w:rsid w:val="00AB1177"/>
    <w:rsid w:val="00AB1B5C"/>
    <w:rsid w:val="00AB292C"/>
    <w:rsid w:val="00AB6FC1"/>
    <w:rsid w:val="00AC2540"/>
    <w:rsid w:val="00AC33BF"/>
    <w:rsid w:val="00AC395C"/>
    <w:rsid w:val="00AC7F74"/>
    <w:rsid w:val="00AD204B"/>
    <w:rsid w:val="00AD2BB5"/>
    <w:rsid w:val="00AD39F0"/>
    <w:rsid w:val="00AD5437"/>
    <w:rsid w:val="00AD6004"/>
    <w:rsid w:val="00AD684A"/>
    <w:rsid w:val="00AD7F08"/>
    <w:rsid w:val="00AE026A"/>
    <w:rsid w:val="00AE3E68"/>
    <w:rsid w:val="00AE781A"/>
    <w:rsid w:val="00AF0DEB"/>
    <w:rsid w:val="00AF11E3"/>
    <w:rsid w:val="00AF6304"/>
    <w:rsid w:val="00AF663F"/>
    <w:rsid w:val="00AF6C79"/>
    <w:rsid w:val="00B02701"/>
    <w:rsid w:val="00B16F92"/>
    <w:rsid w:val="00B1707F"/>
    <w:rsid w:val="00B17317"/>
    <w:rsid w:val="00B17501"/>
    <w:rsid w:val="00B211DB"/>
    <w:rsid w:val="00B228AE"/>
    <w:rsid w:val="00B22C79"/>
    <w:rsid w:val="00B22EBB"/>
    <w:rsid w:val="00B3016F"/>
    <w:rsid w:val="00B30F91"/>
    <w:rsid w:val="00B32A16"/>
    <w:rsid w:val="00B3404E"/>
    <w:rsid w:val="00B37A24"/>
    <w:rsid w:val="00B40FC6"/>
    <w:rsid w:val="00B42ED7"/>
    <w:rsid w:val="00B43E84"/>
    <w:rsid w:val="00B508CA"/>
    <w:rsid w:val="00B52F17"/>
    <w:rsid w:val="00B53A5A"/>
    <w:rsid w:val="00B53B9D"/>
    <w:rsid w:val="00B6366D"/>
    <w:rsid w:val="00B638CD"/>
    <w:rsid w:val="00B67D6A"/>
    <w:rsid w:val="00B70413"/>
    <w:rsid w:val="00B70681"/>
    <w:rsid w:val="00B76C1A"/>
    <w:rsid w:val="00B77E31"/>
    <w:rsid w:val="00B81C2A"/>
    <w:rsid w:val="00B834E2"/>
    <w:rsid w:val="00B86435"/>
    <w:rsid w:val="00B868E3"/>
    <w:rsid w:val="00B94215"/>
    <w:rsid w:val="00B951C9"/>
    <w:rsid w:val="00B96300"/>
    <w:rsid w:val="00BA2FF3"/>
    <w:rsid w:val="00BA6A0D"/>
    <w:rsid w:val="00BA7340"/>
    <w:rsid w:val="00BB0008"/>
    <w:rsid w:val="00BB0C2E"/>
    <w:rsid w:val="00BB203D"/>
    <w:rsid w:val="00BB4790"/>
    <w:rsid w:val="00BC017A"/>
    <w:rsid w:val="00BC0D0F"/>
    <w:rsid w:val="00BC1C66"/>
    <w:rsid w:val="00BD1086"/>
    <w:rsid w:val="00BD2C90"/>
    <w:rsid w:val="00BD4A4C"/>
    <w:rsid w:val="00BD538C"/>
    <w:rsid w:val="00BE1459"/>
    <w:rsid w:val="00BE4AFC"/>
    <w:rsid w:val="00BE515A"/>
    <w:rsid w:val="00BE703F"/>
    <w:rsid w:val="00BF2707"/>
    <w:rsid w:val="00BF394F"/>
    <w:rsid w:val="00BF40EF"/>
    <w:rsid w:val="00BF4479"/>
    <w:rsid w:val="00BF47A1"/>
    <w:rsid w:val="00C00189"/>
    <w:rsid w:val="00C01745"/>
    <w:rsid w:val="00C10E4A"/>
    <w:rsid w:val="00C11A26"/>
    <w:rsid w:val="00C13733"/>
    <w:rsid w:val="00C20C11"/>
    <w:rsid w:val="00C20EE9"/>
    <w:rsid w:val="00C22D5B"/>
    <w:rsid w:val="00C24D21"/>
    <w:rsid w:val="00C33AD2"/>
    <w:rsid w:val="00C365AF"/>
    <w:rsid w:val="00C40F83"/>
    <w:rsid w:val="00C4227F"/>
    <w:rsid w:val="00C43E24"/>
    <w:rsid w:val="00C4433E"/>
    <w:rsid w:val="00C45805"/>
    <w:rsid w:val="00C45A6C"/>
    <w:rsid w:val="00C46693"/>
    <w:rsid w:val="00C472A1"/>
    <w:rsid w:val="00C51764"/>
    <w:rsid w:val="00C5454D"/>
    <w:rsid w:val="00C54E18"/>
    <w:rsid w:val="00C56B76"/>
    <w:rsid w:val="00C56ED5"/>
    <w:rsid w:val="00C57F57"/>
    <w:rsid w:val="00C614B5"/>
    <w:rsid w:val="00C6385B"/>
    <w:rsid w:val="00C6451B"/>
    <w:rsid w:val="00C652C5"/>
    <w:rsid w:val="00C701E5"/>
    <w:rsid w:val="00C70702"/>
    <w:rsid w:val="00C7498F"/>
    <w:rsid w:val="00C76BE6"/>
    <w:rsid w:val="00C80161"/>
    <w:rsid w:val="00C80682"/>
    <w:rsid w:val="00C809ED"/>
    <w:rsid w:val="00C82AF1"/>
    <w:rsid w:val="00C8499E"/>
    <w:rsid w:val="00C858CE"/>
    <w:rsid w:val="00C8748A"/>
    <w:rsid w:val="00C8761E"/>
    <w:rsid w:val="00C87F73"/>
    <w:rsid w:val="00C9506C"/>
    <w:rsid w:val="00C9680F"/>
    <w:rsid w:val="00CA13D6"/>
    <w:rsid w:val="00CA41BF"/>
    <w:rsid w:val="00CA5F4B"/>
    <w:rsid w:val="00CA7883"/>
    <w:rsid w:val="00CB01D7"/>
    <w:rsid w:val="00CB0896"/>
    <w:rsid w:val="00CB13E7"/>
    <w:rsid w:val="00CB3D3C"/>
    <w:rsid w:val="00CB5E2D"/>
    <w:rsid w:val="00CC1C82"/>
    <w:rsid w:val="00CC2EEE"/>
    <w:rsid w:val="00CC3EA8"/>
    <w:rsid w:val="00CC4E84"/>
    <w:rsid w:val="00CC77D5"/>
    <w:rsid w:val="00CD1796"/>
    <w:rsid w:val="00CD286C"/>
    <w:rsid w:val="00CD4036"/>
    <w:rsid w:val="00CD656F"/>
    <w:rsid w:val="00CD6AB3"/>
    <w:rsid w:val="00CE0978"/>
    <w:rsid w:val="00CE10F3"/>
    <w:rsid w:val="00CE49EA"/>
    <w:rsid w:val="00CE5913"/>
    <w:rsid w:val="00CE6B7F"/>
    <w:rsid w:val="00CE7449"/>
    <w:rsid w:val="00CE7E63"/>
    <w:rsid w:val="00CF5066"/>
    <w:rsid w:val="00CF6581"/>
    <w:rsid w:val="00D00259"/>
    <w:rsid w:val="00D0049C"/>
    <w:rsid w:val="00D053B1"/>
    <w:rsid w:val="00D062E8"/>
    <w:rsid w:val="00D06D82"/>
    <w:rsid w:val="00D074BE"/>
    <w:rsid w:val="00D1427C"/>
    <w:rsid w:val="00D1618F"/>
    <w:rsid w:val="00D212FE"/>
    <w:rsid w:val="00D22A91"/>
    <w:rsid w:val="00D235F7"/>
    <w:rsid w:val="00D253BB"/>
    <w:rsid w:val="00D267D5"/>
    <w:rsid w:val="00D26B56"/>
    <w:rsid w:val="00D30E22"/>
    <w:rsid w:val="00D31CB3"/>
    <w:rsid w:val="00D31D1E"/>
    <w:rsid w:val="00D3330D"/>
    <w:rsid w:val="00D343C3"/>
    <w:rsid w:val="00D3441E"/>
    <w:rsid w:val="00D356B5"/>
    <w:rsid w:val="00D40F89"/>
    <w:rsid w:val="00D416B3"/>
    <w:rsid w:val="00D4563B"/>
    <w:rsid w:val="00D45A43"/>
    <w:rsid w:val="00D52C8D"/>
    <w:rsid w:val="00D54593"/>
    <w:rsid w:val="00D54D77"/>
    <w:rsid w:val="00D63294"/>
    <w:rsid w:val="00D74A0E"/>
    <w:rsid w:val="00D75AE2"/>
    <w:rsid w:val="00D769B2"/>
    <w:rsid w:val="00D77865"/>
    <w:rsid w:val="00D8194C"/>
    <w:rsid w:val="00D82C31"/>
    <w:rsid w:val="00D8556B"/>
    <w:rsid w:val="00D87E8E"/>
    <w:rsid w:val="00D90770"/>
    <w:rsid w:val="00D93217"/>
    <w:rsid w:val="00DA0DF0"/>
    <w:rsid w:val="00DA11A5"/>
    <w:rsid w:val="00DA11C2"/>
    <w:rsid w:val="00DA208A"/>
    <w:rsid w:val="00DA67B8"/>
    <w:rsid w:val="00DA765C"/>
    <w:rsid w:val="00DB2FCB"/>
    <w:rsid w:val="00DB495D"/>
    <w:rsid w:val="00DC2192"/>
    <w:rsid w:val="00DC2354"/>
    <w:rsid w:val="00DC2BF3"/>
    <w:rsid w:val="00DC379D"/>
    <w:rsid w:val="00DC3B58"/>
    <w:rsid w:val="00DC3D51"/>
    <w:rsid w:val="00DC5CD7"/>
    <w:rsid w:val="00DC6568"/>
    <w:rsid w:val="00DC6DA1"/>
    <w:rsid w:val="00DD25C6"/>
    <w:rsid w:val="00DE4D31"/>
    <w:rsid w:val="00DF2DF6"/>
    <w:rsid w:val="00DF6691"/>
    <w:rsid w:val="00DF7CC2"/>
    <w:rsid w:val="00DF7D11"/>
    <w:rsid w:val="00E00920"/>
    <w:rsid w:val="00E00B36"/>
    <w:rsid w:val="00E00E16"/>
    <w:rsid w:val="00E02CB3"/>
    <w:rsid w:val="00E03512"/>
    <w:rsid w:val="00E03CFF"/>
    <w:rsid w:val="00E078D7"/>
    <w:rsid w:val="00E10B1F"/>
    <w:rsid w:val="00E125D0"/>
    <w:rsid w:val="00E14662"/>
    <w:rsid w:val="00E147D8"/>
    <w:rsid w:val="00E14A99"/>
    <w:rsid w:val="00E152AF"/>
    <w:rsid w:val="00E16571"/>
    <w:rsid w:val="00E22E4E"/>
    <w:rsid w:val="00E25253"/>
    <w:rsid w:val="00E25753"/>
    <w:rsid w:val="00E27C0E"/>
    <w:rsid w:val="00E3529B"/>
    <w:rsid w:val="00E42E65"/>
    <w:rsid w:val="00E43865"/>
    <w:rsid w:val="00E451F3"/>
    <w:rsid w:val="00E46E7C"/>
    <w:rsid w:val="00E505D9"/>
    <w:rsid w:val="00E5274C"/>
    <w:rsid w:val="00E5360D"/>
    <w:rsid w:val="00E57976"/>
    <w:rsid w:val="00E60E3B"/>
    <w:rsid w:val="00E6481E"/>
    <w:rsid w:val="00E6523D"/>
    <w:rsid w:val="00E66580"/>
    <w:rsid w:val="00E67531"/>
    <w:rsid w:val="00E7033E"/>
    <w:rsid w:val="00E72B2F"/>
    <w:rsid w:val="00E77719"/>
    <w:rsid w:val="00E77C49"/>
    <w:rsid w:val="00E80C73"/>
    <w:rsid w:val="00E81471"/>
    <w:rsid w:val="00E84053"/>
    <w:rsid w:val="00E848B2"/>
    <w:rsid w:val="00E91955"/>
    <w:rsid w:val="00E92315"/>
    <w:rsid w:val="00E93508"/>
    <w:rsid w:val="00E94A38"/>
    <w:rsid w:val="00E95F59"/>
    <w:rsid w:val="00E97FF5"/>
    <w:rsid w:val="00EA3A66"/>
    <w:rsid w:val="00EA4F74"/>
    <w:rsid w:val="00EA7549"/>
    <w:rsid w:val="00EB1F77"/>
    <w:rsid w:val="00EB6A81"/>
    <w:rsid w:val="00EC36F3"/>
    <w:rsid w:val="00EC4FC7"/>
    <w:rsid w:val="00EC5CAD"/>
    <w:rsid w:val="00ED488A"/>
    <w:rsid w:val="00ED4C2F"/>
    <w:rsid w:val="00EE0C22"/>
    <w:rsid w:val="00EE347C"/>
    <w:rsid w:val="00EE3D88"/>
    <w:rsid w:val="00EE4D58"/>
    <w:rsid w:val="00EE5B39"/>
    <w:rsid w:val="00EF0A03"/>
    <w:rsid w:val="00EF1030"/>
    <w:rsid w:val="00EF1A9B"/>
    <w:rsid w:val="00EF3DF0"/>
    <w:rsid w:val="00EF462C"/>
    <w:rsid w:val="00EF66CB"/>
    <w:rsid w:val="00F01DE4"/>
    <w:rsid w:val="00F054B4"/>
    <w:rsid w:val="00F0556A"/>
    <w:rsid w:val="00F0707B"/>
    <w:rsid w:val="00F07379"/>
    <w:rsid w:val="00F11433"/>
    <w:rsid w:val="00F11A68"/>
    <w:rsid w:val="00F12D0B"/>
    <w:rsid w:val="00F149FA"/>
    <w:rsid w:val="00F15465"/>
    <w:rsid w:val="00F21980"/>
    <w:rsid w:val="00F24F89"/>
    <w:rsid w:val="00F2692E"/>
    <w:rsid w:val="00F277F6"/>
    <w:rsid w:val="00F314C7"/>
    <w:rsid w:val="00F34215"/>
    <w:rsid w:val="00F34C76"/>
    <w:rsid w:val="00F350F3"/>
    <w:rsid w:val="00F35C47"/>
    <w:rsid w:val="00F3757C"/>
    <w:rsid w:val="00F412EC"/>
    <w:rsid w:val="00F4140F"/>
    <w:rsid w:val="00F43518"/>
    <w:rsid w:val="00F43FB2"/>
    <w:rsid w:val="00F44F3F"/>
    <w:rsid w:val="00F45511"/>
    <w:rsid w:val="00F45D42"/>
    <w:rsid w:val="00F52BF2"/>
    <w:rsid w:val="00F53824"/>
    <w:rsid w:val="00F538D8"/>
    <w:rsid w:val="00F54343"/>
    <w:rsid w:val="00F56A5B"/>
    <w:rsid w:val="00F574A8"/>
    <w:rsid w:val="00F57644"/>
    <w:rsid w:val="00F6045F"/>
    <w:rsid w:val="00F60C05"/>
    <w:rsid w:val="00F61F2B"/>
    <w:rsid w:val="00F633A0"/>
    <w:rsid w:val="00F64069"/>
    <w:rsid w:val="00F6469A"/>
    <w:rsid w:val="00F711CC"/>
    <w:rsid w:val="00F71D9E"/>
    <w:rsid w:val="00F74E7D"/>
    <w:rsid w:val="00F76612"/>
    <w:rsid w:val="00F82001"/>
    <w:rsid w:val="00F837C7"/>
    <w:rsid w:val="00F83DD9"/>
    <w:rsid w:val="00F90094"/>
    <w:rsid w:val="00F90E54"/>
    <w:rsid w:val="00F97401"/>
    <w:rsid w:val="00FA0B06"/>
    <w:rsid w:val="00FA0F98"/>
    <w:rsid w:val="00FA3345"/>
    <w:rsid w:val="00FA334C"/>
    <w:rsid w:val="00FA3509"/>
    <w:rsid w:val="00FA5028"/>
    <w:rsid w:val="00FA53BF"/>
    <w:rsid w:val="00FA71D3"/>
    <w:rsid w:val="00FB3872"/>
    <w:rsid w:val="00FB67BF"/>
    <w:rsid w:val="00FC13F6"/>
    <w:rsid w:val="00FC4977"/>
    <w:rsid w:val="00FC514C"/>
    <w:rsid w:val="00FC6922"/>
    <w:rsid w:val="00FD1434"/>
    <w:rsid w:val="00FE1D59"/>
    <w:rsid w:val="00FE1E0C"/>
    <w:rsid w:val="00FE2621"/>
    <w:rsid w:val="00FE5D67"/>
    <w:rsid w:val="00FE5FB7"/>
    <w:rsid w:val="00FF0529"/>
    <w:rsid w:val="00FF3223"/>
    <w:rsid w:val="00FF4E7D"/>
    <w:rsid w:val="00FF60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3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3259"/>
    <w:pPr>
      <w:ind w:left="720"/>
      <w:contextualSpacing/>
    </w:pPr>
  </w:style>
  <w:style w:type="paragraph" w:styleId="NoSpacing">
    <w:name w:val="No Spacing"/>
    <w:uiPriority w:val="99"/>
    <w:qFormat/>
    <w:rsid w:val="00673259"/>
    <w:rPr>
      <w:lang w:eastAsia="en-US"/>
    </w:rPr>
  </w:style>
  <w:style w:type="paragraph" w:styleId="Header">
    <w:name w:val="header"/>
    <w:basedOn w:val="Normal"/>
    <w:link w:val="HeaderChar"/>
    <w:uiPriority w:val="99"/>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3259"/>
    <w:rPr>
      <w:rFonts w:cs="Times New Roman"/>
    </w:rPr>
  </w:style>
  <w:style w:type="paragraph" w:styleId="Footer">
    <w:name w:val="footer"/>
    <w:basedOn w:val="Normal"/>
    <w:link w:val="FooterChar"/>
    <w:uiPriority w:val="99"/>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3259"/>
    <w:rPr>
      <w:rFonts w:cs="Times New Roman"/>
    </w:rPr>
  </w:style>
  <w:style w:type="paragraph" w:customStyle="1" w:styleId="Default">
    <w:name w:val="Default"/>
    <w:uiPriority w:val="99"/>
    <w:rsid w:val="00CB3D3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46693"/>
    <w:rPr>
      <w:rFonts w:cs="Times New Roman"/>
      <w:color w:val="0000FF"/>
      <w:u w:val="single"/>
    </w:rPr>
  </w:style>
  <w:style w:type="paragraph" w:customStyle="1" w:styleId="naiskr">
    <w:name w:val="naiskr"/>
    <w:basedOn w:val="Normal"/>
    <w:uiPriority w:val="99"/>
    <w:rsid w:val="000D1B4B"/>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0D1B4B"/>
    <w:pPr>
      <w:spacing w:before="150" w:after="150" w:line="240" w:lineRule="auto"/>
      <w:jc w:val="center"/>
    </w:pPr>
    <w:rPr>
      <w:rFonts w:ascii="Times New Roman" w:eastAsia="Times New Roman" w:hAnsi="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2095085803">
      <w:marLeft w:val="0"/>
      <w:marRight w:val="0"/>
      <w:marTop w:val="0"/>
      <w:marBottom w:val="0"/>
      <w:divBdr>
        <w:top w:val="none" w:sz="0" w:space="0" w:color="auto"/>
        <w:left w:val="none" w:sz="0" w:space="0" w:color="auto"/>
        <w:bottom w:val="none" w:sz="0" w:space="0" w:color="auto"/>
        <w:right w:val="none" w:sz="0" w:space="0" w:color="auto"/>
      </w:divBdr>
    </w:div>
    <w:div w:id="2095085804">
      <w:marLeft w:val="0"/>
      <w:marRight w:val="0"/>
      <w:marTop w:val="0"/>
      <w:marBottom w:val="0"/>
      <w:divBdr>
        <w:top w:val="none" w:sz="0" w:space="0" w:color="auto"/>
        <w:left w:val="none" w:sz="0" w:space="0" w:color="auto"/>
        <w:bottom w:val="none" w:sz="0" w:space="0" w:color="auto"/>
        <w:right w:val="none" w:sz="0" w:space="0" w:color="auto"/>
      </w:divBdr>
    </w:div>
    <w:div w:id="2095085805">
      <w:marLeft w:val="0"/>
      <w:marRight w:val="0"/>
      <w:marTop w:val="0"/>
      <w:marBottom w:val="0"/>
      <w:divBdr>
        <w:top w:val="none" w:sz="0" w:space="0" w:color="auto"/>
        <w:left w:val="none" w:sz="0" w:space="0" w:color="auto"/>
        <w:bottom w:val="none" w:sz="0" w:space="0" w:color="auto"/>
        <w:right w:val="none" w:sz="0" w:space="0" w:color="auto"/>
      </w:divBdr>
    </w:div>
    <w:div w:id="2095085806">
      <w:marLeft w:val="0"/>
      <w:marRight w:val="0"/>
      <w:marTop w:val="0"/>
      <w:marBottom w:val="0"/>
      <w:divBdr>
        <w:top w:val="none" w:sz="0" w:space="0" w:color="auto"/>
        <w:left w:val="none" w:sz="0" w:space="0" w:color="auto"/>
        <w:bottom w:val="none" w:sz="0" w:space="0" w:color="auto"/>
        <w:right w:val="none" w:sz="0" w:space="0" w:color="auto"/>
      </w:divBdr>
      <w:divsChild>
        <w:div w:id="2095085807">
          <w:marLeft w:val="0"/>
          <w:marRight w:val="0"/>
          <w:marTop w:val="0"/>
          <w:marBottom w:val="0"/>
          <w:divBdr>
            <w:top w:val="none" w:sz="0" w:space="0" w:color="auto"/>
            <w:left w:val="none" w:sz="0" w:space="0" w:color="auto"/>
            <w:bottom w:val="none" w:sz="0" w:space="0" w:color="auto"/>
            <w:right w:val="none" w:sz="0" w:space="0" w:color="auto"/>
          </w:divBdr>
        </w:div>
        <w:div w:id="209508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1144</TotalTime>
  <Pages>5</Pages>
  <Words>836</Words>
  <Characters>5671</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4.augusta noteikumos Nr. 857 "Kārtība, kādā nodrošināma sakaru tīklu darbība Kuģu satiksmes uzraudzības un informācijas datu apmaiņas sistēmas ietvaros</dc:title>
  <dc:subject>Anotācija</dc:subject>
  <dc:creator>Laima Rituma, Jana Jankoviča</dc:creator>
  <cp:keywords/>
  <dc:description>laima.rituma@sam.gov.lv, 67028198jana.jankovica@lja.lv, 67062133</dc:description>
  <cp:lastModifiedBy>Baiba Šterna</cp:lastModifiedBy>
  <cp:revision>4122</cp:revision>
  <cp:lastPrinted>2011-11-24T08:55:00Z</cp:lastPrinted>
  <dcterms:created xsi:type="dcterms:W3CDTF">2011-02-24T12:51:00Z</dcterms:created>
  <dcterms:modified xsi:type="dcterms:W3CDTF">2012-05-02T08:05:00Z</dcterms:modified>
</cp:coreProperties>
</file>