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AC" w:rsidRPr="00174DAC" w:rsidRDefault="00174DAC" w:rsidP="00D568FC">
      <w:pPr>
        <w:spacing w:after="0" w:line="240" w:lineRule="auto"/>
        <w:jc w:val="center"/>
        <w:outlineLvl w:val="0"/>
        <w:rPr>
          <w:rFonts w:ascii="Times New Roman" w:eastAsia="Times New Roman" w:hAnsi="Times New Roman" w:cs="Times New Roman"/>
          <w:b/>
          <w:sz w:val="28"/>
          <w:szCs w:val="28"/>
          <w:lang w:eastAsia="lv-LV"/>
        </w:rPr>
      </w:pPr>
      <w:r w:rsidRPr="00174DAC">
        <w:rPr>
          <w:rFonts w:ascii="Times New Roman" w:eastAsia="Times New Roman" w:hAnsi="Times New Roman" w:cs="Times New Roman"/>
          <w:b/>
          <w:sz w:val="28"/>
          <w:szCs w:val="28"/>
          <w:lang w:eastAsia="lv-LV"/>
        </w:rPr>
        <w:t xml:space="preserve">Ministru kabineta noteikumu projekta „Grozījumi Ministru kabineta 2012.gada 15.maija noteikumos Nr.341 „Kārtība, kādā nosaka un kompensē ar sabiedriskā transporta pakalpojumu sniegšanu saistītos zaudējumus un izdevumus un nosaka sabiedriskā transporta pakalpojuma tarifu”” sākotnējās ietekmes novērtējuma </w:t>
      </w:r>
      <w:smartTag w:uri="schemas-tilde-lv/tildestengine" w:element="veidnes">
        <w:smartTagPr>
          <w:attr w:name="id" w:val="-1"/>
          <w:attr w:name="baseform" w:val="ziņojums"/>
          <w:attr w:name="text" w:val="ziņojums&#10;"/>
        </w:smartTagPr>
        <w:r w:rsidRPr="00174DAC">
          <w:rPr>
            <w:rFonts w:ascii="Times New Roman" w:eastAsia="Times New Roman" w:hAnsi="Times New Roman" w:cs="Times New Roman"/>
            <w:b/>
            <w:sz w:val="28"/>
            <w:szCs w:val="28"/>
            <w:lang w:eastAsia="lv-LV"/>
          </w:rPr>
          <w:t>ziņojums</w:t>
        </w:r>
        <w:r w:rsidR="00D568FC">
          <w:rPr>
            <w:rFonts w:ascii="Times New Roman" w:eastAsia="Times New Roman" w:hAnsi="Times New Roman" w:cs="Times New Roman"/>
            <w:b/>
            <w:sz w:val="28"/>
            <w:szCs w:val="28"/>
            <w:lang w:eastAsia="lv-LV"/>
          </w:rPr>
          <w:t xml:space="preserve"> </w:t>
        </w:r>
      </w:smartTag>
      <w:r w:rsidRPr="00174DAC">
        <w:rPr>
          <w:rFonts w:ascii="Times New Roman" w:eastAsia="Times New Roman" w:hAnsi="Times New Roman" w:cs="Times New Roman"/>
          <w:b/>
          <w:sz w:val="28"/>
          <w:szCs w:val="28"/>
          <w:lang w:eastAsia="lv-LV"/>
        </w:rPr>
        <w:t>(anotācija)</w:t>
      </w:r>
    </w:p>
    <w:p w:rsidR="00174DAC" w:rsidRDefault="00174DAC" w:rsidP="00174DAC">
      <w:pPr>
        <w:spacing w:after="0" w:line="240" w:lineRule="auto"/>
        <w:jc w:val="center"/>
        <w:outlineLvl w:val="0"/>
        <w:rPr>
          <w:rFonts w:ascii="Times New Roman" w:eastAsia="Times New Roman" w:hAnsi="Times New Roman" w:cs="Times New Roman"/>
          <w:sz w:val="28"/>
          <w:szCs w:val="28"/>
          <w:lang w:eastAsia="lv-LV"/>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240"/>
        <w:gridCol w:w="5761"/>
      </w:tblGrid>
      <w:tr w:rsidR="00174DAC" w:rsidRPr="00C26CCC" w:rsidTr="00472D9F">
        <w:trPr>
          <w:jc w:val="center"/>
        </w:trPr>
        <w:tc>
          <w:tcPr>
            <w:tcW w:w="9539" w:type="dxa"/>
            <w:gridSpan w:val="3"/>
          </w:tcPr>
          <w:p w:rsidR="00174DAC" w:rsidRPr="00C26CCC" w:rsidRDefault="00174DAC" w:rsidP="00174DAC">
            <w:pPr>
              <w:spacing w:after="0" w:line="240" w:lineRule="auto"/>
              <w:jc w:val="center"/>
              <w:outlineLvl w:val="0"/>
              <w:rPr>
                <w:rFonts w:ascii="Times New Roman" w:eastAsia="Times New Roman" w:hAnsi="Times New Roman" w:cs="Times New Roman"/>
                <w:b/>
                <w:sz w:val="26"/>
                <w:szCs w:val="26"/>
                <w:lang w:eastAsia="lv-LV"/>
              </w:rPr>
            </w:pPr>
            <w:r w:rsidRPr="00C26CCC">
              <w:rPr>
                <w:rFonts w:ascii="Times New Roman" w:eastAsia="Times New Roman" w:hAnsi="Times New Roman" w:cs="Times New Roman"/>
                <w:b/>
                <w:sz w:val="26"/>
                <w:szCs w:val="26"/>
                <w:lang w:eastAsia="lv-LV"/>
              </w:rPr>
              <w:t>I. Tiesību akta projekta izstrādes nepieciešamība</w:t>
            </w:r>
          </w:p>
        </w:tc>
      </w:tr>
      <w:tr w:rsidR="00174DAC" w:rsidRPr="00D568FC" w:rsidTr="00472D9F">
        <w:trPr>
          <w:jc w:val="center"/>
        </w:trPr>
        <w:tc>
          <w:tcPr>
            <w:tcW w:w="538" w:type="dxa"/>
          </w:tcPr>
          <w:p w:rsidR="00174DAC" w:rsidRPr="00D568FC" w:rsidRDefault="00174DAC" w:rsidP="00174DAC">
            <w:pPr>
              <w:spacing w:after="0" w:line="240" w:lineRule="auto"/>
              <w:jc w:val="center"/>
              <w:outlineLvl w:val="0"/>
              <w:rPr>
                <w:rFonts w:ascii="Times New Roman" w:eastAsia="Times New Roman" w:hAnsi="Times New Roman" w:cs="Times New Roman"/>
                <w:sz w:val="26"/>
                <w:szCs w:val="26"/>
                <w:lang w:eastAsia="lv-LV"/>
              </w:rPr>
            </w:pPr>
            <w:r w:rsidRPr="00D568FC">
              <w:rPr>
                <w:rFonts w:ascii="Times New Roman" w:eastAsia="Times New Roman" w:hAnsi="Times New Roman" w:cs="Times New Roman"/>
                <w:sz w:val="26"/>
                <w:szCs w:val="26"/>
                <w:lang w:eastAsia="lv-LV"/>
              </w:rPr>
              <w:t>1.</w:t>
            </w:r>
          </w:p>
        </w:tc>
        <w:tc>
          <w:tcPr>
            <w:tcW w:w="3240" w:type="dxa"/>
          </w:tcPr>
          <w:p w:rsidR="00174DAC" w:rsidRPr="00D568FC" w:rsidRDefault="00174DAC" w:rsidP="00174DAC">
            <w:pPr>
              <w:spacing w:after="0" w:line="240" w:lineRule="auto"/>
              <w:jc w:val="both"/>
              <w:outlineLvl w:val="0"/>
              <w:rPr>
                <w:rFonts w:ascii="Times New Roman" w:eastAsia="Times New Roman" w:hAnsi="Times New Roman" w:cs="Times New Roman"/>
                <w:sz w:val="26"/>
                <w:szCs w:val="26"/>
                <w:lang w:eastAsia="lv-LV"/>
              </w:rPr>
            </w:pPr>
            <w:r w:rsidRPr="00D568FC">
              <w:rPr>
                <w:rFonts w:ascii="Times New Roman" w:eastAsia="Times New Roman" w:hAnsi="Times New Roman" w:cs="Times New Roman"/>
                <w:sz w:val="26"/>
                <w:szCs w:val="26"/>
                <w:lang w:eastAsia="lv-LV"/>
              </w:rPr>
              <w:t>Pamatojums</w:t>
            </w:r>
          </w:p>
        </w:tc>
        <w:tc>
          <w:tcPr>
            <w:tcW w:w="5761" w:type="dxa"/>
          </w:tcPr>
          <w:p w:rsidR="00174DAC" w:rsidRPr="00D568FC" w:rsidRDefault="00174DAC" w:rsidP="00174DAC">
            <w:pPr>
              <w:spacing w:after="0" w:line="240" w:lineRule="auto"/>
              <w:jc w:val="both"/>
              <w:rPr>
                <w:rFonts w:ascii="Times New Roman" w:eastAsia="Times New Roman" w:hAnsi="Times New Roman" w:cs="Times New Roman"/>
                <w:sz w:val="26"/>
                <w:szCs w:val="26"/>
                <w:lang w:eastAsia="lv-LV"/>
              </w:rPr>
            </w:pPr>
            <w:r w:rsidRPr="00D568FC">
              <w:rPr>
                <w:rFonts w:ascii="Times New Roman" w:eastAsia="Times New Roman" w:hAnsi="Times New Roman" w:cs="Times New Roman"/>
                <w:sz w:val="26"/>
                <w:szCs w:val="26"/>
                <w:lang w:eastAsia="lv-LV"/>
              </w:rPr>
              <w:t>Satiksmes ministrijas iniciatīva.</w:t>
            </w:r>
          </w:p>
        </w:tc>
      </w:tr>
      <w:tr w:rsidR="00174DAC" w:rsidRPr="00D568FC" w:rsidTr="00472D9F">
        <w:trPr>
          <w:jc w:val="center"/>
        </w:trPr>
        <w:tc>
          <w:tcPr>
            <w:tcW w:w="538" w:type="dxa"/>
          </w:tcPr>
          <w:p w:rsidR="00174DAC" w:rsidRPr="00D568FC" w:rsidRDefault="00174DAC" w:rsidP="00174DAC">
            <w:pPr>
              <w:spacing w:after="0" w:line="240" w:lineRule="auto"/>
              <w:jc w:val="center"/>
              <w:outlineLvl w:val="0"/>
              <w:rPr>
                <w:rFonts w:ascii="Times New Roman" w:eastAsia="Times New Roman" w:hAnsi="Times New Roman" w:cs="Times New Roman"/>
                <w:sz w:val="26"/>
                <w:szCs w:val="26"/>
                <w:lang w:eastAsia="lv-LV"/>
              </w:rPr>
            </w:pPr>
            <w:r w:rsidRPr="00D568FC">
              <w:rPr>
                <w:rFonts w:ascii="Times New Roman" w:eastAsia="Times New Roman" w:hAnsi="Times New Roman" w:cs="Times New Roman"/>
                <w:sz w:val="26"/>
                <w:szCs w:val="26"/>
                <w:lang w:eastAsia="lv-LV"/>
              </w:rPr>
              <w:t>2.</w:t>
            </w:r>
          </w:p>
        </w:tc>
        <w:tc>
          <w:tcPr>
            <w:tcW w:w="3240" w:type="dxa"/>
          </w:tcPr>
          <w:p w:rsidR="00174DAC" w:rsidRPr="00D568FC" w:rsidRDefault="00174DAC" w:rsidP="00174DAC">
            <w:pPr>
              <w:spacing w:after="0" w:line="240" w:lineRule="auto"/>
              <w:jc w:val="both"/>
              <w:outlineLvl w:val="0"/>
              <w:rPr>
                <w:rFonts w:ascii="Times New Roman" w:eastAsia="Times New Roman" w:hAnsi="Times New Roman" w:cs="Times New Roman"/>
                <w:sz w:val="26"/>
                <w:szCs w:val="26"/>
                <w:lang w:eastAsia="lv-LV"/>
              </w:rPr>
            </w:pPr>
            <w:r w:rsidRPr="00D568FC">
              <w:rPr>
                <w:rFonts w:ascii="Times New Roman" w:eastAsia="Times New Roman" w:hAnsi="Times New Roman" w:cs="Times New Roman"/>
                <w:sz w:val="26"/>
                <w:szCs w:val="26"/>
                <w:lang w:eastAsia="lv-LV"/>
              </w:rPr>
              <w:t>Pašreizējā situācija un problēmas</w:t>
            </w:r>
          </w:p>
        </w:tc>
        <w:tc>
          <w:tcPr>
            <w:tcW w:w="5761" w:type="dxa"/>
          </w:tcPr>
          <w:p w:rsidR="00174DAC" w:rsidRPr="00D568FC" w:rsidRDefault="00174DAC" w:rsidP="00174DAC">
            <w:pPr>
              <w:spacing w:after="0" w:line="240" w:lineRule="auto"/>
              <w:ind w:firstLine="779"/>
              <w:jc w:val="both"/>
              <w:rPr>
                <w:rFonts w:ascii="Times New Roman" w:eastAsia="Times New Roman" w:hAnsi="Times New Roman" w:cs="Times New Roman"/>
                <w:sz w:val="26"/>
                <w:szCs w:val="26"/>
                <w:lang w:eastAsia="lv-LV"/>
              </w:rPr>
            </w:pPr>
            <w:r w:rsidRPr="00D568FC">
              <w:rPr>
                <w:rFonts w:ascii="Times New Roman" w:eastAsia="Times New Roman" w:hAnsi="Times New Roman" w:cs="Times New Roman"/>
                <w:sz w:val="26"/>
                <w:szCs w:val="26"/>
                <w:lang w:eastAsia="lv-LV"/>
              </w:rPr>
              <w:t>2012.gada 15.maijā Ministru kabinetā tika pieņemti noteikumi Nr.341 „Kārtība, kādā nosaka un kompensē ar sabiedriskā transporta pakalpojumu sniegšanu saistītos zaudējumus un izdevumus un nosaka sabiedriskā transporta pakalpojuma tarifu” (turpmāk – MK noteikumi Nr.341), ar ko tika izteikti jaunā redakcijā 2009.gada 26.oktobra Ministru kabineta noteikumi Nr.1226 „Sabiedriskā transporta pakalpojumu sniegšanā radušos zaudējumu un izdevumu kompensēšanas un sabiedriskā transporta pakalpojuma tarifa noteikšanas kārtība” (turpmāk – MK noteikumi Nr.1226).</w:t>
            </w:r>
          </w:p>
          <w:p w:rsidR="00174DAC" w:rsidRPr="00D568FC" w:rsidRDefault="00174DAC" w:rsidP="00174DAC">
            <w:pPr>
              <w:spacing w:after="0" w:line="240" w:lineRule="auto"/>
              <w:ind w:firstLine="779"/>
              <w:jc w:val="both"/>
              <w:rPr>
                <w:rFonts w:ascii="Times New Roman" w:eastAsia="Times New Roman" w:hAnsi="Times New Roman" w:cs="Times New Roman"/>
                <w:sz w:val="26"/>
                <w:szCs w:val="26"/>
                <w:lang w:eastAsia="lv-LV"/>
              </w:rPr>
            </w:pPr>
            <w:r w:rsidRPr="00D568FC">
              <w:rPr>
                <w:rFonts w:ascii="Times New Roman" w:eastAsia="Times New Roman" w:hAnsi="Times New Roman" w:cs="Times New Roman"/>
                <w:sz w:val="26"/>
                <w:szCs w:val="26"/>
                <w:lang w:eastAsia="lv-LV"/>
              </w:rPr>
              <w:t>Apkopojot pasūtītāju un pārvadātāju viedokļus, MK noteikumos Nr.341 ir konstatētas vairākas problēmas un neprecizitātes, kas pēc būtības apgrūtina normatīvajā aktā ietverto normu precīzu piemērošanu:</w:t>
            </w:r>
          </w:p>
          <w:p w:rsidR="00174DAC" w:rsidRPr="00D568FC" w:rsidRDefault="00174DAC" w:rsidP="00174DAC">
            <w:pPr>
              <w:numPr>
                <w:ilvl w:val="0"/>
                <w:numId w:val="1"/>
              </w:numPr>
              <w:spacing w:after="0" w:line="240" w:lineRule="auto"/>
              <w:ind w:left="0" w:firstLine="743"/>
              <w:jc w:val="both"/>
              <w:rPr>
                <w:rFonts w:ascii="Times New Roman" w:eastAsia="Times New Roman" w:hAnsi="Times New Roman" w:cs="Times New Roman"/>
                <w:sz w:val="26"/>
                <w:szCs w:val="26"/>
                <w:lang w:eastAsia="lv-LV"/>
              </w:rPr>
            </w:pPr>
            <w:r w:rsidRPr="00D568FC">
              <w:rPr>
                <w:rFonts w:ascii="Times New Roman" w:eastAsia="Times New Roman" w:hAnsi="Times New Roman" w:cs="Times New Roman"/>
                <w:sz w:val="26"/>
                <w:szCs w:val="26"/>
                <w:lang w:eastAsia="lv-LV"/>
              </w:rPr>
              <w:t>no pašreizējās 30.3.apakšpunkta redakcijas nav iespējams viennozīmīgi saprast, ka arī sadalot izmaksas pārvadājumos ar sliežu transportu nobraukumā nav iekļaujams tehniskais nobraukums;</w:t>
            </w:r>
          </w:p>
          <w:p w:rsidR="00174DAC" w:rsidRPr="00D568FC" w:rsidRDefault="00174DAC" w:rsidP="00174DAC">
            <w:pPr>
              <w:numPr>
                <w:ilvl w:val="0"/>
                <w:numId w:val="1"/>
              </w:numPr>
              <w:spacing w:after="0" w:line="240" w:lineRule="auto"/>
              <w:ind w:left="34" w:firstLine="709"/>
              <w:jc w:val="both"/>
              <w:rPr>
                <w:rFonts w:ascii="Times New Roman" w:eastAsia="Times New Roman" w:hAnsi="Times New Roman" w:cs="Times New Roman"/>
                <w:sz w:val="26"/>
                <w:szCs w:val="26"/>
                <w:lang w:eastAsia="lv-LV"/>
              </w:rPr>
            </w:pPr>
            <w:r w:rsidRPr="00D568FC">
              <w:rPr>
                <w:rFonts w:ascii="Times New Roman" w:eastAsia="Times New Roman" w:hAnsi="Times New Roman" w:cs="Times New Roman"/>
                <w:sz w:val="26"/>
                <w:szCs w:val="26"/>
                <w:lang w:eastAsia="lv-LV"/>
              </w:rPr>
              <w:t>nav precīzi noteikta autobusu lietderīgās lietošanas laika noteikšanas kārtība M2 un M3 kategorijas autobusiem, kā arī nav paredzēta nolietojuma noteikšanas kārtība transportlīdzekļiem, kas iegādāti pirms 2013.gada 1.janvāra;</w:t>
            </w:r>
          </w:p>
          <w:p w:rsidR="00174DAC" w:rsidRPr="00D568FC" w:rsidRDefault="00174DAC" w:rsidP="00174DAC">
            <w:pPr>
              <w:numPr>
                <w:ilvl w:val="0"/>
                <w:numId w:val="1"/>
              </w:numPr>
              <w:spacing w:after="0" w:line="240" w:lineRule="auto"/>
              <w:ind w:left="34" w:firstLine="709"/>
              <w:jc w:val="both"/>
              <w:rPr>
                <w:rFonts w:ascii="Times New Roman" w:eastAsia="Times New Roman" w:hAnsi="Times New Roman" w:cs="Times New Roman"/>
                <w:sz w:val="26"/>
                <w:szCs w:val="26"/>
                <w:lang w:eastAsia="lv-LV"/>
              </w:rPr>
            </w:pPr>
            <w:r w:rsidRPr="00D568FC">
              <w:rPr>
                <w:rFonts w:ascii="Times New Roman" w:eastAsia="Times New Roman" w:hAnsi="Times New Roman" w:cs="Times New Roman"/>
                <w:sz w:val="26"/>
                <w:szCs w:val="26"/>
                <w:lang w:eastAsia="lv-LV"/>
              </w:rPr>
              <w:t xml:space="preserve">nav ietverti pārejas nosacījumi attiecībā uz peļņas aprēķināšanai piemērojamo kārtību laikā līdz 2012.gada 8.jūnijam (tas ir līdz MK noteikumu Nr.341 spēkā stāšanās brīdim). Atbilstoši MK noteikumu Nr.341 64.punktam noteikumos paredzētā peļņa tiek aprēķināta un pārvadātājam izmaksāta par pārskata (kalendāra) gadu 30 dienu laikā pēc attiecīgā pārskata saņemšanas, kurš pasūtītājam tiek iesniegts saskaņā </w:t>
            </w:r>
            <w:r w:rsidRPr="00D568FC">
              <w:rPr>
                <w:rFonts w:ascii="Times New Roman" w:eastAsia="Times New Roman" w:hAnsi="Times New Roman" w:cs="Times New Roman"/>
                <w:sz w:val="26"/>
                <w:szCs w:val="26"/>
                <w:lang w:eastAsia="lv-LV"/>
              </w:rPr>
              <w:lastRenderedPageBreak/>
              <w:t>ar Gada pārskatu likumā noteiktajiem gada pārskatu iesniegšanas termiņiem, un norēķinu savstarpējās salīdzināšanas. Tātad peļņa par 2012.gadu sabiedriskā transporta pakalpojumu sniedzējiem tiks aprēķināta un izmaksāta 2013.gadā pēc gada (kalendāra) pārskata iesniegšanas. Tā kā MK noteikumi Nr.1226 2012.gada 8.jūnijā ir zaudējuši spēku, bet MK noteikumi Nr.341 ir piemērojami no 2012.gada 9.jūnija, kā arī MK noteikumos nav ietverts attiecīgs pārejas jautājums, normatīvajos aktos šobrīd nav ietverts regulējums, kas būtu piemērojams peļņas aprēķināšanai laika posmā no 2012.gada 1.janvāra līdz 2012.gada 8.jūnijam.</w:t>
            </w:r>
          </w:p>
          <w:p w:rsidR="00174DAC" w:rsidRPr="00D568FC" w:rsidRDefault="00174DAC" w:rsidP="00174DAC">
            <w:pPr>
              <w:numPr>
                <w:ilvl w:val="0"/>
                <w:numId w:val="1"/>
              </w:numPr>
              <w:spacing w:after="0" w:line="240" w:lineRule="auto"/>
              <w:ind w:left="71" w:firstLine="672"/>
              <w:jc w:val="both"/>
              <w:rPr>
                <w:rFonts w:ascii="Times New Roman" w:eastAsia="Times New Roman" w:hAnsi="Times New Roman" w:cs="Times New Roman"/>
                <w:sz w:val="26"/>
                <w:szCs w:val="26"/>
                <w:lang w:eastAsia="lv-LV"/>
              </w:rPr>
            </w:pPr>
            <w:r w:rsidRPr="00D568FC">
              <w:rPr>
                <w:rFonts w:ascii="Times New Roman" w:eastAsia="Times New Roman" w:hAnsi="Times New Roman" w:cs="Times New Roman"/>
                <w:sz w:val="26"/>
                <w:szCs w:val="26"/>
                <w:lang w:eastAsia="lv-LV"/>
              </w:rPr>
              <w:t>kompensācijas par sabiedriskā transporta pakalpojumiem apjomā netiek iekļauta samērīga peļņa. Šobrīd izmaksājamās peļņas apmēra noteikšanai par pamatu tiek izmantoti biļešu ieņēmumi. Tādējādi lielāku peļņu garantējot pārvadātājiem ar lielāku pasažieru plūsmu. Savukārt maršrutos, kur pasažieru plūsma ir neliela un kur pārvadājumi pēc būtības pilda sociālu funkciju, pārvadātāju iespējas saņemt adekvātu peļņu ir ierobežotas vai pat neiespējamas, tādējādi radot nevienlīdzīgu attieksmi un iespējas pārvadātāju starpā. Vienlaikus ar MK noteikumu Nr.341 stāšanos spēkā tika noteiktas atsevišķas izmaksas, kas nav attiecināmas uz sabiedriskā transporta pakalpojumu sniegšanu, piemēram,</w:t>
            </w:r>
          </w:p>
          <w:p w:rsidR="00174DAC" w:rsidRPr="00D568FC" w:rsidRDefault="00174DAC" w:rsidP="00174DAC">
            <w:pPr>
              <w:numPr>
                <w:ilvl w:val="0"/>
                <w:numId w:val="3"/>
              </w:numPr>
              <w:tabs>
                <w:tab w:val="center" w:pos="4153"/>
                <w:tab w:val="right" w:pos="8306"/>
              </w:tabs>
              <w:spacing w:after="0" w:line="240" w:lineRule="auto"/>
              <w:contextualSpacing/>
              <w:jc w:val="both"/>
              <w:rPr>
                <w:rFonts w:ascii="Times New Roman" w:hAnsi="Times New Roman"/>
                <w:sz w:val="26"/>
                <w:szCs w:val="26"/>
              </w:rPr>
            </w:pPr>
            <w:r w:rsidRPr="00D568FC">
              <w:rPr>
                <w:rFonts w:ascii="Times New Roman" w:hAnsi="Times New Roman"/>
                <w:sz w:val="26"/>
                <w:szCs w:val="26"/>
              </w:rPr>
              <w:t>kompensācijas kaitējumu atlīdzībai, pretenziju maksājumi un citi tamlīdzīgi izdevumi, kas tieši nav saistīti ar sabiedriskā transporta pakalpojumu pasūtījuma līgumu;</w:t>
            </w:r>
          </w:p>
          <w:p w:rsidR="00174DAC" w:rsidRPr="00D568FC" w:rsidRDefault="00174DAC" w:rsidP="00174DAC">
            <w:pPr>
              <w:numPr>
                <w:ilvl w:val="0"/>
                <w:numId w:val="3"/>
              </w:numPr>
              <w:tabs>
                <w:tab w:val="center" w:pos="4153"/>
                <w:tab w:val="right" w:pos="8306"/>
              </w:tabs>
              <w:spacing w:after="0" w:line="240" w:lineRule="auto"/>
              <w:contextualSpacing/>
              <w:jc w:val="both"/>
              <w:rPr>
                <w:rFonts w:ascii="Times New Roman" w:hAnsi="Times New Roman"/>
                <w:sz w:val="26"/>
                <w:szCs w:val="26"/>
              </w:rPr>
            </w:pPr>
            <w:r w:rsidRPr="00D568FC">
              <w:rPr>
                <w:rFonts w:ascii="Times New Roman" w:hAnsi="Times New Roman"/>
                <w:sz w:val="26"/>
                <w:szCs w:val="26"/>
              </w:rPr>
              <w:t>izdevumi aizdevumu pamatsummu atmaksai;</w:t>
            </w:r>
          </w:p>
          <w:p w:rsidR="00174DAC" w:rsidRPr="00D568FC" w:rsidRDefault="00174DAC" w:rsidP="00174DAC">
            <w:pPr>
              <w:numPr>
                <w:ilvl w:val="0"/>
                <w:numId w:val="3"/>
              </w:numPr>
              <w:tabs>
                <w:tab w:val="center" w:pos="4153"/>
                <w:tab w:val="right" w:pos="8306"/>
              </w:tabs>
              <w:spacing w:after="0" w:line="240" w:lineRule="auto"/>
              <w:contextualSpacing/>
              <w:jc w:val="both"/>
              <w:rPr>
                <w:rFonts w:ascii="Times New Roman" w:hAnsi="Times New Roman"/>
                <w:sz w:val="26"/>
                <w:szCs w:val="26"/>
              </w:rPr>
            </w:pPr>
            <w:r w:rsidRPr="00D568FC">
              <w:rPr>
                <w:rFonts w:ascii="Times New Roman" w:hAnsi="Times New Roman"/>
                <w:sz w:val="26"/>
                <w:szCs w:val="26"/>
              </w:rPr>
              <w:t>pamatlīdzekļu pārvērtēšanas rezultātā iegūto nolietojuma palielinājums, ja pārvērtēšana veikta bez finansiāla ieguldījuma pamatlīdzekļa atjaunošanā;</w:t>
            </w:r>
          </w:p>
          <w:p w:rsidR="00174DAC" w:rsidRPr="00D568FC" w:rsidRDefault="00174DAC" w:rsidP="00174DAC">
            <w:pPr>
              <w:numPr>
                <w:ilvl w:val="0"/>
                <w:numId w:val="3"/>
              </w:numPr>
              <w:tabs>
                <w:tab w:val="center" w:pos="4153"/>
                <w:tab w:val="right" w:pos="8306"/>
              </w:tabs>
              <w:spacing w:after="0" w:line="240" w:lineRule="auto"/>
              <w:contextualSpacing/>
              <w:jc w:val="both"/>
              <w:rPr>
                <w:rFonts w:ascii="Times New Roman" w:hAnsi="Times New Roman"/>
                <w:sz w:val="26"/>
                <w:szCs w:val="26"/>
              </w:rPr>
            </w:pPr>
            <w:r w:rsidRPr="00D568FC">
              <w:rPr>
                <w:rFonts w:ascii="Times New Roman" w:hAnsi="Times New Roman"/>
                <w:sz w:val="26"/>
                <w:szCs w:val="26"/>
              </w:rPr>
              <w:t>biedru nauda dažādās sabiedriskajās un nevalstiskajās asociācijās, biedrībās un citās organizācijās;</w:t>
            </w:r>
          </w:p>
          <w:p w:rsidR="00174DAC" w:rsidRPr="00D568FC" w:rsidRDefault="00174DAC" w:rsidP="00174DAC">
            <w:pPr>
              <w:numPr>
                <w:ilvl w:val="0"/>
                <w:numId w:val="3"/>
              </w:numPr>
              <w:tabs>
                <w:tab w:val="center" w:pos="4153"/>
                <w:tab w:val="right" w:pos="8306"/>
              </w:tabs>
              <w:spacing w:after="0" w:line="240" w:lineRule="auto"/>
              <w:contextualSpacing/>
              <w:jc w:val="both"/>
              <w:rPr>
                <w:rFonts w:ascii="Times New Roman" w:hAnsi="Times New Roman"/>
                <w:sz w:val="26"/>
                <w:szCs w:val="26"/>
              </w:rPr>
            </w:pPr>
            <w:r w:rsidRPr="00D568FC">
              <w:rPr>
                <w:rFonts w:ascii="Times New Roman" w:hAnsi="Times New Roman"/>
                <w:sz w:val="26"/>
                <w:szCs w:val="26"/>
              </w:rPr>
              <w:t>izdevumi saistībā ar informācijas publicēšanas plašsaziņas līdzekļos, izņemot normatīvajos aktos un sabiedriskā transporta pakalpojuma līgumā noteiktos gadījumos;</w:t>
            </w:r>
          </w:p>
          <w:p w:rsidR="00174DAC" w:rsidRPr="00D568FC" w:rsidRDefault="00174DAC" w:rsidP="00174DAC">
            <w:pPr>
              <w:numPr>
                <w:ilvl w:val="0"/>
                <w:numId w:val="3"/>
              </w:numPr>
              <w:tabs>
                <w:tab w:val="center" w:pos="4153"/>
                <w:tab w:val="right" w:pos="8306"/>
              </w:tabs>
              <w:spacing w:after="0" w:line="240" w:lineRule="auto"/>
              <w:contextualSpacing/>
              <w:jc w:val="both"/>
              <w:rPr>
                <w:rFonts w:ascii="Times New Roman" w:hAnsi="Times New Roman"/>
                <w:sz w:val="26"/>
                <w:szCs w:val="26"/>
              </w:rPr>
            </w:pPr>
            <w:r w:rsidRPr="00D568FC">
              <w:rPr>
                <w:rFonts w:ascii="Times New Roman" w:hAnsi="Times New Roman"/>
                <w:sz w:val="26"/>
                <w:szCs w:val="26"/>
              </w:rPr>
              <w:lastRenderedPageBreak/>
              <w:t>pētījumu izmaksas, kas nav saistītas ar sabiedriskā transporta pakalpojumu pasūtījuma līguma izpildi un nav saskaņotas ar pasūtītāju pirms pētījuma veikšanas;</w:t>
            </w:r>
          </w:p>
          <w:p w:rsidR="00174DAC" w:rsidRPr="00D568FC" w:rsidRDefault="00174DAC" w:rsidP="00174DAC">
            <w:pPr>
              <w:numPr>
                <w:ilvl w:val="0"/>
                <w:numId w:val="3"/>
              </w:numPr>
              <w:tabs>
                <w:tab w:val="center" w:pos="4153"/>
                <w:tab w:val="right" w:pos="8306"/>
              </w:tabs>
              <w:spacing w:after="0" w:line="240" w:lineRule="auto"/>
              <w:contextualSpacing/>
              <w:jc w:val="both"/>
              <w:rPr>
                <w:rFonts w:ascii="Times New Roman" w:hAnsi="Times New Roman"/>
                <w:sz w:val="26"/>
                <w:szCs w:val="26"/>
              </w:rPr>
            </w:pPr>
            <w:r w:rsidRPr="00D568FC">
              <w:rPr>
                <w:rFonts w:ascii="Times New Roman" w:hAnsi="Times New Roman"/>
                <w:sz w:val="26"/>
                <w:szCs w:val="26"/>
              </w:rPr>
              <w:t>norakstīto pamatlīdzekļu atlikusī vērtība;</w:t>
            </w:r>
          </w:p>
          <w:p w:rsidR="00174DAC" w:rsidRPr="00D568FC" w:rsidRDefault="00174DAC" w:rsidP="00174DAC">
            <w:pPr>
              <w:numPr>
                <w:ilvl w:val="0"/>
                <w:numId w:val="3"/>
              </w:numPr>
              <w:tabs>
                <w:tab w:val="center" w:pos="4153"/>
                <w:tab w:val="right" w:pos="8306"/>
              </w:tabs>
              <w:spacing w:after="0" w:line="240" w:lineRule="auto"/>
              <w:contextualSpacing/>
              <w:jc w:val="both"/>
              <w:rPr>
                <w:rFonts w:ascii="Times New Roman" w:hAnsi="Times New Roman"/>
                <w:sz w:val="26"/>
                <w:szCs w:val="26"/>
              </w:rPr>
            </w:pPr>
            <w:r w:rsidRPr="00D568FC">
              <w:rPr>
                <w:rFonts w:ascii="Times New Roman" w:hAnsi="Times New Roman"/>
                <w:sz w:val="26"/>
                <w:szCs w:val="26"/>
              </w:rPr>
              <w:t>sabiedrisko transportlīdzekļu vērtības norakstīšana, ja sabiedriskais transportlīdzeklis ilgstoši (ilgāk par trim mēnešiem) netiek izmantots sabiedriskā transporta pakalpojumu sniegšanā;</w:t>
            </w:r>
          </w:p>
          <w:p w:rsidR="00174DAC" w:rsidRPr="00D568FC" w:rsidRDefault="00174DAC" w:rsidP="00174DAC">
            <w:pPr>
              <w:numPr>
                <w:ilvl w:val="0"/>
                <w:numId w:val="3"/>
              </w:numPr>
              <w:tabs>
                <w:tab w:val="center" w:pos="4153"/>
                <w:tab w:val="right" w:pos="8306"/>
              </w:tabs>
              <w:spacing w:after="0" w:line="240" w:lineRule="auto"/>
              <w:contextualSpacing/>
              <w:jc w:val="both"/>
              <w:rPr>
                <w:rFonts w:ascii="Times New Roman" w:hAnsi="Times New Roman"/>
                <w:sz w:val="26"/>
                <w:szCs w:val="26"/>
              </w:rPr>
            </w:pPr>
            <w:r w:rsidRPr="00D568FC">
              <w:rPr>
                <w:rFonts w:ascii="Times New Roman" w:hAnsi="Times New Roman"/>
                <w:sz w:val="26"/>
                <w:szCs w:val="26"/>
              </w:rPr>
              <w:t>izdevumi, kas saistīti ar uzņēmuma reorganizāciju, izņemot normatīvajos aktos noteiktos gadījumus;</w:t>
            </w:r>
          </w:p>
          <w:p w:rsidR="00174DAC" w:rsidRPr="00D568FC" w:rsidRDefault="00174DAC" w:rsidP="00174DAC">
            <w:pPr>
              <w:numPr>
                <w:ilvl w:val="0"/>
                <w:numId w:val="3"/>
              </w:numPr>
              <w:tabs>
                <w:tab w:val="center" w:pos="4153"/>
                <w:tab w:val="right" w:pos="8306"/>
              </w:tabs>
              <w:spacing w:after="0" w:line="240" w:lineRule="auto"/>
              <w:contextualSpacing/>
              <w:jc w:val="both"/>
              <w:rPr>
                <w:rFonts w:ascii="Times New Roman" w:hAnsi="Times New Roman"/>
                <w:sz w:val="26"/>
                <w:szCs w:val="26"/>
              </w:rPr>
            </w:pPr>
            <w:r w:rsidRPr="00D568FC">
              <w:rPr>
                <w:rFonts w:ascii="Times New Roman" w:hAnsi="Times New Roman"/>
                <w:sz w:val="26"/>
                <w:szCs w:val="26"/>
              </w:rPr>
              <w:t>juridisko pakalpojumu izmaksas, kuras nav tieši saistītas ar noslēgtā sabiedriskā transporta pakalpojumu pasūtījuma līguma izpildes nodrošināšanu;</w:t>
            </w:r>
          </w:p>
          <w:p w:rsidR="00174DAC" w:rsidRPr="00D568FC" w:rsidRDefault="00174DAC" w:rsidP="00174DAC">
            <w:pPr>
              <w:numPr>
                <w:ilvl w:val="0"/>
                <w:numId w:val="3"/>
              </w:numPr>
              <w:spacing w:after="0" w:line="240" w:lineRule="auto"/>
              <w:contextualSpacing/>
              <w:jc w:val="both"/>
              <w:rPr>
                <w:rFonts w:ascii="Times New Roman" w:hAnsi="Times New Roman"/>
                <w:sz w:val="26"/>
                <w:szCs w:val="26"/>
              </w:rPr>
            </w:pPr>
            <w:r w:rsidRPr="00D568FC">
              <w:rPr>
                <w:rFonts w:ascii="Times New Roman" w:hAnsi="Times New Roman"/>
                <w:sz w:val="26"/>
                <w:szCs w:val="26"/>
              </w:rPr>
              <w:t xml:space="preserve">ārzemju komandējumu izdevumi, kas nav saistīti ar sabiedriskā transporta pakalpojumu sniegšanu reģionālajos starppilsētu, reģionālajos vietējās nozīmes un pilsētās nozīmes maršrutos. </w:t>
            </w:r>
          </w:p>
          <w:p w:rsidR="00174DAC" w:rsidRPr="00D568FC" w:rsidRDefault="00174DAC" w:rsidP="00174DAC">
            <w:pPr>
              <w:spacing w:after="0" w:line="240" w:lineRule="auto"/>
              <w:ind w:firstLine="743"/>
              <w:jc w:val="both"/>
              <w:rPr>
                <w:rFonts w:ascii="Times New Roman" w:eastAsia="Times New Roman" w:hAnsi="Times New Roman" w:cs="Times New Roman"/>
                <w:sz w:val="26"/>
                <w:szCs w:val="26"/>
                <w:lang w:eastAsia="lv-LV"/>
              </w:rPr>
            </w:pPr>
            <w:r w:rsidRPr="00D568FC">
              <w:rPr>
                <w:rFonts w:ascii="Times New Roman" w:eastAsia="Times New Roman" w:hAnsi="Times New Roman" w:cs="Times New Roman"/>
                <w:sz w:val="26"/>
                <w:szCs w:val="26"/>
                <w:lang w:eastAsia="lv-LV"/>
              </w:rPr>
              <w:t xml:space="preserve">Savukārt ar 2013.gada 1.janvāri, kad stājās spēkā norma attiecībā uz transportlīdzekļu lietderīgās izmantošanas laika piemērošanu un amortizācijas atskaitījumu pārrēķināšanu gan tiem sabiedriskajiem transportlīdzekļiem, kas iegādāti pirms 2013.gada 1.janvāra, gan vēlāk iegādātajiem autobusiem, pārvadātājiem faktiski neatliek finanšu resursi, lai nodrošinātu autoparka atjaunošanu vai uzlabošanu atbilstoši normatīvo aktu prasībām. </w:t>
            </w:r>
          </w:p>
          <w:p w:rsidR="00174DAC" w:rsidRPr="00D568FC" w:rsidRDefault="00174DAC" w:rsidP="00174DAC">
            <w:pPr>
              <w:spacing w:after="0" w:line="240" w:lineRule="auto"/>
              <w:ind w:left="71" w:firstLine="672"/>
              <w:jc w:val="both"/>
              <w:rPr>
                <w:rFonts w:ascii="Times New Roman" w:eastAsia="Times New Roman" w:hAnsi="Times New Roman" w:cs="Times New Roman"/>
                <w:sz w:val="26"/>
                <w:szCs w:val="26"/>
                <w:lang w:eastAsia="lv-LV"/>
              </w:rPr>
            </w:pPr>
            <w:r w:rsidRPr="00D568FC">
              <w:rPr>
                <w:rFonts w:ascii="Times New Roman" w:eastAsia="Times New Roman" w:hAnsi="Times New Roman" w:cs="Times New Roman"/>
                <w:sz w:val="26"/>
                <w:szCs w:val="26"/>
                <w:lang w:eastAsia="lv-LV"/>
              </w:rPr>
              <w:t xml:space="preserve">Saskaņā ar MK noteikumu Nr.341 46.punktu pārvadātājam izmaksājamās peļņas apmērs tiek noteikts no biļešu pārdošanas gūto ieņēmumu summu reizinot ar peļņas procentu, ko aprēķina, summējot 2,5% un Eiropas starpbanku tirgus likmes </w:t>
            </w:r>
            <w:r w:rsidRPr="00D568FC">
              <w:rPr>
                <w:rFonts w:ascii="Times New Roman" w:eastAsia="Times New Roman" w:hAnsi="Times New Roman" w:cs="Times New Roman"/>
                <w:i/>
                <w:sz w:val="26"/>
                <w:szCs w:val="26"/>
                <w:lang w:eastAsia="lv-LV"/>
              </w:rPr>
              <w:t xml:space="preserve">EURIBOR </w:t>
            </w:r>
            <w:r w:rsidRPr="00D568FC">
              <w:rPr>
                <w:rFonts w:ascii="Times New Roman" w:eastAsia="Times New Roman" w:hAnsi="Times New Roman" w:cs="Times New Roman"/>
                <w:sz w:val="26"/>
                <w:szCs w:val="26"/>
                <w:lang w:eastAsia="lv-LV"/>
              </w:rPr>
              <w:t xml:space="preserve">pārskata (kalendāra) gada 12 mēnešu vidējo vērtību procentos. </w:t>
            </w:r>
            <w:r w:rsidRPr="00D568FC">
              <w:rPr>
                <w:rFonts w:ascii="Times New Roman" w:eastAsia="Times New Roman" w:hAnsi="Times New Roman" w:cs="Times New Roman"/>
                <w:bCs/>
                <w:sz w:val="26"/>
                <w:szCs w:val="26"/>
                <w:lang w:eastAsia="lv-LV"/>
              </w:rPr>
              <w:t xml:space="preserve">Sakarā ar Eiropas Centrālās bankas parādu krīzi </w:t>
            </w:r>
            <w:r w:rsidRPr="00D568FC">
              <w:rPr>
                <w:rFonts w:ascii="Times New Roman" w:eastAsia="Times New Roman" w:hAnsi="Times New Roman" w:cs="Times New Roman"/>
                <w:bCs/>
                <w:i/>
                <w:sz w:val="26"/>
                <w:szCs w:val="26"/>
                <w:lang w:eastAsia="lv-LV"/>
              </w:rPr>
              <w:t>EURIBOR</w:t>
            </w:r>
            <w:r w:rsidRPr="00D568FC">
              <w:rPr>
                <w:rFonts w:ascii="Times New Roman" w:eastAsia="Times New Roman" w:hAnsi="Times New Roman" w:cs="Times New Roman"/>
                <w:bCs/>
                <w:sz w:val="26"/>
                <w:szCs w:val="26"/>
                <w:lang w:eastAsia="lv-LV"/>
              </w:rPr>
              <w:t xml:space="preserve"> visu termiņu likmēm ir vērojams būtisks samazinājums. Tā, piemēram, kopš 2012.gada sākuma </w:t>
            </w:r>
            <w:r w:rsidRPr="00D568FC">
              <w:rPr>
                <w:rFonts w:ascii="Times New Roman" w:eastAsia="Times New Roman" w:hAnsi="Times New Roman" w:cs="Times New Roman"/>
                <w:bCs/>
                <w:i/>
                <w:sz w:val="26"/>
                <w:szCs w:val="26"/>
                <w:lang w:eastAsia="lv-LV"/>
              </w:rPr>
              <w:t xml:space="preserve">EURIBOR </w:t>
            </w:r>
            <w:r w:rsidRPr="00D568FC">
              <w:rPr>
                <w:rFonts w:ascii="Times New Roman" w:eastAsia="Times New Roman" w:hAnsi="Times New Roman" w:cs="Times New Roman"/>
                <w:bCs/>
                <w:sz w:val="26"/>
                <w:szCs w:val="26"/>
                <w:lang w:eastAsia="lv-LV"/>
              </w:rPr>
              <w:t xml:space="preserve">12 mēnešu likme ir samazinājusies par 73% (no 1,9% uz 0,5%). Saskaņā ar 2007.gada 23.oktobra Regulu Nr.1370/2007 par sabiedriskā pasažieru transporta pakalpojumiem, izmantojot dzelzceļu un </w:t>
            </w:r>
            <w:r w:rsidRPr="00D568FC">
              <w:rPr>
                <w:rFonts w:ascii="Times New Roman" w:eastAsia="Times New Roman" w:hAnsi="Times New Roman" w:cs="Times New Roman"/>
                <w:bCs/>
                <w:sz w:val="26"/>
                <w:szCs w:val="26"/>
                <w:lang w:eastAsia="lv-LV"/>
              </w:rPr>
              <w:lastRenderedPageBreak/>
              <w:t xml:space="preserve">autoceļus (preambulas 34.punkts, 4.panta 1.punkta b) apakšpunkts, pielikuma 2. un 6.punkts) kompensācijā par sabiedriskā transporta pakalpojumiem ir jāiekļauj </w:t>
            </w:r>
            <w:r w:rsidRPr="00D568FC">
              <w:rPr>
                <w:rFonts w:ascii="Times New Roman" w:eastAsia="Times New Roman" w:hAnsi="Times New Roman" w:cs="Times New Roman"/>
                <w:bCs/>
                <w:sz w:val="26"/>
                <w:szCs w:val="26"/>
                <w:u w:val="single"/>
                <w:lang w:eastAsia="lv-LV"/>
              </w:rPr>
              <w:t>samērīga peļņa</w:t>
            </w:r>
            <w:r w:rsidRPr="00D568FC">
              <w:rPr>
                <w:rFonts w:ascii="Times New Roman" w:eastAsia="Times New Roman" w:hAnsi="Times New Roman" w:cs="Times New Roman"/>
                <w:bCs/>
                <w:sz w:val="26"/>
                <w:szCs w:val="26"/>
                <w:lang w:eastAsia="lv-LV"/>
              </w:rPr>
              <w:t>.</w:t>
            </w:r>
          </w:p>
          <w:p w:rsidR="00174DAC" w:rsidRPr="00D568FC" w:rsidRDefault="00174DAC" w:rsidP="00174DAC">
            <w:pPr>
              <w:numPr>
                <w:ilvl w:val="0"/>
                <w:numId w:val="1"/>
              </w:numPr>
              <w:spacing w:after="0" w:line="240" w:lineRule="auto"/>
              <w:ind w:left="71" w:firstLine="672"/>
              <w:jc w:val="both"/>
              <w:rPr>
                <w:rFonts w:ascii="Times New Roman" w:eastAsia="Times New Roman" w:hAnsi="Times New Roman" w:cs="Times New Roman"/>
                <w:sz w:val="26"/>
                <w:szCs w:val="26"/>
                <w:lang w:eastAsia="lv-LV"/>
              </w:rPr>
            </w:pPr>
            <w:r w:rsidRPr="00D568FC">
              <w:rPr>
                <w:rFonts w:ascii="Times New Roman" w:eastAsia="Times New Roman" w:hAnsi="Times New Roman" w:cs="Times New Roman"/>
                <w:bCs/>
                <w:sz w:val="26"/>
                <w:szCs w:val="26"/>
                <w:lang w:eastAsia="lv-LV"/>
              </w:rPr>
              <w:t>precizēta peļņas aprēķināšanas kārtība pilsētas nozīmes maršrutos, kuriem vairāk nekā 30% no kopējā maršruta garuma ir ārpus pilsētas administratīvās teritorijas, jo pēc pašreizējās noteikumu 7.pielikuma redakcijas peļņa jāaprēķina no kopējiem ieņēmumiem, bet noteikumu 46.punktā noteikts, ka peļņu aprēķina no biļešu ieņēmumiem, kā arī ņemot vērā nobraukuma lielumu.</w:t>
            </w:r>
          </w:p>
          <w:p w:rsidR="00174DAC" w:rsidRPr="00D568FC" w:rsidRDefault="00174DAC" w:rsidP="00174DAC">
            <w:pPr>
              <w:numPr>
                <w:ilvl w:val="0"/>
                <w:numId w:val="1"/>
              </w:numPr>
              <w:spacing w:after="0" w:line="240" w:lineRule="auto"/>
              <w:ind w:left="34" w:firstLine="709"/>
              <w:jc w:val="both"/>
              <w:rPr>
                <w:rFonts w:ascii="Times New Roman" w:eastAsia="Times New Roman" w:hAnsi="Times New Roman" w:cs="Times New Roman"/>
                <w:sz w:val="26"/>
                <w:szCs w:val="26"/>
                <w:lang w:eastAsia="lv-LV"/>
              </w:rPr>
            </w:pPr>
            <w:r w:rsidRPr="00D568FC">
              <w:rPr>
                <w:rFonts w:ascii="Times New Roman" w:eastAsia="Times New Roman" w:hAnsi="Times New Roman" w:cs="Times New Roman"/>
                <w:sz w:val="26"/>
                <w:szCs w:val="26"/>
                <w:lang w:eastAsia="lv-LV"/>
              </w:rPr>
              <w:t>saskaņā ar saņemtiem pārvadātāju datiem par pārvadājumiem 2013.gada 1.ceturksnī ir konstatēts, ka ir nepieciešams precizēt atsevišķus maksimāli kompensējamo izmaksu aprēķināšanas metodikā ietvertos koeficientus, tādējādi nodrošinot to atbilstību reāliem ar sabiedriskā transporta pakalpojumu sniegšanu saistītiem rādītājiem.</w:t>
            </w:r>
          </w:p>
        </w:tc>
      </w:tr>
      <w:tr w:rsidR="00174DAC" w:rsidRPr="00174DAC" w:rsidTr="00472D9F">
        <w:trPr>
          <w:jc w:val="center"/>
        </w:trPr>
        <w:tc>
          <w:tcPr>
            <w:tcW w:w="538" w:type="dxa"/>
          </w:tcPr>
          <w:p w:rsidR="00174DAC" w:rsidRPr="00174DAC" w:rsidRDefault="00174DAC" w:rsidP="00174DAC">
            <w:pPr>
              <w:spacing w:after="0" w:line="240" w:lineRule="auto"/>
              <w:jc w:val="center"/>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lastRenderedPageBreak/>
              <w:t>3.</w:t>
            </w:r>
          </w:p>
        </w:tc>
        <w:tc>
          <w:tcPr>
            <w:tcW w:w="3240" w:type="dxa"/>
          </w:tcPr>
          <w:p w:rsidR="00174DAC" w:rsidRPr="00174DAC" w:rsidRDefault="00174DAC" w:rsidP="00174DAC">
            <w:pPr>
              <w:spacing w:after="0" w:line="240" w:lineRule="auto"/>
              <w:jc w:val="both"/>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Saistītie politikas ietekmes novērtējumi un pētījumi</w:t>
            </w:r>
          </w:p>
        </w:tc>
        <w:tc>
          <w:tcPr>
            <w:tcW w:w="5761" w:type="dxa"/>
          </w:tcPr>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Projekts šo jomu neskar.</w:t>
            </w:r>
          </w:p>
        </w:tc>
      </w:tr>
      <w:tr w:rsidR="00174DAC" w:rsidRPr="00174DAC" w:rsidTr="00472D9F">
        <w:trPr>
          <w:jc w:val="center"/>
        </w:trPr>
        <w:tc>
          <w:tcPr>
            <w:tcW w:w="538" w:type="dxa"/>
          </w:tcPr>
          <w:p w:rsidR="00174DAC" w:rsidRPr="00174DAC" w:rsidRDefault="00174DAC" w:rsidP="00174DAC">
            <w:pPr>
              <w:spacing w:after="0" w:line="240" w:lineRule="auto"/>
              <w:jc w:val="center"/>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4.</w:t>
            </w:r>
          </w:p>
        </w:tc>
        <w:tc>
          <w:tcPr>
            <w:tcW w:w="3240" w:type="dxa"/>
          </w:tcPr>
          <w:p w:rsidR="00174DAC" w:rsidRPr="00174DAC" w:rsidRDefault="00174DAC" w:rsidP="00174DAC">
            <w:pPr>
              <w:spacing w:after="0" w:line="240" w:lineRule="auto"/>
              <w:jc w:val="both"/>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Tiesiskā regulējuma mērķis un būtība</w:t>
            </w:r>
          </w:p>
        </w:tc>
        <w:tc>
          <w:tcPr>
            <w:tcW w:w="5761" w:type="dxa"/>
          </w:tcPr>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Ar noteikumu projektu tiek:</w:t>
            </w:r>
          </w:p>
          <w:p w:rsidR="00174DAC" w:rsidRPr="00174DAC" w:rsidRDefault="00174DAC" w:rsidP="00174DAC">
            <w:pPr>
              <w:numPr>
                <w:ilvl w:val="0"/>
                <w:numId w:val="2"/>
              </w:numPr>
              <w:spacing w:after="0" w:line="240" w:lineRule="auto"/>
              <w:ind w:left="34" w:firstLine="326"/>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precizētas tiesību normas, kas nosaka tiešo un netiešo izmaksu sadales kārtību;</w:t>
            </w:r>
          </w:p>
          <w:p w:rsidR="00174DAC" w:rsidRPr="00174DAC" w:rsidRDefault="00174DAC" w:rsidP="00174DAC">
            <w:pPr>
              <w:numPr>
                <w:ilvl w:val="0"/>
                <w:numId w:val="2"/>
              </w:numPr>
              <w:spacing w:after="0" w:line="240" w:lineRule="auto"/>
              <w:ind w:left="34" w:firstLine="326"/>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precizēta autobusu (M2 un M3 kategoriju) nolietojuma un vērtības norakstīšanas kārtība (31. un 101.punkts);</w:t>
            </w:r>
          </w:p>
          <w:p w:rsidR="00174DAC" w:rsidRPr="00174DAC" w:rsidRDefault="00174DAC" w:rsidP="00174DAC">
            <w:pPr>
              <w:numPr>
                <w:ilvl w:val="0"/>
                <w:numId w:val="2"/>
              </w:numPr>
              <w:spacing w:after="0" w:line="240" w:lineRule="auto"/>
              <w:ind w:left="34" w:firstLine="326"/>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grozīta pārvadātājam izmaksājamās peļņas aprēķināšanas kārtība, kā arī noteikts minimālais peļņas procenta likmes apmēra ierobežojums. Noteikumos tiek paredzēts, ka peļņa tiks aprēķināta ņemot vērā divus galvenos paveiktā darba apjoma rādītājus – ieņēmumus un nobrauktos kilometrus, katram no tiem dodot 50% īpatsvara peļņas aprēķinā. Rādītājs 0,01 EUR noteikts, lai vidējais peļņas procents atbilstu aptuveni 4% no ieņēmumiem, jeb vidēji 2% no apgrozījuma, kas, ņemot vērā pašreizējo finansiālo situāciju, atbilst „saprātīgas peļņas” jēdzienam ilgtermiņa valsts pasūtījuma līgumos.</w:t>
            </w:r>
          </w:p>
          <w:p w:rsidR="00174DAC" w:rsidRPr="00174DAC" w:rsidRDefault="00174DAC" w:rsidP="00174DAC">
            <w:pPr>
              <w:numPr>
                <w:ilvl w:val="0"/>
                <w:numId w:val="2"/>
              </w:numPr>
              <w:spacing w:after="0" w:line="240" w:lineRule="auto"/>
              <w:ind w:left="34" w:firstLine="326"/>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 xml:space="preserve">noteikts, ka, veicot gala norēķinus par kalendāra gadu vai saistībā ar līgumattiecību izbeigšanos, tiek ņemtas vērā jebkādas citas pārvadātājam izmaksātās dotācijas un </w:t>
            </w:r>
            <w:r w:rsidRPr="00174DAC">
              <w:rPr>
                <w:rFonts w:ascii="Times New Roman" w:eastAsia="Times New Roman" w:hAnsi="Times New Roman" w:cs="Times New Roman"/>
                <w:sz w:val="26"/>
                <w:szCs w:val="26"/>
                <w:lang w:eastAsia="lv-LV"/>
              </w:rPr>
              <w:lastRenderedPageBreak/>
              <w:t>kompensācijas;</w:t>
            </w:r>
          </w:p>
          <w:p w:rsidR="00174DAC" w:rsidRPr="00174DAC" w:rsidRDefault="00174DAC" w:rsidP="00174DAC">
            <w:pPr>
              <w:numPr>
                <w:ilvl w:val="0"/>
                <w:numId w:val="2"/>
              </w:numPr>
              <w:spacing w:after="0" w:line="240" w:lineRule="auto"/>
              <w:ind w:left="34" w:firstLine="326"/>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precizēta peļņas aprēķināšanas kārtība pilsētas nozīmes maršrutos, kuriem vairāk nekā 30% no kopējā maršruta garuma ir ārpus pilsētas administratīvās teritorijas (7.pielikums);</w:t>
            </w:r>
          </w:p>
          <w:p w:rsidR="00174DAC" w:rsidRPr="00174DAC" w:rsidRDefault="00174DAC" w:rsidP="00174DAC">
            <w:pPr>
              <w:numPr>
                <w:ilvl w:val="0"/>
                <w:numId w:val="2"/>
              </w:numPr>
              <w:spacing w:after="0" w:line="240" w:lineRule="auto"/>
              <w:ind w:left="34" w:firstLine="326"/>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precizēta maksimālo kompensējamo izmaksu noteikšanas kārtība, tai skaitā paredzēts, ka autobusu vidējā nobraukuma aprēķinā netiek ņemti vērā autobusi, kuru kopējais nobraukums gada laikā konkrētā līguma ietvaros nepārsniedz 3000 km (1.pielikuma 5.6.apakšpunkts), pievienots jauns koeficients, kas paredz samazināt pašizmaksas daļu, ja reģionālie vietējās nozīmes pārvadājumi veikti reģionālos vietējās nozīmes maršrutos, kas atrodas pilsētas administratīvās teritorijas robežās, vai reģionālos vietējās nozīmes maršrutos, kuros vismaz 80% no kopējā maršruta garuma atrodas pilsētas administratīvajās robežās (1.pielikuma 5.5.apakšpunkts), samazināts Rīgas pilsētas un citu republikas pilsētu nobraukuma īpatsvara koeficienta lielums (1.pielikuma 5.2. un 5.3.apakšpunkts), samazināts arī vidējā svērtā autobusu ietilpības koeficients (1.pielikuma 5.6.apakšpunkts), bet palielināts vidējā svērtā autobusu vecuma koeficients (1.pielikuma 5.8.apakšpunkts), kā arī precizēta maksimālo kompensējamo izmaksu noteikšanas formula (1.pielikuma 8.punkts). Tā kā faktiskais maksimālo kompensējamo izmaksu aprēķins tiks veikts reizi gadā, veicot gala norēķinu, un, lai šim aprēķinam visā pārskata (kalendāra) gada laikā tiktu piemērota viena kārtība, noteikumu projektā ir iekļauts pārejas punkts, kas paredz, ka 1.pielikumā paredzētā kārtība maksimālo kompensējamo izmaksu noteikšanai ir piemērojama no 2013.gada 1.janvāra.</w:t>
            </w:r>
          </w:p>
          <w:p w:rsidR="00174DAC" w:rsidRPr="00D568FC" w:rsidRDefault="00174DAC" w:rsidP="00174DAC">
            <w:pPr>
              <w:spacing w:after="0" w:line="240" w:lineRule="auto"/>
              <w:ind w:left="34"/>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Ņemot vērā, ka maksimāli kompensējamo izmaksu aprēķināšanas metodikā ietvertie atsevišķi koeficienti tiek samazināti, bet citi – palielināti, ņemot vērā</w:t>
            </w:r>
            <w:r w:rsidRPr="00174DAC">
              <w:rPr>
                <w:rFonts w:ascii="Times New Roman" w:eastAsia="Times New Roman" w:hAnsi="Times New Roman" w:cs="Times New Roman"/>
                <w:color w:val="FF0000"/>
                <w:sz w:val="26"/>
                <w:szCs w:val="26"/>
                <w:lang w:eastAsia="lv-LV"/>
              </w:rPr>
              <w:t xml:space="preserve"> </w:t>
            </w:r>
            <w:r w:rsidRPr="00174DAC">
              <w:rPr>
                <w:rFonts w:ascii="Times New Roman" w:eastAsia="Times New Roman" w:hAnsi="Times New Roman" w:cs="Times New Roman"/>
                <w:sz w:val="26"/>
                <w:szCs w:val="26"/>
                <w:lang w:eastAsia="lv-LV"/>
              </w:rPr>
              <w:t>pārvadātāju faktiskos datiem par pārvadājumiem 2013.gada 1. un 2.ceturksnī, kopumā netiek prognozētas būtiskas maksimāli kompensējamo izmaksu apmēra svārstības.</w:t>
            </w:r>
          </w:p>
          <w:p w:rsidR="00174DAC" w:rsidRPr="00174DAC" w:rsidRDefault="00174DAC" w:rsidP="00174DAC">
            <w:pPr>
              <w:numPr>
                <w:ilvl w:val="0"/>
                <w:numId w:val="2"/>
              </w:numPr>
              <w:spacing w:after="0" w:line="240" w:lineRule="auto"/>
              <w:ind w:left="34" w:firstLine="326"/>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noteikumi papildināti ar jaunu 47.</w:t>
            </w:r>
            <w:r w:rsidRPr="00174DAC">
              <w:rPr>
                <w:rFonts w:ascii="Times New Roman" w:eastAsia="Times New Roman" w:hAnsi="Times New Roman" w:cs="Times New Roman"/>
                <w:sz w:val="26"/>
                <w:szCs w:val="26"/>
                <w:vertAlign w:val="superscript"/>
                <w:lang w:eastAsia="lv-LV"/>
              </w:rPr>
              <w:t>1</w:t>
            </w:r>
            <w:r w:rsidRPr="00174DAC">
              <w:rPr>
                <w:rFonts w:ascii="Times New Roman" w:eastAsia="Times New Roman" w:hAnsi="Times New Roman" w:cs="Times New Roman"/>
                <w:sz w:val="26"/>
                <w:szCs w:val="26"/>
                <w:lang w:eastAsia="lv-LV"/>
              </w:rPr>
              <w:t xml:space="preserve"> punktu, kas pēc būtības izsaka jaunā redakcijā šobrīd spēkā </w:t>
            </w:r>
            <w:r w:rsidRPr="00174DAC">
              <w:rPr>
                <w:rFonts w:ascii="Times New Roman" w:eastAsia="Times New Roman" w:hAnsi="Times New Roman" w:cs="Times New Roman"/>
                <w:sz w:val="26"/>
                <w:szCs w:val="26"/>
                <w:lang w:eastAsia="lv-LV"/>
              </w:rPr>
              <w:lastRenderedPageBreak/>
              <w:t xml:space="preserve">esošo noteikumu 60.punktu, nolūkā novērst tādas normas interpretācijas iespējas, kas izslēdz pasūtītāja tiesības sabiedriskā transporta pakalpojumu pasūtījuma līgumā noteikt ne tikai konstantu līgumcenas jeb kompensācijas summu, bet arī detalizētu šīs kompensācijas aprēķinu jeb aprēķināšanas kārtību, kas atsevišķās detaļās var atšķirties no noteikumos paredzētās kārtības. Norādām, ka atbilstoši </w:t>
            </w:r>
            <w:r w:rsidRPr="00174DAC">
              <w:rPr>
                <w:rFonts w:ascii="Times New Roman" w:eastAsia="Times New Roman" w:hAnsi="Times New Roman" w:cs="Times New Roman"/>
                <w:bCs/>
                <w:sz w:val="26"/>
                <w:szCs w:val="26"/>
                <w:lang w:eastAsia="lv-LV"/>
              </w:rPr>
              <w:t>Regulā Nr.1370/2007 nostiprinātiem pamatprincipiem, tieši pakalpojumu valsts līgumā ir definējams atlīdzības apjoms par līguma izpildi (skat. Preambulas 9.punktu), savukārt pasūtītāja rīcības brīvība šādā gadījumā ir ierobežota ar Regulas Nr.1370/2007 pielikumā reglamentētiem uz kompensācijas apmēra noteikšanu attiecināmiem vispārīgiem noteikumiem.</w:t>
            </w:r>
          </w:p>
          <w:p w:rsidR="00174DAC" w:rsidRPr="00174DAC" w:rsidRDefault="00174DAC" w:rsidP="00174DAC">
            <w:pPr>
              <w:spacing w:after="0" w:line="240" w:lineRule="auto"/>
              <w:ind w:firstLine="459"/>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Papildus noslēguma jautājumos:</w:t>
            </w:r>
          </w:p>
          <w:p w:rsidR="00174DAC" w:rsidRPr="00174DAC" w:rsidRDefault="00174DAC" w:rsidP="00174DAC">
            <w:pPr>
              <w:spacing w:after="0" w:line="240" w:lineRule="auto"/>
              <w:ind w:firstLine="459"/>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 xml:space="preserve">1) ir paredzēts, ka noteikumu projektā paredzētā jaunā peļņas aprēķināšanas kārtība, kas stāsies spēkā 2015.gada 1.janvārī, ir piemērojama 2014.gada peļņas aprēķināšanai. Saskaņā ar spēkā esošo tiesisko regulējumu (MK noteikumu Nr.341 64.punkts) peļņas aprēķins par pārskata (kalendāro) gadu atbilstoši noteikumiem tiek veikts reizi gadā, veicot gala norēķinu (pēc gada pārskata iesniegšanas un apstiprināšanas, t. i., nākamā gada jūnijā vai pat septembrī). Tas nozīmē, ka 2014.gada peļņas gala aprēķins tiks veikts 2015.gadā. </w:t>
            </w:r>
          </w:p>
          <w:p w:rsidR="00174DAC" w:rsidRPr="00174DAC" w:rsidRDefault="00174DAC" w:rsidP="00174DAC">
            <w:pPr>
              <w:spacing w:after="0" w:line="240" w:lineRule="auto"/>
              <w:ind w:left="34" w:firstLine="425"/>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2) ir noteikta peļņas aprēķināšanas kārtība laika posmam no 2012.gada 1.janvāra līdz 2012.gada 8.jūnijam. Tiek paredzēts, ka peļņas aprēķināšanai šajā periodā tiks piemērota tāda pati kārtība, kāda bija noteikta MK noteikumu Nr.1226 40.punktā, respektīvi, kārtība, kas bija spēkā līdz 2012.gada 8.jūnijam.</w:t>
            </w:r>
          </w:p>
          <w:p w:rsidR="00174DAC" w:rsidRPr="00A95409" w:rsidRDefault="00174DAC" w:rsidP="00174DAC">
            <w:pPr>
              <w:spacing w:after="0" w:line="240" w:lineRule="auto"/>
              <w:ind w:left="34" w:firstLine="425"/>
              <w:jc w:val="both"/>
              <w:rPr>
                <w:rFonts w:ascii="Times New Roman" w:eastAsia="Times New Roman" w:hAnsi="Times New Roman" w:cs="Times New Roman"/>
                <w:sz w:val="26"/>
                <w:szCs w:val="26"/>
                <w:lang w:eastAsia="lv-LV"/>
              </w:rPr>
            </w:pPr>
            <w:r w:rsidRPr="00A95409">
              <w:rPr>
                <w:rFonts w:ascii="Times New Roman" w:eastAsia="Times New Roman" w:hAnsi="Times New Roman" w:cs="Times New Roman"/>
                <w:sz w:val="26"/>
                <w:szCs w:val="26"/>
                <w:lang w:eastAsia="lv-LV"/>
              </w:rPr>
              <w:t xml:space="preserve">3) ir noteikts, ka izmaiņas noteikumu 5. un 7.pielikumā, kas nosaka </w:t>
            </w:r>
            <w:r w:rsidRPr="00A95409">
              <w:rPr>
                <w:rFonts w:ascii="Times New Roman" w:eastAsia="Times New Roman" w:hAnsi="Times New Roman" w:cs="Times New Roman"/>
                <w:i/>
                <w:sz w:val="26"/>
                <w:szCs w:val="26"/>
                <w:lang w:eastAsia="lv-LV"/>
              </w:rPr>
              <w:t>Pārskata par sabiedriskā transporta pakalpojumu peļņu vai zaudējumiem</w:t>
            </w:r>
            <w:r w:rsidRPr="00A95409">
              <w:rPr>
                <w:rFonts w:ascii="Times New Roman" w:eastAsia="Times New Roman" w:hAnsi="Times New Roman" w:cs="Times New Roman"/>
                <w:sz w:val="26"/>
                <w:szCs w:val="26"/>
                <w:lang w:eastAsia="lv-LV"/>
              </w:rPr>
              <w:t xml:space="preserve"> un </w:t>
            </w:r>
            <w:r w:rsidRPr="00A95409">
              <w:rPr>
                <w:rFonts w:ascii="Times New Roman" w:eastAsia="Times New Roman" w:hAnsi="Times New Roman" w:cs="Times New Roman"/>
                <w:i/>
                <w:sz w:val="26"/>
                <w:szCs w:val="26"/>
                <w:lang w:eastAsia="lv-LV"/>
              </w:rPr>
              <w:t>Informācijas par zaudējumiem maršrutos, kuriem vairāk nekā 30% no kopējā maršruta garuma ir ārpus pilsētas administratīvās teritorijas</w:t>
            </w:r>
            <w:r w:rsidRPr="00A95409">
              <w:rPr>
                <w:rFonts w:ascii="Times New Roman" w:eastAsia="Times New Roman" w:hAnsi="Times New Roman" w:cs="Times New Roman"/>
                <w:sz w:val="26"/>
                <w:szCs w:val="26"/>
                <w:lang w:eastAsia="lv-LV"/>
              </w:rPr>
              <w:t xml:space="preserve"> formu un tajos iekļaujamo informāciju, ir piemērojamas, sākot ar 2014.gada 1.janvāri. Atbilstoši MK noteikumos Nr.341 noteiktai kārtībai, saskaņā ar 5. un </w:t>
            </w:r>
            <w:r w:rsidRPr="00A95409">
              <w:rPr>
                <w:rFonts w:ascii="Times New Roman" w:eastAsia="Times New Roman" w:hAnsi="Times New Roman" w:cs="Times New Roman"/>
                <w:sz w:val="26"/>
                <w:szCs w:val="26"/>
                <w:lang w:eastAsia="lv-LV"/>
              </w:rPr>
              <w:lastRenderedPageBreak/>
              <w:t>7.pielikumu informācija vai pārskats parasti tiek iesniegta reizi ceturksnī. Līdz ar to šāda tiesību normu pāreja ir nepieciešama, lai nodrošinātu iespēju sagatavot informāciju par laika posmu, kas aptver visu atskaites periodu – ceturksni.</w:t>
            </w:r>
          </w:p>
          <w:p w:rsidR="00174DAC" w:rsidRPr="00174DAC" w:rsidRDefault="00174DAC" w:rsidP="00174DAC">
            <w:pPr>
              <w:spacing w:after="0" w:line="240" w:lineRule="auto"/>
              <w:ind w:left="34" w:firstLine="425"/>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Pārējiem noteikumu projektā ietvertiem grozījumiem ir redakcionāls un tehnisks raksturs, to mērķis ir uzlabot MK noteikumu Nr.341 normu uztveramību un skaidrību.</w:t>
            </w:r>
          </w:p>
        </w:tc>
      </w:tr>
      <w:tr w:rsidR="00174DAC" w:rsidRPr="00174DAC" w:rsidTr="00472D9F">
        <w:trPr>
          <w:jc w:val="center"/>
        </w:trPr>
        <w:tc>
          <w:tcPr>
            <w:tcW w:w="538" w:type="dxa"/>
          </w:tcPr>
          <w:p w:rsidR="00174DAC" w:rsidRPr="00174DAC" w:rsidRDefault="00174DAC" w:rsidP="00174DAC">
            <w:pPr>
              <w:tabs>
                <w:tab w:val="center" w:pos="4153"/>
                <w:tab w:val="right" w:pos="8306"/>
              </w:tabs>
              <w:spacing w:after="0" w:line="240" w:lineRule="auto"/>
              <w:jc w:val="center"/>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lastRenderedPageBreak/>
              <w:t>5.</w:t>
            </w:r>
          </w:p>
        </w:tc>
        <w:tc>
          <w:tcPr>
            <w:tcW w:w="3240" w:type="dxa"/>
          </w:tcPr>
          <w:p w:rsidR="00174DAC" w:rsidRPr="00174DAC" w:rsidRDefault="00174DAC" w:rsidP="00174DAC">
            <w:pPr>
              <w:tabs>
                <w:tab w:val="center" w:pos="4153"/>
                <w:tab w:val="right" w:pos="8306"/>
              </w:tabs>
              <w:spacing w:after="0" w:line="240" w:lineRule="auto"/>
              <w:jc w:val="both"/>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Projekta izstrādē iesaistītās institūcijas</w:t>
            </w:r>
          </w:p>
        </w:tc>
        <w:tc>
          <w:tcPr>
            <w:tcW w:w="5761" w:type="dxa"/>
          </w:tcPr>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Valsts sabiedrība ar ierobežotu atbildību „Autotransporta direkcija” (turpmāk – Autotransporta direkcija)</w:t>
            </w:r>
          </w:p>
        </w:tc>
      </w:tr>
      <w:tr w:rsidR="00174DAC" w:rsidRPr="00174DAC" w:rsidTr="00472D9F">
        <w:trPr>
          <w:trHeight w:val="1381"/>
          <w:jc w:val="center"/>
        </w:trPr>
        <w:tc>
          <w:tcPr>
            <w:tcW w:w="538" w:type="dxa"/>
          </w:tcPr>
          <w:p w:rsidR="00174DAC" w:rsidRPr="00174DAC" w:rsidRDefault="00174DAC" w:rsidP="00174DAC">
            <w:pPr>
              <w:spacing w:after="0" w:line="240" w:lineRule="auto"/>
              <w:jc w:val="center"/>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6.</w:t>
            </w:r>
          </w:p>
        </w:tc>
        <w:tc>
          <w:tcPr>
            <w:tcW w:w="3240" w:type="dxa"/>
          </w:tcPr>
          <w:p w:rsidR="00174DAC" w:rsidRPr="00174DAC" w:rsidRDefault="00174DAC" w:rsidP="00174DAC">
            <w:pPr>
              <w:spacing w:after="0" w:line="240" w:lineRule="auto"/>
              <w:jc w:val="both"/>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Iemesli, kādēļ netika nodrošināta sabiedrības līdzdalība</w:t>
            </w:r>
          </w:p>
        </w:tc>
        <w:tc>
          <w:tcPr>
            <w:tcW w:w="5761" w:type="dxa"/>
          </w:tcPr>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Noteikumu projekta atsevišķas normas tiek grozītas, ņemot vērā Latvijas Pasažieru pārvadātāju asociācijas viedokli. Sabiedrība savu viedokli varēs izteikt pēc projekta izsludināšanas Valsts sekretāru sanāksmē</w:t>
            </w:r>
          </w:p>
        </w:tc>
      </w:tr>
      <w:tr w:rsidR="00174DAC" w:rsidRPr="00174DAC" w:rsidTr="00472D9F">
        <w:trPr>
          <w:jc w:val="center"/>
        </w:trPr>
        <w:tc>
          <w:tcPr>
            <w:tcW w:w="538" w:type="dxa"/>
          </w:tcPr>
          <w:p w:rsidR="00174DAC" w:rsidRPr="00174DAC" w:rsidRDefault="00174DAC" w:rsidP="00174DAC">
            <w:pPr>
              <w:spacing w:after="0" w:line="240" w:lineRule="auto"/>
              <w:jc w:val="center"/>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7.</w:t>
            </w:r>
          </w:p>
        </w:tc>
        <w:tc>
          <w:tcPr>
            <w:tcW w:w="3240" w:type="dxa"/>
          </w:tcPr>
          <w:p w:rsidR="00174DAC" w:rsidRPr="00174DAC" w:rsidRDefault="00174DAC" w:rsidP="00174DAC">
            <w:pPr>
              <w:spacing w:after="0" w:line="240" w:lineRule="auto"/>
              <w:jc w:val="both"/>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Cita informācija</w:t>
            </w:r>
          </w:p>
        </w:tc>
        <w:tc>
          <w:tcPr>
            <w:tcW w:w="5761" w:type="dxa"/>
          </w:tcPr>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Nav.</w:t>
            </w:r>
          </w:p>
        </w:tc>
      </w:tr>
    </w:tbl>
    <w:p w:rsidR="00174DAC" w:rsidRDefault="00174DAC" w:rsidP="00174DAC">
      <w:pPr>
        <w:spacing w:after="0" w:line="240" w:lineRule="auto"/>
        <w:rPr>
          <w:rFonts w:ascii="Times New Roman" w:eastAsia="Times New Roman" w:hAnsi="Times New Roman" w:cs="Times New Roman"/>
          <w:sz w:val="26"/>
          <w:szCs w:val="26"/>
          <w:lang w:eastAsia="lv-LV"/>
        </w:rPr>
      </w:pPr>
    </w:p>
    <w:p w:rsidR="00D568FC" w:rsidRPr="00174DAC" w:rsidRDefault="00D568FC" w:rsidP="00174DAC">
      <w:pPr>
        <w:spacing w:after="0" w:line="240" w:lineRule="auto"/>
        <w:rPr>
          <w:rFonts w:ascii="Times New Roman" w:eastAsia="Times New Roman" w:hAnsi="Times New Roman" w:cs="Times New Roman"/>
          <w:sz w:val="26"/>
          <w:szCs w:val="26"/>
          <w:lang w:eastAsia="lv-LV"/>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94"/>
        <w:gridCol w:w="5705"/>
      </w:tblGrid>
      <w:tr w:rsidR="00174DAC" w:rsidRPr="00C26CCC" w:rsidTr="00472D9F">
        <w:trPr>
          <w:jc w:val="center"/>
        </w:trPr>
        <w:tc>
          <w:tcPr>
            <w:tcW w:w="9539" w:type="dxa"/>
            <w:gridSpan w:val="3"/>
          </w:tcPr>
          <w:p w:rsidR="00174DAC" w:rsidRPr="00C26CCC" w:rsidRDefault="00174DAC" w:rsidP="00174DAC">
            <w:pPr>
              <w:spacing w:after="0" w:line="240" w:lineRule="auto"/>
              <w:jc w:val="center"/>
              <w:rPr>
                <w:rFonts w:ascii="Times New Roman" w:eastAsia="Times New Roman" w:hAnsi="Times New Roman" w:cs="Times New Roman"/>
                <w:b/>
                <w:sz w:val="26"/>
                <w:szCs w:val="26"/>
                <w:lang w:eastAsia="lv-LV"/>
              </w:rPr>
            </w:pPr>
            <w:r w:rsidRPr="00C26CCC">
              <w:rPr>
                <w:rFonts w:ascii="Times New Roman" w:eastAsia="Times New Roman" w:hAnsi="Times New Roman" w:cs="Times New Roman"/>
                <w:b/>
                <w:sz w:val="26"/>
                <w:szCs w:val="26"/>
                <w:lang w:eastAsia="lv-LV"/>
              </w:rPr>
              <w:t>II. Tiesību akta projekta ietekme uz sabiedrību</w:t>
            </w:r>
          </w:p>
        </w:tc>
      </w:tr>
      <w:tr w:rsidR="00174DAC" w:rsidRPr="00174DAC" w:rsidTr="00472D9F">
        <w:trPr>
          <w:jc w:val="center"/>
        </w:trPr>
        <w:tc>
          <w:tcPr>
            <w:tcW w:w="540" w:type="dxa"/>
          </w:tcPr>
          <w:p w:rsidR="00174DAC" w:rsidRPr="00174DAC" w:rsidRDefault="00174DAC" w:rsidP="00174DAC">
            <w:pPr>
              <w:spacing w:after="0" w:line="240" w:lineRule="auto"/>
              <w:jc w:val="center"/>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1.</w:t>
            </w:r>
          </w:p>
        </w:tc>
        <w:tc>
          <w:tcPr>
            <w:tcW w:w="3294" w:type="dxa"/>
          </w:tcPr>
          <w:p w:rsidR="00174DAC" w:rsidRPr="00174DAC" w:rsidRDefault="00174DAC" w:rsidP="00174DAC">
            <w:pPr>
              <w:spacing w:after="0" w:line="240" w:lineRule="auto"/>
              <w:jc w:val="both"/>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Sabiedrības mērķgrupa</w:t>
            </w:r>
          </w:p>
        </w:tc>
        <w:tc>
          <w:tcPr>
            <w:tcW w:w="5705" w:type="dxa"/>
          </w:tcPr>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Noteikumu projekts attiecas uz sabiedriskā transporta pakalpojumu pasūtītājiem (Autotransporta direkcija, republikas pilsētu pašvaldības, plānošanas reģioni) un sabiedriskā transporta pakalpojumu sniedzējiem – pārvadātājiem, ar kuriem noslēgts valsts vai pašvaldības līgums par sabiedriskā transporta pakalpojumu nodrošināšanu.</w:t>
            </w:r>
          </w:p>
        </w:tc>
      </w:tr>
      <w:tr w:rsidR="00174DAC" w:rsidRPr="00174DAC" w:rsidTr="00472D9F">
        <w:trPr>
          <w:jc w:val="center"/>
        </w:trPr>
        <w:tc>
          <w:tcPr>
            <w:tcW w:w="540" w:type="dxa"/>
          </w:tcPr>
          <w:p w:rsidR="00174DAC" w:rsidRPr="00174DAC" w:rsidRDefault="00174DAC" w:rsidP="00174DAC">
            <w:pPr>
              <w:spacing w:after="0" w:line="240" w:lineRule="auto"/>
              <w:jc w:val="center"/>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2.</w:t>
            </w:r>
          </w:p>
        </w:tc>
        <w:tc>
          <w:tcPr>
            <w:tcW w:w="3294" w:type="dxa"/>
          </w:tcPr>
          <w:p w:rsidR="00174DAC" w:rsidRPr="00174DAC" w:rsidRDefault="00174DAC" w:rsidP="00174DAC">
            <w:pPr>
              <w:spacing w:after="0" w:line="240" w:lineRule="auto"/>
              <w:jc w:val="both"/>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Citas sabiedrības grupas (bez mērķgrupas), kuras tiesiskais regulējums arī ietekmē vai varētu ietekmēt</w:t>
            </w:r>
          </w:p>
        </w:tc>
        <w:tc>
          <w:tcPr>
            <w:tcW w:w="5705" w:type="dxa"/>
          </w:tcPr>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Projekts šo jomu neskar.</w:t>
            </w:r>
          </w:p>
        </w:tc>
      </w:tr>
      <w:tr w:rsidR="00174DAC" w:rsidRPr="00174DAC" w:rsidTr="00472D9F">
        <w:trPr>
          <w:jc w:val="center"/>
        </w:trPr>
        <w:tc>
          <w:tcPr>
            <w:tcW w:w="540" w:type="dxa"/>
          </w:tcPr>
          <w:p w:rsidR="00174DAC" w:rsidRPr="00174DAC" w:rsidRDefault="00174DAC" w:rsidP="00174DAC">
            <w:pPr>
              <w:spacing w:after="0" w:line="240" w:lineRule="auto"/>
              <w:jc w:val="center"/>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3.</w:t>
            </w:r>
          </w:p>
        </w:tc>
        <w:tc>
          <w:tcPr>
            <w:tcW w:w="3294" w:type="dxa"/>
          </w:tcPr>
          <w:p w:rsidR="00174DAC" w:rsidRPr="00174DAC" w:rsidRDefault="00174DAC" w:rsidP="00174DAC">
            <w:pPr>
              <w:spacing w:after="0" w:line="240" w:lineRule="auto"/>
              <w:jc w:val="both"/>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Tiesiskā regulējuma finansiālā ietekme</w:t>
            </w:r>
          </w:p>
        </w:tc>
        <w:tc>
          <w:tcPr>
            <w:tcW w:w="5705" w:type="dxa"/>
          </w:tcPr>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sidDel="00C95182">
              <w:rPr>
                <w:rFonts w:ascii="Times New Roman" w:eastAsia="Times New Roman" w:hAnsi="Times New Roman" w:cs="Times New Roman"/>
                <w:sz w:val="26"/>
                <w:szCs w:val="26"/>
                <w:lang w:eastAsia="lv-LV"/>
              </w:rPr>
              <w:t>Projekts šo jomu neskar.</w:t>
            </w:r>
            <w:r w:rsidRPr="00174DAC">
              <w:rPr>
                <w:rFonts w:ascii="Times New Roman" w:eastAsia="Times New Roman" w:hAnsi="Times New Roman" w:cs="Times New Roman"/>
                <w:sz w:val="26"/>
                <w:szCs w:val="26"/>
                <w:lang w:eastAsia="lv-LV"/>
              </w:rPr>
              <w:t xml:space="preserve"> Mainot pārvadātājam izmaksājamās peļņas aprēķināšanas kārtību, kur tiek paredzēts minimālais peļņas procenta likmes apmēra ierobežojums, kā arī ņemti vērā divi galvenie paveiktā darba apjoma rādītāji – ieņēmumi un veiktie kilometri, no valsts budžeta paredzēto dotāciju apjoms tiek palielināts, </w:t>
            </w:r>
            <w:r w:rsidRPr="00174DAC">
              <w:rPr>
                <w:rFonts w:ascii="Times New Roman" w:eastAsia="Times New Roman" w:hAnsi="Times New Roman" w:cs="Times New Roman"/>
                <w:b/>
                <w:sz w:val="26"/>
                <w:szCs w:val="26"/>
                <w:lang w:eastAsia="lv-LV"/>
              </w:rPr>
              <w:t>sākot no 2015.gada 1.janvāra.</w:t>
            </w:r>
            <w:r w:rsidRPr="00174DAC">
              <w:rPr>
                <w:rFonts w:ascii="Times New Roman" w:eastAsia="Times New Roman" w:hAnsi="Times New Roman" w:cs="Times New Roman"/>
                <w:sz w:val="26"/>
                <w:szCs w:val="26"/>
                <w:lang w:eastAsia="lv-LV"/>
              </w:rPr>
              <w:t xml:space="preserve"> Peļņas palielinājums sabiedriskā transporta pakalpojumu sniedzējiem nodrošinās iespēju veikt plānveida kapitālieguldījumus jauna ritošā sastāva iegādei.</w:t>
            </w:r>
          </w:p>
        </w:tc>
      </w:tr>
      <w:tr w:rsidR="00174DAC" w:rsidRPr="00174DAC" w:rsidTr="00472D9F">
        <w:trPr>
          <w:jc w:val="center"/>
        </w:trPr>
        <w:tc>
          <w:tcPr>
            <w:tcW w:w="540" w:type="dxa"/>
          </w:tcPr>
          <w:p w:rsidR="00174DAC" w:rsidRPr="00174DAC" w:rsidRDefault="00174DAC" w:rsidP="00174DAC">
            <w:pPr>
              <w:spacing w:after="0" w:line="240" w:lineRule="auto"/>
              <w:jc w:val="center"/>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lastRenderedPageBreak/>
              <w:t>4.</w:t>
            </w:r>
          </w:p>
        </w:tc>
        <w:tc>
          <w:tcPr>
            <w:tcW w:w="3294" w:type="dxa"/>
          </w:tcPr>
          <w:p w:rsidR="00174DAC" w:rsidRPr="00174DAC" w:rsidRDefault="00174DAC" w:rsidP="00174DAC">
            <w:pPr>
              <w:spacing w:after="0" w:line="240" w:lineRule="auto"/>
              <w:jc w:val="both"/>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Tiesiskā regulējuma nefinansiālā ietekme</w:t>
            </w:r>
          </w:p>
        </w:tc>
        <w:tc>
          <w:tcPr>
            <w:tcW w:w="5705" w:type="dxa"/>
          </w:tcPr>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Projekts šo jomu neskar.</w:t>
            </w:r>
          </w:p>
        </w:tc>
      </w:tr>
      <w:tr w:rsidR="00174DAC" w:rsidRPr="00174DAC" w:rsidTr="00472D9F">
        <w:trPr>
          <w:jc w:val="center"/>
        </w:trPr>
        <w:tc>
          <w:tcPr>
            <w:tcW w:w="540" w:type="dxa"/>
          </w:tcPr>
          <w:p w:rsidR="00174DAC" w:rsidRPr="00174DAC" w:rsidRDefault="00174DAC" w:rsidP="00174DAC">
            <w:pPr>
              <w:spacing w:after="0" w:line="240" w:lineRule="auto"/>
              <w:jc w:val="center"/>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5.</w:t>
            </w:r>
          </w:p>
        </w:tc>
        <w:tc>
          <w:tcPr>
            <w:tcW w:w="3294" w:type="dxa"/>
          </w:tcPr>
          <w:p w:rsidR="00174DAC" w:rsidRPr="00174DAC" w:rsidRDefault="00174DAC" w:rsidP="00174DAC">
            <w:pPr>
              <w:spacing w:after="0" w:line="240" w:lineRule="auto"/>
              <w:jc w:val="both"/>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Administratīvās procedūras raksturojums</w:t>
            </w:r>
          </w:p>
        </w:tc>
        <w:tc>
          <w:tcPr>
            <w:tcW w:w="5705" w:type="dxa"/>
          </w:tcPr>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Projekts šo jomu neskar.</w:t>
            </w:r>
          </w:p>
        </w:tc>
      </w:tr>
      <w:tr w:rsidR="00174DAC" w:rsidRPr="00174DAC" w:rsidTr="00472D9F">
        <w:trPr>
          <w:jc w:val="center"/>
        </w:trPr>
        <w:tc>
          <w:tcPr>
            <w:tcW w:w="540" w:type="dxa"/>
          </w:tcPr>
          <w:p w:rsidR="00174DAC" w:rsidRPr="00174DAC" w:rsidRDefault="00174DAC" w:rsidP="00174DAC">
            <w:pPr>
              <w:spacing w:after="0" w:line="240" w:lineRule="auto"/>
              <w:jc w:val="center"/>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6.</w:t>
            </w:r>
          </w:p>
        </w:tc>
        <w:tc>
          <w:tcPr>
            <w:tcW w:w="3294" w:type="dxa"/>
          </w:tcPr>
          <w:p w:rsidR="00174DAC" w:rsidRPr="00174DAC" w:rsidRDefault="00174DAC" w:rsidP="00174DAC">
            <w:pPr>
              <w:spacing w:after="0" w:line="240" w:lineRule="auto"/>
              <w:jc w:val="both"/>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Administratīvo izmaksu monetārs novērtējums</w:t>
            </w:r>
          </w:p>
        </w:tc>
        <w:tc>
          <w:tcPr>
            <w:tcW w:w="5705" w:type="dxa"/>
          </w:tcPr>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Projekts šo jomu neskar.</w:t>
            </w:r>
          </w:p>
        </w:tc>
      </w:tr>
      <w:tr w:rsidR="00174DAC" w:rsidRPr="00174DAC" w:rsidTr="00472D9F">
        <w:trPr>
          <w:jc w:val="center"/>
        </w:trPr>
        <w:tc>
          <w:tcPr>
            <w:tcW w:w="540" w:type="dxa"/>
          </w:tcPr>
          <w:p w:rsidR="00174DAC" w:rsidRPr="00174DAC" w:rsidRDefault="00174DAC" w:rsidP="00174DAC">
            <w:pPr>
              <w:spacing w:after="0" w:line="240" w:lineRule="auto"/>
              <w:jc w:val="center"/>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7.</w:t>
            </w:r>
          </w:p>
        </w:tc>
        <w:tc>
          <w:tcPr>
            <w:tcW w:w="3294" w:type="dxa"/>
          </w:tcPr>
          <w:p w:rsidR="00174DAC" w:rsidRPr="00174DAC" w:rsidRDefault="00174DAC" w:rsidP="00174DAC">
            <w:pPr>
              <w:spacing w:after="0" w:line="240" w:lineRule="auto"/>
              <w:jc w:val="both"/>
              <w:outlineLvl w:val="0"/>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Cita informācija</w:t>
            </w:r>
          </w:p>
        </w:tc>
        <w:tc>
          <w:tcPr>
            <w:tcW w:w="5705" w:type="dxa"/>
          </w:tcPr>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Nav.</w:t>
            </w:r>
          </w:p>
        </w:tc>
      </w:tr>
    </w:tbl>
    <w:p w:rsidR="00D568FC" w:rsidRDefault="00D568FC" w:rsidP="00174DAC">
      <w:pPr>
        <w:spacing w:after="0" w:line="240" w:lineRule="auto"/>
        <w:rPr>
          <w:rFonts w:ascii="Times New Roman" w:eastAsia="Times New Roman" w:hAnsi="Times New Roman" w:cs="Times New Roman"/>
          <w:sz w:val="26"/>
          <w:szCs w:val="26"/>
          <w:lang w:eastAsia="lv-LV"/>
        </w:rPr>
      </w:pPr>
    </w:p>
    <w:p w:rsidR="00202966" w:rsidRDefault="00202966" w:rsidP="00174DAC">
      <w:pPr>
        <w:spacing w:after="0" w:line="240" w:lineRule="auto"/>
        <w:rPr>
          <w:rFonts w:ascii="Times New Roman" w:eastAsia="Times New Roman" w:hAnsi="Times New Roman" w:cs="Times New Roman"/>
          <w:sz w:val="26"/>
          <w:szCs w:val="26"/>
          <w:lang w:eastAsia="lv-LV"/>
        </w:rPr>
      </w:pPr>
    </w:p>
    <w:tbl>
      <w:tblPr>
        <w:tblW w:w="5095"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1196"/>
        <w:gridCol w:w="1306"/>
        <w:gridCol w:w="1306"/>
        <w:gridCol w:w="1306"/>
        <w:gridCol w:w="1304"/>
      </w:tblGrid>
      <w:tr w:rsidR="00174DAC" w:rsidRPr="00C26CCC" w:rsidTr="00472D9F">
        <w:trPr>
          <w:trHeight w:val="261"/>
          <w:jc w:val="center"/>
        </w:trPr>
        <w:tc>
          <w:tcPr>
            <w:tcW w:w="5000" w:type="pct"/>
            <w:gridSpan w:val="6"/>
          </w:tcPr>
          <w:p w:rsidR="00174DAC" w:rsidRPr="00C26CCC" w:rsidRDefault="00174DAC" w:rsidP="00174DAC">
            <w:pPr>
              <w:spacing w:after="0" w:line="240" w:lineRule="auto"/>
              <w:jc w:val="center"/>
              <w:rPr>
                <w:rFonts w:ascii="Times New Roman" w:eastAsia="Times New Roman" w:hAnsi="Times New Roman" w:cs="Times New Roman"/>
                <w:b/>
                <w:bCs/>
                <w:i/>
                <w:sz w:val="26"/>
                <w:szCs w:val="26"/>
                <w:lang w:eastAsia="lv-LV"/>
              </w:rPr>
            </w:pPr>
            <w:r w:rsidRPr="00C26CCC">
              <w:rPr>
                <w:rFonts w:ascii="Times New Roman" w:eastAsia="Times New Roman" w:hAnsi="Times New Roman" w:cs="Times New Roman"/>
                <w:b/>
                <w:bCs/>
                <w:sz w:val="26"/>
                <w:szCs w:val="26"/>
                <w:lang w:eastAsia="lv-LV"/>
              </w:rPr>
              <w:br w:type="page"/>
              <w:t>III. Tiesību akta projekta ietekme uz valsts budžetu un pašvaldību budžetiem</w:t>
            </w:r>
          </w:p>
        </w:tc>
      </w:tr>
      <w:tr w:rsidR="00174DAC" w:rsidRPr="00174DAC" w:rsidTr="00202966">
        <w:trPr>
          <w:jc w:val="center"/>
        </w:trPr>
        <w:tc>
          <w:tcPr>
            <w:tcW w:w="1609" w:type="pct"/>
            <w:vMerge w:val="restart"/>
            <w:vAlign w:val="center"/>
          </w:tcPr>
          <w:p w:rsidR="00174DAC" w:rsidRPr="00174DAC" w:rsidRDefault="00174DAC" w:rsidP="00174DAC">
            <w:pPr>
              <w:spacing w:after="0" w:line="240" w:lineRule="auto"/>
              <w:jc w:val="center"/>
              <w:rPr>
                <w:rFonts w:ascii="Times New Roman" w:eastAsia="Times New Roman" w:hAnsi="Times New Roman" w:cs="Times New Roman"/>
                <w:b/>
                <w:sz w:val="26"/>
                <w:szCs w:val="26"/>
                <w:lang w:eastAsia="lv-LV"/>
              </w:rPr>
            </w:pPr>
            <w:r w:rsidRPr="00174DAC">
              <w:rPr>
                <w:rFonts w:ascii="Times New Roman" w:eastAsia="Times New Roman" w:hAnsi="Times New Roman" w:cs="Times New Roman"/>
                <w:b/>
                <w:sz w:val="26"/>
                <w:szCs w:val="26"/>
                <w:lang w:eastAsia="lv-LV"/>
              </w:rPr>
              <w:t>Rādītāji</w:t>
            </w:r>
          </w:p>
        </w:tc>
        <w:tc>
          <w:tcPr>
            <w:tcW w:w="1322" w:type="pct"/>
            <w:gridSpan w:val="2"/>
            <w:vMerge w:val="restart"/>
            <w:vAlign w:val="center"/>
          </w:tcPr>
          <w:p w:rsidR="00174DAC" w:rsidRPr="00174DAC" w:rsidRDefault="00174DAC" w:rsidP="00174DAC">
            <w:pPr>
              <w:spacing w:after="0" w:line="240" w:lineRule="auto"/>
              <w:jc w:val="center"/>
              <w:rPr>
                <w:rFonts w:ascii="Times New Roman" w:eastAsia="Times New Roman" w:hAnsi="Times New Roman" w:cs="Times New Roman"/>
                <w:b/>
                <w:sz w:val="26"/>
                <w:szCs w:val="26"/>
                <w:lang w:eastAsia="lv-LV"/>
              </w:rPr>
            </w:pPr>
            <w:r w:rsidRPr="00174DAC">
              <w:rPr>
                <w:rFonts w:ascii="Times New Roman" w:eastAsia="Times New Roman" w:hAnsi="Times New Roman" w:cs="Times New Roman"/>
                <w:b/>
                <w:sz w:val="26"/>
                <w:szCs w:val="26"/>
                <w:lang w:eastAsia="lv-LV"/>
              </w:rPr>
              <w:t>2013.gads</w:t>
            </w:r>
          </w:p>
        </w:tc>
        <w:tc>
          <w:tcPr>
            <w:tcW w:w="2069" w:type="pct"/>
            <w:gridSpan w:val="3"/>
            <w:vAlign w:val="center"/>
          </w:tcPr>
          <w:p w:rsidR="00174DAC" w:rsidRPr="00174DAC" w:rsidRDefault="00174DAC" w:rsidP="00174DAC">
            <w:pPr>
              <w:spacing w:after="0" w:line="240" w:lineRule="auto"/>
              <w:jc w:val="center"/>
              <w:rPr>
                <w:rFonts w:ascii="Times New Roman" w:eastAsia="Times New Roman" w:hAnsi="Times New Roman" w:cs="Times New Roman"/>
                <w:b/>
                <w:i/>
                <w:sz w:val="26"/>
                <w:szCs w:val="26"/>
                <w:lang w:eastAsia="lv-LV"/>
              </w:rPr>
            </w:pPr>
            <w:r w:rsidRPr="00174DAC">
              <w:rPr>
                <w:rFonts w:ascii="Times New Roman" w:eastAsia="Times New Roman" w:hAnsi="Times New Roman" w:cs="Times New Roman"/>
                <w:sz w:val="26"/>
                <w:szCs w:val="26"/>
                <w:lang w:eastAsia="lv-LV"/>
              </w:rPr>
              <w:t>Turpmākie trīs gadi (tūkst. EUR)</w:t>
            </w:r>
          </w:p>
        </w:tc>
      </w:tr>
      <w:tr w:rsidR="00174DAC" w:rsidRPr="00174DAC" w:rsidTr="00202966">
        <w:trPr>
          <w:jc w:val="center"/>
        </w:trPr>
        <w:tc>
          <w:tcPr>
            <w:tcW w:w="1609" w:type="pct"/>
            <w:vMerge/>
            <w:vAlign w:val="center"/>
          </w:tcPr>
          <w:p w:rsidR="00174DAC" w:rsidRPr="00174DAC" w:rsidRDefault="00174DAC" w:rsidP="00174DAC">
            <w:pPr>
              <w:spacing w:after="0" w:line="240" w:lineRule="auto"/>
              <w:rPr>
                <w:rFonts w:ascii="Times New Roman" w:eastAsia="Times New Roman" w:hAnsi="Times New Roman" w:cs="Times New Roman"/>
                <w:b/>
                <w:i/>
                <w:sz w:val="26"/>
                <w:szCs w:val="26"/>
                <w:lang w:eastAsia="lv-LV"/>
              </w:rPr>
            </w:pPr>
          </w:p>
        </w:tc>
        <w:tc>
          <w:tcPr>
            <w:tcW w:w="1322" w:type="pct"/>
            <w:gridSpan w:val="2"/>
            <w:vMerge/>
            <w:vAlign w:val="center"/>
          </w:tcPr>
          <w:p w:rsidR="00174DAC" w:rsidRPr="00174DAC" w:rsidRDefault="00174DAC" w:rsidP="00174DAC">
            <w:pPr>
              <w:spacing w:after="0" w:line="240" w:lineRule="auto"/>
              <w:jc w:val="center"/>
              <w:rPr>
                <w:rFonts w:ascii="Times New Roman" w:eastAsia="Times New Roman" w:hAnsi="Times New Roman" w:cs="Times New Roman"/>
                <w:b/>
                <w:i/>
                <w:sz w:val="26"/>
                <w:szCs w:val="26"/>
                <w:lang w:eastAsia="lv-LV"/>
              </w:rPr>
            </w:pP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b/>
                <w:i/>
                <w:sz w:val="26"/>
                <w:szCs w:val="26"/>
                <w:lang w:eastAsia="lv-LV"/>
              </w:rPr>
            </w:pPr>
            <w:r w:rsidRPr="00174DAC">
              <w:rPr>
                <w:rFonts w:ascii="Times New Roman" w:eastAsia="Times New Roman" w:hAnsi="Times New Roman" w:cs="Times New Roman"/>
                <w:b/>
                <w:bCs/>
                <w:sz w:val="26"/>
                <w:szCs w:val="26"/>
                <w:lang w:eastAsia="lv-LV"/>
              </w:rPr>
              <w:t>2014.g.</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b/>
                <w:i/>
                <w:sz w:val="26"/>
                <w:szCs w:val="26"/>
                <w:lang w:eastAsia="lv-LV"/>
              </w:rPr>
            </w:pPr>
            <w:r w:rsidRPr="00174DAC">
              <w:rPr>
                <w:rFonts w:ascii="Times New Roman" w:eastAsia="Times New Roman" w:hAnsi="Times New Roman" w:cs="Times New Roman"/>
                <w:b/>
                <w:bCs/>
                <w:sz w:val="26"/>
                <w:szCs w:val="26"/>
                <w:lang w:eastAsia="lv-LV"/>
              </w:rPr>
              <w:t>2015.g.</w:t>
            </w:r>
          </w:p>
        </w:tc>
        <w:tc>
          <w:tcPr>
            <w:tcW w:w="689" w:type="pct"/>
            <w:vAlign w:val="center"/>
          </w:tcPr>
          <w:p w:rsidR="00174DAC" w:rsidRPr="00174DAC" w:rsidRDefault="00174DAC" w:rsidP="00174DAC">
            <w:pPr>
              <w:spacing w:after="0" w:line="240" w:lineRule="auto"/>
              <w:jc w:val="center"/>
              <w:rPr>
                <w:rFonts w:ascii="Times New Roman" w:eastAsia="Times New Roman" w:hAnsi="Times New Roman" w:cs="Times New Roman"/>
                <w:b/>
                <w:i/>
                <w:sz w:val="26"/>
                <w:szCs w:val="26"/>
                <w:lang w:eastAsia="lv-LV"/>
              </w:rPr>
            </w:pPr>
            <w:r w:rsidRPr="00174DAC">
              <w:rPr>
                <w:rFonts w:ascii="Times New Roman" w:eastAsia="Times New Roman" w:hAnsi="Times New Roman" w:cs="Times New Roman"/>
                <w:b/>
                <w:bCs/>
                <w:sz w:val="26"/>
                <w:szCs w:val="26"/>
                <w:lang w:eastAsia="lv-LV"/>
              </w:rPr>
              <w:t>2016.g.</w:t>
            </w:r>
          </w:p>
        </w:tc>
      </w:tr>
      <w:tr w:rsidR="00174DAC" w:rsidRPr="00174DAC" w:rsidTr="00202966">
        <w:trPr>
          <w:jc w:val="center"/>
        </w:trPr>
        <w:tc>
          <w:tcPr>
            <w:tcW w:w="1609" w:type="pct"/>
            <w:vMerge/>
            <w:vAlign w:val="center"/>
          </w:tcPr>
          <w:p w:rsidR="00174DAC" w:rsidRPr="00174DAC" w:rsidRDefault="00174DAC" w:rsidP="00174DAC">
            <w:pPr>
              <w:spacing w:after="0" w:line="240" w:lineRule="auto"/>
              <w:rPr>
                <w:rFonts w:ascii="Times New Roman" w:eastAsia="Times New Roman" w:hAnsi="Times New Roman" w:cs="Times New Roman"/>
                <w:b/>
                <w:i/>
                <w:sz w:val="26"/>
                <w:szCs w:val="26"/>
                <w:lang w:eastAsia="lv-LV"/>
              </w:rPr>
            </w:pPr>
          </w:p>
        </w:tc>
        <w:tc>
          <w:tcPr>
            <w:tcW w:w="632" w:type="pct"/>
            <w:vAlign w:val="center"/>
          </w:tcPr>
          <w:p w:rsidR="00174DAC" w:rsidRPr="00174DAC" w:rsidRDefault="00174DAC" w:rsidP="00174DAC">
            <w:pPr>
              <w:spacing w:after="0" w:line="240" w:lineRule="auto"/>
              <w:jc w:val="center"/>
              <w:rPr>
                <w:rFonts w:ascii="Times New Roman" w:eastAsia="Times New Roman" w:hAnsi="Times New Roman" w:cs="Times New Roman"/>
                <w:b/>
                <w:i/>
                <w:sz w:val="26"/>
                <w:szCs w:val="26"/>
                <w:lang w:eastAsia="lv-LV"/>
              </w:rPr>
            </w:pPr>
            <w:r w:rsidRPr="00174DAC">
              <w:rPr>
                <w:rFonts w:ascii="Times New Roman" w:eastAsia="Times New Roman" w:hAnsi="Times New Roman" w:cs="Times New Roman"/>
                <w:sz w:val="26"/>
                <w:szCs w:val="26"/>
                <w:lang w:eastAsia="lv-LV"/>
              </w:rPr>
              <w:t>Saskaņā ar valsts budžetu kārtējam gadam</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b/>
                <w:i/>
                <w:sz w:val="26"/>
                <w:szCs w:val="26"/>
                <w:lang w:eastAsia="lv-LV"/>
              </w:rPr>
            </w:pPr>
            <w:r w:rsidRPr="00174DAC">
              <w:rPr>
                <w:rFonts w:ascii="Times New Roman" w:eastAsia="Times New Roman" w:hAnsi="Times New Roman" w:cs="Times New Roman"/>
                <w:sz w:val="26"/>
                <w:szCs w:val="26"/>
                <w:lang w:eastAsia="lv-LV"/>
              </w:rPr>
              <w:t>Izmaiņas kārtējā gadā, salīdzinot ar budžetu kārtējam gadam</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b/>
                <w:i/>
                <w:sz w:val="26"/>
                <w:szCs w:val="26"/>
                <w:lang w:eastAsia="lv-LV"/>
              </w:rPr>
            </w:pPr>
            <w:r w:rsidRPr="00174DAC">
              <w:rPr>
                <w:rFonts w:ascii="Times New Roman" w:eastAsia="Times New Roman" w:hAnsi="Times New Roman" w:cs="Times New Roman"/>
                <w:sz w:val="26"/>
                <w:szCs w:val="26"/>
                <w:lang w:eastAsia="lv-LV"/>
              </w:rPr>
              <w:t>Izmaiņas, salīdzinot ar kārtējo (2013) gadu</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b/>
                <w:i/>
                <w:sz w:val="26"/>
                <w:szCs w:val="26"/>
                <w:lang w:eastAsia="lv-LV"/>
              </w:rPr>
            </w:pPr>
            <w:r w:rsidRPr="00174DAC">
              <w:rPr>
                <w:rFonts w:ascii="Times New Roman" w:eastAsia="Times New Roman" w:hAnsi="Times New Roman" w:cs="Times New Roman"/>
                <w:sz w:val="26"/>
                <w:szCs w:val="26"/>
                <w:lang w:eastAsia="lv-LV"/>
              </w:rPr>
              <w:t>Izmaiņas, salīdzinot ar kārtējo (2013) gadu</w:t>
            </w:r>
          </w:p>
        </w:tc>
        <w:tc>
          <w:tcPr>
            <w:tcW w:w="689" w:type="pct"/>
            <w:vAlign w:val="center"/>
          </w:tcPr>
          <w:p w:rsidR="00174DAC" w:rsidRPr="00174DAC" w:rsidRDefault="00174DAC" w:rsidP="00174DAC">
            <w:pPr>
              <w:spacing w:after="0" w:line="240" w:lineRule="auto"/>
              <w:jc w:val="center"/>
              <w:rPr>
                <w:rFonts w:ascii="Times New Roman" w:eastAsia="Times New Roman" w:hAnsi="Times New Roman" w:cs="Times New Roman"/>
                <w:b/>
                <w:i/>
                <w:sz w:val="26"/>
                <w:szCs w:val="26"/>
                <w:lang w:eastAsia="lv-LV"/>
              </w:rPr>
            </w:pPr>
            <w:r w:rsidRPr="00174DAC">
              <w:rPr>
                <w:rFonts w:ascii="Times New Roman" w:eastAsia="Times New Roman" w:hAnsi="Times New Roman" w:cs="Times New Roman"/>
                <w:sz w:val="26"/>
                <w:szCs w:val="26"/>
                <w:lang w:eastAsia="lv-LV"/>
              </w:rPr>
              <w:t>Izmaiņas, salīdzinot ar kārtējo (2013) gadu</w:t>
            </w:r>
          </w:p>
        </w:tc>
      </w:tr>
      <w:tr w:rsidR="00174DAC" w:rsidRPr="00174DAC" w:rsidTr="00202966">
        <w:trPr>
          <w:jc w:val="center"/>
        </w:trPr>
        <w:tc>
          <w:tcPr>
            <w:tcW w:w="1609" w:type="pct"/>
            <w:vAlign w:val="center"/>
          </w:tcPr>
          <w:p w:rsidR="00174DAC" w:rsidRPr="00174DAC" w:rsidRDefault="00174DAC" w:rsidP="00174DAC">
            <w:pPr>
              <w:spacing w:after="0" w:line="240" w:lineRule="auto"/>
              <w:jc w:val="center"/>
              <w:rPr>
                <w:rFonts w:ascii="Times New Roman" w:eastAsia="Times New Roman" w:hAnsi="Times New Roman" w:cs="Times New Roman"/>
                <w:bCs/>
                <w:sz w:val="26"/>
                <w:szCs w:val="26"/>
                <w:lang w:eastAsia="lv-LV"/>
              </w:rPr>
            </w:pPr>
            <w:r w:rsidRPr="00174DAC">
              <w:rPr>
                <w:rFonts w:ascii="Times New Roman" w:eastAsia="Times New Roman" w:hAnsi="Times New Roman" w:cs="Times New Roman"/>
                <w:bCs/>
                <w:sz w:val="26"/>
                <w:szCs w:val="26"/>
                <w:lang w:eastAsia="lv-LV"/>
              </w:rPr>
              <w:t>1</w:t>
            </w:r>
          </w:p>
        </w:tc>
        <w:tc>
          <w:tcPr>
            <w:tcW w:w="632" w:type="pct"/>
            <w:vAlign w:val="center"/>
          </w:tcPr>
          <w:p w:rsidR="00174DAC" w:rsidRPr="00174DAC" w:rsidRDefault="00174DAC" w:rsidP="00174DAC">
            <w:pPr>
              <w:spacing w:after="0" w:line="240" w:lineRule="auto"/>
              <w:jc w:val="center"/>
              <w:rPr>
                <w:rFonts w:ascii="Times New Roman" w:eastAsia="Times New Roman" w:hAnsi="Times New Roman" w:cs="Times New Roman"/>
                <w:bCs/>
                <w:sz w:val="26"/>
                <w:szCs w:val="26"/>
                <w:lang w:eastAsia="lv-LV"/>
              </w:rPr>
            </w:pPr>
            <w:r w:rsidRPr="00174DAC">
              <w:rPr>
                <w:rFonts w:ascii="Times New Roman" w:eastAsia="Times New Roman" w:hAnsi="Times New Roman" w:cs="Times New Roman"/>
                <w:bCs/>
                <w:sz w:val="26"/>
                <w:szCs w:val="26"/>
                <w:lang w:eastAsia="lv-LV"/>
              </w:rPr>
              <w:t>2</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bCs/>
                <w:sz w:val="26"/>
                <w:szCs w:val="26"/>
                <w:lang w:eastAsia="lv-LV"/>
              </w:rPr>
            </w:pPr>
            <w:r w:rsidRPr="00174DAC">
              <w:rPr>
                <w:rFonts w:ascii="Times New Roman" w:eastAsia="Times New Roman" w:hAnsi="Times New Roman" w:cs="Times New Roman"/>
                <w:bCs/>
                <w:sz w:val="26"/>
                <w:szCs w:val="26"/>
                <w:lang w:eastAsia="lv-LV"/>
              </w:rPr>
              <w:t>3</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bCs/>
                <w:sz w:val="26"/>
                <w:szCs w:val="26"/>
                <w:lang w:eastAsia="lv-LV"/>
              </w:rPr>
            </w:pPr>
            <w:r w:rsidRPr="00174DAC">
              <w:rPr>
                <w:rFonts w:ascii="Times New Roman" w:eastAsia="Times New Roman" w:hAnsi="Times New Roman" w:cs="Times New Roman"/>
                <w:bCs/>
                <w:sz w:val="26"/>
                <w:szCs w:val="26"/>
                <w:lang w:eastAsia="lv-LV"/>
              </w:rPr>
              <w:t>4</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bCs/>
                <w:sz w:val="26"/>
                <w:szCs w:val="26"/>
                <w:lang w:eastAsia="lv-LV"/>
              </w:rPr>
            </w:pPr>
            <w:r w:rsidRPr="00174DAC">
              <w:rPr>
                <w:rFonts w:ascii="Times New Roman" w:eastAsia="Times New Roman" w:hAnsi="Times New Roman" w:cs="Times New Roman"/>
                <w:bCs/>
                <w:sz w:val="26"/>
                <w:szCs w:val="26"/>
                <w:lang w:eastAsia="lv-LV"/>
              </w:rPr>
              <w:t>5</w:t>
            </w:r>
          </w:p>
        </w:tc>
        <w:tc>
          <w:tcPr>
            <w:tcW w:w="689" w:type="pct"/>
            <w:vAlign w:val="center"/>
          </w:tcPr>
          <w:p w:rsidR="00174DAC" w:rsidRPr="00174DAC" w:rsidRDefault="00174DAC" w:rsidP="00174DAC">
            <w:pPr>
              <w:spacing w:after="0" w:line="240" w:lineRule="auto"/>
              <w:jc w:val="center"/>
              <w:rPr>
                <w:rFonts w:ascii="Times New Roman" w:eastAsia="Times New Roman" w:hAnsi="Times New Roman" w:cs="Times New Roman"/>
                <w:bCs/>
                <w:sz w:val="26"/>
                <w:szCs w:val="26"/>
                <w:lang w:eastAsia="lv-LV"/>
              </w:rPr>
            </w:pPr>
            <w:r w:rsidRPr="00174DAC">
              <w:rPr>
                <w:rFonts w:ascii="Times New Roman" w:eastAsia="Times New Roman" w:hAnsi="Times New Roman" w:cs="Times New Roman"/>
                <w:bCs/>
                <w:sz w:val="26"/>
                <w:szCs w:val="26"/>
                <w:lang w:eastAsia="lv-LV"/>
              </w:rPr>
              <w:t>6</w:t>
            </w:r>
          </w:p>
        </w:tc>
      </w:tr>
      <w:tr w:rsidR="00174DAC" w:rsidRPr="00174DAC" w:rsidTr="00202966">
        <w:trPr>
          <w:jc w:val="center"/>
        </w:trPr>
        <w:tc>
          <w:tcPr>
            <w:tcW w:w="1609" w:type="pct"/>
          </w:tcPr>
          <w:p w:rsidR="00174DAC" w:rsidRPr="00174DAC" w:rsidRDefault="00174DAC" w:rsidP="00174DAC">
            <w:pPr>
              <w:spacing w:after="0" w:line="240" w:lineRule="auto"/>
              <w:rPr>
                <w:rFonts w:ascii="Times New Roman" w:eastAsia="Times New Roman" w:hAnsi="Times New Roman" w:cs="Times New Roman"/>
                <w:i/>
                <w:sz w:val="26"/>
                <w:szCs w:val="26"/>
                <w:lang w:eastAsia="lv-LV"/>
              </w:rPr>
            </w:pPr>
            <w:r w:rsidRPr="00174DAC">
              <w:rPr>
                <w:rFonts w:ascii="Times New Roman" w:eastAsia="Times New Roman" w:hAnsi="Times New Roman" w:cs="Times New Roman"/>
                <w:sz w:val="26"/>
                <w:szCs w:val="26"/>
                <w:lang w:eastAsia="lv-LV"/>
              </w:rPr>
              <w:t>1. Budžeta ieņēmumi:</w:t>
            </w:r>
          </w:p>
        </w:tc>
        <w:tc>
          <w:tcPr>
            <w:tcW w:w="632" w:type="pct"/>
          </w:tcPr>
          <w:p w:rsidR="00174DAC" w:rsidRPr="00174DAC" w:rsidRDefault="00174DAC" w:rsidP="00174DAC">
            <w:pPr>
              <w:spacing w:after="0" w:line="240" w:lineRule="auto"/>
              <w:jc w:val="center"/>
              <w:rPr>
                <w:rFonts w:ascii="Times New Roman" w:eastAsia="Times New Roman" w:hAnsi="Times New Roman" w:cs="Times New Roman"/>
                <w:b/>
                <w:sz w:val="26"/>
                <w:szCs w:val="26"/>
                <w:lang w:eastAsia="lv-LV"/>
              </w:rPr>
            </w:pPr>
            <w:r w:rsidRPr="00174DAC">
              <w:rPr>
                <w:rFonts w:ascii="Times New Roman" w:eastAsia="Times New Roman" w:hAnsi="Times New Roman" w:cs="Times New Roman"/>
                <w:b/>
                <w:sz w:val="26"/>
                <w:szCs w:val="26"/>
                <w:lang w:eastAsia="lv-LV"/>
              </w:rPr>
              <w:t>0</w:t>
            </w:r>
          </w:p>
        </w:tc>
        <w:tc>
          <w:tcPr>
            <w:tcW w:w="690" w:type="pct"/>
          </w:tcPr>
          <w:p w:rsidR="00174DAC" w:rsidRPr="00174DAC" w:rsidRDefault="00174DAC" w:rsidP="00174DAC">
            <w:pPr>
              <w:spacing w:after="0" w:line="240" w:lineRule="auto"/>
              <w:jc w:val="center"/>
              <w:rPr>
                <w:rFonts w:ascii="Times New Roman" w:eastAsia="Times New Roman" w:hAnsi="Times New Roman" w:cs="Times New Roman"/>
                <w:b/>
                <w:sz w:val="26"/>
                <w:szCs w:val="26"/>
                <w:lang w:eastAsia="lv-LV"/>
              </w:rPr>
            </w:pPr>
            <w:r w:rsidRPr="00174DAC">
              <w:rPr>
                <w:rFonts w:ascii="Times New Roman" w:eastAsia="Times New Roman" w:hAnsi="Times New Roman" w:cs="Times New Roman"/>
                <w:b/>
                <w:sz w:val="26"/>
                <w:szCs w:val="26"/>
                <w:lang w:eastAsia="lv-LV"/>
              </w:rPr>
              <w:t>0</w:t>
            </w:r>
          </w:p>
        </w:tc>
        <w:tc>
          <w:tcPr>
            <w:tcW w:w="690" w:type="pct"/>
          </w:tcPr>
          <w:p w:rsidR="00174DAC" w:rsidRPr="00174DAC" w:rsidRDefault="00174DAC" w:rsidP="00174DAC">
            <w:pPr>
              <w:spacing w:after="0" w:line="240" w:lineRule="auto"/>
              <w:jc w:val="center"/>
              <w:rPr>
                <w:rFonts w:ascii="Times New Roman" w:eastAsia="Times New Roman" w:hAnsi="Times New Roman" w:cs="Times New Roman"/>
                <w:b/>
                <w:sz w:val="26"/>
                <w:szCs w:val="26"/>
                <w:lang w:eastAsia="lv-LV"/>
              </w:rPr>
            </w:pPr>
            <w:r w:rsidRPr="00174DAC">
              <w:rPr>
                <w:rFonts w:ascii="Times New Roman" w:eastAsia="Times New Roman" w:hAnsi="Times New Roman" w:cs="Times New Roman"/>
                <w:b/>
                <w:sz w:val="26"/>
                <w:szCs w:val="26"/>
                <w:lang w:eastAsia="lv-LV"/>
              </w:rPr>
              <w:t>0</w:t>
            </w:r>
          </w:p>
        </w:tc>
        <w:tc>
          <w:tcPr>
            <w:tcW w:w="690" w:type="pct"/>
          </w:tcPr>
          <w:p w:rsidR="00174DAC" w:rsidRPr="00174DAC" w:rsidRDefault="00174DAC" w:rsidP="00174DAC">
            <w:pPr>
              <w:spacing w:after="0" w:line="240" w:lineRule="auto"/>
              <w:jc w:val="center"/>
              <w:rPr>
                <w:rFonts w:ascii="Times New Roman" w:eastAsia="Times New Roman" w:hAnsi="Times New Roman" w:cs="Times New Roman"/>
                <w:b/>
                <w:sz w:val="26"/>
                <w:szCs w:val="26"/>
                <w:lang w:eastAsia="lv-LV"/>
              </w:rPr>
            </w:pPr>
            <w:r w:rsidRPr="00174DAC">
              <w:rPr>
                <w:rFonts w:ascii="Times New Roman" w:eastAsia="Times New Roman" w:hAnsi="Times New Roman" w:cs="Times New Roman"/>
                <w:b/>
                <w:sz w:val="26"/>
                <w:szCs w:val="26"/>
                <w:lang w:eastAsia="lv-LV"/>
              </w:rPr>
              <w:t>0</w:t>
            </w:r>
          </w:p>
        </w:tc>
        <w:tc>
          <w:tcPr>
            <w:tcW w:w="689" w:type="pct"/>
          </w:tcPr>
          <w:p w:rsidR="00174DAC" w:rsidRPr="00174DAC" w:rsidRDefault="00174DAC" w:rsidP="00174DAC">
            <w:pPr>
              <w:spacing w:after="0" w:line="240" w:lineRule="auto"/>
              <w:jc w:val="center"/>
              <w:rPr>
                <w:rFonts w:ascii="Times New Roman" w:eastAsia="Times New Roman" w:hAnsi="Times New Roman" w:cs="Times New Roman"/>
                <w:b/>
                <w:sz w:val="26"/>
                <w:szCs w:val="26"/>
                <w:lang w:eastAsia="lv-LV"/>
              </w:rPr>
            </w:pPr>
            <w:r w:rsidRPr="00174DAC">
              <w:rPr>
                <w:rFonts w:ascii="Times New Roman" w:eastAsia="Times New Roman" w:hAnsi="Times New Roman" w:cs="Times New Roman"/>
                <w:b/>
                <w:sz w:val="26"/>
                <w:szCs w:val="26"/>
                <w:lang w:eastAsia="lv-LV"/>
              </w:rPr>
              <w:t>0</w:t>
            </w:r>
          </w:p>
        </w:tc>
      </w:tr>
      <w:tr w:rsidR="00174DAC" w:rsidRPr="00174DAC" w:rsidTr="00202966">
        <w:trPr>
          <w:jc w:val="center"/>
        </w:trPr>
        <w:tc>
          <w:tcPr>
            <w:tcW w:w="1609" w:type="pct"/>
          </w:tcPr>
          <w:p w:rsidR="00174DAC" w:rsidRPr="00174DAC" w:rsidRDefault="00174DAC" w:rsidP="00174DAC">
            <w:pPr>
              <w:spacing w:after="0" w:line="240" w:lineRule="auto"/>
              <w:rPr>
                <w:rFonts w:ascii="Times New Roman" w:eastAsia="Times New Roman" w:hAnsi="Times New Roman" w:cs="Times New Roman"/>
                <w:i/>
                <w:sz w:val="26"/>
                <w:szCs w:val="26"/>
                <w:lang w:eastAsia="lv-LV"/>
              </w:rPr>
            </w:pPr>
            <w:r w:rsidRPr="00174DAC">
              <w:rPr>
                <w:rFonts w:ascii="Times New Roman" w:eastAsia="Times New Roman" w:hAnsi="Times New Roman" w:cs="Times New Roman"/>
                <w:sz w:val="26"/>
                <w:szCs w:val="26"/>
                <w:lang w:eastAsia="lv-LV"/>
              </w:rPr>
              <w:t>1.1. valsts pamatbudžets, tai skaitā ieņēmumi no maksas pakalpojumiem un citi pašu ieņēmumi</w:t>
            </w:r>
          </w:p>
        </w:tc>
        <w:tc>
          <w:tcPr>
            <w:tcW w:w="632"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b/>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89"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r>
      <w:tr w:rsidR="00174DAC" w:rsidRPr="00174DAC" w:rsidTr="00202966">
        <w:trPr>
          <w:trHeight w:val="657"/>
          <w:jc w:val="center"/>
        </w:trPr>
        <w:tc>
          <w:tcPr>
            <w:tcW w:w="1609" w:type="pct"/>
          </w:tcPr>
          <w:p w:rsidR="00174DAC" w:rsidRPr="00174DAC" w:rsidRDefault="00174DAC" w:rsidP="00174DAC">
            <w:pPr>
              <w:spacing w:after="0" w:line="240" w:lineRule="auto"/>
              <w:rPr>
                <w:rFonts w:ascii="Times New Roman" w:eastAsia="Times New Roman" w:hAnsi="Times New Roman" w:cs="Times New Roman"/>
                <w:i/>
                <w:sz w:val="26"/>
                <w:szCs w:val="26"/>
                <w:lang w:eastAsia="lv-LV"/>
              </w:rPr>
            </w:pPr>
            <w:r w:rsidRPr="00174DAC">
              <w:rPr>
                <w:rFonts w:ascii="Times New Roman" w:eastAsia="Times New Roman" w:hAnsi="Times New Roman" w:cs="Times New Roman"/>
                <w:sz w:val="26"/>
                <w:szCs w:val="26"/>
                <w:lang w:eastAsia="lv-LV"/>
              </w:rPr>
              <w:t>1.2. valsts speciālais budžets</w:t>
            </w:r>
          </w:p>
        </w:tc>
        <w:tc>
          <w:tcPr>
            <w:tcW w:w="632"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89"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r>
      <w:tr w:rsidR="00174DAC" w:rsidRPr="00174DAC" w:rsidTr="00202966">
        <w:trPr>
          <w:jc w:val="center"/>
        </w:trPr>
        <w:tc>
          <w:tcPr>
            <w:tcW w:w="1609" w:type="pct"/>
          </w:tcPr>
          <w:p w:rsidR="00174DAC" w:rsidRPr="00174DAC" w:rsidRDefault="00174DAC" w:rsidP="00174DAC">
            <w:pPr>
              <w:spacing w:after="0" w:line="240" w:lineRule="auto"/>
              <w:rPr>
                <w:rFonts w:ascii="Times New Roman" w:eastAsia="Times New Roman" w:hAnsi="Times New Roman" w:cs="Times New Roman"/>
                <w:i/>
                <w:sz w:val="26"/>
                <w:szCs w:val="26"/>
                <w:lang w:eastAsia="lv-LV"/>
              </w:rPr>
            </w:pPr>
            <w:r w:rsidRPr="00174DAC">
              <w:rPr>
                <w:rFonts w:ascii="Times New Roman" w:eastAsia="Times New Roman" w:hAnsi="Times New Roman" w:cs="Times New Roman"/>
                <w:sz w:val="26"/>
                <w:szCs w:val="26"/>
                <w:lang w:eastAsia="lv-LV"/>
              </w:rPr>
              <w:t>1.3. pašvaldību budžets</w:t>
            </w:r>
          </w:p>
        </w:tc>
        <w:tc>
          <w:tcPr>
            <w:tcW w:w="632"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89"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r>
      <w:tr w:rsidR="00174DAC" w:rsidRPr="00174DAC" w:rsidTr="00202966">
        <w:trPr>
          <w:jc w:val="center"/>
        </w:trPr>
        <w:tc>
          <w:tcPr>
            <w:tcW w:w="1609" w:type="pct"/>
          </w:tcPr>
          <w:p w:rsidR="00174DAC" w:rsidRPr="00174DAC" w:rsidRDefault="00174DAC" w:rsidP="00174DAC">
            <w:pPr>
              <w:spacing w:after="0" w:line="240" w:lineRule="auto"/>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2. Budžeta izdevumi:</w:t>
            </w:r>
          </w:p>
        </w:tc>
        <w:tc>
          <w:tcPr>
            <w:tcW w:w="632" w:type="pct"/>
          </w:tcPr>
          <w:p w:rsidR="00174DAC" w:rsidRPr="00174DAC" w:rsidRDefault="00174DAC" w:rsidP="00174DAC">
            <w:pPr>
              <w:spacing w:after="0" w:line="240" w:lineRule="auto"/>
              <w:jc w:val="center"/>
              <w:rPr>
                <w:rFonts w:ascii="Times New Roman" w:eastAsia="Times New Roman" w:hAnsi="Times New Roman" w:cs="Times New Roman"/>
                <w:b/>
                <w:sz w:val="26"/>
                <w:szCs w:val="26"/>
                <w:lang w:eastAsia="lv-LV"/>
              </w:rPr>
            </w:pPr>
            <w:r w:rsidRPr="00174DAC">
              <w:rPr>
                <w:rFonts w:ascii="Times New Roman" w:eastAsia="Times New Roman" w:hAnsi="Times New Roman" w:cs="Times New Roman"/>
                <w:b/>
                <w:sz w:val="26"/>
                <w:szCs w:val="26"/>
                <w:lang w:eastAsia="lv-LV"/>
              </w:rPr>
              <w:t>0</w:t>
            </w:r>
          </w:p>
        </w:tc>
        <w:tc>
          <w:tcPr>
            <w:tcW w:w="690" w:type="pct"/>
          </w:tcPr>
          <w:p w:rsidR="00174DAC" w:rsidRPr="00174DAC" w:rsidRDefault="00174DAC" w:rsidP="00174DAC">
            <w:pPr>
              <w:spacing w:after="0" w:line="240" w:lineRule="auto"/>
              <w:jc w:val="center"/>
              <w:rPr>
                <w:rFonts w:ascii="Times New Roman" w:eastAsia="Times New Roman" w:hAnsi="Times New Roman" w:cs="Times New Roman"/>
                <w:b/>
                <w:sz w:val="26"/>
                <w:szCs w:val="26"/>
                <w:lang w:eastAsia="lv-LV"/>
              </w:rPr>
            </w:pPr>
            <w:r w:rsidRPr="00174DAC">
              <w:rPr>
                <w:rFonts w:ascii="Times New Roman" w:eastAsia="Times New Roman" w:hAnsi="Times New Roman" w:cs="Times New Roman"/>
                <w:b/>
                <w:sz w:val="26"/>
                <w:szCs w:val="26"/>
                <w:lang w:eastAsia="lv-LV"/>
              </w:rPr>
              <w:t>0</w:t>
            </w:r>
          </w:p>
        </w:tc>
        <w:tc>
          <w:tcPr>
            <w:tcW w:w="690" w:type="pct"/>
          </w:tcPr>
          <w:p w:rsidR="00174DAC" w:rsidRPr="00174DAC" w:rsidRDefault="00174DAC" w:rsidP="00174DAC">
            <w:pPr>
              <w:spacing w:after="0" w:line="240" w:lineRule="auto"/>
              <w:jc w:val="center"/>
              <w:rPr>
                <w:rFonts w:ascii="Times New Roman" w:eastAsia="Times New Roman" w:hAnsi="Times New Roman" w:cs="Times New Roman"/>
                <w:b/>
                <w:sz w:val="26"/>
                <w:szCs w:val="26"/>
                <w:lang w:eastAsia="lv-LV"/>
              </w:rPr>
            </w:pPr>
            <w:r w:rsidRPr="00174DAC">
              <w:rPr>
                <w:rFonts w:ascii="Times New Roman" w:eastAsia="Times New Roman" w:hAnsi="Times New Roman" w:cs="Times New Roman"/>
                <w:b/>
                <w:sz w:val="26"/>
                <w:szCs w:val="26"/>
                <w:lang w:eastAsia="lv-LV"/>
              </w:rPr>
              <w:t>0</w:t>
            </w:r>
          </w:p>
        </w:tc>
        <w:tc>
          <w:tcPr>
            <w:tcW w:w="690" w:type="pct"/>
          </w:tcPr>
          <w:p w:rsidR="00174DAC" w:rsidRPr="00174DAC" w:rsidRDefault="00174DAC" w:rsidP="00174DAC">
            <w:pPr>
              <w:spacing w:after="0" w:line="240" w:lineRule="auto"/>
              <w:jc w:val="center"/>
              <w:rPr>
                <w:rFonts w:ascii="Times New Roman" w:eastAsia="Times New Roman" w:hAnsi="Times New Roman" w:cs="Times New Roman"/>
                <w:b/>
                <w:sz w:val="26"/>
                <w:szCs w:val="26"/>
                <w:lang w:eastAsia="lv-LV"/>
              </w:rPr>
            </w:pPr>
            <w:r w:rsidRPr="00174DAC">
              <w:rPr>
                <w:rFonts w:ascii="Times New Roman" w:eastAsia="Times New Roman" w:hAnsi="Times New Roman" w:cs="Times New Roman"/>
                <w:b/>
                <w:sz w:val="26"/>
                <w:szCs w:val="26"/>
                <w:lang w:eastAsia="lv-LV"/>
              </w:rPr>
              <w:t> 368,4</w:t>
            </w:r>
          </w:p>
        </w:tc>
        <w:tc>
          <w:tcPr>
            <w:tcW w:w="689" w:type="pct"/>
          </w:tcPr>
          <w:p w:rsidR="00174DAC" w:rsidRPr="00174DAC" w:rsidRDefault="00174DAC" w:rsidP="00174DAC">
            <w:pPr>
              <w:spacing w:after="0" w:line="240" w:lineRule="auto"/>
              <w:jc w:val="center"/>
              <w:rPr>
                <w:rFonts w:ascii="Times New Roman" w:eastAsia="Times New Roman" w:hAnsi="Times New Roman" w:cs="Times New Roman"/>
                <w:b/>
                <w:sz w:val="26"/>
                <w:szCs w:val="26"/>
                <w:lang w:eastAsia="lv-LV"/>
              </w:rPr>
            </w:pPr>
            <w:r w:rsidRPr="00174DAC">
              <w:rPr>
                <w:rFonts w:ascii="Times New Roman" w:eastAsia="Times New Roman" w:hAnsi="Times New Roman" w:cs="Times New Roman"/>
                <w:b/>
                <w:sz w:val="26"/>
                <w:szCs w:val="26"/>
                <w:lang w:eastAsia="lv-LV"/>
              </w:rPr>
              <w:t>  368,4</w:t>
            </w:r>
          </w:p>
        </w:tc>
      </w:tr>
      <w:tr w:rsidR="00174DAC" w:rsidRPr="00174DAC" w:rsidTr="00202966">
        <w:trPr>
          <w:trHeight w:val="414"/>
          <w:jc w:val="center"/>
        </w:trPr>
        <w:tc>
          <w:tcPr>
            <w:tcW w:w="1609" w:type="pct"/>
          </w:tcPr>
          <w:p w:rsidR="00174DAC" w:rsidRPr="00174DAC" w:rsidRDefault="00174DAC" w:rsidP="00174DAC">
            <w:pPr>
              <w:spacing w:after="0" w:line="240" w:lineRule="auto"/>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2.1. valsts pamatbudžets</w:t>
            </w:r>
          </w:p>
        </w:tc>
        <w:tc>
          <w:tcPr>
            <w:tcW w:w="632" w:type="pct"/>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  368,4</w:t>
            </w:r>
          </w:p>
        </w:tc>
        <w:tc>
          <w:tcPr>
            <w:tcW w:w="689" w:type="pct"/>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  368,4</w:t>
            </w:r>
          </w:p>
        </w:tc>
      </w:tr>
      <w:tr w:rsidR="00174DAC" w:rsidRPr="00174DAC" w:rsidTr="00202966">
        <w:trPr>
          <w:jc w:val="center"/>
        </w:trPr>
        <w:tc>
          <w:tcPr>
            <w:tcW w:w="1609" w:type="pct"/>
          </w:tcPr>
          <w:p w:rsidR="00174DAC" w:rsidRPr="00174DAC" w:rsidRDefault="00174DAC" w:rsidP="00174DAC">
            <w:pPr>
              <w:spacing w:after="0" w:line="240" w:lineRule="auto"/>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2.2. valsts speciālais budžets</w:t>
            </w:r>
          </w:p>
        </w:tc>
        <w:tc>
          <w:tcPr>
            <w:tcW w:w="632"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89"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r>
      <w:tr w:rsidR="00174DAC" w:rsidRPr="00174DAC" w:rsidTr="00202966">
        <w:trPr>
          <w:jc w:val="center"/>
        </w:trPr>
        <w:tc>
          <w:tcPr>
            <w:tcW w:w="1609" w:type="pct"/>
          </w:tcPr>
          <w:p w:rsidR="00174DAC" w:rsidRPr="00174DAC" w:rsidRDefault="00174DAC" w:rsidP="00174DAC">
            <w:pPr>
              <w:spacing w:after="0" w:line="240" w:lineRule="auto"/>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 xml:space="preserve">2.3. pašvaldību budžets </w:t>
            </w:r>
          </w:p>
        </w:tc>
        <w:tc>
          <w:tcPr>
            <w:tcW w:w="632" w:type="pct"/>
            <w:vAlign w:val="center"/>
          </w:tcPr>
          <w:p w:rsidR="00174DAC" w:rsidRPr="00174DAC" w:rsidRDefault="00174DAC" w:rsidP="00174DAC">
            <w:pPr>
              <w:spacing w:after="0" w:line="240" w:lineRule="auto"/>
              <w:jc w:val="center"/>
              <w:rPr>
                <w:rFonts w:ascii="Times New Roman" w:eastAsia="Times New Roman" w:hAnsi="Times New Roman" w:cs="Times New Roman"/>
                <w:b/>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89"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r>
      <w:tr w:rsidR="00174DAC" w:rsidRPr="00174DAC" w:rsidTr="00202966">
        <w:trPr>
          <w:jc w:val="center"/>
        </w:trPr>
        <w:tc>
          <w:tcPr>
            <w:tcW w:w="1609" w:type="pct"/>
          </w:tcPr>
          <w:p w:rsidR="00174DAC" w:rsidRPr="00174DAC" w:rsidRDefault="00174DAC" w:rsidP="00174DAC">
            <w:pPr>
              <w:spacing w:after="0" w:line="240" w:lineRule="auto"/>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3. Finansiālā ietekme:</w:t>
            </w:r>
          </w:p>
        </w:tc>
        <w:tc>
          <w:tcPr>
            <w:tcW w:w="632" w:type="pct"/>
            <w:shd w:val="clear" w:color="auto" w:fill="auto"/>
            <w:vAlign w:val="center"/>
          </w:tcPr>
          <w:p w:rsidR="00174DAC" w:rsidRPr="00174DAC" w:rsidRDefault="00174DAC" w:rsidP="00174DAC">
            <w:pPr>
              <w:spacing w:after="0" w:line="240" w:lineRule="auto"/>
              <w:jc w:val="center"/>
              <w:rPr>
                <w:rFonts w:ascii="Times New Roman" w:eastAsia="Times New Roman" w:hAnsi="Times New Roman" w:cs="Times New Roman"/>
                <w:b/>
                <w:sz w:val="26"/>
                <w:szCs w:val="26"/>
                <w:lang w:eastAsia="lv-LV"/>
              </w:rPr>
            </w:pPr>
            <w:r w:rsidRPr="00174DAC">
              <w:rPr>
                <w:rFonts w:ascii="Times New Roman" w:eastAsia="Times New Roman" w:hAnsi="Times New Roman" w:cs="Times New Roman"/>
                <w:b/>
                <w:sz w:val="26"/>
                <w:szCs w:val="26"/>
                <w:lang w:eastAsia="lv-LV"/>
              </w:rPr>
              <w:t>0</w:t>
            </w:r>
          </w:p>
        </w:tc>
        <w:tc>
          <w:tcPr>
            <w:tcW w:w="690" w:type="pct"/>
          </w:tcPr>
          <w:p w:rsidR="00174DAC" w:rsidRPr="00174DAC" w:rsidRDefault="00174DAC" w:rsidP="00174DAC">
            <w:pPr>
              <w:spacing w:after="0" w:line="240" w:lineRule="auto"/>
              <w:jc w:val="center"/>
              <w:rPr>
                <w:rFonts w:ascii="Times New Roman" w:eastAsia="Times New Roman" w:hAnsi="Times New Roman" w:cs="Times New Roman"/>
                <w:b/>
                <w:sz w:val="26"/>
                <w:szCs w:val="26"/>
                <w:lang w:eastAsia="lv-LV"/>
              </w:rPr>
            </w:pPr>
            <w:r w:rsidRPr="00174DAC">
              <w:rPr>
                <w:rFonts w:ascii="Times New Roman" w:eastAsia="Times New Roman" w:hAnsi="Times New Roman" w:cs="Times New Roman"/>
                <w:b/>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b/>
                <w:sz w:val="26"/>
                <w:szCs w:val="26"/>
                <w:lang w:eastAsia="lv-LV"/>
              </w:rPr>
            </w:pPr>
            <w:r w:rsidRPr="00174DAC">
              <w:rPr>
                <w:rFonts w:ascii="Times New Roman" w:eastAsia="Times New Roman" w:hAnsi="Times New Roman" w:cs="Times New Roman"/>
                <w:b/>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b/>
                <w:sz w:val="26"/>
                <w:szCs w:val="26"/>
                <w:lang w:eastAsia="lv-LV"/>
              </w:rPr>
            </w:pPr>
            <w:r w:rsidRPr="00174DAC">
              <w:rPr>
                <w:rFonts w:ascii="Times New Roman" w:eastAsia="Times New Roman" w:hAnsi="Times New Roman" w:cs="Times New Roman"/>
                <w:b/>
                <w:sz w:val="26"/>
                <w:szCs w:val="26"/>
                <w:lang w:eastAsia="lv-LV"/>
              </w:rPr>
              <w:t>368,4</w:t>
            </w:r>
          </w:p>
        </w:tc>
        <w:tc>
          <w:tcPr>
            <w:tcW w:w="689" w:type="pct"/>
            <w:vAlign w:val="center"/>
          </w:tcPr>
          <w:p w:rsidR="00174DAC" w:rsidRPr="00174DAC" w:rsidRDefault="00174DAC" w:rsidP="00174DAC">
            <w:pPr>
              <w:spacing w:after="0" w:line="240" w:lineRule="auto"/>
              <w:jc w:val="center"/>
              <w:rPr>
                <w:rFonts w:ascii="Times New Roman" w:eastAsia="Times New Roman" w:hAnsi="Times New Roman" w:cs="Times New Roman"/>
                <w:b/>
                <w:sz w:val="26"/>
                <w:szCs w:val="26"/>
                <w:lang w:eastAsia="lv-LV"/>
              </w:rPr>
            </w:pPr>
            <w:r w:rsidRPr="00174DAC">
              <w:rPr>
                <w:rFonts w:ascii="Times New Roman" w:eastAsia="Times New Roman" w:hAnsi="Times New Roman" w:cs="Times New Roman"/>
                <w:b/>
                <w:sz w:val="26"/>
                <w:szCs w:val="26"/>
                <w:lang w:eastAsia="lv-LV"/>
              </w:rPr>
              <w:t>368,4</w:t>
            </w:r>
          </w:p>
        </w:tc>
      </w:tr>
      <w:tr w:rsidR="00174DAC" w:rsidRPr="00174DAC" w:rsidTr="00202966">
        <w:trPr>
          <w:jc w:val="center"/>
        </w:trPr>
        <w:tc>
          <w:tcPr>
            <w:tcW w:w="1609" w:type="pct"/>
          </w:tcPr>
          <w:p w:rsidR="00174DAC" w:rsidRPr="00174DAC" w:rsidRDefault="00174DAC" w:rsidP="00174DAC">
            <w:pPr>
              <w:spacing w:after="0" w:line="240" w:lineRule="auto"/>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3.1. valsts pamatbudžets</w:t>
            </w:r>
          </w:p>
        </w:tc>
        <w:tc>
          <w:tcPr>
            <w:tcW w:w="632" w:type="pct"/>
            <w:shd w:val="clear" w:color="auto" w:fill="auto"/>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368,4</w:t>
            </w:r>
          </w:p>
        </w:tc>
        <w:tc>
          <w:tcPr>
            <w:tcW w:w="689"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368,4</w:t>
            </w:r>
          </w:p>
        </w:tc>
      </w:tr>
      <w:tr w:rsidR="00174DAC" w:rsidRPr="00174DAC" w:rsidTr="00202966">
        <w:trPr>
          <w:jc w:val="center"/>
        </w:trPr>
        <w:tc>
          <w:tcPr>
            <w:tcW w:w="1609" w:type="pct"/>
          </w:tcPr>
          <w:p w:rsidR="00174DAC" w:rsidRPr="00174DAC" w:rsidRDefault="00174DAC" w:rsidP="00174DAC">
            <w:pPr>
              <w:spacing w:after="0" w:line="240" w:lineRule="auto"/>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3.2. speciālais budžets</w:t>
            </w:r>
          </w:p>
        </w:tc>
        <w:tc>
          <w:tcPr>
            <w:tcW w:w="632" w:type="pct"/>
            <w:shd w:val="clear" w:color="auto" w:fill="auto"/>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89"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r>
      <w:tr w:rsidR="00174DAC" w:rsidRPr="00174DAC" w:rsidTr="00202966">
        <w:trPr>
          <w:jc w:val="center"/>
        </w:trPr>
        <w:tc>
          <w:tcPr>
            <w:tcW w:w="1609" w:type="pct"/>
          </w:tcPr>
          <w:p w:rsidR="00174DAC" w:rsidRPr="00174DAC" w:rsidRDefault="00174DAC" w:rsidP="00174DAC">
            <w:pPr>
              <w:spacing w:after="0" w:line="240" w:lineRule="auto"/>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 xml:space="preserve">3.3. pašvaldību budžets </w:t>
            </w:r>
          </w:p>
        </w:tc>
        <w:tc>
          <w:tcPr>
            <w:tcW w:w="632" w:type="pct"/>
            <w:shd w:val="clear" w:color="auto" w:fill="auto"/>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89"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r>
      <w:tr w:rsidR="00174DAC" w:rsidRPr="00174DAC" w:rsidTr="00202966">
        <w:trPr>
          <w:jc w:val="center"/>
        </w:trPr>
        <w:tc>
          <w:tcPr>
            <w:tcW w:w="1609" w:type="pct"/>
            <w:vMerge w:val="restart"/>
          </w:tcPr>
          <w:p w:rsidR="00174DAC" w:rsidRPr="00174DAC" w:rsidRDefault="00174DAC" w:rsidP="00174DAC">
            <w:pPr>
              <w:spacing w:after="0" w:line="240" w:lineRule="auto"/>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4. Finanšu līdzekļi papildu izdevumu finansēšanai (kompensējošu izdevumu samazinājumu norāda ar "+" zīmi)</w:t>
            </w:r>
          </w:p>
        </w:tc>
        <w:tc>
          <w:tcPr>
            <w:tcW w:w="632" w:type="pct"/>
            <w:vMerge w:val="restar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X</w:t>
            </w:r>
          </w:p>
        </w:tc>
        <w:tc>
          <w:tcPr>
            <w:tcW w:w="690" w:type="pct"/>
            <w:vMerge w:val="restar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89" w:type="pct"/>
            <w:vAlign w:val="center"/>
          </w:tcPr>
          <w:p w:rsidR="00174DAC" w:rsidRPr="00174DAC" w:rsidRDefault="00174DAC" w:rsidP="00174DAC">
            <w:pPr>
              <w:tabs>
                <w:tab w:val="center" w:pos="4153"/>
                <w:tab w:val="right" w:pos="8306"/>
              </w:tabs>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r>
      <w:tr w:rsidR="00174DAC" w:rsidRPr="00174DAC" w:rsidTr="00202966">
        <w:trPr>
          <w:jc w:val="center"/>
        </w:trPr>
        <w:tc>
          <w:tcPr>
            <w:tcW w:w="1609" w:type="pct"/>
            <w:vMerge/>
          </w:tcPr>
          <w:p w:rsidR="00174DAC" w:rsidRPr="00174DAC" w:rsidRDefault="00174DAC" w:rsidP="00174DAC">
            <w:pPr>
              <w:spacing w:after="0" w:line="240" w:lineRule="auto"/>
              <w:rPr>
                <w:rFonts w:ascii="Times New Roman" w:eastAsia="Times New Roman" w:hAnsi="Times New Roman" w:cs="Times New Roman"/>
                <w:sz w:val="26"/>
                <w:szCs w:val="26"/>
                <w:lang w:eastAsia="lv-LV"/>
              </w:rPr>
            </w:pPr>
          </w:p>
        </w:tc>
        <w:tc>
          <w:tcPr>
            <w:tcW w:w="632" w:type="pct"/>
            <w:vMerge/>
          </w:tcPr>
          <w:p w:rsidR="00174DAC" w:rsidRPr="00174DAC" w:rsidRDefault="00174DAC" w:rsidP="00174DAC">
            <w:pPr>
              <w:tabs>
                <w:tab w:val="center" w:pos="4153"/>
                <w:tab w:val="right" w:pos="8306"/>
              </w:tabs>
              <w:spacing w:after="0" w:line="240" w:lineRule="auto"/>
              <w:jc w:val="center"/>
              <w:rPr>
                <w:rFonts w:ascii="Times New Roman" w:eastAsia="Times New Roman" w:hAnsi="Times New Roman" w:cs="Times New Roman"/>
                <w:sz w:val="26"/>
                <w:szCs w:val="26"/>
                <w:lang w:eastAsia="lv-LV"/>
              </w:rPr>
            </w:pPr>
          </w:p>
        </w:tc>
        <w:tc>
          <w:tcPr>
            <w:tcW w:w="690" w:type="pct"/>
            <w:vMerge/>
            <w:vAlign w:val="center"/>
          </w:tcPr>
          <w:p w:rsidR="00174DAC" w:rsidRPr="00174DAC" w:rsidRDefault="00174DAC" w:rsidP="00174DAC">
            <w:pPr>
              <w:spacing w:before="75" w:after="75" w:line="240" w:lineRule="auto"/>
              <w:ind w:firstLine="375"/>
              <w:jc w:val="center"/>
              <w:rPr>
                <w:rFonts w:ascii="Times New Roman" w:eastAsia="Times New Roman" w:hAnsi="Times New Roman" w:cs="Times New Roman"/>
                <w:sz w:val="26"/>
                <w:szCs w:val="26"/>
                <w:lang w:eastAsia="lv-LV"/>
              </w:rPr>
            </w:pP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89" w:type="pct"/>
            <w:vAlign w:val="center"/>
          </w:tcPr>
          <w:p w:rsidR="00174DAC" w:rsidRPr="00174DAC" w:rsidRDefault="00174DAC" w:rsidP="00174DAC">
            <w:pPr>
              <w:tabs>
                <w:tab w:val="center" w:pos="4153"/>
                <w:tab w:val="right" w:pos="8306"/>
              </w:tabs>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r>
      <w:tr w:rsidR="00174DAC" w:rsidRPr="00174DAC" w:rsidTr="00202966">
        <w:trPr>
          <w:jc w:val="center"/>
        </w:trPr>
        <w:tc>
          <w:tcPr>
            <w:tcW w:w="1609" w:type="pct"/>
            <w:vMerge/>
          </w:tcPr>
          <w:p w:rsidR="00174DAC" w:rsidRPr="00174DAC" w:rsidRDefault="00174DAC" w:rsidP="00174DAC">
            <w:pPr>
              <w:spacing w:after="0" w:line="240" w:lineRule="auto"/>
              <w:rPr>
                <w:rFonts w:ascii="Times New Roman" w:eastAsia="Times New Roman" w:hAnsi="Times New Roman" w:cs="Times New Roman"/>
                <w:sz w:val="26"/>
                <w:szCs w:val="26"/>
                <w:lang w:eastAsia="lv-LV"/>
              </w:rPr>
            </w:pPr>
          </w:p>
        </w:tc>
        <w:tc>
          <w:tcPr>
            <w:tcW w:w="632" w:type="pct"/>
            <w:vMerge/>
          </w:tcPr>
          <w:p w:rsidR="00174DAC" w:rsidRPr="00174DAC" w:rsidRDefault="00174DAC" w:rsidP="00174DAC">
            <w:pPr>
              <w:tabs>
                <w:tab w:val="center" w:pos="4153"/>
                <w:tab w:val="right" w:pos="8306"/>
              </w:tabs>
              <w:spacing w:after="0" w:line="240" w:lineRule="auto"/>
              <w:jc w:val="center"/>
              <w:rPr>
                <w:rFonts w:ascii="Times New Roman" w:eastAsia="Times New Roman" w:hAnsi="Times New Roman" w:cs="Times New Roman"/>
                <w:sz w:val="26"/>
                <w:szCs w:val="26"/>
                <w:lang w:eastAsia="lv-LV"/>
              </w:rPr>
            </w:pPr>
          </w:p>
        </w:tc>
        <w:tc>
          <w:tcPr>
            <w:tcW w:w="690" w:type="pct"/>
            <w:vMerge/>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89" w:type="pct"/>
            <w:vAlign w:val="center"/>
          </w:tcPr>
          <w:p w:rsidR="00174DAC" w:rsidRPr="00174DAC" w:rsidRDefault="00174DAC" w:rsidP="00174DAC">
            <w:pPr>
              <w:tabs>
                <w:tab w:val="center" w:pos="4153"/>
                <w:tab w:val="right" w:pos="8306"/>
              </w:tabs>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r>
      <w:tr w:rsidR="00174DAC" w:rsidRPr="00174DAC" w:rsidTr="00202966">
        <w:trPr>
          <w:jc w:val="center"/>
        </w:trPr>
        <w:tc>
          <w:tcPr>
            <w:tcW w:w="1609" w:type="pct"/>
            <w:tcBorders>
              <w:bottom w:val="single" w:sz="4" w:space="0" w:color="auto"/>
            </w:tcBorders>
          </w:tcPr>
          <w:p w:rsidR="00174DAC" w:rsidRPr="00174DAC" w:rsidRDefault="00174DAC" w:rsidP="00174DAC">
            <w:pPr>
              <w:spacing w:after="0" w:line="240" w:lineRule="auto"/>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lastRenderedPageBreak/>
              <w:t>5. Precizēta finansiālā ietekme:</w:t>
            </w:r>
          </w:p>
        </w:tc>
        <w:tc>
          <w:tcPr>
            <w:tcW w:w="632" w:type="pct"/>
            <w:vMerge w:val="restart"/>
            <w:tcBorders>
              <w:bottom w:val="single" w:sz="4" w:space="0" w:color="auto"/>
            </w:tcBorders>
            <w:vAlign w:val="center"/>
          </w:tcPr>
          <w:p w:rsidR="00174DAC" w:rsidRPr="00174DAC" w:rsidRDefault="00174DAC" w:rsidP="00174DAC">
            <w:pPr>
              <w:tabs>
                <w:tab w:val="center" w:pos="4153"/>
                <w:tab w:val="right" w:pos="8306"/>
              </w:tabs>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X</w:t>
            </w:r>
          </w:p>
        </w:tc>
        <w:tc>
          <w:tcPr>
            <w:tcW w:w="690" w:type="pct"/>
            <w:tcBorders>
              <w:bottom w:val="single" w:sz="4" w:space="0" w:color="auto"/>
            </w:tcBorders>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tcBorders>
              <w:bottom w:val="single" w:sz="4" w:space="0" w:color="auto"/>
            </w:tcBorders>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tcBorders>
              <w:bottom w:val="single" w:sz="4" w:space="0" w:color="auto"/>
            </w:tcBorders>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89" w:type="pct"/>
            <w:tcBorders>
              <w:bottom w:val="single" w:sz="4" w:space="0" w:color="auto"/>
            </w:tcBorders>
            <w:vAlign w:val="center"/>
          </w:tcPr>
          <w:p w:rsidR="00174DAC" w:rsidRPr="00174DAC" w:rsidRDefault="00174DAC" w:rsidP="00174DAC">
            <w:pPr>
              <w:tabs>
                <w:tab w:val="center" w:pos="4153"/>
                <w:tab w:val="right" w:pos="8306"/>
              </w:tabs>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r>
      <w:tr w:rsidR="00174DAC" w:rsidRPr="00174DAC" w:rsidTr="00202966">
        <w:trPr>
          <w:jc w:val="center"/>
        </w:trPr>
        <w:tc>
          <w:tcPr>
            <w:tcW w:w="1609" w:type="pct"/>
            <w:tcBorders>
              <w:top w:val="single" w:sz="4" w:space="0" w:color="auto"/>
            </w:tcBorders>
          </w:tcPr>
          <w:p w:rsidR="00174DAC" w:rsidRPr="00174DAC" w:rsidRDefault="00174DAC" w:rsidP="00174DAC">
            <w:pPr>
              <w:spacing w:after="0" w:line="240" w:lineRule="auto"/>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5.1. valsts pamatbudžets</w:t>
            </w:r>
          </w:p>
        </w:tc>
        <w:tc>
          <w:tcPr>
            <w:tcW w:w="632" w:type="pct"/>
            <w:vMerge/>
            <w:tcBorders>
              <w:top w:val="single" w:sz="4" w:space="0" w:color="auto"/>
            </w:tcBorders>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p>
        </w:tc>
        <w:tc>
          <w:tcPr>
            <w:tcW w:w="690" w:type="pct"/>
            <w:tcBorders>
              <w:top w:val="single" w:sz="4" w:space="0" w:color="auto"/>
            </w:tcBorders>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tcBorders>
              <w:top w:val="single" w:sz="4" w:space="0" w:color="auto"/>
            </w:tcBorders>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tcBorders>
              <w:top w:val="single" w:sz="4" w:space="0" w:color="auto"/>
            </w:tcBorders>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89" w:type="pct"/>
            <w:tcBorders>
              <w:top w:val="single" w:sz="4" w:space="0" w:color="auto"/>
            </w:tcBorders>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r>
      <w:tr w:rsidR="00174DAC" w:rsidRPr="00174DAC" w:rsidTr="00202966">
        <w:trPr>
          <w:jc w:val="center"/>
        </w:trPr>
        <w:tc>
          <w:tcPr>
            <w:tcW w:w="1609" w:type="pct"/>
          </w:tcPr>
          <w:p w:rsidR="00174DAC" w:rsidRPr="00174DAC" w:rsidRDefault="00174DAC" w:rsidP="00174DAC">
            <w:pPr>
              <w:spacing w:after="0" w:line="240" w:lineRule="auto"/>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5.2. speciālais budžets</w:t>
            </w:r>
          </w:p>
        </w:tc>
        <w:tc>
          <w:tcPr>
            <w:tcW w:w="632" w:type="pct"/>
            <w:vMerge/>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89"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r>
      <w:tr w:rsidR="00174DAC" w:rsidRPr="00174DAC" w:rsidTr="00202966">
        <w:trPr>
          <w:jc w:val="center"/>
        </w:trPr>
        <w:tc>
          <w:tcPr>
            <w:tcW w:w="1609" w:type="pct"/>
          </w:tcPr>
          <w:p w:rsidR="00174DAC" w:rsidRPr="00174DAC" w:rsidRDefault="00174DAC" w:rsidP="00174DAC">
            <w:pPr>
              <w:spacing w:after="0" w:line="240" w:lineRule="auto"/>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 xml:space="preserve">5.3. pašvaldību budžets </w:t>
            </w:r>
          </w:p>
        </w:tc>
        <w:tc>
          <w:tcPr>
            <w:tcW w:w="632" w:type="pct"/>
            <w:vMerge/>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90"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c>
          <w:tcPr>
            <w:tcW w:w="689" w:type="pct"/>
            <w:vAlign w:val="center"/>
          </w:tcPr>
          <w:p w:rsidR="00174DAC" w:rsidRPr="00174DAC" w:rsidRDefault="00174DAC" w:rsidP="00174DAC">
            <w:pPr>
              <w:spacing w:after="0" w:line="240" w:lineRule="auto"/>
              <w:jc w:val="center"/>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0</w:t>
            </w:r>
          </w:p>
        </w:tc>
      </w:tr>
      <w:tr w:rsidR="00174DAC" w:rsidRPr="00174DAC" w:rsidTr="00472D9F">
        <w:trPr>
          <w:jc w:val="center"/>
        </w:trPr>
        <w:tc>
          <w:tcPr>
            <w:tcW w:w="1609" w:type="pct"/>
          </w:tcPr>
          <w:p w:rsidR="00174DAC" w:rsidRPr="00174DAC" w:rsidRDefault="00174DAC" w:rsidP="00174DAC">
            <w:pPr>
              <w:spacing w:after="0" w:line="240" w:lineRule="auto"/>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6. Detalizēts ieņēmumu un izdevumu aprēķins (ja nepieciešams, detalizētu ieņēmumu un izdevumu aprēķinu var pievienot anotācijas pielikumā):</w:t>
            </w:r>
          </w:p>
        </w:tc>
        <w:tc>
          <w:tcPr>
            <w:tcW w:w="3391" w:type="pct"/>
            <w:gridSpan w:val="5"/>
            <w:vMerge w:val="restart"/>
          </w:tcPr>
          <w:p w:rsidR="00174DAC" w:rsidRPr="00174DAC" w:rsidRDefault="00174DAC" w:rsidP="00174DAC">
            <w:pPr>
              <w:spacing w:after="0" w:line="240" w:lineRule="auto"/>
              <w:jc w:val="both"/>
              <w:rPr>
                <w:rFonts w:ascii="Times New Roman" w:eastAsia="Times New Roman" w:hAnsi="Times New Roman" w:cs="Times New Roman"/>
                <w:b/>
                <w:i/>
                <w:sz w:val="26"/>
                <w:szCs w:val="26"/>
                <w:lang w:eastAsia="lv-LV"/>
              </w:rPr>
            </w:pPr>
            <w:r w:rsidRPr="00174DAC">
              <w:rPr>
                <w:rFonts w:ascii="Times New Roman" w:hAnsi="Times New Roman" w:cs="Times New Roman"/>
                <w:b/>
                <w:sz w:val="26"/>
                <w:szCs w:val="26"/>
              </w:rPr>
              <w:t>Satiksmes ministrijai nepieciešamais papildus finansējums zaudējumu segšanai sabiedriskā transporta pakalpojumu sniedzējiem reģionālajos strappilsētu nozīmes maršrutos, plānošanas reģioniem sastāda 368 384 EUR (258 902 LVL).</w:t>
            </w:r>
            <w:r w:rsidRPr="00174DAC">
              <w:rPr>
                <w:rFonts w:ascii="Times New Roman" w:hAnsi="Times New Roman" w:cs="Times New Roman"/>
                <w:sz w:val="26"/>
                <w:szCs w:val="26"/>
              </w:rPr>
              <w:t xml:space="preserve"> </w:t>
            </w:r>
            <w:r w:rsidRPr="00174DAC">
              <w:rPr>
                <w:rFonts w:ascii="Times New Roman" w:eastAsia="Times New Roman" w:hAnsi="Times New Roman" w:cs="Times New Roman"/>
                <w:sz w:val="26"/>
                <w:szCs w:val="26"/>
                <w:lang w:eastAsia="lv-LV"/>
              </w:rPr>
              <w:t>Detalizēts aprēķins pievienots anotācijas pielikumā.</w:t>
            </w:r>
          </w:p>
        </w:tc>
      </w:tr>
      <w:tr w:rsidR="00174DAC" w:rsidRPr="00174DAC" w:rsidTr="00472D9F">
        <w:trPr>
          <w:jc w:val="center"/>
        </w:trPr>
        <w:tc>
          <w:tcPr>
            <w:tcW w:w="1609" w:type="pct"/>
          </w:tcPr>
          <w:p w:rsidR="00174DAC" w:rsidRPr="00174DAC" w:rsidRDefault="00174DAC" w:rsidP="00174DAC">
            <w:pPr>
              <w:spacing w:after="0" w:line="240" w:lineRule="auto"/>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6.1. detalizēts ieņēmumu aprēķins</w:t>
            </w:r>
          </w:p>
        </w:tc>
        <w:tc>
          <w:tcPr>
            <w:tcW w:w="3391" w:type="pct"/>
            <w:gridSpan w:val="5"/>
            <w:vMerge/>
          </w:tcPr>
          <w:p w:rsidR="00174DAC" w:rsidRPr="00174DAC" w:rsidRDefault="00174DAC" w:rsidP="00174DAC">
            <w:pPr>
              <w:spacing w:after="0" w:line="240" w:lineRule="auto"/>
              <w:jc w:val="both"/>
              <w:rPr>
                <w:rFonts w:ascii="Times New Roman" w:eastAsia="Times New Roman" w:hAnsi="Times New Roman" w:cs="Times New Roman"/>
                <w:b/>
                <w:i/>
                <w:sz w:val="26"/>
                <w:szCs w:val="26"/>
                <w:lang w:eastAsia="lv-LV"/>
              </w:rPr>
            </w:pPr>
          </w:p>
        </w:tc>
      </w:tr>
      <w:tr w:rsidR="00174DAC" w:rsidRPr="00174DAC" w:rsidTr="00472D9F">
        <w:trPr>
          <w:jc w:val="center"/>
        </w:trPr>
        <w:tc>
          <w:tcPr>
            <w:tcW w:w="1609" w:type="pct"/>
          </w:tcPr>
          <w:p w:rsidR="00174DAC" w:rsidRPr="00174DAC" w:rsidRDefault="00174DAC" w:rsidP="00174DAC">
            <w:pPr>
              <w:spacing w:after="0" w:line="240" w:lineRule="auto"/>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6.2. detalizēts izdevumu aprēķins</w:t>
            </w:r>
          </w:p>
        </w:tc>
        <w:tc>
          <w:tcPr>
            <w:tcW w:w="3391" w:type="pct"/>
            <w:gridSpan w:val="5"/>
            <w:vMerge/>
          </w:tcPr>
          <w:p w:rsidR="00174DAC" w:rsidRPr="00174DAC" w:rsidRDefault="00174DAC" w:rsidP="00174DAC">
            <w:pPr>
              <w:spacing w:after="0" w:line="240" w:lineRule="auto"/>
              <w:jc w:val="both"/>
              <w:rPr>
                <w:rFonts w:ascii="Times New Roman" w:eastAsia="Times New Roman" w:hAnsi="Times New Roman" w:cs="Times New Roman"/>
                <w:b/>
                <w:i/>
                <w:sz w:val="26"/>
                <w:szCs w:val="26"/>
                <w:lang w:eastAsia="lv-LV"/>
              </w:rPr>
            </w:pPr>
          </w:p>
        </w:tc>
      </w:tr>
      <w:tr w:rsidR="00174DAC" w:rsidRPr="00174DAC" w:rsidTr="00472D9F">
        <w:trPr>
          <w:jc w:val="center"/>
        </w:trPr>
        <w:tc>
          <w:tcPr>
            <w:tcW w:w="1609" w:type="pct"/>
          </w:tcPr>
          <w:p w:rsidR="00174DAC" w:rsidRPr="00174DAC" w:rsidRDefault="00174DAC" w:rsidP="00174DAC">
            <w:pPr>
              <w:spacing w:after="0" w:line="240" w:lineRule="auto"/>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7. Cita informācija</w:t>
            </w:r>
          </w:p>
        </w:tc>
        <w:tc>
          <w:tcPr>
            <w:tcW w:w="3391" w:type="pct"/>
            <w:gridSpan w:val="5"/>
          </w:tcPr>
          <w:p w:rsidR="00174DAC" w:rsidRPr="00174DAC" w:rsidRDefault="00174DAC" w:rsidP="00174DAC">
            <w:pPr>
              <w:tabs>
                <w:tab w:val="left" w:pos="4644"/>
              </w:tabs>
              <w:spacing w:after="0" w:line="240" w:lineRule="auto"/>
              <w:jc w:val="both"/>
              <w:rPr>
                <w:rFonts w:ascii="Times New Roman" w:eastAsia="Times New Roman" w:hAnsi="Times New Roman" w:cs="Times New Roman"/>
                <w:sz w:val="24"/>
                <w:szCs w:val="26"/>
                <w:lang w:eastAsia="lv-LV"/>
              </w:rPr>
            </w:pPr>
            <w:r w:rsidRPr="00174DAC">
              <w:rPr>
                <w:rFonts w:ascii="Times New Roman" w:eastAsia="Times New Roman" w:hAnsi="Times New Roman" w:cs="Times New Roman"/>
                <w:sz w:val="24"/>
                <w:szCs w:val="26"/>
                <w:lang w:eastAsia="lv-LV"/>
              </w:rPr>
              <w:t>Peļņu aprēķina par 2014.gadu, bet izmaksā 2015.gadā saskaņā ar MK noteikumu Nr.341 64.punktu un MK noteikumu Nr.341 grozījumu projekta 46.</w:t>
            </w:r>
            <w:r w:rsidRPr="00174DAC">
              <w:rPr>
                <w:rFonts w:ascii="Times New Roman" w:eastAsia="Times New Roman" w:hAnsi="Times New Roman" w:cs="Times New Roman"/>
                <w:sz w:val="24"/>
                <w:szCs w:val="26"/>
                <w:vertAlign w:val="superscript"/>
                <w:lang w:eastAsia="lv-LV"/>
              </w:rPr>
              <w:t>2</w:t>
            </w:r>
            <w:r w:rsidRPr="00174DAC">
              <w:rPr>
                <w:rFonts w:ascii="Times New Roman" w:eastAsia="Times New Roman" w:hAnsi="Times New Roman" w:cs="Times New Roman"/>
                <w:sz w:val="24"/>
                <w:szCs w:val="26"/>
                <w:lang w:eastAsia="lv-LV"/>
              </w:rPr>
              <w:t>punktu un pārejas noteikumu 103.punktu. Izdevumus sedz no Satiksmes ministrijas valsts budžeta apakšprogrammas 31.06.00 „Dotācija zaudējumu segšanai sabiedriskā transporta pakalpojumu sniedzējiem”.</w:t>
            </w:r>
          </w:p>
          <w:p w:rsidR="00174DAC" w:rsidRPr="00174DAC" w:rsidRDefault="00174DAC" w:rsidP="00174DAC">
            <w:pPr>
              <w:tabs>
                <w:tab w:val="center" w:pos="4153"/>
                <w:tab w:val="left" w:pos="4644"/>
                <w:tab w:val="right" w:pos="8306"/>
              </w:tabs>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4"/>
                <w:szCs w:val="28"/>
              </w:rPr>
              <w:t>Ņemot vērā, ka Saeimā ir pieņemts un Valsts prezidents ir izsludinājis likumu „Par vidējā termiņa budžeta ietvaru 2014., 2015. un 2016.gadam”, tad papildus nepieciešamā finansējuma pieprasījums tiks iesniegts Ministru kabinetam 2015.gada valsts budžeta sagatavošanas un izskatīšanas procesā kopā ar visu ministriju un citu centrālo valsts iestāžu iesniegtajām jaunās politikas iniciatīvām, ņemot vērā valsts budžeta fiskālo telpu.</w:t>
            </w:r>
          </w:p>
        </w:tc>
      </w:tr>
    </w:tbl>
    <w:p w:rsidR="00174DAC" w:rsidRPr="00174DAC" w:rsidRDefault="00174DAC" w:rsidP="00174DAC">
      <w:pPr>
        <w:spacing w:after="0" w:line="240" w:lineRule="auto"/>
        <w:rPr>
          <w:rFonts w:ascii="Times New Roman" w:eastAsia="Times New Roman" w:hAnsi="Times New Roman" w:cs="Times New Roman"/>
          <w:sz w:val="26"/>
          <w:szCs w:val="26"/>
          <w:lang w:eastAsia="lv-LV"/>
        </w:rPr>
      </w:pPr>
    </w:p>
    <w:p w:rsidR="00174DAC" w:rsidRPr="00174DAC" w:rsidRDefault="00174DAC" w:rsidP="00174DAC">
      <w:pPr>
        <w:spacing w:after="0" w:line="240" w:lineRule="auto"/>
        <w:rPr>
          <w:rFonts w:ascii="Times New Roman" w:eastAsia="Times New Roman" w:hAnsi="Times New Roman" w:cs="Times New Roman"/>
          <w:sz w:val="26"/>
          <w:szCs w:val="26"/>
          <w:lang w:eastAsia="lv-LV"/>
        </w:rPr>
      </w:pPr>
      <w:r w:rsidRPr="00174DAC">
        <w:rPr>
          <w:rFonts w:ascii="Times New Roman" w:eastAsia="Times New Roman" w:hAnsi="Times New Roman" w:cs="Times New Roman"/>
          <w:i/>
          <w:iCs/>
          <w:sz w:val="26"/>
          <w:szCs w:val="26"/>
          <w:lang w:eastAsia="lv-LV"/>
        </w:rPr>
        <w:t>Anotācijas IV, V un VI sadaļa – projekts šīs jomas neskar</w:t>
      </w:r>
    </w:p>
    <w:p w:rsidR="00174DAC" w:rsidRPr="00174DAC" w:rsidRDefault="00174DAC" w:rsidP="00174DAC">
      <w:pPr>
        <w:spacing w:after="0" w:line="240" w:lineRule="auto"/>
        <w:rPr>
          <w:rFonts w:ascii="Times New Roman" w:eastAsia="Times New Roman" w:hAnsi="Times New Roman" w:cs="Times New Roman"/>
          <w:sz w:val="26"/>
          <w:szCs w:val="26"/>
          <w:lang w:eastAsia="lv-LV"/>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420"/>
        <w:gridCol w:w="5579"/>
      </w:tblGrid>
      <w:tr w:rsidR="00174DAC" w:rsidRPr="00C26CCC" w:rsidTr="00472D9F">
        <w:trPr>
          <w:trHeight w:val="279"/>
          <w:jc w:val="center"/>
        </w:trPr>
        <w:tc>
          <w:tcPr>
            <w:tcW w:w="9539" w:type="dxa"/>
            <w:gridSpan w:val="3"/>
          </w:tcPr>
          <w:p w:rsidR="00174DAC" w:rsidRPr="00C26CCC" w:rsidRDefault="00174DAC" w:rsidP="00174DAC">
            <w:pPr>
              <w:spacing w:after="0" w:line="240" w:lineRule="auto"/>
              <w:jc w:val="center"/>
              <w:rPr>
                <w:rFonts w:ascii="Times New Roman" w:eastAsia="Times New Roman" w:hAnsi="Times New Roman" w:cs="Times New Roman"/>
                <w:b/>
                <w:sz w:val="26"/>
                <w:szCs w:val="26"/>
                <w:lang w:eastAsia="lv-LV"/>
              </w:rPr>
            </w:pPr>
            <w:r w:rsidRPr="00C26CCC">
              <w:rPr>
                <w:rFonts w:ascii="Times New Roman" w:eastAsia="Times New Roman" w:hAnsi="Times New Roman" w:cs="Times New Roman"/>
                <w:b/>
                <w:sz w:val="26"/>
                <w:szCs w:val="26"/>
                <w:lang w:eastAsia="lv-LV"/>
              </w:rPr>
              <w:t>VII. Tiesību akta projekta izpildes nodrošināšana un tās ietekme uz institūcijām</w:t>
            </w:r>
          </w:p>
        </w:tc>
      </w:tr>
      <w:tr w:rsidR="00174DAC" w:rsidRPr="00174DAC" w:rsidTr="00472D9F">
        <w:trPr>
          <w:trHeight w:val="279"/>
          <w:jc w:val="center"/>
        </w:trPr>
        <w:tc>
          <w:tcPr>
            <w:tcW w:w="540" w:type="dxa"/>
          </w:tcPr>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1.</w:t>
            </w:r>
          </w:p>
        </w:tc>
        <w:tc>
          <w:tcPr>
            <w:tcW w:w="3420" w:type="dxa"/>
          </w:tcPr>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Projekta izpildē iesaistītās institūcijas</w:t>
            </w:r>
          </w:p>
        </w:tc>
        <w:tc>
          <w:tcPr>
            <w:tcW w:w="5579" w:type="dxa"/>
          </w:tcPr>
          <w:p w:rsidR="00174DAC" w:rsidRPr="00174DAC" w:rsidRDefault="00174DAC" w:rsidP="00174DAC">
            <w:pPr>
              <w:spacing w:after="0" w:line="240" w:lineRule="auto"/>
              <w:ind w:left="-6" w:right="57"/>
              <w:jc w:val="both"/>
              <w:rPr>
                <w:rFonts w:ascii="Times New Roman" w:eastAsia="Times New Roman" w:hAnsi="Times New Roman" w:cs="Times New Roman"/>
                <w:bCs/>
                <w:sz w:val="26"/>
                <w:szCs w:val="26"/>
                <w:lang w:eastAsia="lv-LV"/>
              </w:rPr>
            </w:pPr>
            <w:r w:rsidRPr="00174DAC">
              <w:rPr>
                <w:rFonts w:ascii="Times New Roman" w:eastAsia="Times New Roman" w:hAnsi="Times New Roman" w:cs="Times New Roman"/>
                <w:bCs/>
                <w:sz w:val="26"/>
                <w:szCs w:val="26"/>
                <w:lang w:eastAsia="lv-LV"/>
              </w:rPr>
              <w:t>Plānošanas reģioni, Autotransporta direkcija, republikas pilsētu pašvaldības.</w:t>
            </w:r>
          </w:p>
        </w:tc>
      </w:tr>
      <w:tr w:rsidR="00174DAC" w:rsidRPr="00174DAC" w:rsidTr="00472D9F">
        <w:trPr>
          <w:trHeight w:val="279"/>
          <w:jc w:val="center"/>
        </w:trPr>
        <w:tc>
          <w:tcPr>
            <w:tcW w:w="540" w:type="dxa"/>
          </w:tcPr>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2.</w:t>
            </w:r>
          </w:p>
        </w:tc>
        <w:tc>
          <w:tcPr>
            <w:tcW w:w="3420" w:type="dxa"/>
          </w:tcPr>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Projekta izpildes ietekme uz pārvaldes funkcijām</w:t>
            </w:r>
          </w:p>
        </w:tc>
        <w:tc>
          <w:tcPr>
            <w:tcW w:w="5579" w:type="dxa"/>
          </w:tcPr>
          <w:p w:rsidR="00174DAC" w:rsidRPr="00174DAC" w:rsidRDefault="00174DAC" w:rsidP="00174DAC">
            <w:pPr>
              <w:spacing w:after="0" w:line="240" w:lineRule="auto"/>
              <w:ind w:right="57"/>
              <w:jc w:val="both"/>
              <w:rPr>
                <w:rFonts w:ascii="Times New Roman" w:eastAsia="Times New Roman" w:hAnsi="Times New Roman" w:cs="Times New Roman"/>
                <w:bCs/>
                <w:sz w:val="26"/>
                <w:szCs w:val="26"/>
                <w:lang w:eastAsia="lv-LV"/>
              </w:rPr>
            </w:pPr>
            <w:r w:rsidRPr="00174DAC">
              <w:rPr>
                <w:rFonts w:ascii="Times New Roman" w:eastAsia="Times New Roman" w:hAnsi="Times New Roman" w:cs="Times New Roman"/>
                <w:bCs/>
                <w:sz w:val="26"/>
                <w:szCs w:val="26"/>
                <w:lang w:eastAsia="lv-LV"/>
              </w:rPr>
              <w:t>Saistībā ar projekta izpildi institūciju funkcijas netiek paplašinātas vai sašaurinātas.</w:t>
            </w:r>
          </w:p>
        </w:tc>
      </w:tr>
      <w:tr w:rsidR="00174DAC" w:rsidRPr="00174DAC" w:rsidTr="00472D9F">
        <w:trPr>
          <w:trHeight w:val="279"/>
          <w:jc w:val="center"/>
        </w:trPr>
        <w:tc>
          <w:tcPr>
            <w:tcW w:w="540" w:type="dxa"/>
          </w:tcPr>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3.</w:t>
            </w:r>
          </w:p>
        </w:tc>
        <w:tc>
          <w:tcPr>
            <w:tcW w:w="3420" w:type="dxa"/>
          </w:tcPr>
          <w:p w:rsidR="00174DAC" w:rsidRPr="00174DAC" w:rsidRDefault="00174DAC" w:rsidP="00174DAC">
            <w:pPr>
              <w:spacing w:after="0" w:line="240" w:lineRule="auto"/>
              <w:ind w:left="12" w:right="57"/>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Projekta izpildes ietekme uz pārvaldes institucionālo struktūru.</w:t>
            </w:r>
          </w:p>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Jaunu institūciju izveide</w:t>
            </w:r>
          </w:p>
        </w:tc>
        <w:tc>
          <w:tcPr>
            <w:tcW w:w="5579" w:type="dxa"/>
          </w:tcPr>
          <w:p w:rsidR="00174DAC" w:rsidRPr="00174DAC" w:rsidRDefault="00174DAC" w:rsidP="00174DAC">
            <w:pPr>
              <w:spacing w:after="0" w:line="240" w:lineRule="auto"/>
              <w:ind w:left="-6" w:right="57"/>
              <w:jc w:val="both"/>
              <w:rPr>
                <w:rFonts w:ascii="Times New Roman" w:eastAsia="Times New Roman" w:hAnsi="Times New Roman" w:cs="Times New Roman"/>
                <w:bCs/>
                <w:iCs/>
                <w:sz w:val="26"/>
                <w:szCs w:val="26"/>
                <w:lang w:eastAsia="lv-LV"/>
              </w:rPr>
            </w:pPr>
            <w:r w:rsidRPr="00174DAC">
              <w:rPr>
                <w:rFonts w:ascii="Times New Roman" w:eastAsia="Times New Roman" w:hAnsi="Times New Roman" w:cs="Times New Roman"/>
                <w:bCs/>
                <w:iCs/>
                <w:sz w:val="26"/>
                <w:szCs w:val="26"/>
                <w:lang w:eastAsia="lv-LV"/>
              </w:rPr>
              <w:t>Saistībā ar projekta izpildi nav nepieciešams veidot jaunas institūcijas.</w:t>
            </w:r>
          </w:p>
        </w:tc>
      </w:tr>
      <w:tr w:rsidR="00174DAC" w:rsidRPr="00174DAC" w:rsidTr="00472D9F">
        <w:trPr>
          <w:trHeight w:val="279"/>
          <w:jc w:val="center"/>
        </w:trPr>
        <w:tc>
          <w:tcPr>
            <w:tcW w:w="540" w:type="dxa"/>
          </w:tcPr>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4.</w:t>
            </w:r>
          </w:p>
        </w:tc>
        <w:tc>
          <w:tcPr>
            <w:tcW w:w="3420" w:type="dxa"/>
          </w:tcPr>
          <w:p w:rsidR="00174DAC" w:rsidRPr="00174DAC" w:rsidRDefault="00174DAC" w:rsidP="00174DAC">
            <w:pPr>
              <w:spacing w:after="0" w:line="240" w:lineRule="auto"/>
              <w:ind w:left="12" w:right="57"/>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Projekta izpildes ietekme uz pārvaldes institucionālo struktūru.</w:t>
            </w:r>
          </w:p>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Esošu institūciju likvidācija</w:t>
            </w:r>
          </w:p>
        </w:tc>
        <w:tc>
          <w:tcPr>
            <w:tcW w:w="5579" w:type="dxa"/>
          </w:tcPr>
          <w:p w:rsidR="00174DAC" w:rsidRPr="00174DAC" w:rsidRDefault="00174DAC" w:rsidP="00174DAC">
            <w:pPr>
              <w:spacing w:after="0" w:line="240" w:lineRule="auto"/>
              <w:ind w:left="-6" w:right="57"/>
              <w:jc w:val="both"/>
              <w:rPr>
                <w:rFonts w:ascii="Times New Roman" w:eastAsia="Times New Roman" w:hAnsi="Times New Roman" w:cs="Times New Roman"/>
                <w:bCs/>
                <w:sz w:val="26"/>
                <w:szCs w:val="26"/>
                <w:lang w:eastAsia="lv-LV"/>
              </w:rPr>
            </w:pPr>
            <w:r w:rsidRPr="00174DAC">
              <w:rPr>
                <w:rFonts w:ascii="Times New Roman" w:eastAsia="Times New Roman" w:hAnsi="Times New Roman" w:cs="Times New Roman"/>
                <w:bCs/>
                <w:sz w:val="26"/>
                <w:szCs w:val="26"/>
                <w:lang w:eastAsia="lv-LV"/>
              </w:rPr>
              <w:t xml:space="preserve">Saistībā ar projekta izpildi nav plānots </w:t>
            </w:r>
          </w:p>
        </w:tc>
      </w:tr>
      <w:tr w:rsidR="00174DAC" w:rsidRPr="00174DAC" w:rsidTr="00472D9F">
        <w:trPr>
          <w:trHeight w:val="279"/>
          <w:jc w:val="center"/>
        </w:trPr>
        <w:tc>
          <w:tcPr>
            <w:tcW w:w="540" w:type="dxa"/>
          </w:tcPr>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lastRenderedPageBreak/>
              <w:t>5.</w:t>
            </w:r>
          </w:p>
        </w:tc>
        <w:tc>
          <w:tcPr>
            <w:tcW w:w="3420" w:type="dxa"/>
          </w:tcPr>
          <w:p w:rsidR="00174DAC" w:rsidRPr="00174DAC" w:rsidRDefault="00174DAC" w:rsidP="00174DAC">
            <w:pPr>
              <w:spacing w:after="0" w:line="240" w:lineRule="auto"/>
              <w:ind w:left="12" w:right="57"/>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Projekta izpildes ietekme uz pārvaldes institucionālo struktūru.</w:t>
            </w:r>
          </w:p>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Esošu institūciju reorganizācija</w:t>
            </w:r>
          </w:p>
        </w:tc>
        <w:tc>
          <w:tcPr>
            <w:tcW w:w="5579" w:type="dxa"/>
          </w:tcPr>
          <w:p w:rsidR="00174DAC" w:rsidRPr="00174DAC" w:rsidRDefault="00174DAC" w:rsidP="00174DAC">
            <w:pPr>
              <w:spacing w:after="0" w:line="240" w:lineRule="auto"/>
              <w:ind w:left="-6" w:right="57"/>
              <w:jc w:val="both"/>
              <w:rPr>
                <w:rFonts w:ascii="Times New Roman" w:eastAsia="Times New Roman" w:hAnsi="Times New Roman" w:cs="Times New Roman"/>
                <w:bCs/>
                <w:sz w:val="26"/>
                <w:szCs w:val="26"/>
                <w:lang w:eastAsia="lv-LV"/>
              </w:rPr>
            </w:pPr>
            <w:r w:rsidRPr="00174DAC">
              <w:rPr>
                <w:rFonts w:ascii="Times New Roman" w:eastAsia="Times New Roman" w:hAnsi="Times New Roman" w:cs="Times New Roman"/>
                <w:bCs/>
                <w:sz w:val="26"/>
                <w:szCs w:val="26"/>
                <w:lang w:eastAsia="lv-LV"/>
              </w:rPr>
              <w:t>Nav attiecināms.</w:t>
            </w:r>
          </w:p>
        </w:tc>
      </w:tr>
      <w:tr w:rsidR="00174DAC" w:rsidRPr="00174DAC" w:rsidTr="00472D9F">
        <w:trPr>
          <w:trHeight w:val="279"/>
          <w:jc w:val="center"/>
        </w:trPr>
        <w:tc>
          <w:tcPr>
            <w:tcW w:w="540" w:type="dxa"/>
          </w:tcPr>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6.</w:t>
            </w:r>
          </w:p>
        </w:tc>
        <w:tc>
          <w:tcPr>
            <w:tcW w:w="3420" w:type="dxa"/>
          </w:tcPr>
          <w:p w:rsidR="00174DAC" w:rsidRPr="00174DAC" w:rsidRDefault="00174DAC" w:rsidP="00174DAC">
            <w:pPr>
              <w:spacing w:after="0" w:line="240" w:lineRule="auto"/>
              <w:jc w:val="both"/>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Cita informācija</w:t>
            </w:r>
          </w:p>
        </w:tc>
        <w:tc>
          <w:tcPr>
            <w:tcW w:w="5579" w:type="dxa"/>
          </w:tcPr>
          <w:p w:rsidR="00174DAC" w:rsidRPr="00174DAC" w:rsidRDefault="00174DAC" w:rsidP="00174DAC">
            <w:pPr>
              <w:spacing w:after="0" w:line="240" w:lineRule="auto"/>
              <w:ind w:left="-6" w:right="57"/>
              <w:rPr>
                <w:rFonts w:ascii="Times New Roman" w:eastAsia="Times New Roman" w:hAnsi="Times New Roman" w:cs="Times New Roman"/>
                <w:sz w:val="26"/>
                <w:szCs w:val="26"/>
                <w:lang w:eastAsia="lv-LV"/>
              </w:rPr>
            </w:pPr>
            <w:r w:rsidRPr="00174DAC">
              <w:rPr>
                <w:rFonts w:ascii="Times New Roman" w:eastAsia="Times New Roman" w:hAnsi="Times New Roman" w:cs="Times New Roman"/>
                <w:sz w:val="26"/>
                <w:szCs w:val="26"/>
                <w:lang w:eastAsia="lv-LV"/>
              </w:rPr>
              <w:t>Nav.</w:t>
            </w:r>
          </w:p>
        </w:tc>
      </w:tr>
    </w:tbl>
    <w:p w:rsidR="00174DAC" w:rsidRPr="00D568FC" w:rsidRDefault="00174DAC" w:rsidP="00174DAC">
      <w:pPr>
        <w:spacing w:after="0" w:line="240" w:lineRule="auto"/>
        <w:jc w:val="both"/>
        <w:rPr>
          <w:rFonts w:ascii="Times New Roman" w:eastAsia="Times New Roman" w:hAnsi="Times New Roman" w:cs="Times New Roman"/>
          <w:sz w:val="28"/>
          <w:szCs w:val="28"/>
          <w:lang w:eastAsia="lv-LV"/>
        </w:rPr>
      </w:pPr>
    </w:p>
    <w:p w:rsidR="00174DAC" w:rsidRPr="00D568FC" w:rsidRDefault="00174DAC" w:rsidP="00174DAC">
      <w:pPr>
        <w:spacing w:after="0" w:line="240" w:lineRule="auto"/>
        <w:jc w:val="both"/>
        <w:rPr>
          <w:rFonts w:ascii="Times New Roman" w:eastAsia="Times New Roman" w:hAnsi="Times New Roman" w:cs="Times New Roman"/>
          <w:sz w:val="28"/>
          <w:szCs w:val="28"/>
          <w:lang w:eastAsia="lv-LV"/>
        </w:rPr>
      </w:pPr>
    </w:p>
    <w:p w:rsidR="00174DAC" w:rsidRPr="00D568FC" w:rsidRDefault="00174DAC" w:rsidP="00174DAC">
      <w:pPr>
        <w:tabs>
          <w:tab w:val="left" w:pos="142"/>
          <w:tab w:val="left" w:pos="7200"/>
        </w:tabs>
        <w:suppressAutoHyphens/>
        <w:spacing w:after="0" w:line="240" w:lineRule="auto"/>
        <w:outlineLvl w:val="4"/>
        <w:rPr>
          <w:rFonts w:ascii="Times New Roman" w:eastAsia="Times New Roman" w:hAnsi="Times New Roman" w:cs="Times New Roman"/>
          <w:bCs/>
          <w:iCs/>
          <w:kern w:val="1"/>
          <w:sz w:val="28"/>
          <w:szCs w:val="28"/>
          <w:lang w:eastAsia="ar-SA"/>
        </w:rPr>
      </w:pPr>
      <w:r w:rsidRPr="00D568FC">
        <w:rPr>
          <w:rFonts w:ascii="Times New Roman" w:eastAsia="Times New Roman" w:hAnsi="Times New Roman" w:cs="Times New Roman"/>
          <w:bCs/>
          <w:iCs/>
          <w:kern w:val="1"/>
          <w:sz w:val="28"/>
          <w:szCs w:val="28"/>
          <w:lang w:eastAsia="ar-SA"/>
        </w:rPr>
        <w:t>Satiksmes ministrs</w:t>
      </w:r>
      <w:r w:rsidRPr="00D568FC">
        <w:rPr>
          <w:rFonts w:ascii="Times New Roman" w:eastAsia="Times New Roman" w:hAnsi="Times New Roman" w:cs="Times New Roman"/>
          <w:bCs/>
          <w:iCs/>
          <w:kern w:val="1"/>
          <w:sz w:val="28"/>
          <w:szCs w:val="28"/>
          <w:lang w:eastAsia="ar-SA"/>
        </w:rPr>
        <w:tab/>
        <w:t>A.Matīss</w:t>
      </w:r>
    </w:p>
    <w:p w:rsidR="00174DAC" w:rsidRPr="00D568FC" w:rsidRDefault="00174DAC" w:rsidP="00174DAC">
      <w:pPr>
        <w:spacing w:after="120" w:line="240" w:lineRule="auto"/>
        <w:rPr>
          <w:rFonts w:ascii="Times New Roman" w:eastAsia="Times New Roman" w:hAnsi="Times New Roman" w:cs="Times New Roman"/>
          <w:sz w:val="28"/>
          <w:szCs w:val="28"/>
          <w:lang w:eastAsia="lv-LV"/>
        </w:rPr>
      </w:pPr>
    </w:p>
    <w:p w:rsidR="001C410E" w:rsidRDefault="00174DAC" w:rsidP="001C410E">
      <w:pPr>
        <w:spacing w:after="0" w:line="240" w:lineRule="auto"/>
        <w:jc w:val="both"/>
        <w:rPr>
          <w:rFonts w:ascii="Times New Roman" w:eastAsia="Times New Roman" w:hAnsi="Times New Roman" w:cs="Times New Roman"/>
          <w:sz w:val="28"/>
          <w:szCs w:val="24"/>
          <w:lang w:eastAsia="lv-LV"/>
        </w:rPr>
      </w:pPr>
      <w:r w:rsidRPr="00D568FC">
        <w:rPr>
          <w:rFonts w:ascii="Times New Roman" w:eastAsia="Times New Roman" w:hAnsi="Times New Roman" w:cs="Times New Roman"/>
          <w:sz w:val="28"/>
          <w:szCs w:val="28"/>
          <w:lang w:eastAsia="lv-LV"/>
        </w:rPr>
        <w:t xml:space="preserve">Vīza: </w:t>
      </w:r>
      <w:r w:rsidR="001C410E">
        <w:rPr>
          <w:rFonts w:ascii="Times New Roman" w:eastAsia="Times New Roman" w:hAnsi="Times New Roman" w:cs="Times New Roman"/>
          <w:sz w:val="28"/>
          <w:szCs w:val="24"/>
          <w:lang w:eastAsia="lv-LV"/>
        </w:rPr>
        <w:t>Valsts sekretāra vietā</w:t>
      </w:r>
    </w:p>
    <w:p w:rsidR="001C410E" w:rsidRDefault="001C410E" w:rsidP="001C410E">
      <w:pPr>
        <w:spacing w:after="0" w:line="240" w:lineRule="auto"/>
        <w:ind w:firstLine="720"/>
        <w:rPr>
          <w:rFonts w:ascii="Times New Roman" w:eastAsia="Times New Roman" w:hAnsi="Times New Roman" w:cs="Times New Roman"/>
          <w:noProof/>
          <w:sz w:val="20"/>
          <w:szCs w:val="20"/>
          <w:lang w:eastAsia="lv-LV"/>
        </w:rPr>
      </w:pPr>
      <w:r>
        <w:rPr>
          <w:rFonts w:ascii="Times New Roman" w:eastAsia="Times New Roman" w:hAnsi="Times New Roman" w:cs="Times New Roman"/>
          <w:sz w:val="28"/>
          <w:szCs w:val="24"/>
          <w:lang w:eastAsia="lv-LV"/>
        </w:rPr>
        <w:t>valsts sekretāra vietniece</w:t>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ab/>
        <w:t>I.Aleksandroviča</w:t>
      </w:r>
    </w:p>
    <w:p w:rsidR="00174DAC" w:rsidRPr="00D568FC" w:rsidRDefault="00174DAC" w:rsidP="00174DAC">
      <w:pPr>
        <w:spacing w:after="0" w:line="240" w:lineRule="auto"/>
        <w:rPr>
          <w:rFonts w:ascii="Times New Roman" w:eastAsia="Times New Roman" w:hAnsi="Times New Roman" w:cs="Times New Roman"/>
          <w:sz w:val="28"/>
          <w:szCs w:val="28"/>
          <w:lang w:eastAsia="lv-LV"/>
        </w:rPr>
      </w:pPr>
    </w:p>
    <w:p w:rsidR="00174DAC" w:rsidRPr="00174DAC" w:rsidRDefault="00174DAC" w:rsidP="00174DAC">
      <w:pPr>
        <w:spacing w:after="0" w:line="240" w:lineRule="auto"/>
        <w:rPr>
          <w:rFonts w:ascii="Times New Roman" w:eastAsia="Times New Roman" w:hAnsi="Times New Roman" w:cs="Times New Roman"/>
          <w:sz w:val="28"/>
          <w:szCs w:val="28"/>
          <w:lang w:eastAsia="lv-LV"/>
        </w:rPr>
      </w:pPr>
    </w:p>
    <w:p w:rsidR="00174DAC" w:rsidRPr="00174DAC" w:rsidRDefault="00174DAC" w:rsidP="00174DAC">
      <w:pPr>
        <w:spacing w:after="0" w:line="240" w:lineRule="auto"/>
        <w:rPr>
          <w:rFonts w:ascii="Times New Roman" w:eastAsia="Times New Roman" w:hAnsi="Times New Roman" w:cs="Times New Roman"/>
          <w:sz w:val="28"/>
          <w:szCs w:val="28"/>
          <w:lang w:eastAsia="lv-LV"/>
        </w:rPr>
      </w:pPr>
    </w:p>
    <w:p w:rsidR="00174DAC" w:rsidRPr="00174DAC" w:rsidRDefault="00174DAC" w:rsidP="00174DAC">
      <w:pPr>
        <w:spacing w:after="0" w:line="240" w:lineRule="auto"/>
        <w:rPr>
          <w:rFonts w:ascii="Times New Roman" w:eastAsia="Times New Roman" w:hAnsi="Times New Roman" w:cs="Times New Roman"/>
          <w:sz w:val="28"/>
          <w:szCs w:val="28"/>
          <w:lang w:eastAsia="lv-LV"/>
        </w:rPr>
      </w:pPr>
    </w:p>
    <w:p w:rsidR="00174DAC" w:rsidRPr="00174DAC" w:rsidRDefault="00174DAC" w:rsidP="00174DAC">
      <w:pPr>
        <w:spacing w:after="0" w:line="240" w:lineRule="auto"/>
        <w:rPr>
          <w:rFonts w:ascii="Times New Roman" w:eastAsia="Times New Roman" w:hAnsi="Times New Roman" w:cs="Times New Roman"/>
          <w:sz w:val="28"/>
          <w:szCs w:val="28"/>
          <w:lang w:eastAsia="lv-LV"/>
        </w:rPr>
      </w:pPr>
    </w:p>
    <w:p w:rsidR="00174DAC" w:rsidRPr="00174DAC" w:rsidRDefault="00174DAC" w:rsidP="00174DAC">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2</w:t>
      </w:r>
      <w:r w:rsidRPr="00174DAC">
        <w:rPr>
          <w:rFonts w:ascii="Times New Roman" w:eastAsia="Times New Roman" w:hAnsi="Times New Roman" w:cs="Times New Roman"/>
          <w:sz w:val="20"/>
          <w:lang w:eastAsia="lv-LV"/>
        </w:rPr>
        <w:t>7.1</w:t>
      </w:r>
      <w:r>
        <w:rPr>
          <w:rFonts w:ascii="Times New Roman" w:eastAsia="Times New Roman" w:hAnsi="Times New Roman" w:cs="Times New Roman"/>
          <w:sz w:val="20"/>
          <w:lang w:eastAsia="lv-LV"/>
        </w:rPr>
        <w:t>2</w:t>
      </w:r>
      <w:r w:rsidRPr="00174DAC">
        <w:rPr>
          <w:rFonts w:ascii="Times New Roman" w:eastAsia="Times New Roman" w:hAnsi="Times New Roman" w:cs="Times New Roman"/>
          <w:sz w:val="20"/>
          <w:lang w:eastAsia="lv-LV"/>
        </w:rPr>
        <w:t>. 2013. 14:49</w:t>
      </w:r>
    </w:p>
    <w:p w:rsidR="00174DAC" w:rsidRPr="00174DAC" w:rsidRDefault="00174DAC" w:rsidP="00174DAC">
      <w:pPr>
        <w:spacing w:after="0" w:line="240" w:lineRule="auto"/>
        <w:rPr>
          <w:rFonts w:ascii="Times New Roman" w:eastAsia="Times New Roman" w:hAnsi="Times New Roman" w:cs="Times New Roman"/>
          <w:sz w:val="20"/>
          <w:lang w:eastAsia="lv-LV"/>
        </w:rPr>
      </w:pPr>
      <w:r w:rsidRPr="00174DAC">
        <w:rPr>
          <w:rFonts w:ascii="Times New Roman" w:eastAsia="Times New Roman" w:hAnsi="Times New Roman" w:cs="Times New Roman"/>
          <w:sz w:val="20"/>
          <w:lang w:eastAsia="lv-LV"/>
        </w:rPr>
        <w:t>2</w:t>
      </w:r>
      <w:r w:rsidR="0034466E">
        <w:rPr>
          <w:rFonts w:ascii="Times New Roman" w:eastAsia="Times New Roman" w:hAnsi="Times New Roman" w:cs="Times New Roman"/>
          <w:sz w:val="20"/>
          <w:lang w:eastAsia="lv-LV"/>
        </w:rPr>
        <w:t>813</w:t>
      </w:r>
      <w:bookmarkStart w:id="0" w:name="_GoBack"/>
      <w:bookmarkEnd w:id="0"/>
    </w:p>
    <w:p w:rsidR="00174DAC" w:rsidRPr="00174DAC" w:rsidRDefault="00174DAC" w:rsidP="00174DAC">
      <w:pPr>
        <w:spacing w:after="0" w:line="240" w:lineRule="auto"/>
        <w:rPr>
          <w:rFonts w:ascii="Times New Roman" w:eastAsia="Times New Roman" w:hAnsi="Times New Roman" w:cs="Times New Roman"/>
          <w:sz w:val="20"/>
        </w:rPr>
      </w:pPr>
      <w:r w:rsidRPr="00174DAC">
        <w:rPr>
          <w:rFonts w:ascii="Times New Roman" w:eastAsia="Times New Roman" w:hAnsi="Times New Roman" w:cs="Times New Roman"/>
          <w:sz w:val="20"/>
        </w:rPr>
        <w:t>S.Mince, 67686494</w:t>
      </w:r>
    </w:p>
    <w:p w:rsidR="00174DAC" w:rsidRPr="00174DAC" w:rsidRDefault="00F23FA7" w:rsidP="00174DAC">
      <w:pPr>
        <w:spacing w:after="0" w:line="240" w:lineRule="auto"/>
        <w:rPr>
          <w:rFonts w:ascii="Times New Roman" w:eastAsia="Times New Roman" w:hAnsi="Times New Roman" w:cs="Times New Roman"/>
          <w:sz w:val="20"/>
          <w:szCs w:val="20"/>
          <w:u w:val="single"/>
          <w:lang w:eastAsia="lv-LV"/>
        </w:rPr>
      </w:pPr>
      <w:hyperlink r:id="rId8" w:history="1">
        <w:r w:rsidR="00174DAC" w:rsidRPr="00174DAC">
          <w:rPr>
            <w:rFonts w:ascii="Times New Roman" w:eastAsia="Times New Roman" w:hAnsi="Times New Roman" w:cs="Times New Roman"/>
            <w:sz w:val="20"/>
            <w:szCs w:val="20"/>
            <w:u w:val="single"/>
            <w:lang w:eastAsia="lv-LV"/>
          </w:rPr>
          <w:t>Sanita.Mince@atd.lv</w:t>
        </w:r>
      </w:hyperlink>
    </w:p>
    <w:p w:rsidR="00174DAC" w:rsidRPr="00174DAC" w:rsidRDefault="00174DAC" w:rsidP="00174DAC">
      <w:pPr>
        <w:spacing w:after="0" w:line="240" w:lineRule="auto"/>
        <w:rPr>
          <w:rFonts w:ascii="Times New Roman" w:eastAsia="Times New Roman" w:hAnsi="Times New Roman" w:cs="Times New Roman"/>
          <w:sz w:val="20"/>
          <w:lang w:eastAsia="lv-LV"/>
        </w:rPr>
      </w:pPr>
      <w:r w:rsidRPr="00174DAC">
        <w:rPr>
          <w:rFonts w:ascii="Times New Roman" w:eastAsia="Times New Roman" w:hAnsi="Times New Roman" w:cs="Times New Roman"/>
          <w:sz w:val="20"/>
          <w:lang w:eastAsia="lv-LV"/>
        </w:rPr>
        <w:t>K.Grīviņa, 67686486</w:t>
      </w:r>
    </w:p>
    <w:p w:rsidR="00174DAC" w:rsidRPr="00174DAC" w:rsidRDefault="00174DAC" w:rsidP="00174DAC">
      <w:pPr>
        <w:spacing w:after="0" w:line="240" w:lineRule="auto"/>
        <w:rPr>
          <w:rFonts w:ascii="Times New Roman" w:eastAsia="Times New Roman" w:hAnsi="Times New Roman" w:cs="Times New Roman"/>
          <w:szCs w:val="24"/>
          <w:lang w:eastAsia="lv-LV"/>
        </w:rPr>
      </w:pPr>
      <w:r w:rsidRPr="00174DAC">
        <w:rPr>
          <w:rFonts w:ascii="Times New Roman" w:eastAsia="Times New Roman" w:hAnsi="Times New Roman" w:cs="Times New Roman"/>
          <w:sz w:val="20"/>
          <w:u w:val="single"/>
          <w:lang w:eastAsia="lv-LV"/>
        </w:rPr>
        <w:t>Kristine.Grivina@atd.lv</w:t>
      </w:r>
    </w:p>
    <w:p w:rsidR="00174DAC" w:rsidRPr="00174DAC" w:rsidRDefault="00174DAC" w:rsidP="00174DAC">
      <w:pPr>
        <w:spacing w:after="0" w:line="240" w:lineRule="auto"/>
        <w:rPr>
          <w:rFonts w:ascii="Times New Roman" w:eastAsia="Times New Roman" w:hAnsi="Times New Roman" w:cs="Times New Roman"/>
          <w:lang w:eastAsia="lv-LV"/>
        </w:rPr>
      </w:pPr>
    </w:p>
    <w:p w:rsidR="00174DAC" w:rsidRPr="00174DAC" w:rsidRDefault="00174DAC" w:rsidP="00174DAC">
      <w:pPr>
        <w:spacing w:after="0" w:line="240" w:lineRule="auto"/>
        <w:rPr>
          <w:rFonts w:ascii="Times New Roman" w:eastAsia="Times New Roman" w:hAnsi="Times New Roman" w:cs="Times New Roman"/>
          <w:lang w:eastAsia="lv-LV"/>
        </w:rPr>
      </w:pPr>
    </w:p>
    <w:p w:rsidR="00174DAC" w:rsidRPr="00174DAC" w:rsidRDefault="00174DAC" w:rsidP="00174DAC">
      <w:pPr>
        <w:spacing w:after="0" w:line="240" w:lineRule="auto"/>
        <w:rPr>
          <w:rFonts w:ascii="Times New Roman" w:eastAsia="Times New Roman" w:hAnsi="Times New Roman" w:cs="Times New Roman"/>
          <w:lang w:eastAsia="lv-LV"/>
        </w:rPr>
        <w:sectPr w:rsidR="00174DAC" w:rsidRPr="00174DAC" w:rsidSect="00F36FEC">
          <w:headerReference w:type="even" r:id="rId9"/>
          <w:headerReference w:type="default" r:id="rId10"/>
          <w:footerReference w:type="default" r:id="rId11"/>
          <w:footerReference w:type="first" r:id="rId12"/>
          <w:pgSz w:w="11906" w:h="16838" w:code="9"/>
          <w:pgMar w:top="1418" w:right="1134" w:bottom="1134" w:left="1701" w:header="709" w:footer="527" w:gutter="0"/>
          <w:cols w:space="708"/>
          <w:titlePg/>
          <w:docGrid w:linePitch="360"/>
        </w:sectPr>
      </w:pPr>
    </w:p>
    <w:p w:rsidR="00174DAC" w:rsidRPr="00174DAC" w:rsidRDefault="00174DAC" w:rsidP="00174DAC">
      <w:pPr>
        <w:spacing w:after="0" w:line="240" w:lineRule="auto"/>
        <w:ind w:right="536"/>
        <w:jc w:val="right"/>
        <w:rPr>
          <w:rFonts w:ascii="Times New Roman" w:eastAsia="Times New Roman" w:hAnsi="Times New Roman" w:cs="Times New Roman"/>
          <w:lang w:eastAsia="lv-LV"/>
        </w:rPr>
      </w:pPr>
      <w:r w:rsidRPr="00174DAC">
        <w:rPr>
          <w:rFonts w:ascii="Times New Roman" w:eastAsia="Times New Roman" w:hAnsi="Times New Roman" w:cs="Times New Roman"/>
          <w:lang w:eastAsia="lv-LV"/>
        </w:rPr>
        <w:lastRenderedPageBreak/>
        <w:t>Anotācijas pielikums</w:t>
      </w:r>
    </w:p>
    <w:p w:rsidR="00174DAC" w:rsidRPr="00174DAC" w:rsidRDefault="00174DAC" w:rsidP="00174DAC">
      <w:pPr>
        <w:spacing w:after="0" w:line="240" w:lineRule="auto"/>
        <w:rPr>
          <w:rFonts w:ascii="Times New Roman" w:eastAsia="Times New Roman" w:hAnsi="Times New Roman" w:cs="Times New Roman"/>
          <w:b/>
          <w:lang w:eastAsia="lv-LV"/>
        </w:rPr>
      </w:pPr>
    </w:p>
    <w:p w:rsidR="00174DAC" w:rsidRPr="00174DAC" w:rsidRDefault="00174DAC" w:rsidP="00174DAC">
      <w:pPr>
        <w:spacing w:after="0" w:line="240" w:lineRule="auto"/>
        <w:rPr>
          <w:rFonts w:ascii="Times New Roman" w:eastAsia="Times New Roman" w:hAnsi="Times New Roman" w:cs="Times New Roman"/>
          <w:b/>
          <w:lang w:eastAsia="lv-LV"/>
        </w:rPr>
      </w:pPr>
    </w:p>
    <w:p w:rsidR="00174DAC" w:rsidRPr="00174DAC" w:rsidRDefault="00174DAC" w:rsidP="00174DAC">
      <w:pPr>
        <w:spacing w:after="0" w:line="240" w:lineRule="auto"/>
        <w:ind w:right="536"/>
        <w:jc w:val="center"/>
        <w:rPr>
          <w:rFonts w:ascii="Times New Roman" w:eastAsia="Times New Roman" w:hAnsi="Times New Roman" w:cs="Times New Roman"/>
          <w:b/>
          <w:lang w:eastAsia="lv-LV"/>
        </w:rPr>
      </w:pPr>
      <w:r w:rsidRPr="00174DAC">
        <w:rPr>
          <w:rFonts w:ascii="Times New Roman" w:eastAsia="Times New Roman" w:hAnsi="Times New Roman" w:cs="Times New Roman"/>
          <w:b/>
          <w:lang w:eastAsia="lv-LV"/>
        </w:rPr>
        <w:t>Detalizēts aprēķins par finanšu resursu palielinājumu/samazinājumu sakarā ar peļņas aprēķina maiņu un amortizācijas atskaitījumu un neattiecināmo izmaksu pārrēķinu (EUR)</w:t>
      </w:r>
    </w:p>
    <w:p w:rsidR="00174DAC" w:rsidRPr="00174DAC" w:rsidRDefault="00174DAC" w:rsidP="00174DAC">
      <w:pPr>
        <w:spacing w:after="0" w:line="240" w:lineRule="auto"/>
        <w:jc w:val="center"/>
        <w:rPr>
          <w:rFonts w:ascii="Times New Roman" w:eastAsia="Times New Roman" w:hAnsi="Times New Roman" w:cs="Times New Roman"/>
          <w:lang w:eastAsia="lv-LV"/>
        </w:rPr>
      </w:pPr>
    </w:p>
    <w:tbl>
      <w:tblPr>
        <w:tblW w:w="13703" w:type="dxa"/>
        <w:tblInd w:w="95" w:type="dxa"/>
        <w:tblLook w:val="04A0" w:firstRow="1" w:lastRow="0" w:firstColumn="1" w:lastColumn="0" w:noHBand="0" w:noVBand="1"/>
      </w:tblPr>
      <w:tblGrid>
        <w:gridCol w:w="1240"/>
        <w:gridCol w:w="3360"/>
        <w:gridCol w:w="1200"/>
        <w:gridCol w:w="1181"/>
        <w:gridCol w:w="1291"/>
        <w:gridCol w:w="1286"/>
        <w:gridCol w:w="1508"/>
        <w:gridCol w:w="1291"/>
        <w:gridCol w:w="1346"/>
      </w:tblGrid>
      <w:tr w:rsidR="00174DAC" w:rsidRPr="00174DAC" w:rsidTr="00472D9F">
        <w:trPr>
          <w:trHeight w:val="315"/>
        </w:trPr>
        <w:tc>
          <w:tcPr>
            <w:tcW w:w="1240" w:type="dxa"/>
            <w:tcBorders>
              <w:top w:val="nil"/>
              <w:left w:val="nil"/>
              <w:bottom w:val="nil"/>
              <w:right w:val="nil"/>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lang w:eastAsia="lv-LV"/>
              </w:rPr>
            </w:pPr>
          </w:p>
        </w:tc>
        <w:tc>
          <w:tcPr>
            <w:tcW w:w="3360" w:type="dxa"/>
            <w:tcBorders>
              <w:top w:val="nil"/>
              <w:left w:val="nil"/>
              <w:bottom w:val="nil"/>
              <w:right w:val="nil"/>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lang w:eastAsia="lv-LV"/>
              </w:rPr>
            </w:pPr>
          </w:p>
        </w:tc>
        <w:tc>
          <w:tcPr>
            <w:tcW w:w="9103"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DAC" w:rsidRPr="00174DAC" w:rsidRDefault="00174DAC" w:rsidP="00174DAC">
            <w:pPr>
              <w:spacing w:after="0" w:line="240" w:lineRule="auto"/>
              <w:jc w:val="center"/>
              <w:rPr>
                <w:rFonts w:ascii="Times New Roman" w:eastAsia="Times New Roman" w:hAnsi="Times New Roman" w:cs="Times New Roman"/>
                <w:b/>
                <w:bCs/>
                <w:color w:val="000000"/>
                <w:lang w:eastAsia="lv-LV"/>
              </w:rPr>
            </w:pPr>
            <w:r w:rsidRPr="00174DAC">
              <w:rPr>
                <w:rFonts w:ascii="Times New Roman" w:eastAsia="Times New Roman" w:hAnsi="Times New Roman" w:cs="Times New Roman"/>
                <w:b/>
                <w:bCs/>
                <w:color w:val="000000"/>
                <w:lang w:eastAsia="lv-LV"/>
              </w:rPr>
              <w:t>Dati par 2013.gada 1.pusgadu</w:t>
            </w:r>
          </w:p>
        </w:tc>
      </w:tr>
      <w:tr w:rsidR="00174DAC" w:rsidRPr="00174DAC" w:rsidTr="00472D9F">
        <w:trPr>
          <w:trHeight w:val="220"/>
        </w:trPr>
        <w:tc>
          <w:tcPr>
            <w:tcW w:w="1240" w:type="dxa"/>
            <w:tcBorders>
              <w:top w:val="nil"/>
              <w:left w:val="nil"/>
              <w:bottom w:val="nil"/>
              <w:right w:val="nil"/>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18"/>
                <w:szCs w:val="18"/>
                <w:lang w:eastAsia="lv-LV"/>
              </w:rPr>
            </w:pPr>
          </w:p>
        </w:tc>
        <w:tc>
          <w:tcPr>
            <w:tcW w:w="3360" w:type="dxa"/>
            <w:tcBorders>
              <w:top w:val="nil"/>
              <w:left w:val="nil"/>
              <w:bottom w:val="nil"/>
              <w:right w:val="single" w:sz="4" w:space="0" w:color="auto"/>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18"/>
                <w:szCs w:val="18"/>
                <w:lang w:eastAsia="lv-LV"/>
              </w:rPr>
            </w:pPr>
          </w:p>
        </w:tc>
        <w:tc>
          <w:tcPr>
            <w:tcW w:w="9103" w:type="dxa"/>
            <w:gridSpan w:val="7"/>
            <w:vMerge/>
            <w:tcBorders>
              <w:top w:val="single" w:sz="4" w:space="0" w:color="auto"/>
              <w:left w:val="single" w:sz="4" w:space="0" w:color="auto"/>
              <w:bottom w:val="single" w:sz="4" w:space="0" w:color="auto"/>
              <w:right w:val="single" w:sz="4" w:space="0" w:color="auto"/>
            </w:tcBorders>
            <w:vAlign w:val="center"/>
            <w:hideMark/>
          </w:tcPr>
          <w:p w:rsidR="00174DAC" w:rsidRPr="00174DAC" w:rsidRDefault="00174DAC" w:rsidP="00174DAC">
            <w:pPr>
              <w:spacing w:after="0" w:line="240" w:lineRule="auto"/>
              <w:rPr>
                <w:rFonts w:ascii="Times New Roman" w:eastAsia="Times New Roman" w:hAnsi="Times New Roman" w:cs="Times New Roman"/>
                <w:b/>
                <w:bCs/>
                <w:color w:val="000000"/>
                <w:sz w:val="18"/>
                <w:szCs w:val="18"/>
                <w:lang w:eastAsia="lv-LV"/>
              </w:rPr>
            </w:pPr>
          </w:p>
        </w:tc>
      </w:tr>
      <w:tr w:rsidR="00174DAC" w:rsidRPr="00174DAC" w:rsidTr="00472D9F">
        <w:trPr>
          <w:trHeight w:val="1317"/>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AC" w:rsidRPr="00174DAC" w:rsidRDefault="00174DAC" w:rsidP="00174DAC">
            <w:pPr>
              <w:spacing w:after="0" w:line="240" w:lineRule="auto"/>
              <w:jc w:val="center"/>
              <w:rPr>
                <w:rFonts w:ascii="Times New Roman" w:eastAsia="Times New Roman" w:hAnsi="Times New Roman" w:cs="Times New Roman"/>
                <w:b/>
                <w:bCs/>
                <w:color w:val="000000"/>
                <w:sz w:val="18"/>
                <w:szCs w:val="18"/>
                <w:lang w:eastAsia="lv-LV"/>
              </w:rPr>
            </w:pPr>
            <w:r w:rsidRPr="00174DAC">
              <w:rPr>
                <w:rFonts w:ascii="Times New Roman" w:eastAsia="Times New Roman" w:hAnsi="Times New Roman" w:cs="Times New Roman"/>
                <w:b/>
                <w:bCs/>
                <w:color w:val="000000"/>
                <w:sz w:val="18"/>
                <w:szCs w:val="18"/>
                <w:lang w:eastAsia="lv-LV"/>
              </w:rPr>
              <w:t>Nr.</w:t>
            </w:r>
          </w:p>
          <w:p w:rsidR="00174DAC" w:rsidRPr="00174DAC" w:rsidRDefault="00174DAC" w:rsidP="00174DAC">
            <w:pPr>
              <w:spacing w:after="0" w:line="240" w:lineRule="auto"/>
              <w:jc w:val="center"/>
              <w:rPr>
                <w:rFonts w:ascii="Times New Roman" w:eastAsia="Times New Roman" w:hAnsi="Times New Roman" w:cs="Times New Roman"/>
                <w:b/>
                <w:bCs/>
                <w:color w:val="000000"/>
                <w:sz w:val="18"/>
                <w:szCs w:val="18"/>
                <w:lang w:eastAsia="lv-LV"/>
              </w:rPr>
            </w:pPr>
            <w:r w:rsidRPr="00174DAC">
              <w:rPr>
                <w:rFonts w:ascii="Times New Roman" w:eastAsia="Times New Roman" w:hAnsi="Times New Roman" w:cs="Times New Roman"/>
                <w:b/>
                <w:bCs/>
                <w:color w:val="000000"/>
                <w:sz w:val="18"/>
                <w:szCs w:val="18"/>
                <w:lang w:eastAsia="lv-LV"/>
              </w:rPr>
              <w:t>p.k.</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174DAC" w:rsidRPr="00174DAC" w:rsidRDefault="00174DAC" w:rsidP="00174DAC">
            <w:pPr>
              <w:spacing w:after="0" w:line="240" w:lineRule="auto"/>
              <w:jc w:val="center"/>
              <w:rPr>
                <w:rFonts w:ascii="Times New Roman" w:eastAsia="Times New Roman" w:hAnsi="Times New Roman" w:cs="Times New Roman"/>
                <w:b/>
                <w:bCs/>
                <w:color w:val="000000"/>
                <w:sz w:val="18"/>
                <w:szCs w:val="18"/>
                <w:lang w:eastAsia="lv-LV"/>
              </w:rPr>
            </w:pPr>
            <w:r w:rsidRPr="00174DAC">
              <w:rPr>
                <w:rFonts w:ascii="Times New Roman" w:eastAsia="Times New Roman" w:hAnsi="Times New Roman" w:cs="Times New Roman"/>
                <w:b/>
                <w:bCs/>
                <w:color w:val="000000"/>
                <w:sz w:val="18"/>
                <w:szCs w:val="18"/>
                <w:lang w:eastAsia="lv-LV"/>
              </w:rPr>
              <w:t>Pārvadājumu veids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74DAC" w:rsidRPr="00174DAC" w:rsidRDefault="00174DAC" w:rsidP="00174DAC">
            <w:pPr>
              <w:spacing w:after="0" w:line="240" w:lineRule="auto"/>
              <w:jc w:val="center"/>
              <w:rPr>
                <w:rFonts w:ascii="Times New Roman" w:eastAsia="Times New Roman" w:hAnsi="Times New Roman" w:cs="Times New Roman"/>
                <w:b/>
                <w:bCs/>
                <w:color w:val="000000"/>
                <w:sz w:val="18"/>
                <w:szCs w:val="18"/>
                <w:lang w:eastAsia="lv-LV"/>
              </w:rPr>
            </w:pPr>
            <w:r w:rsidRPr="00174DAC">
              <w:rPr>
                <w:rFonts w:ascii="Times New Roman" w:eastAsia="Times New Roman" w:hAnsi="Times New Roman" w:cs="Times New Roman"/>
                <w:b/>
                <w:bCs/>
                <w:color w:val="000000"/>
                <w:sz w:val="18"/>
                <w:szCs w:val="18"/>
                <w:lang w:eastAsia="lv-LV"/>
              </w:rPr>
              <w:t>Ieņēmumi</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174DAC" w:rsidRPr="00174DAC" w:rsidRDefault="00174DAC" w:rsidP="00174DAC">
            <w:pPr>
              <w:spacing w:after="0" w:line="240" w:lineRule="auto"/>
              <w:jc w:val="center"/>
              <w:rPr>
                <w:rFonts w:ascii="Times New Roman" w:eastAsia="Times New Roman" w:hAnsi="Times New Roman" w:cs="Times New Roman"/>
                <w:b/>
                <w:bCs/>
                <w:color w:val="000000"/>
                <w:sz w:val="18"/>
                <w:szCs w:val="18"/>
                <w:lang w:eastAsia="lv-LV"/>
              </w:rPr>
            </w:pPr>
            <w:r w:rsidRPr="00174DAC">
              <w:rPr>
                <w:rFonts w:ascii="Times New Roman" w:eastAsia="Times New Roman" w:hAnsi="Times New Roman" w:cs="Times New Roman"/>
                <w:b/>
                <w:bCs/>
                <w:color w:val="000000"/>
                <w:sz w:val="18"/>
                <w:szCs w:val="18"/>
                <w:lang w:eastAsia="lv-LV"/>
              </w:rPr>
              <w:t>Biļešu ieņēmumi</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174DAC" w:rsidRPr="00174DAC" w:rsidRDefault="00174DAC" w:rsidP="00174DAC">
            <w:pPr>
              <w:spacing w:after="0" w:line="240" w:lineRule="auto"/>
              <w:jc w:val="center"/>
              <w:rPr>
                <w:rFonts w:ascii="Times New Roman" w:eastAsia="Times New Roman" w:hAnsi="Times New Roman" w:cs="Times New Roman"/>
                <w:b/>
                <w:bCs/>
                <w:color w:val="000000"/>
                <w:sz w:val="18"/>
                <w:szCs w:val="18"/>
                <w:lang w:eastAsia="lv-LV"/>
              </w:rPr>
            </w:pPr>
            <w:r w:rsidRPr="00174DAC">
              <w:rPr>
                <w:rFonts w:ascii="Times New Roman" w:eastAsia="Times New Roman" w:hAnsi="Times New Roman" w:cs="Times New Roman"/>
                <w:b/>
                <w:bCs/>
                <w:color w:val="000000"/>
                <w:sz w:val="18"/>
                <w:szCs w:val="18"/>
                <w:lang w:eastAsia="lv-LV"/>
              </w:rPr>
              <w:t>Izdevumi</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174DAC" w:rsidRPr="00174DAC" w:rsidRDefault="00174DAC" w:rsidP="00174DAC">
            <w:pPr>
              <w:spacing w:after="0" w:line="240" w:lineRule="auto"/>
              <w:jc w:val="center"/>
              <w:rPr>
                <w:rFonts w:ascii="Times New Roman" w:eastAsia="Times New Roman" w:hAnsi="Times New Roman" w:cs="Times New Roman"/>
                <w:b/>
                <w:bCs/>
                <w:color w:val="000000"/>
                <w:sz w:val="18"/>
                <w:szCs w:val="18"/>
                <w:lang w:eastAsia="lv-LV"/>
              </w:rPr>
            </w:pPr>
            <w:r w:rsidRPr="00174DAC">
              <w:rPr>
                <w:rFonts w:ascii="Times New Roman" w:eastAsia="Times New Roman" w:hAnsi="Times New Roman" w:cs="Times New Roman"/>
                <w:b/>
                <w:bCs/>
                <w:color w:val="000000"/>
                <w:sz w:val="18"/>
                <w:szCs w:val="18"/>
                <w:lang w:eastAsia="lv-LV"/>
              </w:rPr>
              <w:t>Zaudējumi</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174DAC" w:rsidRPr="00174DAC" w:rsidRDefault="00174DAC" w:rsidP="00174DAC">
            <w:pPr>
              <w:spacing w:after="0" w:line="240" w:lineRule="auto"/>
              <w:jc w:val="center"/>
              <w:rPr>
                <w:rFonts w:ascii="Times New Roman" w:eastAsia="Times New Roman" w:hAnsi="Times New Roman" w:cs="Times New Roman"/>
                <w:b/>
                <w:bCs/>
                <w:sz w:val="18"/>
                <w:szCs w:val="18"/>
                <w:lang w:eastAsia="lv-LV"/>
              </w:rPr>
            </w:pPr>
            <w:r w:rsidRPr="00174DAC">
              <w:rPr>
                <w:rFonts w:ascii="Times New Roman" w:eastAsia="Times New Roman" w:hAnsi="Times New Roman" w:cs="Times New Roman"/>
                <w:b/>
                <w:bCs/>
                <w:sz w:val="18"/>
                <w:szCs w:val="18"/>
                <w:lang w:eastAsia="lv-LV"/>
              </w:rPr>
              <w:t>Peļņa 3.039 (0.539%+2.5%) atbilstoši MK noteikumu Nr.341 46.punktam</w:t>
            </w:r>
          </w:p>
        </w:tc>
        <w:tc>
          <w:tcPr>
            <w:tcW w:w="1291" w:type="dxa"/>
            <w:tcBorders>
              <w:top w:val="single" w:sz="4" w:space="0" w:color="auto"/>
              <w:left w:val="nil"/>
              <w:bottom w:val="single" w:sz="4" w:space="0" w:color="auto"/>
              <w:right w:val="nil"/>
            </w:tcBorders>
            <w:shd w:val="clear" w:color="auto" w:fill="auto"/>
            <w:vAlign w:val="center"/>
            <w:hideMark/>
          </w:tcPr>
          <w:p w:rsidR="00174DAC" w:rsidRPr="00174DAC" w:rsidRDefault="00174DAC" w:rsidP="00174DAC">
            <w:pPr>
              <w:spacing w:after="0" w:line="240" w:lineRule="auto"/>
              <w:jc w:val="center"/>
              <w:rPr>
                <w:rFonts w:ascii="Times New Roman" w:eastAsia="Times New Roman" w:hAnsi="Times New Roman" w:cs="Times New Roman"/>
                <w:b/>
                <w:bCs/>
                <w:color w:val="000000"/>
                <w:sz w:val="18"/>
                <w:szCs w:val="18"/>
                <w:lang w:eastAsia="lv-LV"/>
              </w:rPr>
            </w:pPr>
            <w:r w:rsidRPr="00174DAC">
              <w:rPr>
                <w:rFonts w:ascii="Times New Roman" w:eastAsia="Times New Roman" w:hAnsi="Times New Roman" w:cs="Times New Roman"/>
                <w:b/>
                <w:bCs/>
                <w:color w:val="000000"/>
                <w:sz w:val="18"/>
                <w:szCs w:val="18"/>
                <w:lang w:eastAsia="lv-LV"/>
              </w:rPr>
              <w:t>Nobraukums</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AC" w:rsidRPr="00174DAC" w:rsidRDefault="00174DAC" w:rsidP="00174DAC">
            <w:pPr>
              <w:spacing w:after="0" w:line="240" w:lineRule="auto"/>
              <w:jc w:val="center"/>
              <w:rPr>
                <w:rFonts w:ascii="Times New Roman" w:eastAsia="Times New Roman" w:hAnsi="Times New Roman" w:cs="Times New Roman"/>
                <w:b/>
                <w:bCs/>
                <w:color w:val="000000"/>
                <w:sz w:val="18"/>
                <w:szCs w:val="18"/>
                <w:lang w:eastAsia="lv-LV"/>
              </w:rPr>
            </w:pPr>
            <w:r w:rsidRPr="00174DAC">
              <w:rPr>
                <w:rFonts w:ascii="Times New Roman" w:eastAsia="Times New Roman" w:hAnsi="Times New Roman" w:cs="Times New Roman"/>
                <w:b/>
                <w:bCs/>
                <w:color w:val="000000"/>
                <w:sz w:val="18"/>
                <w:szCs w:val="18"/>
                <w:lang w:eastAsia="lv-LV"/>
              </w:rPr>
              <w:t>Amortizācijas atskaitījumi</w:t>
            </w:r>
          </w:p>
        </w:tc>
      </w:tr>
      <w:tr w:rsidR="00174DAC" w:rsidRPr="00174DAC" w:rsidTr="00472D9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center"/>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1</w:t>
            </w:r>
          </w:p>
        </w:tc>
        <w:tc>
          <w:tcPr>
            <w:tcW w:w="336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Starppilsētas pārvadājumi (bez C1)</w:t>
            </w:r>
          </w:p>
        </w:tc>
        <w:tc>
          <w:tcPr>
            <w:tcW w:w="120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21 467 918</w:t>
            </w:r>
          </w:p>
        </w:tc>
        <w:tc>
          <w:tcPr>
            <w:tcW w:w="118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21 229 954</w:t>
            </w:r>
          </w:p>
        </w:tc>
        <w:tc>
          <w:tcPr>
            <w:tcW w:w="129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51 550 935</w:t>
            </w:r>
          </w:p>
        </w:tc>
        <w:tc>
          <w:tcPr>
            <w:tcW w:w="1286"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30 083 017</w:t>
            </w:r>
          </w:p>
        </w:tc>
        <w:tc>
          <w:tcPr>
            <w:tcW w:w="1508"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645 178</w:t>
            </w:r>
          </w:p>
        </w:tc>
        <w:tc>
          <w:tcPr>
            <w:tcW w:w="1291" w:type="dxa"/>
            <w:tcBorders>
              <w:top w:val="single" w:sz="4" w:space="0" w:color="auto"/>
              <w:left w:val="nil"/>
              <w:bottom w:val="single" w:sz="4" w:space="0" w:color="auto"/>
              <w:right w:val="nil"/>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30 533 746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4 238 466</w:t>
            </w:r>
          </w:p>
        </w:tc>
      </w:tr>
      <w:tr w:rsidR="00174DAC" w:rsidRPr="00174DAC" w:rsidTr="00472D9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center"/>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1.1.</w:t>
            </w:r>
          </w:p>
        </w:tc>
        <w:tc>
          <w:tcPr>
            <w:tcW w:w="336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eastAsia="Times New Roman" w:hAnsi="Times New Roman" w:cs="Times New Roman"/>
                <w:sz w:val="18"/>
                <w:szCs w:val="18"/>
                <w:lang w:eastAsia="lv-LV"/>
              </w:rPr>
            </w:pPr>
            <w:r w:rsidRPr="00174DAC">
              <w:rPr>
                <w:rFonts w:ascii="Times New Roman" w:eastAsia="Times New Roman" w:hAnsi="Times New Roman" w:cs="Times New Roman"/>
                <w:sz w:val="18"/>
                <w:szCs w:val="18"/>
                <w:lang w:eastAsia="lv-LV"/>
              </w:rPr>
              <w:t>t.sk.autobusi</w:t>
            </w:r>
          </w:p>
        </w:tc>
        <w:tc>
          <w:tcPr>
            <w:tcW w:w="120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11 191 660</w:t>
            </w:r>
          </w:p>
        </w:tc>
        <w:tc>
          <w:tcPr>
            <w:tcW w:w="118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11 137 492</w:t>
            </w:r>
          </w:p>
        </w:tc>
        <w:tc>
          <w:tcPr>
            <w:tcW w:w="129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19 187 977</w:t>
            </w:r>
          </w:p>
        </w:tc>
        <w:tc>
          <w:tcPr>
            <w:tcW w:w="1286"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7 996 316</w:t>
            </w:r>
          </w:p>
        </w:tc>
        <w:tc>
          <w:tcPr>
            <w:tcW w:w="1508"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338 468</w:t>
            </w:r>
          </w:p>
        </w:tc>
        <w:tc>
          <w:tcPr>
            <w:tcW w:w="1291" w:type="dxa"/>
            <w:tcBorders>
              <w:top w:val="single" w:sz="4" w:space="0" w:color="auto"/>
              <w:left w:val="nil"/>
              <w:bottom w:val="single" w:sz="4" w:space="0" w:color="auto"/>
              <w:right w:val="nil"/>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18 040 563.95</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2 025 865</w:t>
            </w:r>
          </w:p>
        </w:tc>
      </w:tr>
      <w:tr w:rsidR="00174DAC" w:rsidRPr="00174DAC" w:rsidTr="00472D9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center"/>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1.2.</w:t>
            </w:r>
          </w:p>
        </w:tc>
        <w:tc>
          <w:tcPr>
            <w:tcW w:w="336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eastAsia="Times New Roman" w:hAnsi="Times New Roman" w:cs="Times New Roman"/>
                <w:sz w:val="18"/>
                <w:szCs w:val="18"/>
                <w:lang w:eastAsia="lv-LV"/>
              </w:rPr>
            </w:pPr>
            <w:r w:rsidRPr="00174DAC">
              <w:rPr>
                <w:rFonts w:ascii="Times New Roman" w:eastAsia="Times New Roman" w:hAnsi="Times New Roman" w:cs="Times New Roman"/>
                <w:sz w:val="18"/>
                <w:szCs w:val="18"/>
                <w:lang w:eastAsia="lv-LV"/>
              </w:rPr>
              <w:t>t.sk.dzelzceļš</w:t>
            </w:r>
          </w:p>
        </w:tc>
        <w:tc>
          <w:tcPr>
            <w:tcW w:w="120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10 276 258</w:t>
            </w:r>
          </w:p>
        </w:tc>
        <w:tc>
          <w:tcPr>
            <w:tcW w:w="118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10 092 463</w:t>
            </w:r>
          </w:p>
        </w:tc>
        <w:tc>
          <w:tcPr>
            <w:tcW w:w="129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32 362 959</w:t>
            </w:r>
          </w:p>
        </w:tc>
        <w:tc>
          <w:tcPr>
            <w:tcW w:w="1286"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22 086 701</w:t>
            </w:r>
          </w:p>
        </w:tc>
        <w:tc>
          <w:tcPr>
            <w:tcW w:w="1508"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306 710</w:t>
            </w:r>
          </w:p>
        </w:tc>
        <w:tc>
          <w:tcPr>
            <w:tcW w:w="1291" w:type="dxa"/>
            <w:tcBorders>
              <w:top w:val="single" w:sz="4" w:space="0" w:color="auto"/>
              <w:left w:val="nil"/>
              <w:bottom w:val="single" w:sz="4" w:space="0" w:color="auto"/>
              <w:right w:val="nil"/>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12 493 182.24</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2 212 602</w:t>
            </w:r>
          </w:p>
        </w:tc>
      </w:tr>
      <w:tr w:rsidR="00174DAC" w:rsidRPr="00174DAC" w:rsidTr="00472D9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center"/>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2</w:t>
            </w:r>
          </w:p>
        </w:tc>
        <w:tc>
          <w:tcPr>
            <w:tcW w:w="336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Vietējie pārvadājumi</w:t>
            </w:r>
          </w:p>
        </w:tc>
        <w:tc>
          <w:tcPr>
            <w:tcW w:w="120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7 898 007</w:t>
            </w:r>
          </w:p>
        </w:tc>
        <w:tc>
          <w:tcPr>
            <w:tcW w:w="118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7 875 345</w:t>
            </w:r>
          </w:p>
        </w:tc>
        <w:tc>
          <w:tcPr>
            <w:tcW w:w="129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16 772 731</w:t>
            </w:r>
          </w:p>
        </w:tc>
        <w:tc>
          <w:tcPr>
            <w:tcW w:w="1286"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8 874 724</w:t>
            </w:r>
          </w:p>
        </w:tc>
        <w:tc>
          <w:tcPr>
            <w:tcW w:w="1508"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239 332</w:t>
            </w:r>
          </w:p>
        </w:tc>
        <w:tc>
          <w:tcPr>
            <w:tcW w:w="1291" w:type="dxa"/>
            <w:tcBorders>
              <w:top w:val="single" w:sz="4" w:space="0" w:color="auto"/>
              <w:left w:val="nil"/>
              <w:bottom w:val="single" w:sz="4" w:space="0" w:color="auto"/>
              <w:right w:val="nil"/>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18 128 128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939 306</w:t>
            </w:r>
          </w:p>
        </w:tc>
      </w:tr>
      <w:tr w:rsidR="00174DAC" w:rsidRPr="00174DAC" w:rsidTr="00472D9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center"/>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3</w:t>
            </w:r>
          </w:p>
        </w:tc>
        <w:tc>
          <w:tcPr>
            <w:tcW w:w="336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Pilsētas pārvadājumi*</w:t>
            </w:r>
          </w:p>
        </w:tc>
        <w:tc>
          <w:tcPr>
            <w:tcW w:w="120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26 766 476</w:t>
            </w:r>
          </w:p>
        </w:tc>
        <w:tc>
          <w:tcPr>
            <w:tcW w:w="118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25 258 162</w:t>
            </w:r>
          </w:p>
        </w:tc>
        <w:tc>
          <w:tcPr>
            <w:tcW w:w="129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78 382 336</w:t>
            </w:r>
          </w:p>
        </w:tc>
        <w:tc>
          <w:tcPr>
            <w:tcW w:w="1286"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51 615 861</w:t>
            </w:r>
          </w:p>
        </w:tc>
        <w:tc>
          <w:tcPr>
            <w:tcW w:w="1508" w:type="dxa"/>
            <w:tcBorders>
              <w:top w:val="nil"/>
              <w:left w:val="nil"/>
              <w:bottom w:val="single" w:sz="4" w:space="0" w:color="auto"/>
              <w:right w:val="nil"/>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767 596</w:t>
            </w:r>
          </w:p>
        </w:tc>
        <w:tc>
          <w:tcPr>
            <w:tcW w:w="1291" w:type="dxa"/>
            <w:tcBorders>
              <w:top w:val="single" w:sz="4" w:space="0" w:color="auto"/>
              <w:left w:val="single" w:sz="4" w:space="0" w:color="auto"/>
              <w:bottom w:val="single" w:sz="4" w:space="0" w:color="auto"/>
              <w:right w:val="nil"/>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26 117 769</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1 145 658</w:t>
            </w:r>
          </w:p>
        </w:tc>
      </w:tr>
      <w:tr w:rsidR="00174DAC" w:rsidRPr="00174DAC" w:rsidTr="00472D9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center"/>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3.1.</w:t>
            </w:r>
          </w:p>
        </w:tc>
        <w:tc>
          <w:tcPr>
            <w:tcW w:w="336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t.sk.no valsts budžeta (30%)**</w:t>
            </w:r>
          </w:p>
        </w:tc>
        <w:tc>
          <w:tcPr>
            <w:tcW w:w="120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eastAsia="Times New Roman" w:hAnsi="Times New Roman" w:cs="Times New Roman"/>
                <w:color w:val="000000"/>
                <w:sz w:val="18"/>
                <w:szCs w:val="18"/>
                <w:lang w:eastAsia="lv-LV"/>
              </w:rPr>
            </w:pPr>
          </w:p>
        </w:tc>
        <w:tc>
          <w:tcPr>
            <w:tcW w:w="118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eastAsia="Times New Roman" w:hAnsi="Times New Roman" w:cs="Times New Roman"/>
                <w:color w:val="000000"/>
                <w:sz w:val="18"/>
                <w:szCs w:val="18"/>
                <w:lang w:eastAsia="lv-LV"/>
              </w:rPr>
            </w:pPr>
          </w:p>
        </w:tc>
        <w:tc>
          <w:tcPr>
            <w:tcW w:w="129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eastAsia="Times New Roman" w:hAnsi="Times New Roman" w:cs="Times New Roman"/>
                <w:color w:val="000000"/>
                <w:sz w:val="18"/>
                <w:szCs w:val="18"/>
                <w:lang w:eastAsia="lv-LV"/>
              </w:rPr>
            </w:pPr>
          </w:p>
        </w:tc>
        <w:tc>
          <w:tcPr>
            <w:tcW w:w="1286"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eastAsia="Times New Roman" w:hAnsi="Times New Roman" w:cs="Times New Roman"/>
                <w:color w:val="000000"/>
                <w:sz w:val="18"/>
                <w:szCs w:val="18"/>
                <w:lang w:eastAsia="lv-LV"/>
              </w:rPr>
            </w:pPr>
          </w:p>
        </w:tc>
        <w:tc>
          <w:tcPr>
            <w:tcW w:w="1508" w:type="dxa"/>
            <w:tcBorders>
              <w:top w:val="nil"/>
              <w:left w:val="nil"/>
              <w:bottom w:val="single" w:sz="4" w:space="0" w:color="auto"/>
              <w:right w:val="nil"/>
            </w:tcBorders>
            <w:shd w:val="clear" w:color="auto" w:fill="auto"/>
            <w:noWrap/>
            <w:vAlign w:val="bottom"/>
            <w:hideMark/>
          </w:tcPr>
          <w:p w:rsidR="00174DAC" w:rsidRPr="00174DAC" w:rsidRDefault="00174DAC" w:rsidP="00174DAC">
            <w:pPr>
              <w:spacing w:after="0" w:line="240" w:lineRule="auto"/>
              <w:jc w:val="right"/>
              <w:rPr>
                <w:rFonts w:ascii="Times New Roman" w:eastAsia="Times New Roman" w:hAnsi="Times New Roman" w:cs="Times New Roman"/>
                <w:color w:val="000000"/>
                <w:sz w:val="18"/>
                <w:szCs w:val="18"/>
                <w:lang w:eastAsia="lv-LV"/>
              </w:rPr>
            </w:pPr>
          </w:p>
        </w:tc>
        <w:tc>
          <w:tcPr>
            <w:tcW w:w="1291" w:type="dxa"/>
            <w:tcBorders>
              <w:top w:val="single" w:sz="4" w:space="0" w:color="auto"/>
              <w:left w:val="single" w:sz="4" w:space="0" w:color="auto"/>
              <w:bottom w:val="single" w:sz="4" w:space="0" w:color="auto"/>
              <w:right w:val="nil"/>
            </w:tcBorders>
            <w:shd w:val="clear" w:color="auto" w:fill="auto"/>
            <w:noWrap/>
            <w:vAlign w:val="bottom"/>
            <w:hideMark/>
          </w:tcPr>
          <w:p w:rsidR="00174DAC" w:rsidRPr="00174DAC" w:rsidRDefault="00174DAC" w:rsidP="00174DAC">
            <w:pPr>
              <w:spacing w:after="0" w:line="240" w:lineRule="auto"/>
              <w:jc w:val="right"/>
              <w:rPr>
                <w:rFonts w:ascii="Times New Roman" w:eastAsia="Times New Roman" w:hAnsi="Times New Roman" w:cs="Times New Roman"/>
                <w:color w:val="000000"/>
                <w:sz w:val="18"/>
                <w:szCs w:val="18"/>
                <w:lang w:eastAsia="lv-LV"/>
              </w:rPr>
            </w:pP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eastAsia="Times New Roman" w:hAnsi="Times New Roman" w:cs="Times New Roman"/>
                <w:color w:val="000000"/>
                <w:sz w:val="18"/>
                <w:szCs w:val="18"/>
                <w:lang w:eastAsia="lv-LV"/>
              </w:rPr>
            </w:pPr>
          </w:p>
        </w:tc>
      </w:tr>
      <w:tr w:rsidR="00174DAC" w:rsidRPr="00174DAC" w:rsidTr="00472D9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center"/>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3.2.</w:t>
            </w:r>
          </w:p>
        </w:tc>
        <w:tc>
          <w:tcPr>
            <w:tcW w:w="336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t.sk.no pašvaldību budžeta</w:t>
            </w:r>
          </w:p>
        </w:tc>
        <w:tc>
          <w:tcPr>
            <w:tcW w:w="120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eastAsia="Times New Roman" w:hAnsi="Times New Roman" w:cs="Times New Roman"/>
                <w:color w:val="000000"/>
                <w:sz w:val="18"/>
                <w:szCs w:val="18"/>
                <w:lang w:eastAsia="lv-LV"/>
              </w:rPr>
            </w:pPr>
          </w:p>
        </w:tc>
        <w:tc>
          <w:tcPr>
            <w:tcW w:w="118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eastAsia="Times New Roman" w:hAnsi="Times New Roman" w:cs="Times New Roman"/>
                <w:color w:val="000000"/>
                <w:sz w:val="18"/>
                <w:szCs w:val="18"/>
                <w:lang w:eastAsia="lv-LV"/>
              </w:rPr>
            </w:pPr>
          </w:p>
        </w:tc>
        <w:tc>
          <w:tcPr>
            <w:tcW w:w="129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eastAsia="Times New Roman" w:hAnsi="Times New Roman" w:cs="Times New Roman"/>
                <w:color w:val="000000"/>
                <w:sz w:val="18"/>
                <w:szCs w:val="18"/>
                <w:lang w:eastAsia="lv-LV"/>
              </w:rPr>
            </w:pPr>
          </w:p>
        </w:tc>
        <w:tc>
          <w:tcPr>
            <w:tcW w:w="1286"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eastAsia="Times New Roman" w:hAnsi="Times New Roman" w:cs="Times New Roman"/>
                <w:color w:val="000000"/>
                <w:sz w:val="18"/>
                <w:szCs w:val="18"/>
                <w:lang w:eastAsia="lv-LV"/>
              </w:rPr>
            </w:pPr>
          </w:p>
        </w:tc>
        <w:tc>
          <w:tcPr>
            <w:tcW w:w="1508" w:type="dxa"/>
            <w:tcBorders>
              <w:top w:val="nil"/>
              <w:left w:val="nil"/>
              <w:bottom w:val="single" w:sz="4" w:space="0" w:color="auto"/>
              <w:right w:val="nil"/>
            </w:tcBorders>
            <w:shd w:val="clear" w:color="auto" w:fill="auto"/>
            <w:noWrap/>
            <w:vAlign w:val="bottom"/>
            <w:hideMark/>
          </w:tcPr>
          <w:p w:rsidR="00174DAC" w:rsidRPr="00174DAC" w:rsidRDefault="00174DAC" w:rsidP="00174DAC">
            <w:pPr>
              <w:spacing w:after="0" w:line="240" w:lineRule="auto"/>
              <w:jc w:val="right"/>
              <w:rPr>
                <w:rFonts w:ascii="Times New Roman" w:eastAsia="Times New Roman" w:hAnsi="Times New Roman" w:cs="Times New Roman"/>
                <w:color w:val="000000"/>
                <w:sz w:val="18"/>
                <w:szCs w:val="18"/>
                <w:lang w:eastAsia="lv-LV"/>
              </w:rPr>
            </w:pPr>
          </w:p>
        </w:tc>
        <w:tc>
          <w:tcPr>
            <w:tcW w:w="1291" w:type="dxa"/>
            <w:tcBorders>
              <w:top w:val="single" w:sz="4" w:space="0" w:color="auto"/>
              <w:left w:val="single" w:sz="4" w:space="0" w:color="auto"/>
              <w:bottom w:val="single" w:sz="4" w:space="0" w:color="auto"/>
              <w:right w:val="nil"/>
            </w:tcBorders>
            <w:shd w:val="clear" w:color="auto" w:fill="auto"/>
            <w:noWrap/>
            <w:vAlign w:val="bottom"/>
            <w:hideMark/>
          </w:tcPr>
          <w:p w:rsidR="00174DAC" w:rsidRPr="00174DAC" w:rsidRDefault="00174DAC" w:rsidP="00174DAC">
            <w:pPr>
              <w:spacing w:after="0" w:line="240" w:lineRule="auto"/>
              <w:jc w:val="right"/>
              <w:rPr>
                <w:rFonts w:ascii="Times New Roman" w:eastAsia="Times New Roman" w:hAnsi="Times New Roman" w:cs="Times New Roman"/>
                <w:color w:val="000000"/>
                <w:sz w:val="18"/>
                <w:szCs w:val="18"/>
                <w:lang w:eastAsia="lv-LV"/>
              </w:rPr>
            </w:pP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eastAsia="Times New Roman" w:hAnsi="Times New Roman" w:cs="Times New Roman"/>
                <w:color w:val="000000"/>
                <w:sz w:val="18"/>
                <w:szCs w:val="18"/>
                <w:lang w:eastAsia="lv-LV"/>
              </w:rPr>
            </w:pPr>
          </w:p>
        </w:tc>
      </w:tr>
      <w:tr w:rsidR="00174DAC" w:rsidRPr="00174DAC" w:rsidTr="00472D9F">
        <w:trPr>
          <w:trHeight w:val="315"/>
        </w:trPr>
        <w:tc>
          <w:tcPr>
            <w:tcW w:w="4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eastAsia="Times New Roman" w:hAnsi="Times New Roman" w:cs="Times New Roman"/>
                <w:b/>
                <w:bCs/>
                <w:color w:val="000000"/>
                <w:sz w:val="18"/>
                <w:szCs w:val="18"/>
                <w:lang w:eastAsia="lv-LV"/>
              </w:rPr>
            </w:pPr>
            <w:r w:rsidRPr="00174DAC">
              <w:rPr>
                <w:rFonts w:ascii="Times New Roman" w:eastAsia="Times New Roman" w:hAnsi="Times New Roman" w:cs="Times New Roman"/>
                <w:b/>
                <w:bCs/>
                <w:color w:val="000000"/>
                <w:sz w:val="18"/>
                <w:szCs w:val="18"/>
                <w:lang w:eastAsia="lv-LV"/>
              </w:rPr>
              <w:t>Kopā</w:t>
            </w:r>
          </w:p>
        </w:tc>
        <w:tc>
          <w:tcPr>
            <w:tcW w:w="120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56 132 401</w:t>
            </w:r>
          </w:p>
        </w:tc>
        <w:tc>
          <w:tcPr>
            <w:tcW w:w="118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54 363 462</w:t>
            </w:r>
          </w:p>
        </w:tc>
        <w:tc>
          <w:tcPr>
            <w:tcW w:w="129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146 706 002</w:t>
            </w:r>
          </w:p>
        </w:tc>
        <w:tc>
          <w:tcPr>
            <w:tcW w:w="1286"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90 573 601</w:t>
            </w:r>
          </w:p>
        </w:tc>
        <w:tc>
          <w:tcPr>
            <w:tcW w:w="1508"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1 652 106</w:t>
            </w:r>
          </w:p>
        </w:tc>
        <w:tc>
          <w:tcPr>
            <w:tcW w:w="1291" w:type="dxa"/>
            <w:tcBorders>
              <w:top w:val="single" w:sz="4" w:space="0" w:color="auto"/>
              <w:left w:val="nil"/>
              <w:bottom w:val="single" w:sz="4" w:space="0" w:color="auto"/>
              <w:right w:val="nil"/>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74 779 643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6 323 430</w:t>
            </w:r>
          </w:p>
        </w:tc>
      </w:tr>
    </w:tbl>
    <w:p w:rsidR="00174DAC" w:rsidRPr="00174DAC" w:rsidRDefault="00174DAC" w:rsidP="00174DAC">
      <w:pPr>
        <w:spacing w:after="0" w:line="240" w:lineRule="auto"/>
        <w:jc w:val="center"/>
        <w:rPr>
          <w:rFonts w:ascii="Times New Roman" w:eastAsia="Times New Roman" w:hAnsi="Times New Roman" w:cs="Times New Roman"/>
          <w:sz w:val="18"/>
          <w:szCs w:val="18"/>
          <w:lang w:eastAsia="lv-LV"/>
        </w:rPr>
      </w:pPr>
    </w:p>
    <w:tbl>
      <w:tblPr>
        <w:tblW w:w="13763" w:type="dxa"/>
        <w:tblInd w:w="95" w:type="dxa"/>
        <w:tblLook w:val="04A0" w:firstRow="1" w:lastRow="0" w:firstColumn="1" w:lastColumn="0" w:noHBand="0" w:noVBand="1"/>
      </w:tblPr>
      <w:tblGrid>
        <w:gridCol w:w="13763"/>
      </w:tblGrid>
      <w:tr w:rsidR="00174DAC" w:rsidRPr="00174DAC" w:rsidTr="00472D9F">
        <w:trPr>
          <w:trHeight w:val="300"/>
        </w:trPr>
        <w:tc>
          <w:tcPr>
            <w:tcW w:w="13763" w:type="dxa"/>
            <w:tcBorders>
              <w:top w:val="nil"/>
              <w:left w:val="nil"/>
              <w:bottom w:val="nil"/>
              <w:right w:val="nil"/>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20"/>
                <w:szCs w:val="20"/>
                <w:lang w:eastAsia="lv-LV"/>
              </w:rPr>
            </w:pPr>
            <w:r w:rsidRPr="00174DAC">
              <w:rPr>
                <w:rFonts w:ascii="Times New Roman" w:eastAsia="Times New Roman" w:hAnsi="Times New Roman" w:cs="Times New Roman"/>
                <w:color w:val="000000"/>
                <w:sz w:val="20"/>
                <w:szCs w:val="20"/>
                <w:lang w:eastAsia="lv-LV"/>
              </w:rPr>
              <w:t>* neieskaitot Liepājas domes (Liepājas sabiedriskā transporta aģentūras) datus</w:t>
            </w:r>
          </w:p>
        </w:tc>
      </w:tr>
      <w:tr w:rsidR="00174DAC" w:rsidRPr="00174DAC" w:rsidTr="00472D9F">
        <w:trPr>
          <w:trHeight w:val="300"/>
        </w:trPr>
        <w:tc>
          <w:tcPr>
            <w:tcW w:w="13763" w:type="dxa"/>
            <w:tcBorders>
              <w:top w:val="nil"/>
              <w:left w:val="nil"/>
              <w:bottom w:val="nil"/>
              <w:right w:val="nil"/>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20"/>
                <w:szCs w:val="20"/>
                <w:lang w:eastAsia="lv-LV"/>
              </w:rPr>
            </w:pPr>
            <w:r w:rsidRPr="00174DAC">
              <w:rPr>
                <w:rFonts w:ascii="Times New Roman" w:eastAsia="Times New Roman" w:hAnsi="Times New Roman" w:cs="Times New Roman"/>
                <w:color w:val="000000"/>
                <w:sz w:val="20"/>
                <w:szCs w:val="20"/>
                <w:lang w:eastAsia="lv-LV"/>
              </w:rPr>
              <w:t xml:space="preserve">** </w:t>
            </w:r>
            <w:r w:rsidRPr="00174DAC">
              <w:rPr>
                <w:rFonts w:ascii="Times New Roman" w:eastAsia="Times New Roman" w:hAnsi="Times New Roman" w:cs="Times New Roman"/>
                <w:sz w:val="20"/>
                <w:szCs w:val="20"/>
                <w:lang w:eastAsia="lv-LV"/>
              </w:rPr>
              <w:t>peļņas daļa, kas sedzama no valsts budžeta līdzekļiem, ir noteikta kā aprēķinātās peļņas par maršrutiem, kas iziet ārpus pilsētas administratīvajām robežām vairāk kā 30%, īpatsvars kopējā pilsētas pārvadājumu peļņā (1.8%)</w:t>
            </w:r>
          </w:p>
        </w:tc>
      </w:tr>
    </w:tbl>
    <w:p w:rsidR="00174DAC" w:rsidRPr="00174DAC" w:rsidRDefault="00174DAC" w:rsidP="00174DAC">
      <w:pPr>
        <w:spacing w:after="0" w:line="240" w:lineRule="auto"/>
        <w:jc w:val="center"/>
        <w:rPr>
          <w:rFonts w:ascii="Times New Roman" w:eastAsia="Times New Roman" w:hAnsi="Times New Roman" w:cs="Times New Roman"/>
          <w:sz w:val="18"/>
          <w:szCs w:val="18"/>
          <w:lang w:eastAsia="lv-LV"/>
        </w:rPr>
      </w:pPr>
    </w:p>
    <w:p w:rsidR="00174DAC" w:rsidRPr="00174DAC" w:rsidRDefault="00174DAC" w:rsidP="00174DAC">
      <w:pPr>
        <w:rPr>
          <w:rFonts w:ascii="Times New Roman" w:eastAsia="Times New Roman" w:hAnsi="Times New Roman" w:cs="Times New Roman"/>
          <w:sz w:val="18"/>
          <w:szCs w:val="18"/>
          <w:lang w:eastAsia="lv-LV"/>
        </w:rPr>
      </w:pPr>
      <w:r w:rsidRPr="00174DAC">
        <w:rPr>
          <w:rFonts w:ascii="Times New Roman" w:eastAsia="Times New Roman" w:hAnsi="Times New Roman" w:cs="Times New Roman"/>
          <w:sz w:val="18"/>
          <w:szCs w:val="18"/>
          <w:lang w:eastAsia="lv-LV"/>
        </w:rPr>
        <w:br w:type="page"/>
      </w:r>
    </w:p>
    <w:tbl>
      <w:tblPr>
        <w:tblW w:w="14047" w:type="dxa"/>
        <w:tblInd w:w="95" w:type="dxa"/>
        <w:tblLook w:val="04A0" w:firstRow="1" w:lastRow="0" w:firstColumn="1" w:lastColumn="0" w:noHBand="0" w:noVBand="1"/>
      </w:tblPr>
      <w:tblGrid>
        <w:gridCol w:w="1240"/>
        <w:gridCol w:w="3360"/>
        <w:gridCol w:w="1400"/>
        <w:gridCol w:w="1451"/>
        <w:gridCol w:w="1429"/>
        <w:gridCol w:w="2048"/>
        <w:gridCol w:w="1559"/>
        <w:gridCol w:w="1560"/>
      </w:tblGrid>
      <w:tr w:rsidR="00174DAC" w:rsidRPr="00174DAC" w:rsidTr="00472D9F">
        <w:trPr>
          <w:trHeight w:val="315"/>
        </w:trPr>
        <w:tc>
          <w:tcPr>
            <w:tcW w:w="1240" w:type="dxa"/>
            <w:tcBorders>
              <w:top w:val="nil"/>
              <w:left w:val="nil"/>
              <w:bottom w:val="nil"/>
              <w:right w:val="nil"/>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18"/>
                <w:szCs w:val="18"/>
                <w:lang w:eastAsia="lv-LV"/>
              </w:rPr>
            </w:pPr>
          </w:p>
        </w:tc>
        <w:tc>
          <w:tcPr>
            <w:tcW w:w="3360" w:type="dxa"/>
            <w:tcBorders>
              <w:top w:val="nil"/>
              <w:left w:val="nil"/>
              <w:bottom w:val="nil"/>
              <w:right w:val="single" w:sz="4" w:space="0" w:color="auto"/>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18"/>
                <w:szCs w:val="18"/>
                <w:lang w:eastAsia="lv-LV"/>
              </w:rPr>
            </w:pPr>
          </w:p>
        </w:tc>
        <w:tc>
          <w:tcPr>
            <w:tcW w:w="944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center"/>
              <w:rPr>
                <w:rFonts w:ascii="Times New Roman" w:eastAsia="Times New Roman" w:hAnsi="Times New Roman" w:cs="Times New Roman"/>
                <w:b/>
                <w:color w:val="000000"/>
                <w:sz w:val="24"/>
                <w:szCs w:val="24"/>
                <w:lang w:eastAsia="lv-LV"/>
              </w:rPr>
            </w:pPr>
            <w:r w:rsidRPr="00174DAC">
              <w:rPr>
                <w:rFonts w:ascii="Times New Roman" w:eastAsia="Times New Roman" w:hAnsi="Times New Roman" w:cs="Times New Roman"/>
                <w:b/>
                <w:color w:val="000000"/>
                <w:sz w:val="24"/>
                <w:szCs w:val="24"/>
                <w:lang w:eastAsia="lv-LV"/>
              </w:rPr>
              <w:t>Prognoze 2014.gadam</w:t>
            </w:r>
          </w:p>
        </w:tc>
      </w:tr>
      <w:tr w:rsidR="00174DAC" w:rsidRPr="00174DAC" w:rsidTr="00472D9F">
        <w:trPr>
          <w:trHeight w:val="362"/>
        </w:trPr>
        <w:tc>
          <w:tcPr>
            <w:tcW w:w="1240" w:type="dxa"/>
            <w:tcBorders>
              <w:top w:val="nil"/>
              <w:left w:val="nil"/>
              <w:bottom w:val="nil"/>
              <w:right w:val="nil"/>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18"/>
                <w:szCs w:val="18"/>
                <w:lang w:eastAsia="lv-LV"/>
              </w:rPr>
            </w:pPr>
          </w:p>
        </w:tc>
        <w:tc>
          <w:tcPr>
            <w:tcW w:w="3360" w:type="dxa"/>
            <w:tcBorders>
              <w:top w:val="nil"/>
              <w:left w:val="nil"/>
              <w:bottom w:val="nil"/>
              <w:right w:val="single" w:sz="4" w:space="0" w:color="auto"/>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18"/>
                <w:szCs w:val="18"/>
                <w:lang w:eastAsia="lv-LV"/>
              </w:rPr>
            </w:pP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hideMark/>
          </w:tcPr>
          <w:p w:rsidR="00174DAC" w:rsidRPr="00174DAC" w:rsidRDefault="00174DAC" w:rsidP="00174DAC">
            <w:pPr>
              <w:spacing w:after="0" w:line="240" w:lineRule="auto"/>
              <w:jc w:val="center"/>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Aprēķins atbilstoši MK noteikumu Nr.341 46.punktam</w:t>
            </w:r>
          </w:p>
        </w:tc>
        <w:tc>
          <w:tcPr>
            <w:tcW w:w="5167" w:type="dxa"/>
            <w:gridSpan w:val="3"/>
            <w:tcBorders>
              <w:top w:val="single" w:sz="4" w:space="0" w:color="auto"/>
              <w:left w:val="nil"/>
              <w:bottom w:val="single" w:sz="4" w:space="0" w:color="auto"/>
              <w:right w:val="single" w:sz="4" w:space="0" w:color="auto"/>
            </w:tcBorders>
            <w:shd w:val="clear" w:color="auto" w:fill="auto"/>
            <w:hideMark/>
          </w:tcPr>
          <w:p w:rsidR="00174DAC" w:rsidRPr="00174DAC" w:rsidRDefault="00174DAC" w:rsidP="00174DAC">
            <w:pPr>
              <w:spacing w:after="0" w:line="240" w:lineRule="auto"/>
              <w:jc w:val="center"/>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Aprēķins atbilstoši MK noteikumu Nr.341 grozījumu projekta 46., 46.</w:t>
            </w:r>
            <w:r w:rsidRPr="00174DAC">
              <w:rPr>
                <w:rFonts w:ascii="Calibri" w:eastAsia="Times New Roman" w:hAnsi="Calibri" w:cs="Times New Roman"/>
                <w:color w:val="000000"/>
                <w:sz w:val="18"/>
                <w:szCs w:val="18"/>
                <w:lang w:eastAsia="lv-LV"/>
              </w:rPr>
              <w:t>¹</w:t>
            </w:r>
            <w:r w:rsidRPr="00174DAC">
              <w:rPr>
                <w:rFonts w:ascii="Times New Roman" w:eastAsia="Times New Roman" w:hAnsi="Times New Roman" w:cs="Times New Roman"/>
                <w:color w:val="000000"/>
                <w:sz w:val="18"/>
                <w:szCs w:val="18"/>
                <w:lang w:eastAsia="lv-LV"/>
              </w:rPr>
              <w:t xml:space="preserve"> un 46.</w:t>
            </w:r>
            <w:r w:rsidRPr="00174DAC">
              <w:rPr>
                <w:rFonts w:ascii="Calibri" w:eastAsia="Times New Roman" w:hAnsi="Calibri" w:cs="Times New Roman"/>
                <w:color w:val="000000"/>
                <w:sz w:val="18"/>
                <w:szCs w:val="18"/>
                <w:lang w:eastAsia="lv-LV"/>
              </w:rPr>
              <w:t xml:space="preserve">² </w:t>
            </w:r>
            <w:r w:rsidRPr="00174DAC">
              <w:rPr>
                <w:rFonts w:ascii="Times New Roman" w:eastAsia="Times New Roman" w:hAnsi="Times New Roman" w:cs="Times New Roman"/>
                <w:color w:val="000000"/>
                <w:sz w:val="18"/>
                <w:szCs w:val="18"/>
                <w:lang w:eastAsia="lv-LV"/>
              </w:rPr>
              <w:t>punktam</w:t>
            </w:r>
          </w:p>
        </w:tc>
      </w:tr>
      <w:tr w:rsidR="00174DAC" w:rsidRPr="00174DAC" w:rsidTr="00472D9F">
        <w:trPr>
          <w:trHeight w:val="1418"/>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DAC" w:rsidRPr="00174DAC" w:rsidRDefault="00174DAC" w:rsidP="00174DAC">
            <w:pPr>
              <w:spacing w:after="0" w:line="240" w:lineRule="auto"/>
              <w:jc w:val="center"/>
              <w:rPr>
                <w:rFonts w:ascii="Times New Roman" w:eastAsia="Times New Roman" w:hAnsi="Times New Roman" w:cs="Times New Roman"/>
                <w:b/>
                <w:bCs/>
                <w:color w:val="000000"/>
                <w:sz w:val="18"/>
                <w:szCs w:val="18"/>
                <w:lang w:eastAsia="lv-LV"/>
              </w:rPr>
            </w:pPr>
            <w:r w:rsidRPr="00174DAC">
              <w:rPr>
                <w:rFonts w:ascii="Times New Roman" w:eastAsia="Times New Roman" w:hAnsi="Times New Roman" w:cs="Times New Roman"/>
                <w:b/>
                <w:bCs/>
                <w:color w:val="000000"/>
                <w:sz w:val="18"/>
                <w:szCs w:val="18"/>
                <w:lang w:eastAsia="lv-LV"/>
              </w:rPr>
              <w:t>Nr.</w:t>
            </w:r>
          </w:p>
          <w:p w:rsidR="00174DAC" w:rsidRPr="00174DAC" w:rsidRDefault="00174DAC" w:rsidP="00174DAC">
            <w:pPr>
              <w:spacing w:after="0" w:line="240" w:lineRule="auto"/>
              <w:jc w:val="center"/>
              <w:rPr>
                <w:rFonts w:ascii="Times New Roman" w:eastAsia="Times New Roman" w:hAnsi="Times New Roman" w:cs="Times New Roman"/>
                <w:b/>
                <w:bCs/>
                <w:color w:val="000000"/>
                <w:sz w:val="18"/>
                <w:szCs w:val="18"/>
                <w:lang w:eastAsia="lv-LV"/>
              </w:rPr>
            </w:pPr>
            <w:r w:rsidRPr="00174DAC">
              <w:rPr>
                <w:rFonts w:ascii="Times New Roman" w:eastAsia="Times New Roman" w:hAnsi="Times New Roman" w:cs="Times New Roman"/>
                <w:b/>
                <w:bCs/>
                <w:color w:val="000000"/>
                <w:sz w:val="18"/>
                <w:szCs w:val="18"/>
                <w:lang w:eastAsia="lv-LV"/>
              </w:rPr>
              <w:t>p.k.</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174DAC" w:rsidRPr="00174DAC" w:rsidRDefault="00174DAC" w:rsidP="00174DAC">
            <w:pPr>
              <w:spacing w:after="0" w:line="240" w:lineRule="auto"/>
              <w:jc w:val="center"/>
              <w:rPr>
                <w:rFonts w:ascii="Times New Roman" w:eastAsia="Times New Roman" w:hAnsi="Times New Roman" w:cs="Times New Roman"/>
                <w:b/>
                <w:bCs/>
                <w:color w:val="000000"/>
                <w:sz w:val="18"/>
                <w:szCs w:val="18"/>
                <w:lang w:eastAsia="lv-LV"/>
              </w:rPr>
            </w:pPr>
            <w:r w:rsidRPr="00174DAC">
              <w:rPr>
                <w:rFonts w:ascii="Times New Roman" w:eastAsia="Times New Roman" w:hAnsi="Times New Roman" w:cs="Times New Roman"/>
                <w:b/>
                <w:bCs/>
                <w:color w:val="000000"/>
                <w:sz w:val="18"/>
                <w:szCs w:val="18"/>
                <w:lang w:eastAsia="lv-LV"/>
              </w:rPr>
              <w:t>Pārvadājumu veids</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174DAC" w:rsidRPr="00174DAC" w:rsidRDefault="00174DAC" w:rsidP="00174DAC">
            <w:pPr>
              <w:spacing w:after="0" w:line="240" w:lineRule="auto"/>
              <w:jc w:val="center"/>
              <w:rPr>
                <w:rFonts w:ascii="Times New Roman" w:eastAsia="Times New Roman" w:hAnsi="Times New Roman" w:cs="Times New Roman"/>
                <w:b/>
                <w:bCs/>
                <w:color w:val="000000"/>
                <w:sz w:val="18"/>
                <w:szCs w:val="18"/>
                <w:lang w:eastAsia="lv-LV"/>
              </w:rPr>
            </w:pPr>
            <w:r w:rsidRPr="00174DAC">
              <w:rPr>
                <w:rFonts w:ascii="Times New Roman" w:eastAsia="Times New Roman" w:hAnsi="Times New Roman" w:cs="Times New Roman"/>
                <w:b/>
                <w:bCs/>
                <w:color w:val="000000"/>
                <w:sz w:val="18"/>
                <w:szCs w:val="18"/>
                <w:lang w:eastAsia="lv-LV"/>
              </w:rPr>
              <w:t>Biļešu ieņēmumi</w:t>
            </w:r>
          </w:p>
        </w:tc>
        <w:tc>
          <w:tcPr>
            <w:tcW w:w="1451" w:type="dxa"/>
            <w:tcBorders>
              <w:top w:val="nil"/>
              <w:left w:val="nil"/>
              <w:bottom w:val="single" w:sz="4" w:space="0" w:color="auto"/>
              <w:right w:val="single" w:sz="4" w:space="0" w:color="auto"/>
            </w:tcBorders>
            <w:shd w:val="clear" w:color="auto" w:fill="auto"/>
            <w:vAlign w:val="center"/>
            <w:hideMark/>
          </w:tcPr>
          <w:p w:rsidR="00174DAC" w:rsidRPr="00174DAC" w:rsidRDefault="00174DAC" w:rsidP="00174DAC">
            <w:pPr>
              <w:spacing w:after="0" w:line="240" w:lineRule="auto"/>
              <w:jc w:val="center"/>
              <w:rPr>
                <w:rFonts w:ascii="Times New Roman" w:eastAsia="Times New Roman" w:hAnsi="Times New Roman" w:cs="Times New Roman"/>
                <w:b/>
                <w:bCs/>
                <w:color w:val="000000"/>
                <w:sz w:val="18"/>
                <w:szCs w:val="18"/>
                <w:lang w:eastAsia="lv-LV"/>
              </w:rPr>
            </w:pPr>
            <w:r w:rsidRPr="00174DAC">
              <w:rPr>
                <w:rFonts w:ascii="Times New Roman" w:eastAsia="Times New Roman" w:hAnsi="Times New Roman" w:cs="Times New Roman"/>
                <w:b/>
                <w:bCs/>
                <w:color w:val="000000"/>
                <w:sz w:val="18"/>
                <w:szCs w:val="18"/>
                <w:lang w:eastAsia="lv-LV"/>
              </w:rPr>
              <w:t>Nobraukums</w:t>
            </w:r>
          </w:p>
        </w:tc>
        <w:tc>
          <w:tcPr>
            <w:tcW w:w="1429" w:type="dxa"/>
            <w:tcBorders>
              <w:top w:val="nil"/>
              <w:left w:val="nil"/>
              <w:bottom w:val="single" w:sz="4" w:space="0" w:color="auto"/>
              <w:right w:val="single" w:sz="4" w:space="0" w:color="auto"/>
            </w:tcBorders>
            <w:shd w:val="clear" w:color="auto" w:fill="auto"/>
            <w:vAlign w:val="center"/>
            <w:hideMark/>
          </w:tcPr>
          <w:p w:rsidR="00174DAC" w:rsidRPr="00174DAC" w:rsidRDefault="00174DAC" w:rsidP="00174DAC">
            <w:pPr>
              <w:spacing w:after="0" w:line="240" w:lineRule="auto"/>
              <w:jc w:val="center"/>
              <w:rPr>
                <w:rFonts w:ascii="Times New Roman" w:eastAsia="Times New Roman" w:hAnsi="Times New Roman" w:cs="Times New Roman"/>
                <w:b/>
                <w:bCs/>
                <w:color w:val="000000"/>
                <w:sz w:val="18"/>
                <w:szCs w:val="18"/>
                <w:lang w:eastAsia="lv-LV"/>
              </w:rPr>
            </w:pPr>
            <w:r w:rsidRPr="00174DAC">
              <w:rPr>
                <w:rFonts w:ascii="Times New Roman" w:eastAsia="Times New Roman" w:hAnsi="Times New Roman" w:cs="Times New Roman"/>
                <w:b/>
                <w:bCs/>
                <w:color w:val="000000"/>
                <w:sz w:val="18"/>
                <w:szCs w:val="18"/>
                <w:lang w:eastAsia="lv-LV"/>
              </w:rPr>
              <w:t>Peļņa 3.039 (0.539%+2.5%)</w:t>
            </w:r>
          </w:p>
        </w:tc>
        <w:tc>
          <w:tcPr>
            <w:tcW w:w="2048" w:type="dxa"/>
            <w:tcBorders>
              <w:top w:val="nil"/>
              <w:left w:val="nil"/>
              <w:bottom w:val="single" w:sz="4" w:space="0" w:color="auto"/>
              <w:right w:val="single" w:sz="4" w:space="0" w:color="auto"/>
            </w:tcBorders>
            <w:shd w:val="clear" w:color="auto" w:fill="auto"/>
            <w:vAlign w:val="center"/>
            <w:hideMark/>
          </w:tcPr>
          <w:p w:rsidR="00174DAC" w:rsidRPr="00174DAC" w:rsidRDefault="00174DAC" w:rsidP="00174DAC">
            <w:pPr>
              <w:spacing w:after="0" w:line="240" w:lineRule="auto"/>
              <w:jc w:val="center"/>
              <w:rPr>
                <w:rFonts w:ascii="Times New Roman" w:eastAsia="Times New Roman" w:hAnsi="Times New Roman" w:cs="Times New Roman"/>
                <w:b/>
                <w:bCs/>
                <w:color w:val="000000"/>
                <w:sz w:val="18"/>
                <w:szCs w:val="18"/>
                <w:lang w:eastAsia="lv-LV"/>
              </w:rPr>
            </w:pPr>
            <w:r w:rsidRPr="00174DAC">
              <w:rPr>
                <w:rFonts w:ascii="Times New Roman" w:eastAsia="Times New Roman" w:hAnsi="Times New Roman" w:cs="Times New Roman"/>
                <w:b/>
                <w:bCs/>
                <w:color w:val="000000"/>
                <w:sz w:val="18"/>
                <w:szCs w:val="18"/>
                <w:lang w:eastAsia="lv-LV"/>
              </w:rPr>
              <w:t>Peļņa 1/2 no biļešu ieņēm. x 4% + nobraukums x 0.01 EUR</w:t>
            </w:r>
          </w:p>
        </w:tc>
        <w:tc>
          <w:tcPr>
            <w:tcW w:w="1559" w:type="dxa"/>
            <w:tcBorders>
              <w:top w:val="nil"/>
              <w:left w:val="nil"/>
              <w:bottom w:val="nil"/>
              <w:right w:val="single" w:sz="4" w:space="0" w:color="auto"/>
            </w:tcBorders>
            <w:shd w:val="clear" w:color="auto" w:fill="auto"/>
            <w:vAlign w:val="center"/>
            <w:hideMark/>
          </w:tcPr>
          <w:p w:rsidR="00174DAC" w:rsidRPr="00174DAC" w:rsidRDefault="00174DAC" w:rsidP="00174DAC">
            <w:pPr>
              <w:spacing w:after="0" w:line="240" w:lineRule="auto"/>
              <w:jc w:val="center"/>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Pieaugums pret spēkā esošo normu (% - tos)</w:t>
            </w:r>
          </w:p>
        </w:tc>
        <w:tc>
          <w:tcPr>
            <w:tcW w:w="1560" w:type="dxa"/>
            <w:tcBorders>
              <w:top w:val="nil"/>
              <w:left w:val="nil"/>
              <w:bottom w:val="nil"/>
              <w:right w:val="single" w:sz="4" w:space="0" w:color="auto"/>
            </w:tcBorders>
            <w:shd w:val="clear" w:color="auto" w:fill="auto"/>
            <w:vAlign w:val="center"/>
            <w:hideMark/>
          </w:tcPr>
          <w:p w:rsidR="00174DAC" w:rsidRPr="00174DAC" w:rsidRDefault="00174DAC" w:rsidP="00174DAC">
            <w:pPr>
              <w:spacing w:after="0" w:line="240" w:lineRule="auto"/>
              <w:jc w:val="center"/>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Pieaugums pret spēkā esošo normu (EUR)</w:t>
            </w:r>
          </w:p>
        </w:tc>
      </w:tr>
      <w:tr w:rsidR="00174DAC" w:rsidRPr="00174DAC" w:rsidTr="00472D9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center"/>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1</w:t>
            </w:r>
          </w:p>
        </w:tc>
        <w:tc>
          <w:tcPr>
            <w:tcW w:w="336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Starppilsētas pārvadājumi (bez C1)</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42 459 909</w:t>
            </w:r>
          </w:p>
        </w:tc>
        <w:tc>
          <w:tcPr>
            <w:tcW w:w="145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61 067 492</w:t>
            </w:r>
          </w:p>
        </w:tc>
        <w:tc>
          <w:tcPr>
            <w:tcW w:w="1429"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1 290 357</w:t>
            </w:r>
          </w:p>
        </w:tc>
        <w:tc>
          <w:tcPr>
            <w:tcW w:w="2048"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1 459 873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169 516</w:t>
            </w:r>
          </w:p>
        </w:tc>
      </w:tr>
      <w:tr w:rsidR="00174DAC" w:rsidRPr="00174DAC" w:rsidTr="00472D9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center"/>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1.1.</w:t>
            </w:r>
          </w:p>
        </w:tc>
        <w:tc>
          <w:tcPr>
            <w:tcW w:w="336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eastAsia="Times New Roman" w:hAnsi="Times New Roman" w:cs="Times New Roman"/>
                <w:sz w:val="18"/>
                <w:szCs w:val="18"/>
                <w:lang w:eastAsia="lv-LV"/>
              </w:rPr>
            </w:pPr>
            <w:r w:rsidRPr="00174DAC">
              <w:rPr>
                <w:rFonts w:ascii="Times New Roman" w:eastAsia="Times New Roman" w:hAnsi="Times New Roman" w:cs="Times New Roman"/>
                <w:sz w:val="18"/>
                <w:szCs w:val="18"/>
                <w:lang w:eastAsia="lv-LV"/>
              </w:rPr>
              <w:t xml:space="preserve">t.sk.autobusi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22 274 983</w:t>
            </w:r>
          </w:p>
        </w:tc>
        <w:tc>
          <w:tcPr>
            <w:tcW w:w="145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36 081 128</w:t>
            </w:r>
          </w:p>
        </w:tc>
        <w:tc>
          <w:tcPr>
            <w:tcW w:w="1429"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676 937</w:t>
            </w:r>
          </w:p>
        </w:tc>
        <w:tc>
          <w:tcPr>
            <w:tcW w:w="2048"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806 311</w:t>
            </w:r>
          </w:p>
        </w:tc>
        <w:tc>
          <w:tcPr>
            <w:tcW w:w="1559"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19%</w:t>
            </w:r>
          </w:p>
        </w:tc>
        <w:tc>
          <w:tcPr>
            <w:tcW w:w="156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129 374</w:t>
            </w:r>
          </w:p>
        </w:tc>
      </w:tr>
      <w:tr w:rsidR="00174DAC" w:rsidRPr="00174DAC" w:rsidTr="00472D9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center"/>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1.2.</w:t>
            </w:r>
          </w:p>
        </w:tc>
        <w:tc>
          <w:tcPr>
            <w:tcW w:w="336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eastAsia="Times New Roman" w:hAnsi="Times New Roman" w:cs="Times New Roman"/>
                <w:sz w:val="18"/>
                <w:szCs w:val="18"/>
                <w:lang w:eastAsia="lv-LV"/>
              </w:rPr>
            </w:pPr>
            <w:r w:rsidRPr="00174DAC">
              <w:rPr>
                <w:rFonts w:ascii="Times New Roman" w:eastAsia="Times New Roman" w:hAnsi="Times New Roman" w:cs="Times New Roman"/>
                <w:sz w:val="18"/>
                <w:szCs w:val="18"/>
                <w:lang w:eastAsia="lv-LV"/>
              </w:rPr>
              <w:t>t.sk.dzelzceļš</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20 184 926</w:t>
            </w:r>
          </w:p>
        </w:tc>
        <w:tc>
          <w:tcPr>
            <w:tcW w:w="145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24 986 364</w:t>
            </w:r>
          </w:p>
        </w:tc>
        <w:tc>
          <w:tcPr>
            <w:tcW w:w="1429"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613 420</w:t>
            </w:r>
          </w:p>
        </w:tc>
        <w:tc>
          <w:tcPr>
            <w:tcW w:w="2048"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653 562</w:t>
            </w:r>
          </w:p>
        </w:tc>
        <w:tc>
          <w:tcPr>
            <w:tcW w:w="1559"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7%</w:t>
            </w:r>
          </w:p>
        </w:tc>
        <w:tc>
          <w:tcPr>
            <w:tcW w:w="156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40 142</w:t>
            </w:r>
          </w:p>
        </w:tc>
      </w:tr>
      <w:tr w:rsidR="00174DAC" w:rsidRPr="00174DAC" w:rsidTr="00472D9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center"/>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2</w:t>
            </w:r>
          </w:p>
        </w:tc>
        <w:tc>
          <w:tcPr>
            <w:tcW w:w="336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Vietējie pārvadājumi</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15 750 690</w:t>
            </w:r>
          </w:p>
        </w:tc>
        <w:tc>
          <w:tcPr>
            <w:tcW w:w="145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36 256 256</w:t>
            </w:r>
          </w:p>
        </w:tc>
        <w:tc>
          <w:tcPr>
            <w:tcW w:w="1429"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478 663</w:t>
            </w:r>
          </w:p>
        </w:tc>
        <w:tc>
          <w:tcPr>
            <w:tcW w:w="2048"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677 576</w:t>
            </w:r>
          </w:p>
        </w:tc>
        <w:tc>
          <w:tcPr>
            <w:tcW w:w="1559"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42%</w:t>
            </w:r>
          </w:p>
        </w:tc>
        <w:tc>
          <w:tcPr>
            <w:tcW w:w="156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198 913</w:t>
            </w:r>
          </w:p>
        </w:tc>
      </w:tr>
      <w:tr w:rsidR="00174DAC" w:rsidRPr="00174DAC" w:rsidTr="00472D9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center"/>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3</w:t>
            </w:r>
          </w:p>
        </w:tc>
        <w:tc>
          <w:tcPr>
            <w:tcW w:w="336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Pilsētas pārvadājumi*</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50 516 325</w:t>
            </w:r>
          </w:p>
        </w:tc>
        <w:tc>
          <w:tcPr>
            <w:tcW w:w="145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52 235 538</w:t>
            </w:r>
          </w:p>
        </w:tc>
        <w:tc>
          <w:tcPr>
            <w:tcW w:w="1429"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1 535 191</w:t>
            </w:r>
          </w:p>
        </w:tc>
        <w:tc>
          <w:tcPr>
            <w:tcW w:w="2048"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1 532 682</w:t>
            </w:r>
          </w:p>
        </w:tc>
        <w:tc>
          <w:tcPr>
            <w:tcW w:w="1559"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0%</w:t>
            </w:r>
          </w:p>
        </w:tc>
        <w:tc>
          <w:tcPr>
            <w:tcW w:w="156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-2 510</w:t>
            </w:r>
          </w:p>
        </w:tc>
      </w:tr>
      <w:tr w:rsidR="00174DAC" w:rsidRPr="00174DAC" w:rsidTr="00472D9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center"/>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3.1.</w:t>
            </w:r>
          </w:p>
        </w:tc>
        <w:tc>
          <w:tcPr>
            <w:tcW w:w="336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t.sk.no valsts budžeta (30%)**</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 </w:t>
            </w:r>
          </w:p>
        </w:tc>
        <w:tc>
          <w:tcPr>
            <w:tcW w:w="1429"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27 633</w:t>
            </w:r>
          </w:p>
        </w:tc>
        <w:tc>
          <w:tcPr>
            <w:tcW w:w="2048"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27 588</w:t>
            </w:r>
          </w:p>
        </w:tc>
        <w:tc>
          <w:tcPr>
            <w:tcW w:w="1559"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 </w:t>
            </w:r>
          </w:p>
        </w:tc>
        <w:tc>
          <w:tcPr>
            <w:tcW w:w="156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-45</w:t>
            </w:r>
          </w:p>
        </w:tc>
      </w:tr>
      <w:tr w:rsidR="00174DAC" w:rsidRPr="00174DAC" w:rsidTr="00472D9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center"/>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3.2.</w:t>
            </w:r>
          </w:p>
        </w:tc>
        <w:tc>
          <w:tcPr>
            <w:tcW w:w="336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t.sk.no pašvaldību budžeta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 </w:t>
            </w:r>
          </w:p>
        </w:tc>
        <w:tc>
          <w:tcPr>
            <w:tcW w:w="1429"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1 507 558</w:t>
            </w:r>
          </w:p>
        </w:tc>
        <w:tc>
          <w:tcPr>
            <w:tcW w:w="2048"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1 505 094</w:t>
            </w:r>
          </w:p>
        </w:tc>
        <w:tc>
          <w:tcPr>
            <w:tcW w:w="1559"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 </w:t>
            </w:r>
          </w:p>
        </w:tc>
        <w:tc>
          <w:tcPr>
            <w:tcW w:w="156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-2 464</w:t>
            </w:r>
          </w:p>
        </w:tc>
      </w:tr>
      <w:tr w:rsidR="00174DAC" w:rsidRPr="00174DAC" w:rsidTr="00472D9F">
        <w:trPr>
          <w:trHeight w:val="315"/>
        </w:trPr>
        <w:tc>
          <w:tcPr>
            <w:tcW w:w="4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eastAsia="Times New Roman" w:hAnsi="Times New Roman" w:cs="Times New Roman"/>
                <w:b/>
                <w:bCs/>
                <w:color w:val="000000"/>
                <w:sz w:val="18"/>
                <w:szCs w:val="18"/>
                <w:lang w:eastAsia="lv-LV"/>
              </w:rPr>
            </w:pPr>
            <w:r w:rsidRPr="00174DAC">
              <w:rPr>
                <w:rFonts w:ascii="Times New Roman" w:eastAsia="Times New Roman" w:hAnsi="Times New Roman" w:cs="Times New Roman"/>
                <w:b/>
                <w:bCs/>
                <w:color w:val="000000"/>
                <w:sz w:val="18"/>
                <w:szCs w:val="18"/>
                <w:lang w:eastAsia="lv-LV"/>
              </w:rPr>
              <w:t>Kopā</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108 726 923</w:t>
            </w:r>
          </w:p>
        </w:tc>
        <w:tc>
          <w:tcPr>
            <w:tcW w:w="1451"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149 559 286</w:t>
            </w:r>
          </w:p>
        </w:tc>
        <w:tc>
          <w:tcPr>
            <w:tcW w:w="1429"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3 304 211</w:t>
            </w:r>
          </w:p>
        </w:tc>
        <w:tc>
          <w:tcPr>
            <w:tcW w:w="2048"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color w:val="000000"/>
                <w:sz w:val="18"/>
                <w:szCs w:val="18"/>
              </w:rPr>
            </w:pPr>
            <w:r w:rsidRPr="00174DAC">
              <w:rPr>
                <w:rFonts w:ascii="Times New Roman" w:hAnsi="Times New Roman" w:cs="Times New Roman"/>
                <w:color w:val="000000"/>
                <w:sz w:val="18"/>
                <w:szCs w:val="18"/>
              </w:rPr>
              <w:t>3 670 131</w:t>
            </w:r>
          </w:p>
        </w:tc>
        <w:tc>
          <w:tcPr>
            <w:tcW w:w="1559"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rPr>
                <w:rFonts w:ascii="Times New Roman" w:eastAsia="Times New Roman" w:hAnsi="Times New Roman" w:cs="Times New Roman"/>
                <w:color w:val="000000"/>
                <w:sz w:val="18"/>
                <w:szCs w:val="18"/>
                <w:lang w:eastAsia="lv-LV"/>
              </w:rPr>
            </w:pPr>
            <w:r w:rsidRPr="00174DAC">
              <w:rPr>
                <w:rFonts w:ascii="Times New Roman" w:eastAsia="Times New Roman" w:hAnsi="Times New Roman" w:cs="Times New Roman"/>
                <w:color w:val="000000"/>
                <w:sz w:val="18"/>
                <w:szCs w:val="18"/>
                <w:lang w:eastAsia="lv-LV"/>
              </w:rPr>
              <w:t> </w:t>
            </w:r>
          </w:p>
        </w:tc>
        <w:tc>
          <w:tcPr>
            <w:tcW w:w="1560" w:type="dxa"/>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hAnsi="Times New Roman" w:cs="Times New Roman"/>
                <w:b/>
                <w:bCs/>
                <w:color w:val="000000"/>
                <w:sz w:val="18"/>
                <w:szCs w:val="18"/>
              </w:rPr>
            </w:pPr>
            <w:r w:rsidRPr="00174DAC">
              <w:rPr>
                <w:rFonts w:ascii="Times New Roman" w:hAnsi="Times New Roman" w:cs="Times New Roman"/>
                <w:b/>
                <w:bCs/>
                <w:color w:val="000000"/>
                <w:sz w:val="18"/>
                <w:szCs w:val="18"/>
              </w:rPr>
              <w:t>365 919</w:t>
            </w:r>
          </w:p>
        </w:tc>
      </w:tr>
      <w:tr w:rsidR="00174DAC" w:rsidRPr="00174DAC" w:rsidTr="00472D9F">
        <w:trPr>
          <w:trHeight w:val="315"/>
        </w:trPr>
        <w:tc>
          <w:tcPr>
            <w:tcW w:w="46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4DAC" w:rsidRPr="00174DAC" w:rsidRDefault="00174DAC" w:rsidP="00174DAC">
            <w:pPr>
              <w:spacing w:after="0" w:line="240" w:lineRule="auto"/>
              <w:jc w:val="right"/>
              <w:rPr>
                <w:rFonts w:ascii="Times New Roman" w:eastAsia="Times New Roman" w:hAnsi="Times New Roman" w:cs="Times New Roman"/>
                <w:b/>
                <w:bCs/>
                <w:color w:val="000000"/>
                <w:sz w:val="18"/>
                <w:szCs w:val="18"/>
                <w:lang w:eastAsia="lv-LV"/>
              </w:rPr>
            </w:pPr>
            <w:r w:rsidRPr="00174DAC">
              <w:rPr>
                <w:rFonts w:ascii="Times New Roman" w:eastAsia="Times New Roman" w:hAnsi="Times New Roman" w:cs="Times New Roman"/>
                <w:b/>
                <w:bCs/>
                <w:color w:val="000000"/>
                <w:sz w:val="18"/>
                <w:szCs w:val="18"/>
                <w:lang w:eastAsia="lv-LV"/>
              </w:rPr>
              <w:t>Kopā valsts budžets</w:t>
            </w:r>
          </w:p>
        </w:tc>
        <w:tc>
          <w:tcPr>
            <w:tcW w:w="9447" w:type="dxa"/>
            <w:gridSpan w:val="6"/>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jc w:val="right"/>
              <w:rPr>
                <w:rFonts w:ascii="Times New Roman" w:eastAsia="Times New Roman" w:hAnsi="Times New Roman" w:cs="Times New Roman"/>
                <w:b/>
                <w:bCs/>
                <w:color w:val="000000"/>
                <w:sz w:val="18"/>
                <w:szCs w:val="18"/>
                <w:lang w:eastAsia="lv-LV"/>
              </w:rPr>
            </w:pPr>
            <w:r w:rsidRPr="00174DAC">
              <w:rPr>
                <w:rFonts w:ascii="Times New Roman" w:eastAsia="Times New Roman" w:hAnsi="Times New Roman" w:cs="Times New Roman"/>
                <w:b/>
                <w:bCs/>
                <w:color w:val="000000"/>
                <w:sz w:val="18"/>
                <w:szCs w:val="18"/>
                <w:lang w:eastAsia="lv-LV"/>
              </w:rPr>
              <w:t>368 384</w:t>
            </w:r>
          </w:p>
        </w:tc>
      </w:tr>
      <w:tr w:rsidR="00174DAC" w:rsidRPr="00174DAC" w:rsidTr="00472D9F">
        <w:trPr>
          <w:trHeight w:val="315"/>
        </w:trPr>
        <w:tc>
          <w:tcPr>
            <w:tcW w:w="46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4DAC" w:rsidRPr="00174DAC" w:rsidRDefault="00174DAC" w:rsidP="00174DAC">
            <w:pPr>
              <w:spacing w:after="0" w:line="240" w:lineRule="auto"/>
              <w:jc w:val="right"/>
              <w:rPr>
                <w:rFonts w:ascii="Times New Roman" w:eastAsia="Times New Roman" w:hAnsi="Times New Roman" w:cs="Times New Roman"/>
                <w:b/>
                <w:bCs/>
                <w:color w:val="000000"/>
                <w:sz w:val="18"/>
                <w:szCs w:val="18"/>
                <w:lang w:eastAsia="lv-LV"/>
              </w:rPr>
            </w:pPr>
            <w:r w:rsidRPr="00174DAC">
              <w:rPr>
                <w:rFonts w:ascii="Times New Roman" w:eastAsia="Times New Roman" w:hAnsi="Times New Roman" w:cs="Times New Roman"/>
                <w:b/>
                <w:bCs/>
                <w:color w:val="000000"/>
                <w:sz w:val="18"/>
                <w:szCs w:val="18"/>
                <w:lang w:eastAsia="lv-LV"/>
              </w:rPr>
              <w:t>Kopā pašvaldības budžets</w:t>
            </w:r>
          </w:p>
        </w:tc>
        <w:tc>
          <w:tcPr>
            <w:tcW w:w="9447" w:type="dxa"/>
            <w:gridSpan w:val="6"/>
            <w:tcBorders>
              <w:top w:val="nil"/>
              <w:left w:val="nil"/>
              <w:bottom w:val="single" w:sz="4" w:space="0" w:color="auto"/>
              <w:right w:val="single" w:sz="4" w:space="0" w:color="auto"/>
            </w:tcBorders>
            <w:shd w:val="clear" w:color="auto" w:fill="auto"/>
            <w:noWrap/>
            <w:vAlign w:val="bottom"/>
            <w:hideMark/>
          </w:tcPr>
          <w:p w:rsidR="00174DAC" w:rsidRPr="00174DAC" w:rsidRDefault="00174DAC" w:rsidP="00174DAC">
            <w:pPr>
              <w:spacing w:after="0" w:line="240" w:lineRule="auto"/>
              <w:ind w:left="720"/>
              <w:contextualSpacing/>
              <w:jc w:val="right"/>
              <w:rPr>
                <w:rFonts w:ascii="Times New Roman" w:eastAsia="Times New Roman" w:hAnsi="Times New Roman" w:cs="Times New Roman"/>
                <w:b/>
                <w:bCs/>
                <w:color w:val="000000"/>
                <w:sz w:val="18"/>
                <w:szCs w:val="18"/>
                <w:lang w:val="en-US" w:eastAsia="lv-LV"/>
              </w:rPr>
            </w:pPr>
            <w:r w:rsidRPr="00174DAC">
              <w:rPr>
                <w:rFonts w:ascii="Times New Roman" w:eastAsia="Times New Roman" w:hAnsi="Times New Roman" w:cs="Times New Roman"/>
                <w:b/>
                <w:bCs/>
                <w:color w:val="000000"/>
                <w:sz w:val="18"/>
                <w:szCs w:val="18"/>
                <w:lang w:val="en-US" w:eastAsia="lv-LV"/>
              </w:rPr>
              <w:t>-2 464</w:t>
            </w:r>
          </w:p>
        </w:tc>
      </w:tr>
    </w:tbl>
    <w:p w:rsidR="00174DAC" w:rsidRPr="00174DAC" w:rsidRDefault="00174DAC" w:rsidP="00174DAC">
      <w:pPr>
        <w:spacing w:after="0" w:line="240" w:lineRule="auto"/>
        <w:jc w:val="center"/>
        <w:rPr>
          <w:rFonts w:ascii="Times New Roman" w:eastAsia="Times New Roman" w:hAnsi="Times New Roman" w:cs="Times New Roman"/>
          <w:sz w:val="18"/>
          <w:szCs w:val="18"/>
          <w:lang w:eastAsia="lv-LV"/>
        </w:rPr>
      </w:pPr>
    </w:p>
    <w:p w:rsidR="00174DAC" w:rsidRPr="00174DAC" w:rsidRDefault="00174DAC" w:rsidP="00174DAC">
      <w:pPr>
        <w:spacing w:after="0" w:line="240" w:lineRule="auto"/>
        <w:ind w:firstLine="720"/>
        <w:jc w:val="both"/>
        <w:rPr>
          <w:rFonts w:ascii="Times New Roman" w:eastAsia="Times New Roman" w:hAnsi="Times New Roman" w:cs="Times New Roman"/>
          <w:lang w:eastAsia="lv-LV"/>
        </w:rPr>
      </w:pPr>
      <w:r w:rsidRPr="00174DAC">
        <w:rPr>
          <w:rFonts w:ascii="Times New Roman" w:eastAsia="Times New Roman" w:hAnsi="Times New Roman" w:cs="Times New Roman"/>
          <w:lang w:eastAsia="lv-LV"/>
        </w:rPr>
        <w:t xml:space="preserve">Ievērojot minēto aprēķinu, ir secināms, ka ar MK noteikumu Nr.341 grozījumu projektu mainot pārvadātājam izmaksājamās peļņas aprēķināšanas kārtību, kur tiek paredzēts minimālais peļņas procenta likmes apmēra ierobežojums, kā arī ņemti vērā divi galvenie paveiktā darba apjoma rādītāji – ieņēmumi un veiktie kilometri, no valsts budžeta paredzētais dotāciju apjoms tiek palielināts, savukārt pašvaldību budžeta izdevumi netiek ietekmēti. Peļņas aprēķināšanas kārtība tiek mainīta, ievērojot sekojošus apsvērumus: </w:t>
      </w:r>
    </w:p>
    <w:p w:rsidR="00174DAC" w:rsidRPr="00174DAC" w:rsidRDefault="00174DAC" w:rsidP="00174DAC">
      <w:pPr>
        <w:spacing w:after="0" w:line="240" w:lineRule="auto"/>
        <w:jc w:val="both"/>
        <w:rPr>
          <w:rFonts w:ascii="Times New Roman" w:eastAsia="Times New Roman" w:hAnsi="Times New Roman" w:cs="Times New Roman"/>
          <w:b/>
          <w:lang w:eastAsia="lv-LV"/>
        </w:rPr>
      </w:pPr>
      <w:r w:rsidRPr="00174DAC">
        <w:rPr>
          <w:rFonts w:ascii="Times New Roman" w:eastAsia="Times New Roman" w:hAnsi="Times New Roman" w:cs="Times New Roman"/>
          <w:b/>
          <w:lang w:eastAsia="lv-LV"/>
        </w:rPr>
        <w:t>- šobrīd izmaksājamās peļņas apmēra noteikšanai par pamatu tiek izmantoti biļešu ieņēmumi. Tādējādi lielāku peļņu garantējot pārvadātājiem ar lielāku pasažieru plūsmu. Savukārt maršrutos, kur pasažieru plūsma ir neliela un kur pārvadājumi pēc būtības pilda sociālu funkciju, pārvadātāju iespējas saņemt adekvātu peļņu ir ierobežotas vai pat neiespējamas, tādējādi radot nevienlīdzīgu attieksmi un iespējas pārvadātāju starpā. Peļņas aprēķināšanā piesaistot rādītāju – veiktie kilometri tie ieviests vienlīdzības princips;</w:t>
      </w:r>
    </w:p>
    <w:p w:rsidR="00174DAC" w:rsidRPr="00174DAC" w:rsidRDefault="00174DAC" w:rsidP="00174DAC">
      <w:pPr>
        <w:spacing w:after="0" w:line="240" w:lineRule="auto"/>
        <w:jc w:val="both"/>
        <w:rPr>
          <w:rFonts w:ascii="Times New Roman" w:eastAsia="Times New Roman" w:hAnsi="Times New Roman" w:cs="Times New Roman"/>
          <w:b/>
          <w:lang w:eastAsia="lv-LV"/>
        </w:rPr>
      </w:pPr>
      <w:r w:rsidRPr="00174DAC">
        <w:rPr>
          <w:rFonts w:ascii="Times New Roman" w:eastAsia="Times New Roman" w:hAnsi="Times New Roman" w:cs="Times New Roman"/>
          <w:b/>
          <w:lang w:eastAsia="lv-LV"/>
        </w:rPr>
        <w:t>- ar 2013.gada 1.janvāri, kad stājās spēkā norma attiecībā uz transportlīdzekļu lietderīgās izmantošanas laika piemērošanu un amortizācijas atskaitījumu pārrēķināšanu gan tiem sabiedriskajiem transportlīdzekļiem, kas iegādāti pirms 2013.gada 1.janvāra, gan vēlāk iegādātajiem autobusiem, pārvadātājiem faktiski neatliek finanšu resursi, lai nodrošinātu autoparka atjaunošanu vai uzlabošanu atbilstoši normatīvo aktu prasībām. Peļņas palielinājums sabiedriskā transporta pakalpojumu sniedzējiem nodrošinās iespēju veikt plānveida kapitālieguldījumus jauna ritošā sastāva iegādei.</w:t>
      </w:r>
    </w:p>
    <w:sectPr w:rsidR="00174DAC" w:rsidRPr="00174DAC" w:rsidSect="00704E08">
      <w:pgSz w:w="16838" w:h="11906" w:orient="landscape" w:code="9"/>
      <w:pgMar w:top="1134" w:right="1134" w:bottom="1701" w:left="1418" w:header="709" w:footer="5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FA7" w:rsidRDefault="00F23FA7" w:rsidP="00174DAC">
      <w:pPr>
        <w:spacing w:after="0" w:line="240" w:lineRule="auto"/>
      </w:pPr>
      <w:r>
        <w:separator/>
      </w:r>
    </w:p>
  </w:endnote>
  <w:endnote w:type="continuationSeparator" w:id="0">
    <w:p w:rsidR="00F23FA7" w:rsidRDefault="00F23FA7" w:rsidP="0017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966" w:rsidRDefault="00202966" w:rsidP="00704E08">
    <w:pPr>
      <w:pStyle w:val="Footer"/>
      <w:tabs>
        <w:tab w:val="clear" w:pos="4153"/>
        <w:tab w:val="clear" w:pos="8306"/>
      </w:tabs>
      <w:jc w:val="both"/>
      <w:rPr>
        <w:rFonts w:ascii="Times New Roman" w:hAnsi="Times New Roman" w:cs="Times New Roman"/>
        <w:sz w:val="20"/>
      </w:rPr>
    </w:pPr>
  </w:p>
  <w:p w:rsidR="00383EDE" w:rsidRDefault="00174DAC" w:rsidP="00704E08">
    <w:pPr>
      <w:pStyle w:val="Footer"/>
      <w:tabs>
        <w:tab w:val="clear" w:pos="4153"/>
        <w:tab w:val="clear" w:pos="8306"/>
      </w:tabs>
      <w:jc w:val="both"/>
      <w:rPr>
        <w:rFonts w:ascii="Times New Roman" w:hAnsi="Times New Roman" w:cs="Times New Roman"/>
        <w:sz w:val="20"/>
      </w:rPr>
    </w:pPr>
    <w:r w:rsidRPr="00174DAC">
      <w:rPr>
        <w:rFonts w:ascii="Times New Roman" w:hAnsi="Times New Roman" w:cs="Times New Roman"/>
        <w:sz w:val="20"/>
      </w:rPr>
      <w:t>SAMAnot_271213_MK341gr; Ministru kabineta noteikumu projekta „Grozījumi Ministru kabineta 2012.gada 15.maija noteikumos Nr.341 „Kārtība, kādā nosaka un kompensē ar sabiedriskā transporta pakalpojumu sniegšanu saistītos zaudējumus un izdevumus un nosaka sabiedriskā transporta pakalpojuma tarifu”” sākotnējās ietekmes novērtējuma ziņojums (anotācija)</w:t>
    </w:r>
  </w:p>
  <w:p w:rsidR="00202966" w:rsidRDefault="00202966" w:rsidP="00704E08">
    <w:pPr>
      <w:pStyle w:val="Footer"/>
      <w:tabs>
        <w:tab w:val="clear" w:pos="4153"/>
        <w:tab w:val="clear" w:pos="8306"/>
      </w:tabs>
      <w:jc w:val="both"/>
      <w:rPr>
        <w:rFonts w:ascii="Times New Roman" w:hAnsi="Times New Roman" w:cs="Times New Roman"/>
        <w:sz w:val="20"/>
      </w:rPr>
    </w:pPr>
  </w:p>
  <w:p w:rsidR="00202966" w:rsidRPr="00D568FC" w:rsidRDefault="00202966" w:rsidP="00704E08">
    <w:pPr>
      <w:pStyle w:val="Footer"/>
      <w:tabs>
        <w:tab w:val="clear" w:pos="4153"/>
        <w:tab w:val="clear" w:pos="8306"/>
      </w:tabs>
      <w:jc w:val="both"/>
      <w:rPr>
        <w:rFonts w:ascii="Times New Roman" w:hAnsi="Times New Roman" w:cs="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966" w:rsidRDefault="00202966" w:rsidP="00704E08">
    <w:pPr>
      <w:pStyle w:val="Footer"/>
      <w:tabs>
        <w:tab w:val="clear" w:pos="4153"/>
        <w:tab w:val="clear" w:pos="8306"/>
      </w:tabs>
      <w:jc w:val="both"/>
      <w:rPr>
        <w:rFonts w:ascii="Times New Roman" w:hAnsi="Times New Roman" w:cs="Times New Roman"/>
        <w:sz w:val="20"/>
      </w:rPr>
    </w:pPr>
  </w:p>
  <w:p w:rsidR="00383EDE" w:rsidRDefault="00174DAC" w:rsidP="00704E08">
    <w:pPr>
      <w:pStyle w:val="Footer"/>
      <w:tabs>
        <w:tab w:val="clear" w:pos="4153"/>
        <w:tab w:val="clear" w:pos="8306"/>
      </w:tabs>
      <w:jc w:val="both"/>
      <w:rPr>
        <w:rFonts w:ascii="Times New Roman" w:hAnsi="Times New Roman" w:cs="Times New Roman"/>
        <w:sz w:val="20"/>
      </w:rPr>
    </w:pPr>
    <w:r w:rsidRPr="00174DAC">
      <w:rPr>
        <w:rFonts w:ascii="Times New Roman" w:hAnsi="Times New Roman" w:cs="Times New Roman"/>
        <w:sz w:val="20"/>
      </w:rPr>
      <w:t>SAMAnot_271213_MK341gr; Ministru kabineta noteikumu projekta „Grozījumi Ministru kabineta 2012.gada 15.maija noteikumos Nr.341 „Kārtība, kādā nosaka un kompensē ar sabiedriskā transporta pakalpojumu sniegšanu saistītos zaudējumus un izdevumus un nosaka sabiedriskā transporta pakalpojuma tarifu”” sākotnējās ietekmes novērtējuma ziņojums (anotācija)</w:t>
    </w:r>
  </w:p>
  <w:p w:rsidR="00202966" w:rsidRDefault="00202966" w:rsidP="00704E08">
    <w:pPr>
      <w:pStyle w:val="Footer"/>
      <w:tabs>
        <w:tab w:val="clear" w:pos="4153"/>
        <w:tab w:val="clear" w:pos="8306"/>
      </w:tabs>
      <w:jc w:val="both"/>
      <w:rPr>
        <w:rFonts w:ascii="Times New Roman" w:hAnsi="Times New Roman" w:cs="Times New Roman"/>
        <w:sz w:val="20"/>
      </w:rPr>
    </w:pPr>
  </w:p>
  <w:p w:rsidR="00202966" w:rsidRPr="00D568FC" w:rsidRDefault="00202966" w:rsidP="00704E08">
    <w:pPr>
      <w:pStyle w:val="Footer"/>
      <w:tabs>
        <w:tab w:val="clear" w:pos="4153"/>
        <w:tab w:val="clear" w:pos="8306"/>
      </w:tabs>
      <w:jc w:val="both"/>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FA7" w:rsidRDefault="00F23FA7" w:rsidP="00174DAC">
      <w:pPr>
        <w:spacing w:after="0" w:line="240" w:lineRule="auto"/>
      </w:pPr>
      <w:r>
        <w:separator/>
      </w:r>
    </w:p>
  </w:footnote>
  <w:footnote w:type="continuationSeparator" w:id="0">
    <w:p w:rsidR="00F23FA7" w:rsidRDefault="00F23FA7" w:rsidP="00174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DE" w:rsidRDefault="00174DAC" w:rsidP="00704E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3EDE" w:rsidRDefault="00F23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423191"/>
      <w:docPartObj>
        <w:docPartGallery w:val="Page Numbers (Top of Page)"/>
        <w:docPartUnique/>
      </w:docPartObj>
    </w:sdtPr>
    <w:sdtEndPr/>
    <w:sdtContent>
      <w:p w:rsidR="00383EDE" w:rsidRDefault="00174DAC" w:rsidP="00D568FC">
        <w:pPr>
          <w:pStyle w:val="Header"/>
          <w:jc w:val="center"/>
        </w:pPr>
        <w:r>
          <w:fldChar w:fldCharType="begin"/>
        </w:r>
        <w:r>
          <w:instrText xml:space="preserve"> PAGE   \* MERGEFORMAT </w:instrText>
        </w:r>
        <w:r>
          <w:fldChar w:fldCharType="separate"/>
        </w:r>
        <w:r w:rsidR="0034466E">
          <w:rPr>
            <w:noProof/>
          </w:rPr>
          <w:t>10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67BC"/>
    <w:multiLevelType w:val="hybridMultilevel"/>
    <w:tmpl w:val="F7A077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6354A10"/>
    <w:multiLevelType w:val="hybridMultilevel"/>
    <w:tmpl w:val="1A12641E"/>
    <w:lvl w:ilvl="0" w:tplc="0409000F">
      <w:start w:val="1"/>
      <w:numFmt w:val="decimal"/>
      <w:lvlText w:val="%1."/>
      <w:lvlJc w:val="left"/>
      <w:pPr>
        <w:ind w:left="390" w:hanging="360"/>
      </w:pPr>
      <w:rPr>
        <w:rFonts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728B1696"/>
    <w:multiLevelType w:val="hybridMultilevel"/>
    <w:tmpl w:val="40C2C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AC"/>
    <w:rsid w:val="00174DAC"/>
    <w:rsid w:val="001C410E"/>
    <w:rsid w:val="00202966"/>
    <w:rsid w:val="0034466E"/>
    <w:rsid w:val="004A3BF3"/>
    <w:rsid w:val="00850772"/>
    <w:rsid w:val="00A95409"/>
    <w:rsid w:val="00C26CCC"/>
    <w:rsid w:val="00CD2471"/>
    <w:rsid w:val="00D20053"/>
    <w:rsid w:val="00D568FC"/>
    <w:rsid w:val="00EC385B"/>
    <w:rsid w:val="00F23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D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4DAC"/>
  </w:style>
  <w:style w:type="paragraph" w:styleId="Footer">
    <w:name w:val="footer"/>
    <w:basedOn w:val="Normal"/>
    <w:link w:val="FooterChar"/>
    <w:uiPriority w:val="99"/>
    <w:unhideWhenUsed/>
    <w:rsid w:val="00174D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4DAC"/>
  </w:style>
  <w:style w:type="character" w:styleId="PageNumber">
    <w:name w:val="page number"/>
    <w:basedOn w:val="DefaultParagraphFont"/>
    <w:rsid w:val="00174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D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4DAC"/>
  </w:style>
  <w:style w:type="paragraph" w:styleId="Footer">
    <w:name w:val="footer"/>
    <w:basedOn w:val="Normal"/>
    <w:link w:val="FooterChar"/>
    <w:uiPriority w:val="99"/>
    <w:unhideWhenUsed/>
    <w:rsid w:val="00174D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4DAC"/>
  </w:style>
  <w:style w:type="character" w:styleId="PageNumber">
    <w:name w:val="page number"/>
    <w:basedOn w:val="DefaultParagraphFont"/>
    <w:rsid w:val="0017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90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Mince@atd.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13810</Words>
  <Characters>7873</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15.maija noteikumos Nr.341 „Kārtība, kādā nosaka un kompensē ar sabiedriskā transporta pakalpojumu sniegšanu saistītos zaudējumus un izdevumus un nosaka sabiedriskā transporta pakalpojuma tarifu</dc:title>
  <dc:creator>Sanita Mince</dc:creator>
  <cp:lastModifiedBy>Baiba Šterna</cp:lastModifiedBy>
  <cp:revision>7</cp:revision>
  <dcterms:created xsi:type="dcterms:W3CDTF">2013-12-28T07:04:00Z</dcterms:created>
  <dcterms:modified xsi:type="dcterms:W3CDTF">2014-01-03T11:34:00Z</dcterms:modified>
</cp:coreProperties>
</file>