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055D8" w14:textId="77777777" w:rsidR="008F6A92" w:rsidRPr="00F5458C" w:rsidRDefault="008F6A92" w:rsidP="00752ED2">
      <w:pPr>
        <w:tabs>
          <w:tab w:val="left" w:pos="6804"/>
        </w:tabs>
        <w:spacing w:after="0" w:line="240" w:lineRule="auto"/>
        <w:jc w:val="both"/>
        <w:rPr>
          <w:rFonts w:ascii="Times New Roman" w:hAnsi="Times New Roman"/>
          <w:sz w:val="28"/>
          <w:szCs w:val="28"/>
          <w:lang w:val="de-DE"/>
        </w:rPr>
      </w:pPr>
    </w:p>
    <w:p w14:paraId="63EA431E" w14:textId="77777777" w:rsidR="008F6A92" w:rsidRPr="00F5458C" w:rsidRDefault="008F6A92" w:rsidP="00752ED2">
      <w:pPr>
        <w:tabs>
          <w:tab w:val="left" w:pos="6663"/>
        </w:tabs>
        <w:spacing w:after="0" w:line="240" w:lineRule="auto"/>
        <w:rPr>
          <w:rFonts w:ascii="Times New Roman" w:hAnsi="Times New Roman"/>
          <w:sz w:val="28"/>
          <w:szCs w:val="28"/>
        </w:rPr>
      </w:pPr>
    </w:p>
    <w:p w14:paraId="2D1DB549" w14:textId="77777777" w:rsidR="008F6A92" w:rsidRPr="00F5458C" w:rsidRDefault="008F6A92" w:rsidP="00752ED2">
      <w:pPr>
        <w:tabs>
          <w:tab w:val="left" w:pos="6663"/>
        </w:tabs>
        <w:spacing w:after="0" w:line="240" w:lineRule="auto"/>
        <w:rPr>
          <w:rFonts w:ascii="Times New Roman" w:hAnsi="Times New Roman"/>
          <w:sz w:val="28"/>
          <w:szCs w:val="28"/>
        </w:rPr>
      </w:pPr>
    </w:p>
    <w:p w14:paraId="67C06DC3" w14:textId="77777777" w:rsidR="008F6A92" w:rsidRPr="00F5458C" w:rsidRDefault="008F6A92" w:rsidP="00752ED2">
      <w:pPr>
        <w:tabs>
          <w:tab w:val="left" w:pos="6663"/>
        </w:tabs>
        <w:spacing w:after="0" w:line="240" w:lineRule="auto"/>
        <w:rPr>
          <w:rFonts w:ascii="Times New Roman" w:hAnsi="Times New Roman"/>
          <w:sz w:val="28"/>
          <w:szCs w:val="28"/>
        </w:rPr>
      </w:pPr>
    </w:p>
    <w:p w14:paraId="5C3FAD2D" w14:textId="77777777" w:rsidR="008F6A92" w:rsidRPr="00BB7049" w:rsidRDefault="008F6A92" w:rsidP="00752ED2">
      <w:pPr>
        <w:tabs>
          <w:tab w:val="left" w:pos="6663"/>
        </w:tabs>
        <w:spacing w:after="0" w:line="240" w:lineRule="auto"/>
        <w:rPr>
          <w:rFonts w:ascii="Times New Roman" w:hAnsi="Times New Roman"/>
          <w:sz w:val="28"/>
          <w:szCs w:val="28"/>
        </w:rPr>
      </w:pPr>
    </w:p>
    <w:p w14:paraId="11E3814D" w14:textId="3D41B286" w:rsidR="008F6A92" w:rsidRPr="00BB7049" w:rsidRDefault="008F6A92" w:rsidP="00752ED2">
      <w:pPr>
        <w:tabs>
          <w:tab w:val="left" w:pos="6663"/>
        </w:tabs>
        <w:spacing w:after="0" w:line="240" w:lineRule="auto"/>
        <w:rPr>
          <w:rFonts w:ascii="Times New Roman" w:hAnsi="Times New Roman"/>
          <w:sz w:val="28"/>
          <w:szCs w:val="28"/>
        </w:rPr>
      </w:pPr>
      <w:r w:rsidRPr="00BB7049">
        <w:rPr>
          <w:rFonts w:ascii="Times New Roman" w:hAnsi="Times New Roman"/>
          <w:sz w:val="28"/>
          <w:szCs w:val="28"/>
        </w:rPr>
        <w:t xml:space="preserve">2012.gada </w:t>
      </w:r>
      <w:r w:rsidR="000B49B9">
        <w:rPr>
          <w:rFonts w:ascii="Times New Roman" w:hAnsi="Times New Roman"/>
          <w:sz w:val="28"/>
          <w:szCs w:val="28"/>
        </w:rPr>
        <w:t xml:space="preserve"> 7.augustā</w:t>
      </w:r>
      <w:r w:rsidRPr="00BB7049">
        <w:rPr>
          <w:rFonts w:ascii="Times New Roman" w:hAnsi="Times New Roman"/>
          <w:sz w:val="28"/>
          <w:szCs w:val="28"/>
        </w:rPr>
        <w:tab/>
        <w:t>Noteikumi Nr.</w:t>
      </w:r>
      <w:r w:rsidR="000B49B9">
        <w:rPr>
          <w:rFonts w:ascii="Times New Roman" w:hAnsi="Times New Roman"/>
          <w:sz w:val="28"/>
          <w:szCs w:val="28"/>
        </w:rPr>
        <w:t>544</w:t>
      </w:r>
    </w:p>
    <w:p w14:paraId="5FE4144D" w14:textId="31F7DC01" w:rsidR="008F6A92" w:rsidRPr="00BB7049" w:rsidRDefault="008F6A92" w:rsidP="00752ED2">
      <w:pPr>
        <w:tabs>
          <w:tab w:val="left" w:pos="6663"/>
        </w:tabs>
        <w:spacing w:after="0" w:line="240" w:lineRule="auto"/>
        <w:rPr>
          <w:rFonts w:ascii="Times New Roman" w:hAnsi="Times New Roman"/>
        </w:rPr>
      </w:pPr>
      <w:r w:rsidRPr="00BB7049">
        <w:rPr>
          <w:rFonts w:ascii="Times New Roman" w:hAnsi="Times New Roman"/>
          <w:sz w:val="28"/>
          <w:szCs w:val="28"/>
        </w:rPr>
        <w:t>Rīgā</w:t>
      </w:r>
      <w:r w:rsidRPr="00BB7049">
        <w:rPr>
          <w:rFonts w:ascii="Times New Roman" w:hAnsi="Times New Roman"/>
          <w:sz w:val="28"/>
          <w:szCs w:val="28"/>
        </w:rPr>
        <w:tab/>
        <w:t>(prot. Nr.</w:t>
      </w:r>
      <w:r w:rsidR="000B49B9">
        <w:rPr>
          <w:rFonts w:ascii="Times New Roman" w:hAnsi="Times New Roman"/>
          <w:sz w:val="28"/>
          <w:szCs w:val="28"/>
        </w:rPr>
        <w:t>44</w:t>
      </w:r>
      <w:r w:rsidRPr="00BB7049">
        <w:rPr>
          <w:rFonts w:ascii="Times New Roman" w:hAnsi="Times New Roman"/>
          <w:sz w:val="28"/>
          <w:szCs w:val="28"/>
        </w:rPr>
        <w:t xml:space="preserve"> </w:t>
      </w:r>
      <w:r w:rsidR="000B49B9">
        <w:rPr>
          <w:rFonts w:ascii="Times New Roman" w:hAnsi="Times New Roman"/>
          <w:sz w:val="28"/>
          <w:szCs w:val="28"/>
        </w:rPr>
        <w:t>13</w:t>
      </w:r>
      <w:bookmarkStart w:id="0" w:name="_GoBack"/>
      <w:bookmarkEnd w:id="0"/>
      <w:r w:rsidRPr="00BB7049">
        <w:rPr>
          <w:rFonts w:ascii="Times New Roman" w:hAnsi="Times New Roman"/>
          <w:sz w:val="28"/>
          <w:szCs w:val="28"/>
        </w:rPr>
        <w:t>.§)</w:t>
      </w:r>
    </w:p>
    <w:p w14:paraId="785C2503" w14:textId="77777777" w:rsidR="00E654AD" w:rsidRPr="00BB7049" w:rsidRDefault="00E654AD" w:rsidP="008F6A92">
      <w:pPr>
        <w:spacing w:after="0" w:line="240" w:lineRule="auto"/>
        <w:ind w:right="-334"/>
        <w:jc w:val="both"/>
        <w:rPr>
          <w:rFonts w:ascii="Times New Roman" w:hAnsi="Times New Roman"/>
          <w:sz w:val="28"/>
          <w:szCs w:val="28"/>
        </w:rPr>
      </w:pPr>
    </w:p>
    <w:p w14:paraId="785C2504" w14:textId="23C0258C" w:rsidR="00E654AD" w:rsidRDefault="00E654AD" w:rsidP="00752ED2">
      <w:pPr>
        <w:spacing w:after="0" w:line="240" w:lineRule="auto"/>
        <w:ind w:right="-1"/>
        <w:jc w:val="center"/>
        <w:rPr>
          <w:rFonts w:ascii="Times New Roman" w:hAnsi="Times New Roman"/>
          <w:b/>
          <w:sz w:val="28"/>
          <w:szCs w:val="28"/>
        </w:rPr>
      </w:pPr>
      <w:r w:rsidRPr="00F75B6D">
        <w:rPr>
          <w:rFonts w:ascii="Times New Roman" w:hAnsi="Times New Roman"/>
          <w:b/>
          <w:sz w:val="28"/>
          <w:szCs w:val="28"/>
        </w:rPr>
        <w:t xml:space="preserve">Grozījumi Ministru kabineta 2009.gada 22.decembra noteikumos Nr.1494 </w:t>
      </w:r>
      <w:r w:rsidR="008F6A92">
        <w:rPr>
          <w:rFonts w:ascii="Times New Roman" w:hAnsi="Times New Roman"/>
          <w:b/>
          <w:sz w:val="28"/>
          <w:szCs w:val="28"/>
        </w:rPr>
        <w:t>"</w:t>
      </w:r>
      <w:r w:rsidRPr="00F75B6D">
        <w:rPr>
          <w:rFonts w:ascii="Times New Roman" w:hAnsi="Times New Roman"/>
          <w:b/>
          <w:sz w:val="28"/>
          <w:szCs w:val="28"/>
        </w:rPr>
        <w:t>Mopēdu, mehānisko transportlīdzekļu, to piekabju un sastāvdaļu atbilstības novērtēšanas noteikumi</w:t>
      </w:r>
      <w:r w:rsidR="008F6A92">
        <w:rPr>
          <w:rFonts w:ascii="Times New Roman" w:hAnsi="Times New Roman"/>
          <w:b/>
          <w:sz w:val="28"/>
          <w:szCs w:val="28"/>
        </w:rPr>
        <w:t>"</w:t>
      </w:r>
      <w:r>
        <w:rPr>
          <w:rFonts w:ascii="Times New Roman" w:hAnsi="Times New Roman"/>
          <w:b/>
          <w:sz w:val="28"/>
          <w:szCs w:val="28"/>
        </w:rPr>
        <w:t xml:space="preserve"> </w:t>
      </w:r>
    </w:p>
    <w:p w14:paraId="13E84E7E" w14:textId="77777777" w:rsidR="005421D6" w:rsidRPr="00F75B6D" w:rsidRDefault="005421D6" w:rsidP="00752ED2">
      <w:pPr>
        <w:spacing w:after="0" w:line="240" w:lineRule="auto"/>
        <w:ind w:right="-1"/>
        <w:jc w:val="center"/>
        <w:rPr>
          <w:rFonts w:ascii="Times New Roman" w:hAnsi="Times New Roman"/>
          <w:b/>
          <w:sz w:val="28"/>
          <w:szCs w:val="28"/>
        </w:rPr>
      </w:pPr>
    </w:p>
    <w:p w14:paraId="1D6D4181" w14:textId="77777777" w:rsidR="00752ED2" w:rsidRDefault="00E654AD" w:rsidP="00752ED2">
      <w:pPr>
        <w:spacing w:after="0" w:line="240" w:lineRule="auto"/>
        <w:ind w:right="-1"/>
        <w:jc w:val="right"/>
        <w:rPr>
          <w:rFonts w:ascii="Times New Roman" w:hAnsi="Times New Roman"/>
          <w:sz w:val="28"/>
          <w:szCs w:val="28"/>
          <w:lang w:eastAsia="lv-LV"/>
        </w:rPr>
      </w:pPr>
      <w:r w:rsidRPr="000D6F3F">
        <w:rPr>
          <w:rFonts w:ascii="Times New Roman" w:hAnsi="Times New Roman"/>
          <w:sz w:val="28"/>
          <w:szCs w:val="28"/>
          <w:lang w:eastAsia="lv-LV"/>
        </w:rPr>
        <w:t xml:space="preserve">Izdoti saskaņā ar </w:t>
      </w:r>
    </w:p>
    <w:p w14:paraId="785C2505" w14:textId="51FB4EDB" w:rsidR="00E654AD" w:rsidRDefault="00E654AD" w:rsidP="00752ED2">
      <w:pPr>
        <w:spacing w:after="0" w:line="240" w:lineRule="auto"/>
        <w:ind w:right="-1"/>
        <w:jc w:val="right"/>
        <w:rPr>
          <w:rFonts w:ascii="Times New Roman" w:hAnsi="Times New Roman"/>
          <w:sz w:val="28"/>
          <w:szCs w:val="28"/>
          <w:lang w:eastAsia="lv-LV"/>
        </w:rPr>
      </w:pPr>
      <w:r w:rsidRPr="000D6F3F">
        <w:rPr>
          <w:rFonts w:ascii="Times New Roman" w:hAnsi="Times New Roman"/>
          <w:sz w:val="28"/>
          <w:szCs w:val="28"/>
          <w:lang w:eastAsia="lv-LV"/>
        </w:rPr>
        <w:t xml:space="preserve">Ceļu satiksmes </w:t>
      </w:r>
      <w:r w:rsidR="00752ED2" w:rsidRPr="000D6F3F">
        <w:rPr>
          <w:rFonts w:ascii="Times New Roman" w:hAnsi="Times New Roman"/>
          <w:sz w:val="28"/>
          <w:szCs w:val="28"/>
          <w:lang w:eastAsia="lv-LV"/>
        </w:rPr>
        <w:t>likuma</w:t>
      </w:r>
    </w:p>
    <w:p w14:paraId="785C2506" w14:textId="5CBEC36C" w:rsidR="00E654AD" w:rsidRPr="000D6F3F" w:rsidRDefault="00E654AD" w:rsidP="00752ED2">
      <w:pPr>
        <w:spacing w:after="0" w:line="240" w:lineRule="auto"/>
        <w:ind w:right="-1"/>
        <w:jc w:val="right"/>
        <w:rPr>
          <w:rFonts w:ascii="Times New Roman" w:hAnsi="Times New Roman"/>
          <w:sz w:val="28"/>
          <w:szCs w:val="28"/>
        </w:rPr>
      </w:pPr>
      <w:r w:rsidRPr="000D6F3F">
        <w:rPr>
          <w:rFonts w:ascii="Times New Roman" w:hAnsi="Times New Roman"/>
          <w:sz w:val="28"/>
          <w:szCs w:val="28"/>
          <w:lang w:eastAsia="lv-LV"/>
        </w:rPr>
        <w:t>15.</w:t>
      </w:r>
      <w:r w:rsidRPr="000D6F3F">
        <w:rPr>
          <w:rFonts w:ascii="Times New Roman" w:hAnsi="Times New Roman"/>
          <w:sz w:val="28"/>
          <w:szCs w:val="28"/>
          <w:vertAlign w:val="superscript"/>
          <w:lang w:eastAsia="lv-LV"/>
        </w:rPr>
        <w:t>1</w:t>
      </w:r>
      <w:r w:rsidR="00752ED2">
        <w:rPr>
          <w:rFonts w:ascii="Times New Roman" w:hAnsi="Times New Roman"/>
          <w:sz w:val="28"/>
          <w:szCs w:val="28"/>
          <w:vertAlign w:val="superscript"/>
          <w:lang w:eastAsia="lv-LV"/>
        </w:rPr>
        <w:t> </w:t>
      </w:r>
      <w:r>
        <w:rPr>
          <w:rFonts w:ascii="Times New Roman" w:hAnsi="Times New Roman"/>
          <w:sz w:val="28"/>
          <w:szCs w:val="28"/>
          <w:lang w:eastAsia="lv-LV"/>
        </w:rPr>
        <w:t>panta ceturto daļu</w:t>
      </w:r>
    </w:p>
    <w:p w14:paraId="785C2507" w14:textId="77777777" w:rsidR="00E654AD" w:rsidRDefault="00E654AD" w:rsidP="00752ED2">
      <w:pPr>
        <w:spacing w:after="0" w:line="240" w:lineRule="auto"/>
        <w:ind w:right="-1"/>
        <w:jc w:val="both"/>
        <w:rPr>
          <w:rFonts w:ascii="Times New Roman" w:hAnsi="Times New Roman"/>
          <w:sz w:val="28"/>
          <w:szCs w:val="28"/>
        </w:rPr>
      </w:pPr>
    </w:p>
    <w:p w14:paraId="785C2508" w14:textId="07D5A3D6" w:rsidR="00E654AD" w:rsidRPr="00F75B6D" w:rsidRDefault="00E654AD" w:rsidP="00752ED2">
      <w:pPr>
        <w:spacing w:after="0" w:line="240" w:lineRule="auto"/>
        <w:ind w:right="-1" w:firstLine="720"/>
        <w:jc w:val="both"/>
        <w:rPr>
          <w:rFonts w:ascii="Times New Roman" w:hAnsi="Times New Roman"/>
          <w:sz w:val="28"/>
          <w:szCs w:val="28"/>
        </w:rPr>
      </w:pPr>
      <w:r w:rsidRPr="00F75B6D">
        <w:rPr>
          <w:rFonts w:ascii="Times New Roman" w:hAnsi="Times New Roman"/>
          <w:sz w:val="28"/>
          <w:szCs w:val="28"/>
        </w:rPr>
        <w:t xml:space="preserve">Izdarīt Ministru kabineta 2009.gada 22.decembra noteikumos Nr.1494 </w:t>
      </w:r>
      <w:r w:rsidR="008F6A92">
        <w:rPr>
          <w:rFonts w:ascii="Times New Roman" w:hAnsi="Times New Roman"/>
          <w:sz w:val="28"/>
          <w:szCs w:val="28"/>
        </w:rPr>
        <w:t>"</w:t>
      </w:r>
      <w:r w:rsidRPr="00F75B6D">
        <w:rPr>
          <w:rFonts w:ascii="Times New Roman" w:hAnsi="Times New Roman"/>
          <w:sz w:val="28"/>
          <w:szCs w:val="28"/>
        </w:rPr>
        <w:t>Mopēdu, mehānisko transportlīdzekļu, to piekabju un sastāvdaļu atbilstības novērtēšanas noteikumi</w:t>
      </w:r>
      <w:r w:rsidR="008F6A92">
        <w:rPr>
          <w:rFonts w:ascii="Times New Roman" w:hAnsi="Times New Roman"/>
          <w:sz w:val="28"/>
          <w:szCs w:val="28"/>
        </w:rPr>
        <w:t>"</w:t>
      </w:r>
      <w:r w:rsidRPr="00F75B6D">
        <w:rPr>
          <w:rFonts w:ascii="Times New Roman" w:hAnsi="Times New Roman"/>
          <w:sz w:val="28"/>
          <w:szCs w:val="28"/>
        </w:rPr>
        <w:t xml:space="preserve"> </w:t>
      </w:r>
      <w:r w:rsidRPr="000D4D50">
        <w:rPr>
          <w:rFonts w:ascii="Times New Roman" w:hAnsi="Times New Roman"/>
          <w:sz w:val="28"/>
          <w:szCs w:val="28"/>
        </w:rPr>
        <w:t>(Latvijas Vēstnesis, 2009, 206.nr.</w:t>
      </w:r>
      <w:r w:rsidR="00752ED2">
        <w:rPr>
          <w:rFonts w:ascii="Times New Roman" w:hAnsi="Times New Roman"/>
          <w:sz w:val="28"/>
          <w:szCs w:val="28"/>
        </w:rPr>
        <w:t>;</w:t>
      </w:r>
      <w:r w:rsidRPr="000D4D50">
        <w:rPr>
          <w:rFonts w:ascii="Times New Roman" w:hAnsi="Times New Roman"/>
          <w:sz w:val="28"/>
          <w:szCs w:val="28"/>
        </w:rPr>
        <w:t xml:space="preserve"> 2010, 174.nr.</w:t>
      </w:r>
      <w:r w:rsidR="00752ED2">
        <w:rPr>
          <w:rFonts w:ascii="Times New Roman" w:hAnsi="Times New Roman"/>
          <w:sz w:val="28"/>
          <w:szCs w:val="28"/>
        </w:rPr>
        <w:t>;</w:t>
      </w:r>
      <w:r w:rsidRPr="000D4D50">
        <w:rPr>
          <w:rFonts w:ascii="Times New Roman" w:hAnsi="Times New Roman"/>
          <w:sz w:val="28"/>
          <w:szCs w:val="28"/>
        </w:rPr>
        <w:t xml:space="preserve"> 2011, 60.nr.</w:t>
      </w:r>
      <w:r w:rsidR="00752ED2">
        <w:rPr>
          <w:rFonts w:ascii="Times New Roman" w:hAnsi="Times New Roman"/>
          <w:sz w:val="28"/>
          <w:szCs w:val="28"/>
        </w:rPr>
        <w:t>;</w:t>
      </w:r>
      <w:r w:rsidRPr="000D4D50">
        <w:rPr>
          <w:rFonts w:ascii="Times New Roman" w:hAnsi="Times New Roman"/>
          <w:sz w:val="28"/>
          <w:szCs w:val="28"/>
        </w:rPr>
        <w:t xml:space="preserve"> 2012, 38.nr.) šādus grozījumus:</w:t>
      </w:r>
    </w:p>
    <w:p w14:paraId="785C2509" w14:textId="77777777" w:rsidR="00E654AD" w:rsidRDefault="00E654AD" w:rsidP="00752ED2">
      <w:pPr>
        <w:spacing w:after="0" w:line="240" w:lineRule="auto"/>
        <w:ind w:right="-1" w:firstLine="720"/>
        <w:jc w:val="both"/>
        <w:rPr>
          <w:rFonts w:ascii="Times New Roman" w:hAnsi="Times New Roman"/>
          <w:sz w:val="28"/>
          <w:szCs w:val="28"/>
        </w:rPr>
      </w:pPr>
    </w:p>
    <w:p w14:paraId="785C250A" w14:textId="77777777" w:rsidR="00E654AD" w:rsidRDefault="00E654AD" w:rsidP="00752ED2">
      <w:pPr>
        <w:spacing w:after="0" w:line="240" w:lineRule="auto"/>
        <w:ind w:right="-1" w:firstLine="720"/>
        <w:jc w:val="both"/>
        <w:rPr>
          <w:rFonts w:ascii="Times New Roman" w:hAnsi="Times New Roman"/>
          <w:sz w:val="28"/>
          <w:szCs w:val="28"/>
        </w:rPr>
      </w:pPr>
      <w:r w:rsidRPr="000F5FA1">
        <w:rPr>
          <w:rFonts w:ascii="Times New Roman" w:hAnsi="Times New Roman"/>
          <w:sz w:val="28"/>
          <w:szCs w:val="28"/>
        </w:rPr>
        <w:t>1. Izteikt 73.punktu šādā redakcijā:</w:t>
      </w:r>
    </w:p>
    <w:p w14:paraId="4BEBCA0E" w14:textId="77777777" w:rsidR="008F6A92" w:rsidRPr="000F5FA1" w:rsidRDefault="008F6A92" w:rsidP="00752ED2">
      <w:pPr>
        <w:spacing w:after="0" w:line="240" w:lineRule="auto"/>
        <w:ind w:right="-1" w:firstLine="720"/>
        <w:jc w:val="both"/>
        <w:rPr>
          <w:rFonts w:ascii="Times New Roman" w:hAnsi="Times New Roman"/>
          <w:sz w:val="28"/>
          <w:szCs w:val="28"/>
        </w:rPr>
      </w:pPr>
    </w:p>
    <w:p w14:paraId="785C250B" w14:textId="750642A1" w:rsidR="00E654AD" w:rsidRDefault="008F6A92" w:rsidP="00752ED2">
      <w:pPr>
        <w:spacing w:after="0" w:line="240" w:lineRule="auto"/>
        <w:ind w:right="-1" w:firstLine="720"/>
        <w:jc w:val="both"/>
        <w:rPr>
          <w:rFonts w:ascii="Times New Roman" w:hAnsi="Times New Roman"/>
          <w:sz w:val="28"/>
          <w:szCs w:val="28"/>
        </w:rPr>
      </w:pPr>
      <w:r>
        <w:rPr>
          <w:rFonts w:ascii="Times New Roman" w:hAnsi="Times New Roman"/>
          <w:sz w:val="28"/>
          <w:szCs w:val="28"/>
        </w:rPr>
        <w:t>"</w:t>
      </w:r>
      <w:r w:rsidR="00E654AD" w:rsidRPr="000F5FA1">
        <w:rPr>
          <w:rFonts w:ascii="Times New Roman" w:hAnsi="Times New Roman"/>
          <w:sz w:val="28"/>
          <w:szCs w:val="28"/>
        </w:rPr>
        <w:t xml:space="preserve">73. No 2012.gada 26.februāra jauniem pabeigtiem M1 un N1 kategorijas transportlīdzekļiem, kas izgatavoti lielās sērijās trešajās valstīs vai trešo valstu tirgum, pēc transportlīdzekļa īpašnieka, izgatavotāja vai tā pārstāvja izvēles veic </w:t>
      </w:r>
      <w:r w:rsidR="00752ED2" w:rsidRPr="000F5FA1">
        <w:rPr>
          <w:rFonts w:ascii="Times New Roman" w:hAnsi="Times New Roman"/>
          <w:sz w:val="28"/>
          <w:szCs w:val="28"/>
        </w:rPr>
        <w:t xml:space="preserve">individuālo valsts apstiprināšanu </w:t>
      </w:r>
      <w:r w:rsidR="00752ED2">
        <w:rPr>
          <w:rFonts w:ascii="Times New Roman" w:hAnsi="Times New Roman"/>
          <w:sz w:val="28"/>
          <w:szCs w:val="28"/>
        </w:rPr>
        <w:t xml:space="preserve">vai </w:t>
      </w:r>
      <w:r w:rsidR="00E654AD" w:rsidRPr="000F5FA1">
        <w:rPr>
          <w:rFonts w:ascii="Times New Roman" w:hAnsi="Times New Roman"/>
          <w:sz w:val="28"/>
          <w:szCs w:val="28"/>
        </w:rPr>
        <w:t>individuālo EK apstiprināšanu atbilstoši Komisijas 2011.gada 22.februāra Regulai (ES) Nr.183/2011, ar kuru groza IV un VI pielikumu Eiropas Parlamenta un Padomes Direktīvai 2007/46/EK, ar ko izveido sistēmu mehānisko transportlīdzekļu un to piekabju, kā arī tādiem transportlīdzekļiem paredzētu sistēmu, sastāvdaļu un atsevišķu tehnisku vienību apstiprināšanai (pamatdirektīva)</w:t>
      </w:r>
      <w:r w:rsidR="00E654AD">
        <w:rPr>
          <w:rFonts w:ascii="Times New Roman" w:hAnsi="Times New Roman"/>
          <w:sz w:val="28"/>
          <w:szCs w:val="28"/>
        </w:rPr>
        <w:t xml:space="preserve"> (turpmāk – Regula Nr.183/2011)</w:t>
      </w:r>
      <w:r w:rsidR="00E654AD" w:rsidRPr="000F5FA1">
        <w:rPr>
          <w:rFonts w:ascii="Times New Roman" w:hAnsi="Times New Roman"/>
          <w:sz w:val="28"/>
          <w:szCs w:val="28"/>
        </w:rPr>
        <w:t>.</w:t>
      </w:r>
      <w:r>
        <w:rPr>
          <w:rFonts w:ascii="Times New Roman" w:hAnsi="Times New Roman"/>
          <w:sz w:val="28"/>
          <w:szCs w:val="28"/>
        </w:rPr>
        <w:t>"</w:t>
      </w:r>
    </w:p>
    <w:p w14:paraId="1C5A45A4" w14:textId="77777777" w:rsidR="00752ED2" w:rsidRDefault="00752ED2" w:rsidP="00752ED2">
      <w:pPr>
        <w:spacing w:after="0" w:line="240" w:lineRule="auto"/>
        <w:ind w:right="-1" w:firstLine="720"/>
        <w:jc w:val="both"/>
        <w:rPr>
          <w:rFonts w:ascii="Times New Roman" w:hAnsi="Times New Roman"/>
          <w:sz w:val="28"/>
          <w:szCs w:val="28"/>
        </w:rPr>
      </w:pPr>
    </w:p>
    <w:p w14:paraId="0CD461EA" w14:textId="00C2FE3C" w:rsidR="00752ED2" w:rsidRDefault="00752ED2" w:rsidP="00752ED2">
      <w:pPr>
        <w:spacing w:after="0" w:line="240" w:lineRule="auto"/>
        <w:ind w:right="-1" w:firstLine="720"/>
        <w:jc w:val="both"/>
        <w:rPr>
          <w:rFonts w:ascii="Times New Roman" w:hAnsi="Times New Roman"/>
          <w:sz w:val="28"/>
          <w:szCs w:val="28"/>
        </w:rPr>
      </w:pPr>
      <w:r w:rsidRPr="000F5574">
        <w:rPr>
          <w:rFonts w:ascii="Times New Roman" w:hAnsi="Times New Roman"/>
          <w:sz w:val="28"/>
          <w:szCs w:val="28"/>
        </w:rPr>
        <w:t>2. Izteikt 11.pielikuma I</w:t>
      </w:r>
      <w:r>
        <w:rPr>
          <w:rFonts w:ascii="Times New Roman" w:hAnsi="Times New Roman"/>
          <w:sz w:val="28"/>
          <w:szCs w:val="28"/>
        </w:rPr>
        <w:t xml:space="preserve"> </w:t>
      </w:r>
      <w:r w:rsidRPr="000F5574">
        <w:rPr>
          <w:rFonts w:ascii="Times New Roman" w:hAnsi="Times New Roman"/>
          <w:sz w:val="28"/>
          <w:szCs w:val="28"/>
        </w:rPr>
        <w:t xml:space="preserve">nodaļas tabulas ceturtās ailes </w:t>
      </w:r>
      <w:r w:rsidR="0036361B">
        <w:rPr>
          <w:rFonts w:ascii="Times New Roman" w:hAnsi="Times New Roman"/>
          <w:sz w:val="28"/>
          <w:szCs w:val="28"/>
        </w:rPr>
        <w:t>nosaukumu</w:t>
      </w:r>
      <w:r w:rsidRPr="000F5574">
        <w:rPr>
          <w:rFonts w:ascii="Times New Roman" w:hAnsi="Times New Roman"/>
          <w:sz w:val="28"/>
          <w:szCs w:val="28"/>
        </w:rPr>
        <w:t xml:space="preserve"> šādā redakcijā:</w:t>
      </w:r>
    </w:p>
    <w:p w14:paraId="4ABCFCFD" w14:textId="77777777" w:rsidR="00752ED2" w:rsidRPr="000F5574" w:rsidRDefault="00752ED2" w:rsidP="00752ED2">
      <w:pPr>
        <w:spacing w:after="0" w:line="240" w:lineRule="auto"/>
        <w:ind w:right="-1" w:firstLine="720"/>
        <w:jc w:val="both"/>
        <w:rPr>
          <w:rFonts w:ascii="Times New Roman" w:hAnsi="Times New Roman"/>
          <w:sz w:val="28"/>
          <w:szCs w:val="28"/>
        </w:rPr>
      </w:pPr>
    </w:p>
    <w:p w14:paraId="0B1F3217" w14:textId="3D5671CB" w:rsidR="00752ED2" w:rsidRDefault="00752ED2" w:rsidP="00752ED2">
      <w:pPr>
        <w:spacing w:after="0" w:line="240" w:lineRule="auto"/>
        <w:ind w:right="-1" w:firstLine="720"/>
        <w:jc w:val="both"/>
        <w:rPr>
          <w:rFonts w:ascii="Times New Roman" w:hAnsi="Times New Roman"/>
          <w:sz w:val="28"/>
          <w:szCs w:val="28"/>
        </w:rPr>
      </w:pPr>
      <w:r>
        <w:rPr>
          <w:rFonts w:ascii="Times New Roman" w:hAnsi="Times New Roman"/>
          <w:sz w:val="28"/>
          <w:szCs w:val="28"/>
        </w:rPr>
        <w:t>"</w:t>
      </w:r>
      <w:r w:rsidRPr="00CF7A17">
        <w:rPr>
          <w:rFonts w:ascii="Times New Roman" w:hAnsi="Times New Roman"/>
          <w:sz w:val="28"/>
          <w:szCs w:val="28"/>
        </w:rPr>
        <w:t>Pilns direktīvas/regulas</w:t>
      </w:r>
      <w:r w:rsidRPr="000F5574">
        <w:rPr>
          <w:rFonts w:ascii="Times New Roman" w:hAnsi="Times New Roman"/>
          <w:sz w:val="28"/>
          <w:szCs w:val="28"/>
        </w:rPr>
        <w:t xml:space="preserve"> nosaukums un Eiropas Savienības Oficiālā Vēstneša publikācijas dati</w:t>
      </w:r>
      <w:r>
        <w:rPr>
          <w:rFonts w:ascii="Times New Roman" w:hAnsi="Times New Roman"/>
          <w:sz w:val="28"/>
          <w:szCs w:val="28"/>
        </w:rPr>
        <w:t>"</w:t>
      </w:r>
      <w:r w:rsidRPr="000F5574">
        <w:rPr>
          <w:rFonts w:ascii="Times New Roman" w:hAnsi="Times New Roman"/>
          <w:sz w:val="28"/>
          <w:szCs w:val="28"/>
        </w:rPr>
        <w:t>.</w:t>
      </w:r>
    </w:p>
    <w:p w14:paraId="785C250C" w14:textId="77777777" w:rsidR="00E654AD" w:rsidRDefault="00E654AD" w:rsidP="008F6A92">
      <w:pPr>
        <w:spacing w:after="0" w:line="240" w:lineRule="auto"/>
        <w:ind w:right="-334"/>
        <w:jc w:val="both"/>
        <w:rPr>
          <w:rFonts w:ascii="Times New Roman" w:hAnsi="Times New Roman"/>
          <w:sz w:val="28"/>
          <w:szCs w:val="28"/>
        </w:rPr>
        <w:sectPr w:rsidR="00E654AD" w:rsidSect="008F6A92">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pPr>
    </w:p>
    <w:p w14:paraId="785C2511" w14:textId="77777777" w:rsidR="00E654AD" w:rsidRDefault="00E654AD" w:rsidP="008F6A92">
      <w:pPr>
        <w:spacing w:after="0" w:line="240" w:lineRule="auto"/>
        <w:ind w:firstLine="720"/>
        <w:jc w:val="both"/>
        <w:rPr>
          <w:rFonts w:ascii="Times New Roman" w:hAnsi="Times New Roman"/>
          <w:sz w:val="28"/>
          <w:szCs w:val="28"/>
        </w:rPr>
      </w:pPr>
    </w:p>
    <w:p w14:paraId="785C2512" w14:textId="38054517" w:rsidR="00E654AD" w:rsidRDefault="00E654AD" w:rsidP="008F6A92">
      <w:pPr>
        <w:spacing w:after="0" w:line="240" w:lineRule="auto"/>
        <w:ind w:firstLine="720"/>
        <w:jc w:val="both"/>
        <w:rPr>
          <w:rFonts w:ascii="Times New Roman" w:hAnsi="Times New Roman"/>
          <w:sz w:val="28"/>
          <w:szCs w:val="28"/>
        </w:rPr>
      </w:pPr>
      <w:r>
        <w:rPr>
          <w:rFonts w:ascii="Times New Roman" w:hAnsi="Times New Roman"/>
          <w:sz w:val="28"/>
          <w:szCs w:val="28"/>
        </w:rPr>
        <w:t>3</w:t>
      </w:r>
      <w:r w:rsidRPr="00874E40">
        <w:rPr>
          <w:rFonts w:ascii="Times New Roman" w:hAnsi="Times New Roman"/>
          <w:sz w:val="28"/>
          <w:szCs w:val="28"/>
        </w:rPr>
        <w:t xml:space="preserve">. Papildināt 11.pielikuma </w:t>
      </w:r>
      <w:r>
        <w:rPr>
          <w:rFonts w:ascii="Times New Roman" w:hAnsi="Times New Roman"/>
          <w:sz w:val="28"/>
          <w:szCs w:val="28"/>
        </w:rPr>
        <w:t xml:space="preserve">I </w:t>
      </w:r>
      <w:r w:rsidRPr="00874E40">
        <w:rPr>
          <w:rFonts w:ascii="Times New Roman" w:hAnsi="Times New Roman"/>
          <w:sz w:val="28"/>
          <w:szCs w:val="28"/>
        </w:rPr>
        <w:t xml:space="preserve">nodaļas tabulu ar </w:t>
      </w:r>
      <w:r>
        <w:rPr>
          <w:rFonts w:ascii="Times New Roman" w:hAnsi="Times New Roman"/>
          <w:sz w:val="28"/>
          <w:szCs w:val="28"/>
        </w:rPr>
        <w:t>63.</w:t>
      </w:r>
      <w:r w:rsidR="00BD57E6">
        <w:rPr>
          <w:rFonts w:ascii="Times New Roman" w:hAnsi="Times New Roman"/>
          <w:sz w:val="28"/>
          <w:szCs w:val="28"/>
        </w:rPr>
        <w:t>a</w:t>
      </w:r>
      <w:r w:rsidR="0036361B">
        <w:rPr>
          <w:rFonts w:ascii="Times New Roman" w:hAnsi="Times New Roman"/>
          <w:sz w:val="28"/>
          <w:szCs w:val="28"/>
        </w:rPr>
        <w:t> </w:t>
      </w:r>
      <w:r w:rsidRPr="00874E40">
        <w:rPr>
          <w:rFonts w:ascii="Times New Roman" w:hAnsi="Times New Roman"/>
          <w:sz w:val="28"/>
          <w:szCs w:val="28"/>
        </w:rPr>
        <w:t>punktu šādā redakcijā:</w:t>
      </w:r>
    </w:p>
    <w:p w14:paraId="42CFF7F9" w14:textId="77777777" w:rsidR="008F6A92" w:rsidRDefault="008F6A92" w:rsidP="008F6A92">
      <w:pPr>
        <w:spacing w:after="0" w:line="240" w:lineRule="auto"/>
        <w:ind w:firstLine="720"/>
        <w:jc w:val="both"/>
        <w:rPr>
          <w:rFonts w:ascii="Times New Roman" w:hAnsi="Times New Roman"/>
          <w:sz w:val="28"/>
          <w:szCs w:val="28"/>
        </w:rPr>
      </w:pPr>
    </w:p>
    <w:tbl>
      <w:tblPr>
        <w:tblW w:w="1490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3208"/>
        <w:gridCol w:w="1418"/>
        <w:gridCol w:w="4938"/>
        <w:gridCol w:w="410"/>
        <w:gridCol w:w="411"/>
        <w:gridCol w:w="411"/>
        <w:gridCol w:w="411"/>
        <w:gridCol w:w="411"/>
        <w:gridCol w:w="411"/>
        <w:gridCol w:w="411"/>
        <w:gridCol w:w="411"/>
        <w:gridCol w:w="411"/>
        <w:gridCol w:w="411"/>
        <w:gridCol w:w="411"/>
      </w:tblGrid>
      <w:tr w:rsidR="0036361B" w:rsidRPr="00266922" w14:paraId="785C2523" w14:textId="77777777" w:rsidTr="0036361B">
        <w:tc>
          <w:tcPr>
            <w:tcW w:w="816" w:type="dxa"/>
          </w:tcPr>
          <w:p w14:paraId="785C2513" w14:textId="368FD682" w:rsidR="0036361B" w:rsidRPr="000E1960" w:rsidRDefault="0036361B" w:rsidP="00BD57E6">
            <w:pPr>
              <w:spacing w:after="0" w:line="240" w:lineRule="auto"/>
              <w:ind w:left="-108" w:right="-108" w:hanging="4"/>
              <w:jc w:val="center"/>
              <w:rPr>
                <w:rFonts w:ascii="Times New Roman" w:hAnsi="Times New Roman"/>
                <w:sz w:val="24"/>
                <w:szCs w:val="24"/>
              </w:rPr>
            </w:pPr>
            <w:r>
              <w:rPr>
                <w:rFonts w:ascii="Times New Roman" w:hAnsi="Times New Roman"/>
                <w:sz w:val="24"/>
                <w:szCs w:val="24"/>
              </w:rPr>
              <w:t>"63.</w:t>
            </w:r>
            <w:r w:rsidR="00BD57E6">
              <w:rPr>
                <w:rFonts w:ascii="Times New Roman" w:hAnsi="Times New Roman"/>
                <w:sz w:val="24"/>
                <w:szCs w:val="24"/>
              </w:rPr>
              <w:t>a</w:t>
            </w:r>
          </w:p>
        </w:tc>
        <w:tc>
          <w:tcPr>
            <w:tcW w:w="3208" w:type="dxa"/>
          </w:tcPr>
          <w:p w14:paraId="785C2514" w14:textId="4D2D4FDE" w:rsidR="0036361B" w:rsidRPr="000E1960" w:rsidRDefault="0036361B" w:rsidP="008F6A92">
            <w:pPr>
              <w:spacing w:after="0" w:line="240" w:lineRule="auto"/>
              <w:rPr>
                <w:rFonts w:ascii="Times New Roman" w:hAnsi="Times New Roman"/>
                <w:sz w:val="24"/>
              </w:rPr>
            </w:pPr>
            <w:r>
              <w:rPr>
                <w:rFonts w:ascii="Times New Roman" w:hAnsi="Times New Roman"/>
                <w:sz w:val="24"/>
              </w:rPr>
              <w:t>Pārnesumu</w:t>
            </w:r>
            <w:r w:rsidRPr="000E1960">
              <w:rPr>
                <w:rFonts w:ascii="Times New Roman" w:hAnsi="Times New Roman"/>
                <w:sz w:val="24"/>
              </w:rPr>
              <w:t xml:space="preserve"> pārslēgšanas indikatori</w:t>
            </w:r>
          </w:p>
        </w:tc>
        <w:tc>
          <w:tcPr>
            <w:tcW w:w="1418" w:type="dxa"/>
          </w:tcPr>
          <w:p w14:paraId="785C2515" w14:textId="77777777" w:rsidR="0036361B" w:rsidRPr="000E1960" w:rsidRDefault="0036361B" w:rsidP="0036361B">
            <w:pPr>
              <w:spacing w:after="0" w:line="240" w:lineRule="auto"/>
              <w:ind w:left="-108" w:right="-125"/>
              <w:rPr>
                <w:rFonts w:ascii="Times New Roman" w:hAnsi="Times New Roman"/>
                <w:sz w:val="24"/>
              </w:rPr>
            </w:pPr>
            <w:r w:rsidRPr="000E1960">
              <w:rPr>
                <w:rFonts w:ascii="Times New Roman" w:hAnsi="Times New Roman"/>
                <w:sz w:val="24"/>
              </w:rPr>
              <w:t>Regula (ES)</w:t>
            </w:r>
          </w:p>
          <w:p w14:paraId="785C2516" w14:textId="77777777" w:rsidR="0036361B" w:rsidRPr="000E1960" w:rsidRDefault="0036361B" w:rsidP="0036361B">
            <w:pPr>
              <w:autoSpaceDE w:val="0"/>
              <w:autoSpaceDN w:val="0"/>
              <w:adjustRightInd w:val="0"/>
              <w:spacing w:after="0" w:line="240" w:lineRule="auto"/>
              <w:ind w:hanging="108"/>
              <w:rPr>
                <w:rFonts w:ascii="Times New Roman" w:hAnsi="Times New Roman"/>
                <w:sz w:val="24"/>
                <w:lang w:val="en-US"/>
              </w:rPr>
            </w:pPr>
            <w:r w:rsidRPr="000E1960">
              <w:rPr>
                <w:rFonts w:ascii="Times New Roman" w:hAnsi="Times New Roman"/>
                <w:sz w:val="24"/>
              </w:rPr>
              <w:t>Nr.65/2012</w:t>
            </w:r>
          </w:p>
        </w:tc>
        <w:tc>
          <w:tcPr>
            <w:tcW w:w="4938" w:type="dxa"/>
          </w:tcPr>
          <w:p w14:paraId="785C2517" w14:textId="59CB4CE4" w:rsidR="0036361B" w:rsidRPr="000E1960" w:rsidRDefault="0036361B" w:rsidP="0036361B">
            <w:pPr>
              <w:spacing w:after="0" w:line="240" w:lineRule="auto"/>
              <w:ind w:left="33" w:right="-125"/>
              <w:rPr>
                <w:rFonts w:ascii="Times New Roman" w:hAnsi="Times New Roman"/>
                <w:sz w:val="24"/>
              </w:rPr>
            </w:pPr>
            <w:r>
              <w:rPr>
                <w:rFonts w:ascii="Times New Roman" w:hAnsi="Times New Roman"/>
                <w:bCs/>
                <w:sz w:val="24"/>
              </w:rPr>
              <w:t>Komisijas 2012.gada 24.janvāra Regula (ES) Nr.</w:t>
            </w:r>
            <w:r w:rsidRPr="000E1960">
              <w:rPr>
                <w:rFonts w:ascii="Times New Roman" w:hAnsi="Times New Roman"/>
                <w:bCs/>
                <w:sz w:val="24"/>
              </w:rPr>
              <w:t>65/2012, ar ko īsteno Eiropas Parlam</w:t>
            </w:r>
            <w:r>
              <w:rPr>
                <w:rFonts w:ascii="Times New Roman" w:hAnsi="Times New Roman"/>
                <w:bCs/>
                <w:sz w:val="24"/>
              </w:rPr>
              <w:t>enta un Padomes Regulu (EK) Nr.</w:t>
            </w:r>
            <w:r w:rsidRPr="000E1960">
              <w:rPr>
                <w:rFonts w:ascii="Times New Roman" w:hAnsi="Times New Roman"/>
                <w:bCs/>
                <w:sz w:val="24"/>
              </w:rPr>
              <w:t>661/2009 attiecībā uz pārnesumu pārslēgšanas indikatoriem un groza Eiropas Parlamenta un Padomes Direktīvu 2007/46/</w:t>
            </w:r>
            <w:r>
              <w:rPr>
                <w:rFonts w:ascii="Times New Roman" w:hAnsi="Times New Roman"/>
                <w:bCs/>
                <w:sz w:val="24"/>
              </w:rPr>
              <w:t xml:space="preserve">EK (Dokuments attiecas uz EEZ) </w:t>
            </w:r>
            <w:r w:rsidRPr="000E1960">
              <w:rPr>
                <w:rFonts w:ascii="Times New Roman" w:hAnsi="Times New Roman"/>
                <w:bCs/>
                <w:sz w:val="24"/>
              </w:rPr>
              <w:t>(Eiropas Savienības Oficiālais Vēstnesis, 31.01.2012., L 28, 24.–38.lpp.)</w:t>
            </w:r>
          </w:p>
        </w:tc>
        <w:tc>
          <w:tcPr>
            <w:tcW w:w="410" w:type="dxa"/>
            <w:vAlign w:val="center"/>
          </w:tcPr>
          <w:p w14:paraId="736F2EEE" w14:textId="5635A831" w:rsidR="0036361B" w:rsidRPr="000E1960" w:rsidRDefault="0036361B" w:rsidP="008F6A92">
            <w:pPr>
              <w:spacing w:after="0" w:line="240" w:lineRule="auto"/>
              <w:ind w:left="-108" w:right="-108"/>
              <w:jc w:val="center"/>
              <w:rPr>
                <w:rFonts w:ascii="Times New Roman" w:hAnsi="Times New Roman"/>
                <w:sz w:val="24"/>
                <w:szCs w:val="24"/>
              </w:rPr>
            </w:pPr>
            <w:r w:rsidRPr="000E1960">
              <w:rPr>
                <w:rFonts w:ascii="Lucida Sans Unicode" w:eastAsia="MS Mincho" w:hAnsi="Lucida Sans Unicode" w:cs="Lucida Sans Unicode"/>
                <w:sz w:val="24"/>
              </w:rPr>
              <w:t>◐</w:t>
            </w:r>
          </w:p>
        </w:tc>
        <w:tc>
          <w:tcPr>
            <w:tcW w:w="411" w:type="dxa"/>
            <w:vAlign w:val="center"/>
          </w:tcPr>
          <w:p w14:paraId="0B684A1D" w14:textId="77777777" w:rsidR="0036361B" w:rsidRPr="000E1960" w:rsidRDefault="0036361B" w:rsidP="008F6A92">
            <w:pPr>
              <w:spacing w:after="0" w:line="240" w:lineRule="auto"/>
              <w:ind w:left="-108" w:right="-108"/>
              <w:jc w:val="center"/>
              <w:rPr>
                <w:rFonts w:ascii="Times New Roman" w:hAnsi="Times New Roman"/>
                <w:sz w:val="24"/>
                <w:szCs w:val="24"/>
              </w:rPr>
            </w:pPr>
          </w:p>
        </w:tc>
        <w:tc>
          <w:tcPr>
            <w:tcW w:w="411" w:type="dxa"/>
            <w:vAlign w:val="center"/>
          </w:tcPr>
          <w:p w14:paraId="3AEFF25B" w14:textId="77777777" w:rsidR="0036361B" w:rsidRPr="000E1960" w:rsidRDefault="0036361B" w:rsidP="008F6A92">
            <w:pPr>
              <w:spacing w:after="0" w:line="240" w:lineRule="auto"/>
              <w:ind w:left="-108" w:right="-108"/>
              <w:jc w:val="center"/>
              <w:rPr>
                <w:rFonts w:ascii="Times New Roman" w:hAnsi="Times New Roman"/>
                <w:sz w:val="24"/>
                <w:szCs w:val="24"/>
              </w:rPr>
            </w:pPr>
          </w:p>
        </w:tc>
        <w:tc>
          <w:tcPr>
            <w:tcW w:w="411" w:type="dxa"/>
            <w:vAlign w:val="center"/>
          </w:tcPr>
          <w:p w14:paraId="22317343" w14:textId="77777777" w:rsidR="0036361B" w:rsidRPr="000E1960" w:rsidRDefault="0036361B" w:rsidP="008F6A92">
            <w:pPr>
              <w:spacing w:after="0" w:line="240" w:lineRule="auto"/>
              <w:ind w:left="-108" w:right="-108"/>
              <w:jc w:val="center"/>
              <w:rPr>
                <w:rFonts w:ascii="Times New Roman" w:hAnsi="Times New Roman"/>
                <w:sz w:val="24"/>
                <w:szCs w:val="24"/>
              </w:rPr>
            </w:pPr>
          </w:p>
        </w:tc>
        <w:tc>
          <w:tcPr>
            <w:tcW w:w="411" w:type="dxa"/>
            <w:vAlign w:val="center"/>
          </w:tcPr>
          <w:p w14:paraId="5E1FA1E3" w14:textId="77777777" w:rsidR="0036361B" w:rsidRPr="000E1960" w:rsidRDefault="0036361B" w:rsidP="008F6A92">
            <w:pPr>
              <w:spacing w:after="0" w:line="240" w:lineRule="auto"/>
              <w:ind w:left="-108" w:right="-108"/>
              <w:jc w:val="center"/>
              <w:rPr>
                <w:rFonts w:ascii="Times New Roman" w:hAnsi="Times New Roman"/>
                <w:sz w:val="24"/>
                <w:szCs w:val="24"/>
              </w:rPr>
            </w:pPr>
          </w:p>
        </w:tc>
        <w:tc>
          <w:tcPr>
            <w:tcW w:w="411" w:type="dxa"/>
            <w:vAlign w:val="center"/>
          </w:tcPr>
          <w:p w14:paraId="7E92656A" w14:textId="77777777" w:rsidR="0036361B" w:rsidRPr="000E1960" w:rsidRDefault="0036361B" w:rsidP="008F6A92">
            <w:pPr>
              <w:spacing w:after="0" w:line="240" w:lineRule="auto"/>
              <w:ind w:left="-108" w:right="-108"/>
              <w:jc w:val="center"/>
              <w:rPr>
                <w:rFonts w:ascii="Times New Roman" w:hAnsi="Times New Roman"/>
                <w:sz w:val="24"/>
                <w:szCs w:val="24"/>
              </w:rPr>
            </w:pPr>
          </w:p>
        </w:tc>
        <w:tc>
          <w:tcPr>
            <w:tcW w:w="411" w:type="dxa"/>
            <w:vAlign w:val="center"/>
          </w:tcPr>
          <w:p w14:paraId="51499F8C" w14:textId="77777777" w:rsidR="0036361B" w:rsidRPr="000E1960" w:rsidRDefault="0036361B" w:rsidP="008F6A92">
            <w:pPr>
              <w:spacing w:after="0" w:line="240" w:lineRule="auto"/>
              <w:ind w:left="-108" w:right="-108"/>
              <w:jc w:val="center"/>
              <w:rPr>
                <w:rFonts w:ascii="Times New Roman" w:hAnsi="Times New Roman"/>
                <w:sz w:val="24"/>
                <w:szCs w:val="24"/>
              </w:rPr>
            </w:pPr>
          </w:p>
        </w:tc>
        <w:tc>
          <w:tcPr>
            <w:tcW w:w="411" w:type="dxa"/>
            <w:vAlign w:val="center"/>
          </w:tcPr>
          <w:p w14:paraId="107AAA6F" w14:textId="77777777" w:rsidR="0036361B" w:rsidRPr="000E1960" w:rsidRDefault="0036361B" w:rsidP="008F6A92">
            <w:pPr>
              <w:spacing w:after="0" w:line="240" w:lineRule="auto"/>
              <w:ind w:left="-108" w:right="-108"/>
              <w:jc w:val="center"/>
              <w:rPr>
                <w:rFonts w:ascii="Times New Roman" w:hAnsi="Times New Roman"/>
                <w:sz w:val="24"/>
                <w:szCs w:val="24"/>
              </w:rPr>
            </w:pPr>
          </w:p>
        </w:tc>
        <w:tc>
          <w:tcPr>
            <w:tcW w:w="411" w:type="dxa"/>
            <w:vAlign w:val="center"/>
          </w:tcPr>
          <w:p w14:paraId="4CE91F5E" w14:textId="77777777" w:rsidR="0036361B" w:rsidRPr="000E1960" w:rsidRDefault="0036361B" w:rsidP="008F6A92">
            <w:pPr>
              <w:spacing w:after="0" w:line="240" w:lineRule="auto"/>
              <w:ind w:left="-108" w:right="-108"/>
              <w:jc w:val="center"/>
              <w:rPr>
                <w:rFonts w:ascii="Times New Roman" w:hAnsi="Times New Roman"/>
                <w:sz w:val="24"/>
                <w:szCs w:val="24"/>
              </w:rPr>
            </w:pPr>
          </w:p>
        </w:tc>
        <w:tc>
          <w:tcPr>
            <w:tcW w:w="411" w:type="dxa"/>
            <w:vAlign w:val="center"/>
          </w:tcPr>
          <w:p w14:paraId="26653816" w14:textId="77777777" w:rsidR="0036361B" w:rsidRPr="000E1960" w:rsidRDefault="0036361B" w:rsidP="008F6A92">
            <w:pPr>
              <w:spacing w:after="0" w:line="240" w:lineRule="auto"/>
              <w:ind w:left="-108" w:right="-108"/>
              <w:jc w:val="center"/>
              <w:rPr>
                <w:rFonts w:ascii="Times New Roman" w:hAnsi="Times New Roman"/>
                <w:sz w:val="24"/>
                <w:szCs w:val="24"/>
              </w:rPr>
            </w:pPr>
          </w:p>
        </w:tc>
        <w:tc>
          <w:tcPr>
            <w:tcW w:w="411" w:type="dxa"/>
            <w:vAlign w:val="center"/>
          </w:tcPr>
          <w:p w14:paraId="785C2522" w14:textId="63823A63" w:rsidR="0036361B" w:rsidRPr="000E1960" w:rsidRDefault="0036361B" w:rsidP="008F6A92">
            <w:pPr>
              <w:spacing w:after="0" w:line="240" w:lineRule="auto"/>
              <w:ind w:left="-108" w:right="-108"/>
              <w:jc w:val="center"/>
              <w:rPr>
                <w:rFonts w:ascii="Times New Roman" w:hAnsi="Times New Roman"/>
                <w:sz w:val="24"/>
                <w:szCs w:val="24"/>
              </w:rPr>
            </w:pPr>
            <w:r>
              <w:rPr>
                <w:rFonts w:ascii="Times New Roman" w:hAnsi="Times New Roman"/>
                <w:sz w:val="24"/>
                <w:szCs w:val="24"/>
              </w:rPr>
              <w:t>–"</w:t>
            </w:r>
          </w:p>
        </w:tc>
      </w:tr>
    </w:tbl>
    <w:p w14:paraId="785C2524" w14:textId="77777777" w:rsidR="00E654AD" w:rsidRDefault="00E654AD" w:rsidP="008F6A92">
      <w:pPr>
        <w:spacing w:after="0" w:line="240" w:lineRule="auto"/>
        <w:ind w:firstLine="720"/>
        <w:jc w:val="both"/>
        <w:rPr>
          <w:rFonts w:ascii="Times New Roman" w:hAnsi="Times New Roman"/>
          <w:sz w:val="28"/>
          <w:szCs w:val="28"/>
        </w:rPr>
      </w:pPr>
    </w:p>
    <w:p w14:paraId="785C252D" w14:textId="1606D8F6" w:rsidR="00E654AD" w:rsidRDefault="00E654AD" w:rsidP="0036361B">
      <w:pPr>
        <w:spacing w:after="0" w:line="240" w:lineRule="auto"/>
        <w:ind w:firstLine="709"/>
        <w:rPr>
          <w:rFonts w:ascii="Times New Roman" w:hAnsi="Times New Roman"/>
          <w:sz w:val="28"/>
          <w:szCs w:val="28"/>
        </w:rPr>
      </w:pPr>
      <w:r>
        <w:rPr>
          <w:rFonts w:ascii="Times New Roman" w:hAnsi="Times New Roman"/>
          <w:sz w:val="28"/>
          <w:szCs w:val="28"/>
        </w:rPr>
        <w:t>4. Izteikt 11.pielikuma II nodaļas tabulas 18.punktu šādā redakcijā:</w:t>
      </w:r>
    </w:p>
    <w:p w14:paraId="107A1C9C" w14:textId="39B9544C" w:rsidR="008F6A92" w:rsidRDefault="008F6A92" w:rsidP="008F6A92">
      <w:pPr>
        <w:spacing w:after="0" w:line="240" w:lineRule="auto"/>
        <w:rPr>
          <w:rFonts w:ascii="Times New Roman" w:hAnsi="Times New Roman"/>
          <w:sz w:val="28"/>
          <w:szCs w:val="28"/>
        </w:rPr>
      </w:pPr>
    </w:p>
    <w:tbl>
      <w:tblPr>
        <w:tblW w:w="1499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418"/>
        <w:gridCol w:w="1559"/>
        <w:gridCol w:w="3969"/>
        <w:gridCol w:w="2009"/>
        <w:gridCol w:w="4678"/>
        <w:gridCol w:w="826"/>
      </w:tblGrid>
      <w:tr w:rsidR="001725B4" w:rsidRPr="00216E99" w14:paraId="785C2535" w14:textId="77777777" w:rsidTr="00BD57E6">
        <w:trPr>
          <w:cantSplit/>
          <w:trHeight w:val="830"/>
        </w:trPr>
        <w:tc>
          <w:tcPr>
            <w:tcW w:w="540" w:type="dxa"/>
            <w:vMerge w:val="restart"/>
          </w:tcPr>
          <w:p w14:paraId="785C252E" w14:textId="37A85068" w:rsidR="001725B4" w:rsidRPr="00126D2A" w:rsidRDefault="001725B4" w:rsidP="008F6A92">
            <w:pPr>
              <w:spacing w:after="0" w:line="240" w:lineRule="auto"/>
              <w:ind w:left="-108" w:right="-108"/>
              <w:jc w:val="center"/>
              <w:rPr>
                <w:rFonts w:ascii="Times New Roman" w:hAnsi="Times New Roman"/>
                <w:sz w:val="24"/>
                <w:szCs w:val="24"/>
              </w:rPr>
            </w:pPr>
            <w:r>
              <w:rPr>
                <w:rFonts w:ascii="Times New Roman" w:hAnsi="Times New Roman"/>
                <w:sz w:val="24"/>
                <w:szCs w:val="24"/>
              </w:rPr>
              <w:t>"</w:t>
            </w:r>
            <w:r w:rsidRPr="00126D2A">
              <w:rPr>
                <w:rFonts w:ascii="Times New Roman" w:hAnsi="Times New Roman"/>
                <w:sz w:val="24"/>
                <w:szCs w:val="24"/>
              </w:rPr>
              <w:t>18.</w:t>
            </w:r>
          </w:p>
        </w:tc>
        <w:tc>
          <w:tcPr>
            <w:tcW w:w="1418" w:type="dxa"/>
            <w:vMerge w:val="restart"/>
          </w:tcPr>
          <w:p w14:paraId="785C252F" w14:textId="77777777" w:rsidR="001725B4" w:rsidRPr="00126D2A" w:rsidRDefault="001725B4" w:rsidP="008F6A92">
            <w:pPr>
              <w:spacing w:after="0" w:line="240" w:lineRule="auto"/>
              <w:rPr>
                <w:rFonts w:ascii="Times New Roman" w:hAnsi="Times New Roman"/>
                <w:sz w:val="24"/>
                <w:szCs w:val="24"/>
              </w:rPr>
            </w:pPr>
            <w:r w:rsidRPr="00126D2A">
              <w:rPr>
                <w:rFonts w:ascii="Times New Roman" w:hAnsi="Times New Roman"/>
                <w:sz w:val="24"/>
                <w:szCs w:val="24"/>
              </w:rPr>
              <w:t>Obligātās izgatavotāja plāksnītes</w:t>
            </w:r>
          </w:p>
        </w:tc>
        <w:tc>
          <w:tcPr>
            <w:tcW w:w="1559" w:type="dxa"/>
            <w:vMerge w:val="restart"/>
          </w:tcPr>
          <w:p w14:paraId="785C2530" w14:textId="77777777" w:rsidR="001725B4" w:rsidRPr="00126D2A" w:rsidRDefault="001725B4" w:rsidP="008F6A92">
            <w:pPr>
              <w:spacing w:after="0" w:line="240" w:lineRule="auto"/>
              <w:rPr>
                <w:rFonts w:ascii="Times New Roman" w:hAnsi="Times New Roman"/>
                <w:sz w:val="24"/>
                <w:szCs w:val="24"/>
              </w:rPr>
            </w:pPr>
            <w:r w:rsidRPr="00126D2A">
              <w:rPr>
                <w:rFonts w:ascii="Times New Roman" w:hAnsi="Times New Roman"/>
                <w:sz w:val="24"/>
                <w:szCs w:val="24"/>
              </w:rPr>
              <w:t>76/114/</w:t>
            </w:r>
            <w:smartTag w:uri="schemas-tilde-lv/tildestengine" w:element="currency2">
              <w:smartTagPr>
                <w:attr w:name="currency_id" w:val="14"/>
                <w:attr w:name="currency_key" w:val="EEK"/>
                <w:attr w:name="currency_value" w:val="1"/>
                <w:attr w:name="currency_text" w:val="EEK"/>
              </w:smartTagPr>
              <w:r w:rsidRPr="00126D2A">
                <w:rPr>
                  <w:rFonts w:ascii="Times New Roman" w:hAnsi="Times New Roman"/>
                  <w:sz w:val="24"/>
                  <w:szCs w:val="24"/>
                </w:rPr>
                <w:t>EEK</w:t>
              </w:r>
            </w:smartTag>
          </w:p>
        </w:tc>
        <w:tc>
          <w:tcPr>
            <w:tcW w:w="3969" w:type="dxa"/>
            <w:vMerge w:val="restart"/>
          </w:tcPr>
          <w:p w14:paraId="785C2531" w14:textId="77777777" w:rsidR="001725B4" w:rsidRPr="00126D2A" w:rsidRDefault="001725B4" w:rsidP="008F6A92">
            <w:pPr>
              <w:spacing w:after="0" w:line="240" w:lineRule="auto"/>
              <w:ind w:left="10" w:right="-125"/>
              <w:rPr>
                <w:rFonts w:ascii="Times New Roman" w:hAnsi="Times New Roman"/>
                <w:bCs/>
                <w:sz w:val="24"/>
                <w:szCs w:val="24"/>
              </w:rPr>
            </w:pPr>
            <w:r w:rsidRPr="00126D2A">
              <w:rPr>
                <w:rFonts w:ascii="Times New Roman" w:hAnsi="Times New Roman"/>
                <w:bCs/>
                <w:sz w:val="24"/>
                <w:szCs w:val="24"/>
              </w:rPr>
              <w:t>Padomes 1975.gada 18.decembra Direktīva 76/114/EEK par dalībvalstu tiesību aktu tuvināšanu attiecībā uz mehānisko transportlīdzekļu un to piekabju obligātajām izgatavotāja plāksnēm un marķējumu, kā arī to novietojumu un piestiprināšanas metodi (Eiropas Savienības Oficiālais Vēstnesis, 01.05.2004., L 024, 1.–5.lpp.)</w:t>
            </w:r>
          </w:p>
        </w:tc>
        <w:tc>
          <w:tcPr>
            <w:tcW w:w="2009" w:type="dxa"/>
          </w:tcPr>
          <w:p w14:paraId="785C2532" w14:textId="77777777" w:rsidR="001725B4" w:rsidRPr="00126D2A" w:rsidRDefault="001725B4" w:rsidP="008F6A92">
            <w:pPr>
              <w:spacing w:after="0" w:line="240" w:lineRule="auto"/>
              <w:rPr>
                <w:rFonts w:ascii="Times New Roman" w:hAnsi="Times New Roman"/>
                <w:b/>
                <w:sz w:val="24"/>
                <w:szCs w:val="24"/>
              </w:rPr>
            </w:pPr>
            <w:r w:rsidRPr="00126D2A">
              <w:rPr>
                <w:rFonts w:ascii="Times New Roman" w:hAnsi="Times New Roman"/>
                <w:b/>
                <w:sz w:val="24"/>
                <w:szCs w:val="24"/>
              </w:rPr>
              <w:t>78/507/EEK</w:t>
            </w:r>
            <w:r w:rsidRPr="00126D2A">
              <w:rPr>
                <w:rFonts w:ascii="Times New Roman" w:hAnsi="Times New Roman"/>
                <w:b/>
                <w:sz w:val="24"/>
                <w:szCs w:val="24"/>
                <w:vertAlign w:val="superscript"/>
              </w:rPr>
              <w:t>32; 33</w:t>
            </w:r>
          </w:p>
        </w:tc>
        <w:tc>
          <w:tcPr>
            <w:tcW w:w="4678" w:type="dxa"/>
          </w:tcPr>
          <w:p w14:paraId="785C2533" w14:textId="74A9C139" w:rsidR="001725B4" w:rsidRPr="00126D2A" w:rsidRDefault="001725B4" w:rsidP="008F6A92">
            <w:pPr>
              <w:spacing w:after="0" w:line="240" w:lineRule="auto"/>
              <w:rPr>
                <w:rFonts w:ascii="Times New Roman" w:hAnsi="Times New Roman"/>
                <w:noProof/>
                <w:sz w:val="24"/>
                <w:szCs w:val="24"/>
              </w:rPr>
            </w:pPr>
            <w:r w:rsidRPr="00126D2A">
              <w:rPr>
                <w:rFonts w:ascii="Times New Roman" w:hAnsi="Times New Roman"/>
                <w:noProof/>
                <w:sz w:val="24"/>
                <w:szCs w:val="24"/>
              </w:rPr>
              <w:t>Komisijas 1978.gada 19.ma</w:t>
            </w:r>
            <w:r>
              <w:rPr>
                <w:rFonts w:ascii="Times New Roman" w:hAnsi="Times New Roman"/>
                <w:noProof/>
                <w:sz w:val="24"/>
                <w:szCs w:val="24"/>
              </w:rPr>
              <w:t>ija Direktīva 78/507/EEK, ar ko</w:t>
            </w:r>
            <w:r w:rsidRPr="00126D2A">
              <w:rPr>
                <w:rFonts w:ascii="Times New Roman" w:hAnsi="Times New Roman"/>
                <w:noProof/>
                <w:sz w:val="24"/>
                <w:szCs w:val="24"/>
              </w:rPr>
              <w:t xml:space="preserve"> tehnikas attīstībai pielāgo Padomes Direktīvu 76/114/EEK par dalībvalstu tiesību aktu tuvināšanu attiecībā uz mehānisko transportlīdzekļu un to piekabju obligātajām izgatavotāja plāksnēm un marķējumu, kā arī to novietojumu un piestiprināšanas metodi (Eiropas Savienības Oficiālais Vēstnesis, 01.05.2004., L 155, 31.–33.lpp.)</w:t>
            </w:r>
          </w:p>
        </w:tc>
        <w:tc>
          <w:tcPr>
            <w:tcW w:w="826" w:type="dxa"/>
          </w:tcPr>
          <w:p w14:paraId="785C2534" w14:textId="44B65EE6" w:rsidR="001725B4" w:rsidRPr="00126D2A" w:rsidRDefault="001725B4" w:rsidP="008F6A92">
            <w:pPr>
              <w:spacing w:after="0" w:line="240" w:lineRule="auto"/>
              <w:jc w:val="center"/>
              <w:rPr>
                <w:rFonts w:ascii="Times New Roman" w:hAnsi="Times New Roman"/>
                <w:sz w:val="24"/>
                <w:szCs w:val="24"/>
              </w:rPr>
            </w:pPr>
            <w:r>
              <w:rPr>
                <w:rFonts w:ascii="Times New Roman" w:hAnsi="Times New Roman"/>
                <w:sz w:val="24"/>
                <w:szCs w:val="24"/>
              </w:rPr>
              <w:t>–</w:t>
            </w:r>
          </w:p>
        </w:tc>
      </w:tr>
      <w:tr w:rsidR="001725B4" w:rsidRPr="00216E99" w14:paraId="785C253D" w14:textId="77777777" w:rsidTr="00BD57E6">
        <w:trPr>
          <w:cantSplit/>
          <w:trHeight w:val="830"/>
        </w:trPr>
        <w:tc>
          <w:tcPr>
            <w:tcW w:w="540" w:type="dxa"/>
            <w:vMerge/>
          </w:tcPr>
          <w:p w14:paraId="785C2536" w14:textId="77777777" w:rsidR="001725B4" w:rsidRPr="00126D2A" w:rsidRDefault="001725B4" w:rsidP="008F6A92">
            <w:pPr>
              <w:spacing w:after="0" w:line="240" w:lineRule="auto"/>
              <w:ind w:left="-108" w:right="-108"/>
              <w:jc w:val="center"/>
              <w:rPr>
                <w:rFonts w:ascii="Times New Roman" w:hAnsi="Times New Roman"/>
                <w:sz w:val="24"/>
                <w:szCs w:val="24"/>
              </w:rPr>
            </w:pPr>
          </w:p>
        </w:tc>
        <w:tc>
          <w:tcPr>
            <w:tcW w:w="1418" w:type="dxa"/>
            <w:vMerge/>
          </w:tcPr>
          <w:p w14:paraId="785C2537" w14:textId="77777777" w:rsidR="001725B4" w:rsidRPr="00126D2A" w:rsidRDefault="001725B4" w:rsidP="008F6A92">
            <w:pPr>
              <w:spacing w:after="0" w:line="240" w:lineRule="auto"/>
              <w:rPr>
                <w:rFonts w:ascii="Times New Roman" w:hAnsi="Times New Roman"/>
                <w:sz w:val="24"/>
                <w:szCs w:val="24"/>
              </w:rPr>
            </w:pPr>
          </w:p>
        </w:tc>
        <w:tc>
          <w:tcPr>
            <w:tcW w:w="1559" w:type="dxa"/>
            <w:vMerge/>
          </w:tcPr>
          <w:p w14:paraId="785C2538" w14:textId="77777777" w:rsidR="001725B4" w:rsidRPr="00126D2A" w:rsidRDefault="001725B4" w:rsidP="008F6A92">
            <w:pPr>
              <w:spacing w:after="0" w:line="240" w:lineRule="auto"/>
              <w:rPr>
                <w:rFonts w:ascii="Times New Roman" w:hAnsi="Times New Roman"/>
                <w:sz w:val="24"/>
                <w:szCs w:val="24"/>
              </w:rPr>
            </w:pPr>
          </w:p>
        </w:tc>
        <w:tc>
          <w:tcPr>
            <w:tcW w:w="3969" w:type="dxa"/>
            <w:vMerge/>
          </w:tcPr>
          <w:p w14:paraId="785C2539" w14:textId="77777777" w:rsidR="001725B4" w:rsidRPr="00126D2A" w:rsidRDefault="001725B4" w:rsidP="008F6A92">
            <w:pPr>
              <w:spacing w:after="0" w:line="240" w:lineRule="auto"/>
              <w:ind w:left="10" w:right="-125"/>
              <w:rPr>
                <w:rFonts w:ascii="Times New Roman" w:hAnsi="Times New Roman"/>
                <w:bCs/>
                <w:sz w:val="24"/>
                <w:szCs w:val="24"/>
              </w:rPr>
            </w:pPr>
          </w:p>
        </w:tc>
        <w:tc>
          <w:tcPr>
            <w:tcW w:w="2009" w:type="dxa"/>
          </w:tcPr>
          <w:p w14:paraId="785C253A" w14:textId="77777777" w:rsidR="001725B4" w:rsidRPr="00126D2A" w:rsidRDefault="001725B4" w:rsidP="008F6A92">
            <w:pPr>
              <w:spacing w:after="0" w:line="240" w:lineRule="auto"/>
              <w:rPr>
                <w:rFonts w:ascii="Times New Roman" w:hAnsi="Times New Roman"/>
                <w:b/>
                <w:sz w:val="24"/>
                <w:szCs w:val="24"/>
              </w:rPr>
            </w:pPr>
            <w:r w:rsidRPr="00126D2A">
              <w:rPr>
                <w:rFonts w:ascii="Times New Roman" w:hAnsi="Times New Roman"/>
                <w:b/>
                <w:sz w:val="24"/>
                <w:szCs w:val="24"/>
              </w:rPr>
              <w:t>87/354/EEK</w:t>
            </w:r>
            <w:r w:rsidRPr="00126D2A">
              <w:rPr>
                <w:rFonts w:ascii="Times New Roman" w:hAnsi="Times New Roman"/>
                <w:b/>
                <w:sz w:val="24"/>
                <w:szCs w:val="24"/>
                <w:vertAlign w:val="superscript"/>
              </w:rPr>
              <w:t>32; 33</w:t>
            </w:r>
          </w:p>
        </w:tc>
        <w:tc>
          <w:tcPr>
            <w:tcW w:w="4678" w:type="dxa"/>
          </w:tcPr>
          <w:p w14:paraId="785C253B" w14:textId="77777777" w:rsidR="001725B4" w:rsidRPr="00126D2A" w:rsidRDefault="001725B4" w:rsidP="008F6A92">
            <w:pPr>
              <w:spacing w:after="0" w:line="240" w:lineRule="auto"/>
              <w:rPr>
                <w:rFonts w:ascii="Times New Roman" w:hAnsi="Times New Roman"/>
                <w:noProof/>
                <w:sz w:val="24"/>
                <w:szCs w:val="24"/>
              </w:rPr>
            </w:pPr>
            <w:r w:rsidRPr="00126D2A">
              <w:rPr>
                <w:rFonts w:ascii="Times New Roman" w:hAnsi="Times New Roman"/>
                <w:noProof/>
                <w:sz w:val="24"/>
                <w:szCs w:val="24"/>
              </w:rPr>
              <w:t>Padomes 1987.gada 25.jūnija Direktīva 87/354/EEK, ar ko groza dažas direktīvas par dalībvalstu tiesību aktu tuvināšanu attiecībā uz rūpniecības ražojumiem saistībā ar dalībvalstu atšķirības zīmēm (Eiropas Savienības Oficiālais Vēstnesis, 01.05.2004., L 192, 43.–35.lpp.)</w:t>
            </w:r>
          </w:p>
        </w:tc>
        <w:tc>
          <w:tcPr>
            <w:tcW w:w="826" w:type="dxa"/>
          </w:tcPr>
          <w:p w14:paraId="785C253C" w14:textId="77777777" w:rsidR="001725B4" w:rsidRPr="00126D2A" w:rsidRDefault="001725B4" w:rsidP="008F6A92">
            <w:pPr>
              <w:spacing w:after="0" w:line="240" w:lineRule="auto"/>
              <w:jc w:val="center"/>
              <w:rPr>
                <w:rFonts w:ascii="Times New Roman" w:hAnsi="Times New Roman"/>
                <w:sz w:val="24"/>
                <w:szCs w:val="24"/>
              </w:rPr>
            </w:pPr>
          </w:p>
        </w:tc>
      </w:tr>
      <w:tr w:rsidR="001725B4" w:rsidRPr="00216E99" w14:paraId="785C2548" w14:textId="77777777" w:rsidTr="00BD57E6">
        <w:trPr>
          <w:cantSplit/>
          <w:trHeight w:val="830"/>
        </w:trPr>
        <w:tc>
          <w:tcPr>
            <w:tcW w:w="540" w:type="dxa"/>
            <w:vMerge/>
          </w:tcPr>
          <w:p w14:paraId="785C253E" w14:textId="77777777" w:rsidR="001725B4" w:rsidRPr="00126D2A" w:rsidRDefault="001725B4" w:rsidP="008F6A92">
            <w:pPr>
              <w:spacing w:after="0" w:line="240" w:lineRule="auto"/>
              <w:ind w:left="-108" w:right="-108"/>
              <w:jc w:val="center"/>
              <w:rPr>
                <w:rFonts w:ascii="Times New Roman" w:hAnsi="Times New Roman"/>
                <w:sz w:val="24"/>
                <w:szCs w:val="24"/>
              </w:rPr>
            </w:pPr>
          </w:p>
        </w:tc>
        <w:tc>
          <w:tcPr>
            <w:tcW w:w="1418" w:type="dxa"/>
            <w:vMerge/>
          </w:tcPr>
          <w:p w14:paraId="785C253F" w14:textId="77777777" w:rsidR="001725B4" w:rsidRPr="00126D2A" w:rsidRDefault="001725B4" w:rsidP="008F6A92">
            <w:pPr>
              <w:spacing w:after="0" w:line="240" w:lineRule="auto"/>
              <w:rPr>
                <w:rFonts w:ascii="Times New Roman" w:hAnsi="Times New Roman"/>
                <w:sz w:val="24"/>
                <w:szCs w:val="24"/>
              </w:rPr>
            </w:pPr>
          </w:p>
        </w:tc>
        <w:tc>
          <w:tcPr>
            <w:tcW w:w="1559" w:type="dxa"/>
            <w:vMerge w:val="restart"/>
          </w:tcPr>
          <w:p w14:paraId="785C2540" w14:textId="77777777" w:rsidR="001725B4" w:rsidRPr="00126D2A" w:rsidRDefault="001725B4" w:rsidP="008F6A92">
            <w:pPr>
              <w:spacing w:after="0" w:line="240" w:lineRule="auto"/>
              <w:rPr>
                <w:rFonts w:ascii="Times New Roman" w:hAnsi="Times New Roman"/>
                <w:sz w:val="24"/>
                <w:szCs w:val="24"/>
              </w:rPr>
            </w:pPr>
            <w:r w:rsidRPr="00126D2A">
              <w:rPr>
                <w:rFonts w:ascii="Times New Roman" w:hAnsi="Times New Roman"/>
                <w:sz w:val="24"/>
                <w:szCs w:val="24"/>
              </w:rPr>
              <w:t xml:space="preserve">Regula (ES) (Nr.) 19/2011 </w:t>
            </w:r>
          </w:p>
        </w:tc>
        <w:tc>
          <w:tcPr>
            <w:tcW w:w="3969" w:type="dxa"/>
            <w:vMerge w:val="restart"/>
          </w:tcPr>
          <w:p w14:paraId="785C2541" w14:textId="77777777" w:rsidR="001725B4" w:rsidRPr="00126D2A" w:rsidRDefault="001725B4" w:rsidP="008F6A92">
            <w:pPr>
              <w:spacing w:after="0" w:line="240" w:lineRule="auto"/>
              <w:ind w:left="10" w:right="-125"/>
              <w:rPr>
                <w:rFonts w:ascii="Times New Roman" w:hAnsi="Times New Roman"/>
                <w:bCs/>
                <w:sz w:val="24"/>
                <w:szCs w:val="24"/>
              </w:rPr>
            </w:pPr>
            <w:r w:rsidRPr="00126D2A">
              <w:rPr>
                <w:rFonts w:ascii="Times New Roman" w:hAnsi="Times New Roman"/>
                <w:bCs/>
                <w:sz w:val="24"/>
                <w:szCs w:val="24"/>
              </w:rPr>
              <w:t>Komisijas 2011.gada 11.janvāra Regula (ES) Nr.19/2011, kas attiecas uz mehānisko transportlīdzekļu un to piekabju obligātās izgatavotāja plāksnītes un transportlīdzekļa identifikācijas numura tipa apstiprināšanas prasībām un ar ko īsteno Eiropas Parlamenta un Padomes Regulu (EK) Nr.661/2009 par tipa apstiprināšanas prasībām attiecībā uz mehānisko transportlīdzekļu, to piekabju un tiem paredzēto sistēmu, sastāvdaļu un atsevišķu tehnisko vienību vispārējo drošību (Dokuments attiecas uz EEZ)</w:t>
            </w:r>
          </w:p>
          <w:p w14:paraId="785C2542" w14:textId="32019D0A" w:rsidR="001725B4" w:rsidRPr="00126D2A" w:rsidRDefault="001725B4" w:rsidP="008F6A92">
            <w:pPr>
              <w:spacing w:after="0" w:line="240" w:lineRule="auto"/>
              <w:ind w:left="10" w:right="-125"/>
              <w:rPr>
                <w:rFonts w:ascii="Times New Roman" w:hAnsi="Times New Roman"/>
                <w:bCs/>
                <w:sz w:val="24"/>
                <w:szCs w:val="24"/>
              </w:rPr>
            </w:pPr>
            <w:r w:rsidRPr="00126D2A">
              <w:rPr>
                <w:rFonts w:ascii="Times New Roman" w:hAnsi="Times New Roman"/>
                <w:bCs/>
                <w:sz w:val="24"/>
                <w:szCs w:val="24"/>
              </w:rPr>
              <w:t>(Eiropas Savienības Oficiālais Vēstnesis, 12.</w:t>
            </w:r>
            <w:r>
              <w:rPr>
                <w:rFonts w:ascii="Times New Roman" w:hAnsi="Times New Roman"/>
                <w:bCs/>
                <w:sz w:val="24"/>
                <w:szCs w:val="24"/>
              </w:rPr>
              <w:t>0</w:t>
            </w:r>
            <w:r w:rsidRPr="00126D2A">
              <w:rPr>
                <w:rFonts w:ascii="Times New Roman" w:hAnsi="Times New Roman"/>
                <w:bCs/>
                <w:sz w:val="24"/>
                <w:szCs w:val="24"/>
              </w:rPr>
              <w:t>1.2011., L 8, 1.–13.lpp.)</w:t>
            </w:r>
          </w:p>
        </w:tc>
        <w:tc>
          <w:tcPr>
            <w:tcW w:w="2009" w:type="dxa"/>
          </w:tcPr>
          <w:p w14:paraId="785C2543" w14:textId="77777777" w:rsidR="001725B4" w:rsidRPr="00126D2A" w:rsidRDefault="001725B4" w:rsidP="008F6A92">
            <w:pPr>
              <w:spacing w:after="0" w:line="240" w:lineRule="auto"/>
              <w:rPr>
                <w:rFonts w:ascii="Times New Roman" w:hAnsi="Times New Roman"/>
                <w:b/>
                <w:sz w:val="24"/>
                <w:szCs w:val="24"/>
              </w:rPr>
            </w:pPr>
            <w:r w:rsidRPr="00126D2A">
              <w:rPr>
                <w:rFonts w:ascii="Times New Roman" w:hAnsi="Times New Roman"/>
                <w:b/>
                <w:sz w:val="24"/>
                <w:szCs w:val="24"/>
              </w:rPr>
              <w:t xml:space="preserve">Regula (ES) (Nr.) 19/2011 </w:t>
            </w:r>
          </w:p>
        </w:tc>
        <w:tc>
          <w:tcPr>
            <w:tcW w:w="4678" w:type="dxa"/>
          </w:tcPr>
          <w:p w14:paraId="785C2544" w14:textId="77777777" w:rsidR="001725B4" w:rsidRPr="00126D2A" w:rsidRDefault="001725B4" w:rsidP="008F6A92">
            <w:pPr>
              <w:spacing w:after="0" w:line="240" w:lineRule="auto"/>
              <w:rPr>
                <w:rFonts w:ascii="Times New Roman" w:hAnsi="Times New Roman"/>
                <w:noProof/>
                <w:sz w:val="24"/>
                <w:szCs w:val="24"/>
              </w:rPr>
            </w:pPr>
            <w:r w:rsidRPr="00126D2A">
              <w:rPr>
                <w:rFonts w:ascii="Times New Roman" w:hAnsi="Times New Roman"/>
                <w:noProof/>
                <w:sz w:val="24"/>
                <w:szCs w:val="24"/>
              </w:rPr>
              <w:t>Komisijas 2011.gada 11.janvāra Regula (ES) Nr.19/2011, kas attiecas uz mehānisko transportlīdzekļu un to piekabju obligātās izgatavotāja plāksnītes un transportlīdzekļa identifikācijas numura tipa apstiprināšanas prasībām un ar ko īsteno Eiropas Parlamenta un Padomes Regulu (EK) Nr.661/2009 par tipa apstiprināšanas prasībām attiecībā uz mehānisko transportlīdzekļu, to piekabju un tiem paredzēto sistēmu, sastāvdaļu un atsevišķu tehnisko vienību vispārējo drošību</w:t>
            </w:r>
          </w:p>
          <w:p w14:paraId="785C2545" w14:textId="77777777" w:rsidR="001725B4" w:rsidRPr="00126D2A" w:rsidRDefault="001725B4" w:rsidP="008F6A92">
            <w:pPr>
              <w:spacing w:after="0" w:line="240" w:lineRule="auto"/>
              <w:rPr>
                <w:rFonts w:ascii="Times New Roman" w:hAnsi="Times New Roman"/>
                <w:noProof/>
                <w:sz w:val="24"/>
                <w:szCs w:val="24"/>
              </w:rPr>
            </w:pPr>
            <w:r w:rsidRPr="00126D2A">
              <w:rPr>
                <w:rFonts w:ascii="Times New Roman" w:hAnsi="Times New Roman"/>
                <w:noProof/>
                <w:sz w:val="24"/>
                <w:szCs w:val="24"/>
              </w:rPr>
              <w:t>(Dokuments attiecas uz EEZ)</w:t>
            </w:r>
          </w:p>
          <w:p w14:paraId="785C2546" w14:textId="02F24E65" w:rsidR="001725B4" w:rsidRPr="00126D2A" w:rsidRDefault="001725B4" w:rsidP="008F6A92">
            <w:pPr>
              <w:spacing w:after="0" w:line="240" w:lineRule="auto"/>
              <w:rPr>
                <w:rFonts w:ascii="Times New Roman" w:hAnsi="Times New Roman"/>
                <w:noProof/>
                <w:sz w:val="24"/>
                <w:szCs w:val="24"/>
              </w:rPr>
            </w:pPr>
            <w:r w:rsidRPr="00126D2A">
              <w:rPr>
                <w:rFonts w:ascii="Times New Roman" w:hAnsi="Times New Roman"/>
                <w:noProof/>
                <w:sz w:val="24"/>
                <w:szCs w:val="24"/>
              </w:rPr>
              <w:t>(Eiropas Savienības Oficiālais Vēstnesis, 12.</w:t>
            </w:r>
            <w:r>
              <w:rPr>
                <w:rFonts w:ascii="Times New Roman" w:hAnsi="Times New Roman"/>
                <w:noProof/>
                <w:sz w:val="24"/>
                <w:szCs w:val="24"/>
              </w:rPr>
              <w:t>0</w:t>
            </w:r>
            <w:r w:rsidRPr="00126D2A">
              <w:rPr>
                <w:rFonts w:ascii="Times New Roman" w:hAnsi="Times New Roman"/>
                <w:noProof/>
                <w:sz w:val="24"/>
                <w:szCs w:val="24"/>
              </w:rPr>
              <w:t>1.2011., L 8, 1.–13.lpp.)</w:t>
            </w:r>
          </w:p>
        </w:tc>
        <w:tc>
          <w:tcPr>
            <w:tcW w:w="826" w:type="dxa"/>
          </w:tcPr>
          <w:p w14:paraId="785C2547" w14:textId="77777777" w:rsidR="001725B4" w:rsidRPr="00126D2A" w:rsidRDefault="001725B4" w:rsidP="008F6A92">
            <w:pPr>
              <w:spacing w:after="0" w:line="240" w:lineRule="auto"/>
              <w:jc w:val="center"/>
              <w:rPr>
                <w:rFonts w:ascii="Times New Roman" w:hAnsi="Times New Roman"/>
                <w:sz w:val="24"/>
                <w:szCs w:val="24"/>
              </w:rPr>
            </w:pPr>
          </w:p>
        </w:tc>
      </w:tr>
      <w:tr w:rsidR="001725B4" w:rsidRPr="00216E99" w14:paraId="785C2550" w14:textId="77777777" w:rsidTr="00661027">
        <w:trPr>
          <w:cantSplit/>
          <w:trHeight w:val="830"/>
        </w:trPr>
        <w:tc>
          <w:tcPr>
            <w:tcW w:w="540" w:type="dxa"/>
            <w:vMerge/>
          </w:tcPr>
          <w:p w14:paraId="785C2549" w14:textId="77777777" w:rsidR="001725B4" w:rsidRPr="00126D2A" w:rsidRDefault="001725B4" w:rsidP="008F6A92">
            <w:pPr>
              <w:spacing w:after="0" w:line="240" w:lineRule="auto"/>
              <w:ind w:left="-108" w:right="-108"/>
              <w:jc w:val="center"/>
              <w:rPr>
                <w:rFonts w:ascii="Times New Roman" w:hAnsi="Times New Roman"/>
                <w:sz w:val="24"/>
                <w:szCs w:val="24"/>
              </w:rPr>
            </w:pPr>
          </w:p>
        </w:tc>
        <w:tc>
          <w:tcPr>
            <w:tcW w:w="1418" w:type="dxa"/>
            <w:vMerge/>
          </w:tcPr>
          <w:p w14:paraId="785C254A" w14:textId="77777777" w:rsidR="001725B4" w:rsidRPr="00126D2A" w:rsidRDefault="001725B4" w:rsidP="008F6A92">
            <w:pPr>
              <w:spacing w:after="0" w:line="240" w:lineRule="auto"/>
              <w:rPr>
                <w:rFonts w:ascii="Times New Roman" w:hAnsi="Times New Roman"/>
                <w:sz w:val="24"/>
                <w:szCs w:val="24"/>
              </w:rPr>
            </w:pPr>
          </w:p>
        </w:tc>
        <w:tc>
          <w:tcPr>
            <w:tcW w:w="1559" w:type="dxa"/>
            <w:vMerge/>
          </w:tcPr>
          <w:p w14:paraId="785C254B" w14:textId="77777777" w:rsidR="001725B4" w:rsidRPr="00126D2A" w:rsidRDefault="001725B4" w:rsidP="008F6A92">
            <w:pPr>
              <w:spacing w:after="0" w:line="240" w:lineRule="auto"/>
              <w:rPr>
                <w:rFonts w:ascii="Times New Roman" w:hAnsi="Times New Roman"/>
                <w:sz w:val="24"/>
                <w:szCs w:val="24"/>
              </w:rPr>
            </w:pPr>
          </w:p>
        </w:tc>
        <w:tc>
          <w:tcPr>
            <w:tcW w:w="3969" w:type="dxa"/>
            <w:vMerge/>
          </w:tcPr>
          <w:p w14:paraId="785C254C" w14:textId="77777777" w:rsidR="001725B4" w:rsidRPr="00126D2A" w:rsidRDefault="001725B4" w:rsidP="008F6A92">
            <w:pPr>
              <w:spacing w:after="0" w:line="240" w:lineRule="auto"/>
              <w:ind w:left="10" w:right="-125"/>
              <w:rPr>
                <w:rFonts w:ascii="Times New Roman" w:hAnsi="Times New Roman"/>
                <w:bCs/>
                <w:sz w:val="24"/>
                <w:szCs w:val="24"/>
              </w:rPr>
            </w:pPr>
          </w:p>
        </w:tc>
        <w:tc>
          <w:tcPr>
            <w:tcW w:w="2009" w:type="dxa"/>
          </w:tcPr>
          <w:p w14:paraId="785C254D" w14:textId="77777777" w:rsidR="001725B4" w:rsidRPr="000E1960" w:rsidRDefault="001725B4" w:rsidP="008F6A92">
            <w:pPr>
              <w:spacing w:after="0" w:line="240" w:lineRule="auto"/>
              <w:rPr>
                <w:rFonts w:ascii="Times New Roman" w:hAnsi="Times New Roman"/>
                <w:b/>
                <w:sz w:val="24"/>
                <w:szCs w:val="24"/>
              </w:rPr>
            </w:pPr>
            <w:r w:rsidRPr="000E1960">
              <w:rPr>
                <w:rFonts w:ascii="Times New Roman" w:hAnsi="Times New Roman"/>
                <w:b/>
                <w:sz w:val="24"/>
                <w:szCs w:val="24"/>
              </w:rPr>
              <w:t>Regula (ES) (Nr.) 249/2012</w:t>
            </w:r>
          </w:p>
        </w:tc>
        <w:tc>
          <w:tcPr>
            <w:tcW w:w="4678" w:type="dxa"/>
          </w:tcPr>
          <w:p w14:paraId="785C254E" w14:textId="6811E4AC" w:rsidR="001725B4" w:rsidRPr="000E1960" w:rsidRDefault="001725B4" w:rsidP="008F6A92">
            <w:pPr>
              <w:spacing w:after="0" w:line="240" w:lineRule="auto"/>
              <w:rPr>
                <w:rFonts w:ascii="Times New Roman" w:hAnsi="Times New Roman"/>
                <w:noProof/>
                <w:sz w:val="24"/>
                <w:szCs w:val="24"/>
              </w:rPr>
            </w:pPr>
            <w:r w:rsidRPr="000E1960">
              <w:rPr>
                <w:rFonts w:ascii="Times New Roman" w:hAnsi="Times New Roman"/>
                <w:noProof/>
                <w:sz w:val="24"/>
                <w:szCs w:val="24"/>
              </w:rPr>
              <w:t>Komisijas 2012</w:t>
            </w:r>
            <w:r>
              <w:rPr>
                <w:rFonts w:ascii="Times New Roman" w:hAnsi="Times New Roman"/>
                <w:noProof/>
                <w:sz w:val="24"/>
                <w:szCs w:val="24"/>
              </w:rPr>
              <w:t>.</w:t>
            </w:r>
            <w:r w:rsidRPr="000E1960">
              <w:rPr>
                <w:rFonts w:ascii="Times New Roman" w:hAnsi="Times New Roman"/>
                <w:noProof/>
                <w:sz w:val="24"/>
                <w:szCs w:val="24"/>
              </w:rPr>
              <w:t>gada 21</w:t>
            </w:r>
            <w:r>
              <w:rPr>
                <w:rFonts w:ascii="Times New Roman" w:hAnsi="Times New Roman"/>
                <w:noProof/>
                <w:sz w:val="24"/>
                <w:szCs w:val="24"/>
              </w:rPr>
              <w:t>.</w:t>
            </w:r>
            <w:r w:rsidRPr="000E1960">
              <w:rPr>
                <w:rFonts w:ascii="Times New Roman" w:hAnsi="Times New Roman"/>
                <w:noProof/>
                <w:sz w:val="24"/>
                <w:szCs w:val="24"/>
              </w:rPr>
              <w:t>marta Regula (ES) Nr</w:t>
            </w:r>
            <w:r>
              <w:rPr>
                <w:rFonts w:ascii="Times New Roman" w:hAnsi="Times New Roman"/>
                <w:noProof/>
                <w:sz w:val="24"/>
                <w:szCs w:val="24"/>
              </w:rPr>
              <w:t>.</w:t>
            </w:r>
            <w:r w:rsidRPr="000E1960">
              <w:rPr>
                <w:rFonts w:ascii="Times New Roman" w:hAnsi="Times New Roman"/>
                <w:noProof/>
                <w:sz w:val="24"/>
                <w:szCs w:val="24"/>
              </w:rPr>
              <w:t>249/2012, ar ko groza Regulu (ES) Nr</w:t>
            </w:r>
            <w:r>
              <w:rPr>
                <w:rFonts w:ascii="Times New Roman" w:hAnsi="Times New Roman"/>
                <w:noProof/>
                <w:sz w:val="24"/>
                <w:szCs w:val="24"/>
              </w:rPr>
              <w:t>.</w:t>
            </w:r>
            <w:r w:rsidRPr="000E1960">
              <w:rPr>
                <w:rFonts w:ascii="Times New Roman" w:hAnsi="Times New Roman"/>
                <w:noProof/>
                <w:sz w:val="24"/>
                <w:szCs w:val="24"/>
              </w:rPr>
              <w:t>19/2011 attiecībā uz mehānisko transportlīdzekļu un to piekabju obligātās izgatavotāja plāksnītes tipa apstiprināšanas prasībām  (Dokuments attiecas uz EEZ) (Eiropas Savienības Oficiālais Vēstnesis, 22.</w:t>
            </w:r>
            <w:r>
              <w:rPr>
                <w:rFonts w:ascii="Times New Roman" w:hAnsi="Times New Roman"/>
                <w:noProof/>
                <w:sz w:val="24"/>
                <w:szCs w:val="24"/>
              </w:rPr>
              <w:t>0</w:t>
            </w:r>
            <w:r w:rsidRPr="000E1960">
              <w:rPr>
                <w:rFonts w:ascii="Times New Roman" w:hAnsi="Times New Roman"/>
                <w:noProof/>
                <w:sz w:val="24"/>
                <w:szCs w:val="24"/>
              </w:rPr>
              <w:t>3.2012., L 82, 1.–2.lpp.)</w:t>
            </w:r>
          </w:p>
        </w:tc>
        <w:tc>
          <w:tcPr>
            <w:tcW w:w="826" w:type="dxa"/>
            <w:vAlign w:val="bottom"/>
          </w:tcPr>
          <w:p w14:paraId="785C254F" w14:textId="322033C5" w:rsidR="001725B4" w:rsidRPr="00126D2A" w:rsidRDefault="001725B4" w:rsidP="00661027">
            <w:pPr>
              <w:spacing w:after="0" w:line="240" w:lineRule="auto"/>
              <w:jc w:val="right"/>
              <w:rPr>
                <w:rFonts w:ascii="Times New Roman" w:hAnsi="Times New Roman"/>
                <w:sz w:val="24"/>
                <w:szCs w:val="24"/>
              </w:rPr>
            </w:pPr>
            <w:r>
              <w:rPr>
                <w:rFonts w:ascii="Times New Roman" w:hAnsi="Times New Roman"/>
                <w:sz w:val="24"/>
                <w:szCs w:val="24"/>
              </w:rPr>
              <w:t>"</w:t>
            </w:r>
          </w:p>
        </w:tc>
      </w:tr>
    </w:tbl>
    <w:p w14:paraId="1DDF8297" w14:textId="77777777" w:rsidR="006570DA" w:rsidRDefault="006570DA" w:rsidP="006570DA">
      <w:pPr>
        <w:spacing w:after="0" w:line="240" w:lineRule="auto"/>
        <w:ind w:firstLine="720"/>
        <w:rPr>
          <w:rFonts w:ascii="Times New Roman" w:hAnsi="Times New Roman"/>
          <w:sz w:val="28"/>
          <w:szCs w:val="28"/>
        </w:rPr>
      </w:pPr>
    </w:p>
    <w:p w14:paraId="63B11C8C" w14:textId="77777777" w:rsidR="006570DA" w:rsidRDefault="006570DA" w:rsidP="006570DA">
      <w:pPr>
        <w:spacing w:after="0" w:line="240" w:lineRule="auto"/>
        <w:ind w:firstLine="720"/>
        <w:rPr>
          <w:rFonts w:ascii="Times New Roman" w:hAnsi="Times New Roman"/>
          <w:sz w:val="28"/>
          <w:szCs w:val="28"/>
        </w:rPr>
      </w:pPr>
      <w:r>
        <w:rPr>
          <w:rFonts w:ascii="Times New Roman" w:hAnsi="Times New Roman"/>
          <w:sz w:val="28"/>
          <w:szCs w:val="28"/>
        </w:rPr>
        <w:t>5</w:t>
      </w:r>
      <w:r w:rsidRPr="00126D2A">
        <w:rPr>
          <w:rFonts w:ascii="Times New Roman" w:hAnsi="Times New Roman"/>
          <w:sz w:val="28"/>
          <w:szCs w:val="28"/>
        </w:rPr>
        <w:t>. Izteikt 11.pielikuma II</w:t>
      </w:r>
      <w:r>
        <w:rPr>
          <w:rFonts w:ascii="Times New Roman" w:hAnsi="Times New Roman"/>
          <w:sz w:val="28"/>
          <w:szCs w:val="28"/>
        </w:rPr>
        <w:t xml:space="preserve"> </w:t>
      </w:r>
      <w:r w:rsidRPr="00126D2A">
        <w:rPr>
          <w:rFonts w:ascii="Times New Roman" w:hAnsi="Times New Roman"/>
          <w:sz w:val="28"/>
          <w:szCs w:val="28"/>
        </w:rPr>
        <w:t xml:space="preserve">nodaļas tabulas </w:t>
      </w:r>
      <w:r>
        <w:rPr>
          <w:rFonts w:ascii="Times New Roman" w:hAnsi="Times New Roman"/>
          <w:sz w:val="28"/>
          <w:szCs w:val="28"/>
        </w:rPr>
        <w:t>41</w:t>
      </w:r>
      <w:r w:rsidRPr="00126D2A">
        <w:rPr>
          <w:rFonts w:ascii="Times New Roman" w:hAnsi="Times New Roman"/>
          <w:sz w:val="28"/>
          <w:szCs w:val="28"/>
        </w:rPr>
        <w:t>.</w:t>
      </w:r>
      <w:r>
        <w:rPr>
          <w:rFonts w:ascii="Times New Roman" w:hAnsi="Times New Roman"/>
          <w:sz w:val="28"/>
          <w:szCs w:val="28"/>
        </w:rPr>
        <w:t xml:space="preserve">a </w:t>
      </w:r>
      <w:r w:rsidRPr="00126D2A">
        <w:rPr>
          <w:rFonts w:ascii="Times New Roman" w:hAnsi="Times New Roman"/>
          <w:sz w:val="28"/>
          <w:szCs w:val="28"/>
        </w:rPr>
        <w:t>punktu šādā redakcijā:</w:t>
      </w:r>
    </w:p>
    <w:p w14:paraId="785C2551" w14:textId="77777777" w:rsidR="00E654AD" w:rsidRDefault="00E654AD" w:rsidP="008F6A92">
      <w:pPr>
        <w:spacing w:after="0" w:line="240" w:lineRule="auto"/>
      </w:pPr>
    </w:p>
    <w:tbl>
      <w:tblPr>
        <w:tblW w:w="1500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00"/>
        <w:gridCol w:w="1422"/>
        <w:gridCol w:w="3424"/>
        <w:gridCol w:w="1729"/>
        <w:gridCol w:w="4933"/>
        <w:gridCol w:w="859"/>
      </w:tblGrid>
      <w:tr w:rsidR="00E654AD" w:rsidRPr="00126D2A" w14:paraId="785C2561" w14:textId="77777777" w:rsidTr="006570DA">
        <w:trPr>
          <w:cantSplit/>
        </w:trPr>
        <w:tc>
          <w:tcPr>
            <w:tcW w:w="540" w:type="dxa"/>
            <w:vMerge w:val="restart"/>
          </w:tcPr>
          <w:p w14:paraId="785C2554" w14:textId="22A18AF6" w:rsidR="00E654AD" w:rsidRPr="00126D2A" w:rsidRDefault="00661027" w:rsidP="008F6A92">
            <w:pPr>
              <w:spacing w:after="0" w:line="240" w:lineRule="auto"/>
              <w:ind w:left="-108" w:right="-108"/>
              <w:jc w:val="center"/>
              <w:rPr>
                <w:rFonts w:ascii="Times New Roman" w:hAnsi="Times New Roman"/>
                <w:sz w:val="24"/>
                <w:szCs w:val="24"/>
              </w:rPr>
            </w:pPr>
            <w:r>
              <w:rPr>
                <w:rFonts w:ascii="Times New Roman" w:hAnsi="Times New Roman"/>
                <w:sz w:val="28"/>
                <w:szCs w:val="28"/>
              </w:rPr>
              <w:lastRenderedPageBreak/>
              <w:br w:type="page"/>
            </w:r>
            <w:r w:rsidR="008F6A92">
              <w:rPr>
                <w:rFonts w:ascii="Times New Roman" w:hAnsi="Times New Roman"/>
                <w:sz w:val="24"/>
                <w:szCs w:val="24"/>
              </w:rPr>
              <w:t>"</w:t>
            </w:r>
            <w:r w:rsidR="00E654AD" w:rsidRPr="00126D2A">
              <w:rPr>
                <w:rFonts w:ascii="Times New Roman" w:hAnsi="Times New Roman"/>
                <w:sz w:val="24"/>
                <w:szCs w:val="24"/>
              </w:rPr>
              <w:t>41.a</w:t>
            </w:r>
          </w:p>
        </w:tc>
        <w:tc>
          <w:tcPr>
            <w:tcW w:w="2100" w:type="dxa"/>
            <w:vMerge w:val="restart"/>
          </w:tcPr>
          <w:p w14:paraId="785C2555" w14:textId="77777777" w:rsidR="00E654AD" w:rsidRPr="00126D2A" w:rsidRDefault="00E654AD" w:rsidP="008F6A92">
            <w:pPr>
              <w:spacing w:after="0" w:line="240" w:lineRule="auto"/>
              <w:rPr>
                <w:rFonts w:ascii="Times New Roman" w:hAnsi="Times New Roman"/>
                <w:color w:val="000000"/>
                <w:sz w:val="24"/>
                <w:szCs w:val="24"/>
              </w:rPr>
            </w:pPr>
            <w:r w:rsidRPr="00126D2A">
              <w:rPr>
                <w:rFonts w:ascii="Times New Roman" w:hAnsi="Times New Roman"/>
                <w:color w:val="000000"/>
                <w:sz w:val="24"/>
                <w:szCs w:val="24"/>
              </w:rPr>
              <w:t>Emisijas (</w:t>
            </w:r>
            <w:r w:rsidRPr="00126D2A">
              <w:rPr>
                <w:rFonts w:ascii="Times New Roman" w:hAnsi="Times New Roman"/>
                <w:i/>
                <w:iCs/>
                <w:color w:val="000000"/>
                <w:sz w:val="24"/>
                <w:szCs w:val="24"/>
              </w:rPr>
              <w:t>Euro VI</w:t>
            </w:r>
            <w:r w:rsidRPr="00126D2A">
              <w:rPr>
                <w:rFonts w:ascii="Times New Roman" w:hAnsi="Times New Roman"/>
                <w:color w:val="000000"/>
                <w:sz w:val="24"/>
                <w:szCs w:val="24"/>
              </w:rPr>
              <w:t>), ko rada lielas celtspējas/ kravnesības transportlīdzekļi/</w:t>
            </w:r>
          </w:p>
          <w:p w14:paraId="785C2556" w14:textId="77777777" w:rsidR="00E654AD" w:rsidRPr="00126D2A" w:rsidRDefault="00E654AD" w:rsidP="008F6A92">
            <w:pPr>
              <w:spacing w:after="0" w:line="240" w:lineRule="auto"/>
              <w:rPr>
                <w:rFonts w:ascii="Times New Roman" w:hAnsi="Times New Roman"/>
                <w:sz w:val="24"/>
                <w:szCs w:val="24"/>
              </w:rPr>
            </w:pPr>
            <w:r w:rsidRPr="00126D2A">
              <w:rPr>
                <w:rFonts w:ascii="Times New Roman" w:hAnsi="Times New Roman"/>
                <w:color w:val="000000"/>
                <w:sz w:val="24"/>
                <w:szCs w:val="24"/>
              </w:rPr>
              <w:t>piekļuve informācijai</w:t>
            </w:r>
          </w:p>
        </w:tc>
        <w:tc>
          <w:tcPr>
            <w:tcW w:w="1422" w:type="dxa"/>
            <w:vMerge w:val="restart"/>
          </w:tcPr>
          <w:p w14:paraId="785C2557" w14:textId="77777777" w:rsidR="00E654AD" w:rsidRPr="00126D2A" w:rsidRDefault="00E654AD" w:rsidP="008F6A92">
            <w:pPr>
              <w:autoSpaceDE w:val="0"/>
              <w:autoSpaceDN w:val="0"/>
              <w:adjustRightInd w:val="0"/>
              <w:spacing w:after="0" w:line="240" w:lineRule="auto"/>
              <w:ind w:left="-108"/>
              <w:rPr>
                <w:rFonts w:ascii="Times New Roman" w:hAnsi="Times New Roman"/>
                <w:sz w:val="24"/>
                <w:szCs w:val="24"/>
              </w:rPr>
            </w:pPr>
            <w:r w:rsidRPr="00126D2A">
              <w:rPr>
                <w:rFonts w:ascii="Times New Roman" w:hAnsi="Times New Roman"/>
                <w:sz w:val="24"/>
                <w:szCs w:val="24"/>
              </w:rPr>
              <w:t>Regula (EK)</w:t>
            </w:r>
          </w:p>
          <w:p w14:paraId="785C2558" w14:textId="77777777" w:rsidR="00E654AD" w:rsidRPr="00126D2A" w:rsidRDefault="00E654AD" w:rsidP="008F6A92">
            <w:pPr>
              <w:spacing w:after="0" w:line="240" w:lineRule="auto"/>
              <w:ind w:left="-108" w:right="-125"/>
              <w:rPr>
                <w:rFonts w:ascii="Times New Roman" w:hAnsi="Times New Roman"/>
                <w:sz w:val="24"/>
                <w:szCs w:val="24"/>
              </w:rPr>
            </w:pPr>
            <w:r w:rsidRPr="00126D2A">
              <w:rPr>
                <w:rFonts w:ascii="Times New Roman" w:hAnsi="Times New Roman"/>
                <w:sz w:val="24"/>
                <w:szCs w:val="24"/>
              </w:rPr>
              <w:t>Nr.595/2009</w:t>
            </w:r>
          </w:p>
        </w:tc>
        <w:tc>
          <w:tcPr>
            <w:tcW w:w="3424" w:type="dxa"/>
            <w:vMerge w:val="restart"/>
          </w:tcPr>
          <w:p w14:paraId="785C2559" w14:textId="77777777" w:rsidR="00E654AD" w:rsidRPr="00126D2A" w:rsidRDefault="00E654AD" w:rsidP="008F6A92">
            <w:pPr>
              <w:autoSpaceDE w:val="0"/>
              <w:autoSpaceDN w:val="0"/>
              <w:adjustRightInd w:val="0"/>
              <w:spacing w:after="0" w:line="240" w:lineRule="auto"/>
              <w:rPr>
                <w:rFonts w:ascii="Times New Roman" w:hAnsi="Times New Roman"/>
                <w:color w:val="000000"/>
                <w:sz w:val="24"/>
                <w:szCs w:val="24"/>
                <w:lang w:val="fr-FR"/>
              </w:rPr>
            </w:pPr>
            <w:r w:rsidRPr="00126D2A">
              <w:rPr>
                <w:rFonts w:ascii="Times New Roman" w:hAnsi="Times New Roman"/>
                <w:bCs/>
                <w:color w:val="000000"/>
                <w:sz w:val="24"/>
                <w:szCs w:val="24"/>
                <w:lang w:val="fr-FR"/>
              </w:rPr>
              <w:t>Eiropas Parlamenta un Padomes 2009.gada 18.jūnija Regula (EK) Nr.595/2009 par mehānisko transportlīdzekļu un motoru tipa apstiprinājumu attiecībā uz lielas celtspējas/kravnesības transportlīdzekļu radītām emisijām (</w:t>
            </w:r>
            <w:r w:rsidRPr="00126D2A">
              <w:rPr>
                <w:rFonts w:ascii="Times New Roman" w:hAnsi="Times New Roman"/>
                <w:bCs/>
                <w:i/>
                <w:iCs/>
                <w:color w:val="000000"/>
                <w:sz w:val="24"/>
                <w:szCs w:val="24"/>
                <w:lang w:val="fr-FR"/>
              </w:rPr>
              <w:t>Euro VI</w:t>
            </w:r>
            <w:r w:rsidRPr="00126D2A">
              <w:rPr>
                <w:rFonts w:ascii="Times New Roman" w:hAnsi="Times New Roman"/>
                <w:bCs/>
                <w:color w:val="000000"/>
                <w:sz w:val="24"/>
                <w:szCs w:val="24"/>
                <w:lang w:val="fr-FR"/>
              </w:rPr>
              <w:t xml:space="preserve">), par piekļuvi transportlīdzekļu remonta un tehniskās apkopes informācijai, par grozījumiem Regulā (EK) Nr.715/2007 un Direktīvā 2007/46/EK un par Direktīvu 80/1269/EEK, 2005/55/EK un 2005/78/EK atcelšanu </w:t>
            </w:r>
          </w:p>
          <w:p w14:paraId="785C255A" w14:textId="77777777" w:rsidR="00E654AD" w:rsidRPr="00126D2A" w:rsidRDefault="00E654AD" w:rsidP="008F6A92">
            <w:pPr>
              <w:spacing w:after="0" w:line="240" w:lineRule="auto"/>
              <w:rPr>
                <w:rFonts w:ascii="Times New Roman" w:hAnsi="Times New Roman"/>
                <w:noProof/>
                <w:sz w:val="24"/>
                <w:szCs w:val="24"/>
              </w:rPr>
            </w:pPr>
            <w:r w:rsidRPr="00126D2A">
              <w:rPr>
                <w:rFonts w:ascii="Times New Roman" w:hAnsi="Times New Roman"/>
                <w:bCs/>
                <w:color w:val="000000"/>
                <w:sz w:val="24"/>
                <w:szCs w:val="24"/>
                <w:lang w:val="fr-FR"/>
              </w:rPr>
              <w:t>(Dokuments attiecas uz EEZ)</w:t>
            </w:r>
            <w:r w:rsidRPr="00126D2A">
              <w:rPr>
                <w:rFonts w:ascii="Times New Roman" w:hAnsi="Times New Roman"/>
                <w:sz w:val="24"/>
                <w:szCs w:val="24"/>
              </w:rPr>
              <w:t xml:space="preserve"> (</w:t>
            </w:r>
            <w:r w:rsidRPr="00126D2A">
              <w:rPr>
                <w:rFonts w:ascii="Times New Roman" w:hAnsi="Times New Roman"/>
                <w:noProof/>
                <w:sz w:val="24"/>
                <w:szCs w:val="24"/>
              </w:rPr>
              <w:t>Eiropas Savienības Oficiālais Vēstnesis, 18.07.2009., L 188, 1.–13.lpp.)</w:t>
            </w:r>
          </w:p>
        </w:tc>
        <w:tc>
          <w:tcPr>
            <w:tcW w:w="1729" w:type="dxa"/>
          </w:tcPr>
          <w:p w14:paraId="785C255B" w14:textId="77777777" w:rsidR="00E654AD" w:rsidRPr="00126D2A" w:rsidRDefault="00E654AD" w:rsidP="008F6A92">
            <w:pPr>
              <w:autoSpaceDE w:val="0"/>
              <w:autoSpaceDN w:val="0"/>
              <w:adjustRightInd w:val="0"/>
              <w:spacing w:after="0" w:line="240" w:lineRule="auto"/>
              <w:rPr>
                <w:rFonts w:ascii="Times New Roman" w:hAnsi="Times New Roman"/>
                <w:b/>
                <w:sz w:val="24"/>
                <w:szCs w:val="24"/>
              </w:rPr>
            </w:pPr>
            <w:r w:rsidRPr="00126D2A">
              <w:rPr>
                <w:rFonts w:ascii="Times New Roman" w:hAnsi="Times New Roman"/>
                <w:b/>
                <w:sz w:val="24"/>
                <w:szCs w:val="24"/>
              </w:rPr>
              <w:t>Regula (EK)</w:t>
            </w:r>
          </w:p>
          <w:p w14:paraId="785C255C" w14:textId="77777777" w:rsidR="00E654AD" w:rsidRPr="00126D2A" w:rsidRDefault="00E654AD" w:rsidP="008F6A92">
            <w:pPr>
              <w:spacing w:after="0" w:line="240" w:lineRule="auto"/>
              <w:rPr>
                <w:rFonts w:ascii="Times New Roman" w:hAnsi="Times New Roman"/>
                <w:bCs/>
                <w:sz w:val="24"/>
                <w:szCs w:val="24"/>
              </w:rPr>
            </w:pPr>
            <w:r w:rsidRPr="00126D2A">
              <w:rPr>
                <w:rFonts w:ascii="Times New Roman" w:hAnsi="Times New Roman"/>
                <w:b/>
                <w:sz w:val="24"/>
                <w:szCs w:val="24"/>
              </w:rPr>
              <w:t>Nr.595/2009</w:t>
            </w:r>
            <w:r w:rsidRPr="00126D2A">
              <w:rPr>
                <w:rFonts w:ascii="Times New Roman" w:hAnsi="Times New Roman"/>
                <w:b/>
                <w:sz w:val="24"/>
                <w:szCs w:val="24"/>
                <w:vertAlign w:val="superscript"/>
              </w:rPr>
              <w:t>6B</w:t>
            </w:r>
          </w:p>
        </w:tc>
        <w:tc>
          <w:tcPr>
            <w:tcW w:w="4933" w:type="dxa"/>
          </w:tcPr>
          <w:p w14:paraId="785C255F" w14:textId="27A720EC" w:rsidR="00E654AD" w:rsidRPr="00126D2A" w:rsidRDefault="00E654AD" w:rsidP="006570DA">
            <w:pPr>
              <w:autoSpaceDE w:val="0"/>
              <w:autoSpaceDN w:val="0"/>
              <w:adjustRightInd w:val="0"/>
              <w:spacing w:after="0" w:line="240" w:lineRule="auto"/>
              <w:rPr>
                <w:rFonts w:ascii="Times New Roman" w:hAnsi="Times New Roman"/>
                <w:noProof/>
                <w:sz w:val="24"/>
                <w:szCs w:val="24"/>
              </w:rPr>
            </w:pPr>
            <w:r w:rsidRPr="00126D2A">
              <w:rPr>
                <w:rFonts w:ascii="Times New Roman" w:hAnsi="Times New Roman"/>
                <w:bCs/>
                <w:color w:val="000000"/>
                <w:sz w:val="24"/>
                <w:szCs w:val="24"/>
                <w:lang w:val="fr-FR"/>
              </w:rPr>
              <w:t>Eiropas Parlamenta un Padomes 2009.gada 18.jūnija Regula (EK) Nr.595/2009 par mehānisko transportlīdzekļu un motoru tipa apstiprinājumu attiecībā uz lielas celtspējas/</w:t>
            </w:r>
            <w:r w:rsidR="006570DA">
              <w:rPr>
                <w:rFonts w:ascii="Times New Roman" w:hAnsi="Times New Roman"/>
                <w:bCs/>
                <w:color w:val="000000"/>
                <w:sz w:val="24"/>
                <w:szCs w:val="24"/>
                <w:lang w:val="fr-FR"/>
              </w:rPr>
              <w:t xml:space="preserve"> </w:t>
            </w:r>
            <w:r w:rsidRPr="00126D2A">
              <w:rPr>
                <w:rFonts w:ascii="Times New Roman" w:hAnsi="Times New Roman"/>
                <w:bCs/>
                <w:color w:val="000000"/>
                <w:sz w:val="24"/>
                <w:szCs w:val="24"/>
                <w:lang w:val="fr-FR"/>
              </w:rPr>
              <w:t>kravnesības transportlīdzekļu radītām emisijām (</w:t>
            </w:r>
            <w:r w:rsidRPr="00126D2A">
              <w:rPr>
                <w:rFonts w:ascii="Times New Roman" w:hAnsi="Times New Roman"/>
                <w:bCs/>
                <w:i/>
                <w:iCs/>
                <w:color w:val="000000"/>
                <w:sz w:val="24"/>
                <w:szCs w:val="24"/>
                <w:lang w:val="fr-FR"/>
              </w:rPr>
              <w:t>Euro VI</w:t>
            </w:r>
            <w:r w:rsidRPr="00126D2A">
              <w:rPr>
                <w:rFonts w:ascii="Times New Roman" w:hAnsi="Times New Roman"/>
                <w:bCs/>
                <w:color w:val="000000"/>
                <w:sz w:val="24"/>
                <w:szCs w:val="24"/>
                <w:lang w:val="fr-FR"/>
              </w:rPr>
              <w:t>), par piekļuvi transportlīdzekļu remonta un tehniskās apkopes informācijai, par grozījumiem Regulā (EK) Nr.715/2007 un Direktīvā 2007/46/EK un par Direktīvu 80/1269/EEK, 2005/55/EK un 2005/78/EK atcelšanu (Dokuments attiecas uz EEZ)</w:t>
            </w:r>
            <w:r w:rsidRPr="00126D2A">
              <w:rPr>
                <w:rFonts w:ascii="Times New Roman" w:hAnsi="Times New Roman"/>
                <w:sz w:val="24"/>
                <w:szCs w:val="24"/>
              </w:rPr>
              <w:t xml:space="preserve"> (</w:t>
            </w:r>
            <w:r w:rsidRPr="00126D2A">
              <w:rPr>
                <w:rFonts w:ascii="Times New Roman" w:hAnsi="Times New Roman"/>
                <w:noProof/>
                <w:sz w:val="24"/>
                <w:szCs w:val="24"/>
              </w:rPr>
              <w:t>Eiropas Savienības Oficiālais Vēstnesis, 18.07.2009., L 188, 1.–13.lpp.)</w:t>
            </w:r>
          </w:p>
        </w:tc>
        <w:tc>
          <w:tcPr>
            <w:tcW w:w="859" w:type="dxa"/>
            <w:vMerge w:val="restart"/>
          </w:tcPr>
          <w:p w14:paraId="785C2560" w14:textId="29D67EDD" w:rsidR="00E654AD" w:rsidRPr="00126D2A" w:rsidRDefault="00661027" w:rsidP="008F6A92">
            <w:pPr>
              <w:spacing w:after="0" w:line="240" w:lineRule="auto"/>
              <w:ind w:left="-113" w:right="-57"/>
              <w:jc w:val="center"/>
              <w:rPr>
                <w:rFonts w:ascii="Times New Roman" w:hAnsi="Times New Roman"/>
                <w:b/>
                <w:bCs/>
                <w:sz w:val="24"/>
                <w:szCs w:val="24"/>
              </w:rPr>
            </w:pPr>
            <w:r>
              <w:rPr>
                <w:rFonts w:ascii="Times New Roman" w:hAnsi="Times New Roman"/>
                <w:sz w:val="24"/>
                <w:szCs w:val="24"/>
              </w:rPr>
              <w:t>–</w:t>
            </w:r>
          </w:p>
        </w:tc>
      </w:tr>
      <w:tr w:rsidR="00E654AD" w:rsidRPr="00126D2A" w14:paraId="785C256B" w14:textId="77777777" w:rsidTr="006570DA">
        <w:trPr>
          <w:cantSplit/>
        </w:trPr>
        <w:tc>
          <w:tcPr>
            <w:tcW w:w="540" w:type="dxa"/>
            <w:vMerge/>
          </w:tcPr>
          <w:p w14:paraId="785C2562" w14:textId="77777777" w:rsidR="00E654AD" w:rsidRPr="00126D2A" w:rsidRDefault="00E654AD" w:rsidP="008F6A92">
            <w:pPr>
              <w:spacing w:after="0" w:line="240" w:lineRule="auto"/>
              <w:ind w:left="-108" w:right="-108"/>
              <w:jc w:val="center"/>
              <w:rPr>
                <w:rFonts w:ascii="Times New Roman" w:hAnsi="Times New Roman"/>
                <w:sz w:val="24"/>
                <w:szCs w:val="24"/>
              </w:rPr>
            </w:pPr>
          </w:p>
        </w:tc>
        <w:tc>
          <w:tcPr>
            <w:tcW w:w="2100" w:type="dxa"/>
            <w:vMerge/>
          </w:tcPr>
          <w:p w14:paraId="785C2563" w14:textId="77777777" w:rsidR="00E654AD" w:rsidRPr="00126D2A" w:rsidRDefault="00E654AD" w:rsidP="008F6A92">
            <w:pPr>
              <w:spacing w:after="0" w:line="240" w:lineRule="auto"/>
              <w:rPr>
                <w:rFonts w:ascii="Times New Roman" w:hAnsi="Times New Roman"/>
                <w:color w:val="000000"/>
                <w:sz w:val="24"/>
                <w:szCs w:val="24"/>
              </w:rPr>
            </w:pPr>
          </w:p>
        </w:tc>
        <w:tc>
          <w:tcPr>
            <w:tcW w:w="1422" w:type="dxa"/>
            <w:vMerge/>
          </w:tcPr>
          <w:p w14:paraId="785C2564" w14:textId="77777777" w:rsidR="00E654AD" w:rsidRPr="00126D2A" w:rsidRDefault="00E654AD" w:rsidP="008F6A92">
            <w:pPr>
              <w:autoSpaceDE w:val="0"/>
              <w:autoSpaceDN w:val="0"/>
              <w:adjustRightInd w:val="0"/>
              <w:spacing w:after="0" w:line="240" w:lineRule="auto"/>
              <w:ind w:left="-108"/>
              <w:rPr>
                <w:rFonts w:ascii="Times New Roman" w:hAnsi="Times New Roman"/>
                <w:sz w:val="24"/>
                <w:szCs w:val="24"/>
              </w:rPr>
            </w:pPr>
          </w:p>
        </w:tc>
        <w:tc>
          <w:tcPr>
            <w:tcW w:w="3424" w:type="dxa"/>
            <w:vMerge/>
            <w:vAlign w:val="center"/>
          </w:tcPr>
          <w:p w14:paraId="785C2565" w14:textId="77777777" w:rsidR="00E654AD" w:rsidRPr="00126D2A" w:rsidRDefault="00E654AD" w:rsidP="008F6A92">
            <w:pPr>
              <w:autoSpaceDE w:val="0"/>
              <w:autoSpaceDN w:val="0"/>
              <w:adjustRightInd w:val="0"/>
              <w:spacing w:after="0" w:line="240" w:lineRule="auto"/>
              <w:rPr>
                <w:rFonts w:ascii="Times New Roman" w:hAnsi="Times New Roman"/>
                <w:bCs/>
                <w:color w:val="000000"/>
                <w:sz w:val="24"/>
                <w:szCs w:val="24"/>
                <w:lang w:val="fr-FR"/>
              </w:rPr>
            </w:pPr>
          </w:p>
        </w:tc>
        <w:tc>
          <w:tcPr>
            <w:tcW w:w="1729" w:type="dxa"/>
          </w:tcPr>
          <w:p w14:paraId="785C2566" w14:textId="77777777" w:rsidR="00E654AD" w:rsidRPr="00126D2A" w:rsidRDefault="00E654AD" w:rsidP="008F6A92">
            <w:pPr>
              <w:autoSpaceDE w:val="0"/>
              <w:autoSpaceDN w:val="0"/>
              <w:adjustRightInd w:val="0"/>
              <w:spacing w:after="0" w:line="240" w:lineRule="auto"/>
              <w:jc w:val="both"/>
              <w:rPr>
                <w:rFonts w:ascii="Times New Roman" w:hAnsi="Times New Roman"/>
                <w:b/>
                <w:sz w:val="24"/>
                <w:szCs w:val="24"/>
              </w:rPr>
            </w:pPr>
            <w:r w:rsidRPr="00126D2A">
              <w:rPr>
                <w:rFonts w:ascii="Times New Roman" w:hAnsi="Times New Roman"/>
                <w:b/>
                <w:sz w:val="24"/>
                <w:szCs w:val="24"/>
              </w:rPr>
              <w:t>Regula (ES)</w:t>
            </w:r>
          </w:p>
          <w:p w14:paraId="785C2567" w14:textId="77777777" w:rsidR="00E654AD" w:rsidRPr="00126D2A" w:rsidRDefault="00E654AD" w:rsidP="008F6A92">
            <w:pPr>
              <w:autoSpaceDE w:val="0"/>
              <w:autoSpaceDN w:val="0"/>
              <w:adjustRightInd w:val="0"/>
              <w:spacing w:after="0" w:line="240" w:lineRule="auto"/>
              <w:rPr>
                <w:rFonts w:ascii="Times New Roman" w:hAnsi="Times New Roman"/>
                <w:b/>
                <w:sz w:val="24"/>
                <w:szCs w:val="24"/>
              </w:rPr>
            </w:pPr>
            <w:r w:rsidRPr="00126D2A">
              <w:rPr>
                <w:rFonts w:ascii="Times New Roman" w:hAnsi="Times New Roman"/>
                <w:b/>
                <w:sz w:val="24"/>
                <w:szCs w:val="24"/>
              </w:rPr>
              <w:t>Nr.582/2011</w:t>
            </w:r>
          </w:p>
        </w:tc>
        <w:tc>
          <w:tcPr>
            <w:tcW w:w="4933" w:type="dxa"/>
          </w:tcPr>
          <w:p w14:paraId="785C2569" w14:textId="05FCD2DC" w:rsidR="00E654AD" w:rsidRPr="00126D2A" w:rsidRDefault="00E654AD" w:rsidP="006570DA">
            <w:pPr>
              <w:autoSpaceDE w:val="0"/>
              <w:autoSpaceDN w:val="0"/>
              <w:adjustRightInd w:val="0"/>
              <w:spacing w:after="0" w:line="240" w:lineRule="auto"/>
              <w:rPr>
                <w:rFonts w:ascii="Times New Roman" w:hAnsi="Times New Roman"/>
                <w:bCs/>
                <w:sz w:val="24"/>
                <w:szCs w:val="24"/>
              </w:rPr>
            </w:pPr>
            <w:r w:rsidRPr="00126D2A">
              <w:rPr>
                <w:rFonts w:ascii="Times New Roman" w:hAnsi="Times New Roman"/>
                <w:bCs/>
                <w:sz w:val="24"/>
                <w:szCs w:val="24"/>
              </w:rPr>
              <w:t>Komisijas 2011.gada 25.maija Regula (ES) Nr.582/2011, ar ko īsteno un groza Eiropas Parlamenta un Padomes Regulu (EK) Nr.595/2009 attiecībā uz lielas celtspējas/</w:t>
            </w:r>
            <w:r w:rsidR="006570DA">
              <w:rPr>
                <w:rFonts w:ascii="Times New Roman" w:hAnsi="Times New Roman"/>
                <w:bCs/>
                <w:sz w:val="24"/>
                <w:szCs w:val="24"/>
              </w:rPr>
              <w:t xml:space="preserve"> </w:t>
            </w:r>
            <w:r w:rsidRPr="00126D2A">
              <w:rPr>
                <w:rFonts w:ascii="Times New Roman" w:hAnsi="Times New Roman"/>
                <w:bCs/>
                <w:sz w:val="24"/>
                <w:szCs w:val="24"/>
              </w:rPr>
              <w:t>kravnesības transportlīdzekļu radītām emisijām (</w:t>
            </w:r>
            <w:r w:rsidRPr="00126D2A">
              <w:rPr>
                <w:rFonts w:ascii="Times New Roman" w:hAnsi="Times New Roman"/>
                <w:bCs/>
                <w:i/>
                <w:sz w:val="24"/>
                <w:szCs w:val="24"/>
              </w:rPr>
              <w:t>Euro VI</w:t>
            </w:r>
            <w:r w:rsidRPr="00126D2A">
              <w:rPr>
                <w:rFonts w:ascii="Times New Roman" w:hAnsi="Times New Roman"/>
                <w:bCs/>
                <w:sz w:val="24"/>
                <w:szCs w:val="24"/>
              </w:rPr>
              <w:t>) un groza Eiropas Parlamenta un Padomes Direktīvas 2007/46/EK I un III</w:t>
            </w:r>
            <w:r w:rsidR="006570DA">
              <w:rPr>
                <w:rFonts w:ascii="Times New Roman" w:hAnsi="Times New Roman"/>
                <w:bCs/>
                <w:sz w:val="24"/>
                <w:szCs w:val="24"/>
              </w:rPr>
              <w:t> </w:t>
            </w:r>
            <w:r w:rsidRPr="00126D2A">
              <w:rPr>
                <w:rFonts w:ascii="Times New Roman" w:hAnsi="Times New Roman"/>
                <w:bCs/>
                <w:sz w:val="24"/>
                <w:szCs w:val="24"/>
              </w:rPr>
              <w:t>pielikumu</w:t>
            </w:r>
            <w:r w:rsidR="006570DA">
              <w:rPr>
                <w:rFonts w:ascii="Times New Roman" w:hAnsi="Times New Roman"/>
                <w:bCs/>
                <w:sz w:val="24"/>
                <w:szCs w:val="24"/>
              </w:rPr>
              <w:t xml:space="preserve"> </w:t>
            </w:r>
            <w:r w:rsidRPr="00126D2A">
              <w:rPr>
                <w:rFonts w:ascii="Times New Roman" w:hAnsi="Times New Roman"/>
                <w:bCs/>
                <w:sz w:val="24"/>
                <w:szCs w:val="24"/>
              </w:rPr>
              <w:t>(Dokuments attiecas uz EEZ) (Eiropas Savienības Oficiālais Vēstnesis, 25.06.2011., L 167, 1.–168.lpp.)</w:t>
            </w:r>
          </w:p>
        </w:tc>
        <w:tc>
          <w:tcPr>
            <w:tcW w:w="859" w:type="dxa"/>
            <w:vMerge/>
          </w:tcPr>
          <w:p w14:paraId="785C256A" w14:textId="77777777" w:rsidR="00E654AD" w:rsidRPr="00126D2A" w:rsidRDefault="00E654AD" w:rsidP="008F6A92">
            <w:pPr>
              <w:spacing w:after="0" w:line="240" w:lineRule="auto"/>
              <w:ind w:left="-113" w:right="-57"/>
              <w:jc w:val="center"/>
              <w:rPr>
                <w:rFonts w:ascii="Times New Roman" w:hAnsi="Times New Roman"/>
                <w:sz w:val="24"/>
                <w:szCs w:val="24"/>
              </w:rPr>
            </w:pPr>
          </w:p>
        </w:tc>
      </w:tr>
      <w:tr w:rsidR="00E654AD" w:rsidRPr="00126D2A" w14:paraId="785C2574" w14:textId="77777777" w:rsidTr="006570DA">
        <w:trPr>
          <w:cantSplit/>
        </w:trPr>
        <w:tc>
          <w:tcPr>
            <w:tcW w:w="540" w:type="dxa"/>
            <w:vMerge/>
          </w:tcPr>
          <w:p w14:paraId="785C256C" w14:textId="77777777" w:rsidR="00E654AD" w:rsidRPr="00126D2A" w:rsidRDefault="00E654AD" w:rsidP="008F6A92">
            <w:pPr>
              <w:spacing w:after="0" w:line="240" w:lineRule="auto"/>
              <w:ind w:left="-108" w:right="-108"/>
              <w:jc w:val="center"/>
              <w:rPr>
                <w:rFonts w:ascii="Times New Roman" w:hAnsi="Times New Roman"/>
                <w:sz w:val="24"/>
                <w:szCs w:val="24"/>
              </w:rPr>
            </w:pPr>
          </w:p>
        </w:tc>
        <w:tc>
          <w:tcPr>
            <w:tcW w:w="2100" w:type="dxa"/>
            <w:vMerge/>
          </w:tcPr>
          <w:p w14:paraId="785C256D" w14:textId="77777777" w:rsidR="00E654AD" w:rsidRPr="00126D2A" w:rsidRDefault="00E654AD" w:rsidP="008F6A92">
            <w:pPr>
              <w:spacing w:after="0" w:line="240" w:lineRule="auto"/>
              <w:rPr>
                <w:rFonts w:ascii="Times New Roman" w:hAnsi="Times New Roman"/>
                <w:color w:val="000000"/>
                <w:sz w:val="24"/>
                <w:szCs w:val="24"/>
              </w:rPr>
            </w:pPr>
          </w:p>
        </w:tc>
        <w:tc>
          <w:tcPr>
            <w:tcW w:w="1422" w:type="dxa"/>
            <w:vMerge/>
          </w:tcPr>
          <w:p w14:paraId="785C256E" w14:textId="77777777" w:rsidR="00E654AD" w:rsidRPr="00126D2A" w:rsidRDefault="00E654AD" w:rsidP="008F6A92">
            <w:pPr>
              <w:autoSpaceDE w:val="0"/>
              <w:autoSpaceDN w:val="0"/>
              <w:adjustRightInd w:val="0"/>
              <w:spacing w:after="0" w:line="240" w:lineRule="auto"/>
              <w:ind w:left="-108"/>
              <w:rPr>
                <w:rFonts w:ascii="Times New Roman" w:hAnsi="Times New Roman"/>
                <w:sz w:val="24"/>
                <w:szCs w:val="24"/>
              </w:rPr>
            </w:pPr>
          </w:p>
        </w:tc>
        <w:tc>
          <w:tcPr>
            <w:tcW w:w="3424" w:type="dxa"/>
            <w:vMerge/>
            <w:vAlign w:val="center"/>
          </w:tcPr>
          <w:p w14:paraId="785C256F" w14:textId="77777777" w:rsidR="00E654AD" w:rsidRPr="00126D2A" w:rsidRDefault="00E654AD" w:rsidP="008F6A92">
            <w:pPr>
              <w:autoSpaceDE w:val="0"/>
              <w:autoSpaceDN w:val="0"/>
              <w:adjustRightInd w:val="0"/>
              <w:spacing w:after="0" w:line="240" w:lineRule="auto"/>
              <w:rPr>
                <w:rFonts w:ascii="Times New Roman" w:hAnsi="Times New Roman"/>
                <w:bCs/>
                <w:color w:val="000000"/>
                <w:sz w:val="24"/>
                <w:szCs w:val="24"/>
                <w:lang w:val="fr-FR"/>
              </w:rPr>
            </w:pPr>
          </w:p>
        </w:tc>
        <w:tc>
          <w:tcPr>
            <w:tcW w:w="1729" w:type="dxa"/>
          </w:tcPr>
          <w:p w14:paraId="785C2570" w14:textId="77777777" w:rsidR="00E654AD" w:rsidRPr="000E1960" w:rsidRDefault="00E654AD" w:rsidP="008F6A92">
            <w:pPr>
              <w:autoSpaceDE w:val="0"/>
              <w:autoSpaceDN w:val="0"/>
              <w:adjustRightInd w:val="0"/>
              <w:spacing w:after="0" w:line="240" w:lineRule="auto"/>
              <w:jc w:val="both"/>
              <w:rPr>
                <w:rFonts w:ascii="Times New Roman" w:hAnsi="Times New Roman"/>
                <w:b/>
                <w:sz w:val="24"/>
                <w:szCs w:val="24"/>
              </w:rPr>
            </w:pPr>
            <w:r w:rsidRPr="000E1960">
              <w:rPr>
                <w:rFonts w:ascii="Times New Roman" w:hAnsi="Times New Roman"/>
                <w:b/>
                <w:sz w:val="24"/>
                <w:szCs w:val="24"/>
              </w:rPr>
              <w:t>Regula (ES)</w:t>
            </w:r>
          </w:p>
          <w:p w14:paraId="785C2571" w14:textId="77777777" w:rsidR="00E654AD" w:rsidRPr="000E1960" w:rsidRDefault="00E654AD" w:rsidP="008F6A92">
            <w:pPr>
              <w:autoSpaceDE w:val="0"/>
              <w:autoSpaceDN w:val="0"/>
              <w:adjustRightInd w:val="0"/>
              <w:spacing w:after="0" w:line="240" w:lineRule="auto"/>
              <w:jc w:val="both"/>
              <w:rPr>
                <w:rFonts w:ascii="Times New Roman" w:hAnsi="Times New Roman"/>
                <w:b/>
                <w:sz w:val="24"/>
                <w:szCs w:val="24"/>
              </w:rPr>
            </w:pPr>
            <w:r w:rsidRPr="000E1960">
              <w:rPr>
                <w:rFonts w:ascii="Times New Roman" w:hAnsi="Times New Roman"/>
                <w:b/>
                <w:sz w:val="24"/>
                <w:szCs w:val="24"/>
              </w:rPr>
              <w:t>Nr.64/2012</w:t>
            </w:r>
          </w:p>
        </w:tc>
        <w:tc>
          <w:tcPr>
            <w:tcW w:w="4933" w:type="dxa"/>
          </w:tcPr>
          <w:p w14:paraId="785C2572" w14:textId="54CD9D5B" w:rsidR="00E654AD" w:rsidRPr="000E1960" w:rsidRDefault="00E654AD" w:rsidP="00661027">
            <w:pPr>
              <w:autoSpaceDE w:val="0"/>
              <w:autoSpaceDN w:val="0"/>
              <w:adjustRightInd w:val="0"/>
              <w:spacing w:after="0" w:line="240" w:lineRule="auto"/>
              <w:rPr>
                <w:rFonts w:ascii="Times New Roman" w:hAnsi="Times New Roman"/>
                <w:bCs/>
                <w:sz w:val="24"/>
                <w:szCs w:val="24"/>
              </w:rPr>
            </w:pPr>
            <w:r w:rsidRPr="000E1960">
              <w:rPr>
                <w:rFonts w:ascii="Times New Roman" w:hAnsi="Times New Roman"/>
                <w:bCs/>
                <w:sz w:val="24"/>
                <w:szCs w:val="24"/>
              </w:rPr>
              <w:t>Komisijas 2012</w:t>
            </w:r>
            <w:r w:rsidR="00BB7049">
              <w:rPr>
                <w:rFonts w:ascii="Times New Roman" w:hAnsi="Times New Roman"/>
                <w:bCs/>
                <w:sz w:val="24"/>
                <w:szCs w:val="24"/>
              </w:rPr>
              <w:t>.</w:t>
            </w:r>
            <w:r w:rsidRPr="000E1960">
              <w:rPr>
                <w:rFonts w:ascii="Times New Roman" w:hAnsi="Times New Roman"/>
                <w:bCs/>
                <w:sz w:val="24"/>
                <w:szCs w:val="24"/>
              </w:rPr>
              <w:t>gada 23</w:t>
            </w:r>
            <w:r w:rsidR="00BB7049">
              <w:rPr>
                <w:rFonts w:ascii="Times New Roman" w:hAnsi="Times New Roman"/>
                <w:bCs/>
                <w:sz w:val="24"/>
                <w:szCs w:val="24"/>
              </w:rPr>
              <w:t>.</w:t>
            </w:r>
            <w:r w:rsidRPr="000E1960">
              <w:rPr>
                <w:rFonts w:ascii="Times New Roman" w:hAnsi="Times New Roman"/>
                <w:bCs/>
                <w:sz w:val="24"/>
                <w:szCs w:val="24"/>
              </w:rPr>
              <w:t>janvāra Regula (ES) Nr</w:t>
            </w:r>
            <w:r w:rsidR="00BB7049">
              <w:rPr>
                <w:rFonts w:ascii="Times New Roman" w:hAnsi="Times New Roman"/>
                <w:bCs/>
                <w:sz w:val="24"/>
                <w:szCs w:val="24"/>
              </w:rPr>
              <w:t>.</w:t>
            </w:r>
            <w:r w:rsidRPr="000E1960">
              <w:rPr>
                <w:rFonts w:ascii="Times New Roman" w:hAnsi="Times New Roman"/>
                <w:bCs/>
                <w:sz w:val="24"/>
                <w:szCs w:val="24"/>
              </w:rPr>
              <w:t>64/2012, ar kuru groza Komisijas Regulu (ES) Nr</w:t>
            </w:r>
            <w:r w:rsidR="00BB7049">
              <w:rPr>
                <w:rFonts w:ascii="Times New Roman" w:hAnsi="Times New Roman"/>
                <w:bCs/>
                <w:sz w:val="24"/>
                <w:szCs w:val="24"/>
              </w:rPr>
              <w:t>.</w:t>
            </w:r>
            <w:r w:rsidRPr="000E1960">
              <w:rPr>
                <w:rFonts w:ascii="Times New Roman" w:hAnsi="Times New Roman"/>
                <w:bCs/>
                <w:sz w:val="24"/>
                <w:szCs w:val="24"/>
              </w:rPr>
              <w:t>582/2011, ar ko īsteno un groza Eiropas Parlamenta un Padomes Regulu (EK) Nr</w:t>
            </w:r>
            <w:r w:rsidR="00BB7049">
              <w:rPr>
                <w:rFonts w:ascii="Times New Roman" w:hAnsi="Times New Roman"/>
                <w:bCs/>
                <w:sz w:val="24"/>
                <w:szCs w:val="24"/>
              </w:rPr>
              <w:t>.</w:t>
            </w:r>
            <w:r w:rsidRPr="000E1960">
              <w:rPr>
                <w:rFonts w:ascii="Times New Roman" w:hAnsi="Times New Roman"/>
                <w:bCs/>
                <w:sz w:val="24"/>
                <w:szCs w:val="24"/>
              </w:rPr>
              <w:t>595/2009 attiecībā uz lielas celtspējas/kravnesības transportlīdzekļu radītām emisijām (</w:t>
            </w:r>
            <w:r w:rsidRPr="00661027">
              <w:rPr>
                <w:rFonts w:ascii="Times New Roman" w:hAnsi="Times New Roman"/>
                <w:bCs/>
                <w:i/>
                <w:sz w:val="24"/>
                <w:szCs w:val="24"/>
              </w:rPr>
              <w:t>Euro VI</w:t>
            </w:r>
            <w:r w:rsidRPr="000E1960">
              <w:rPr>
                <w:rFonts w:ascii="Times New Roman" w:hAnsi="Times New Roman"/>
                <w:bCs/>
                <w:sz w:val="24"/>
                <w:szCs w:val="24"/>
              </w:rPr>
              <w:t>) (Dokuments attiecas uz EEZ)</w:t>
            </w:r>
            <w:r w:rsidRPr="000E1960">
              <w:rPr>
                <w:rFonts w:ascii="Times New Roman" w:hAnsi="Times New Roman"/>
                <w:sz w:val="28"/>
                <w:szCs w:val="24"/>
              </w:rPr>
              <w:t xml:space="preserve"> </w:t>
            </w:r>
            <w:r w:rsidRPr="000E1960">
              <w:rPr>
                <w:rFonts w:ascii="Times New Roman" w:hAnsi="Times New Roman"/>
                <w:bCs/>
                <w:sz w:val="24"/>
                <w:szCs w:val="24"/>
              </w:rPr>
              <w:t>(Eiropas Savienības Oficiālais Vēstnesis, 31.</w:t>
            </w:r>
            <w:r w:rsidR="00BB7049">
              <w:rPr>
                <w:rFonts w:ascii="Times New Roman" w:hAnsi="Times New Roman"/>
                <w:bCs/>
                <w:sz w:val="24"/>
                <w:szCs w:val="24"/>
              </w:rPr>
              <w:t>0</w:t>
            </w:r>
            <w:r w:rsidRPr="000E1960">
              <w:rPr>
                <w:rFonts w:ascii="Times New Roman" w:hAnsi="Times New Roman"/>
                <w:bCs/>
                <w:sz w:val="24"/>
                <w:szCs w:val="24"/>
              </w:rPr>
              <w:t>1.2012., L 28, 1.–23.lpp.)</w:t>
            </w:r>
          </w:p>
        </w:tc>
        <w:tc>
          <w:tcPr>
            <w:tcW w:w="859" w:type="dxa"/>
            <w:vAlign w:val="bottom"/>
          </w:tcPr>
          <w:p w14:paraId="785C2573" w14:textId="2204EB6A" w:rsidR="00E654AD" w:rsidRPr="00126D2A" w:rsidRDefault="008F6A92" w:rsidP="00661027">
            <w:pPr>
              <w:spacing w:after="0" w:line="240" w:lineRule="auto"/>
              <w:ind w:left="-113" w:right="-57"/>
              <w:jc w:val="right"/>
              <w:rPr>
                <w:rFonts w:ascii="Times New Roman" w:hAnsi="Times New Roman"/>
                <w:sz w:val="24"/>
                <w:szCs w:val="24"/>
              </w:rPr>
            </w:pPr>
            <w:r>
              <w:rPr>
                <w:rFonts w:ascii="Times New Roman" w:hAnsi="Times New Roman"/>
                <w:sz w:val="24"/>
                <w:szCs w:val="24"/>
              </w:rPr>
              <w:t>"</w:t>
            </w:r>
          </w:p>
        </w:tc>
      </w:tr>
    </w:tbl>
    <w:p w14:paraId="785C2576" w14:textId="77777777" w:rsidR="00E654AD" w:rsidRDefault="00E654AD" w:rsidP="008F6A92">
      <w:pPr>
        <w:spacing w:after="0" w:line="240" w:lineRule="auto"/>
      </w:pPr>
    </w:p>
    <w:p w14:paraId="785C2577" w14:textId="733A79F2" w:rsidR="00E654AD" w:rsidRDefault="006570DA" w:rsidP="00661027">
      <w:pPr>
        <w:spacing w:after="0" w:line="240" w:lineRule="auto"/>
        <w:ind w:firstLine="709"/>
        <w:rPr>
          <w:rFonts w:ascii="Times New Roman" w:hAnsi="Times New Roman"/>
          <w:sz w:val="28"/>
          <w:szCs w:val="28"/>
        </w:rPr>
      </w:pPr>
      <w:r>
        <w:rPr>
          <w:rFonts w:ascii="Times New Roman" w:hAnsi="Times New Roman"/>
          <w:sz w:val="28"/>
          <w:szCs w:val="28"/>
        </w:rPr>
        <w:br w:type="page"/>
      </w:r>
      <w:r w:rsidR="00E654AD">
        <w:rPr>
          <w:rFonts w:ascii="Times New Roman" w:hAnsi="Times New Roman"/>
          <w:sz w:val="28"/>
          <w:szCs w:val="28"/>
        </w:rPr>
        <w:lastRenderedPageBreak/>
        <w:t xml:space="preserve">6. </w:t>
      </w:r>
      <w:r w:rsidR="00E654AD" w:rsidRPr="00B12475">
        <w:rPr>
          <w:rFonts w:ascii="Times New Roman" w:hAnsi="Times New Roman"/>
          <w:sz w:val="28"/>
          <w:szCs w:val="28"/>
        </w:rPr>
        <w:t>Izteikt 11.pielikuma II</w:t>
      </w:r>
      <w:r w:rsidR="00E654AD">
        <w:rPr>
          <w:rFonts w:ascii="Times New Roman" w:hAnsi="Times New Roman"/>
          <w:sz w:val="28"/>
          <w:szCs w:val="28"/>
        </w:rPr>
        <w:t xml:space="preserve"> </w:t>
      </w:r>
      <w:r w:rsidR="00E654AD" w:rsidRPr="00B12475">
        <w:rPr>
          <w:rFonts w:ascii="Times New Roman" w:hAnsi="Times New Roman"/>
          <w:sz w:val="28"/>
          <w:szCs w:val="28"/>
        </w:rPr>
        <w:t xml:space="preserve">nodaļas tabulas </w:t>
      </w:r>
      <w:r w:rsidR="00E654AD">
        <w:rPr>
          <w:rFonts w:ascii="Times New Roman" w:hAnsi="Times New Roman"/>
          <w:sz w:val="28"/>
          <w:szCs w:val="28"/>
        </w:rPr>
        <w:t>63</w:t>
      </w:r>
      <w:r w:rsidR="00E654AD" w:rsidRPr="00B12475">
        <w:rPr>
          <w:rFonts w:ascii="Times New Roman" w:hAnsi="Times New Roman"/>
          <w:sz w:val="28"/>
          <w:szCs w:val="28"/>
        </w:rPr>
        <w:t>.</w:t>
      </w:r>
      <w:r w:rsidR="00E654AD">
        <w:rPr>
          <w:rFonts w:ascii="Times New Roman" w:hAnsi="Times New Roman"/>
          <w:sz w:val="28"/>
          <w:szCs w:val="28"/>
        </w:rPr>
        <w:t>punktu šā</w:t>
      </w:r>
      <w:r w:rsidR="00E654AD" w:rsidRPr="00B12475">
        <w:rPr>
          <w:rFonts w:ascii="Times New Roman" w:hAnsi="Times New Roman"/>
          <w:sz w:val="28"/>
          <w:szCs w:val="28"/>
        </w:rPr>
        <w:t>dā redakcijā:</w:t>
      </w:r>
    </w:p>
    <w:p w14:paraId="31C7FB5B" w14:textId="77777777" w:rsidR="008F6A92" w:rsidRDefault="008F6A92" w:rsidP="008F6A92">
      <w:pPr>
        <w:spacing w:after="0" w:line="240" w:lineRule="auto"/>
        <w:rPr>
          <w:rFonts w:ascii="Times New Roman" w:hAnsi="Times New Roman"/>
          <w:sz w:val="28"/>
          <w:szCs w:val="28"/>
        </w:rPr>
      </w:pPr>
    </w:p>
    <w:tbl>
      <w:tblPr>
        <w:tblW w:w="1499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00"/>
        <w:gridCol w:w="1422"/>
        <w:gridCol w:w="3566"/>
        <w:gridCol w:w="1559"/>
        <w:gridCol w:w="4961"/>
        <w:gridCol w:w="851"/>
      </w:tblGrid>
      <w:tr w:rsidR="00E654AD" w:rsidRPr="00126D2A" w14:paraId="785C2581" w14:textId="77777777" w:rsidTr="005C44CB">
        <w:trPr>
          <w:cantSplit/>
          <w:trHeight w:val="2865"/>
        </w:trPr>
        <w:tc>
          <w:tcPr>
            <w:tcW w:w="540" w:type="dxa"/>
            <w:vMerge w:val="restart"/>
          </w:tcPr>
          <w:p w14:paraId="785C2578" w14:textId="60028E39" w:rsidR="00E654AD" w:rsidRPr="00126D2A" w:rsidRDefault="008F6A92" w:rsidP="008F6A92">
            <w:pPr>
              <w:spacing w:after="0" w:line="240" w:lineRule="auto"/>
              <w:ind w:left="-108" w:right="-108"/>
              <w:jc w:val="center"/>
              <w:rPr>
                <w:rFonts w:ascii="Times New Roman" w:hAnsi="Times New Roman"/>
                <w:sz w:val="24"/>
                <w:szCs w:val="24"/>
              </w:rPr>
            </w:pPr>
            <w:r>
              <w:rPr>
                <w:rFonts w:ascii="Times New Roman" w:hAnsi="Times New Roman"/>
                <w:sz w:val="24"/>
                <w:szCs w:val="24"/>
              </w:rPr>
              <w:t>"</w:t>
            </w:r>
            <w:r w:rsidR="00E654AD" w:rsidRPr="00126D2A">
              <w:rPr>
                <w:rFonts w:ascii="Times New Roman" w:hAnsi="Times New Roman"/>
                <w:sz w:val="24"/>
                <w:szCs w:val="24"/>
              </w:rPr>
              <w:t>63.</w:t>
            </w:r>
          </w:p>
        </w:tc>
        <w:tc>
          <w:tcPr>
            <w:tcW w:w="2100" w:type="dxa"/>
            <w:vMerge w:val="restart"/>
          </w:tcPr>
          <w:p w14:paraId="785C2579" w14:textId="77777777" w:rsidR="00E654AD" w:rsidRPr="00126D2A" w:rsidRDefault="00E654AD" w:rsidP="008F6A92">
            <w:pPr>
              <w:spacing w:after="0" w:line="240" w:lineRule="auto"/>
              <w:rPr>
                <w:rFonts w:ascii="Times New Roman" w:hAnsi="Times New Roman"/>
                <w:sz w:val="24"/>
                <w:szCs w:val="24"/>
              </w:rPr>
            </w:pPr>
            <w:r w:rsidRPr="00126D2A">
              <w:rPr>
                <w:rFonts w:ascii="Times New Roman" w:hAnsi="Times New Roman"/>
                <w:sz w:val="24"/>
                <w:szCs w:val="24"/>
              </w:rPr>
              <w:t>Vispārēja drošība</w:t>
            </w:r>
          </w:p>
        </w:tc>
        <w:tc>
          <w:tcPr>
            <w:tcW w:w="1422" w:type="dxa"/>
            <w:vMerge w:val="restart"/>
          </w:tcPr>
          <w:p w14:paraId="785C257A" w14:textId="77777777" w:rsidR="00E654AD" w:rsidRPr="00126D2A" w:rsidRDefault="00E654AD" w:rsidP="008F6A92">
            <w:pPr>
              <w:spacing w:after="0" w:line="240" w:lineRule="auto"/>
              <w:ind w:left="-108" w:right="-125"/>
              <w:jc w:val="center"/>
              <w:rPr>
                <w:rFonts w:ascii="Times New Roman" w:hAnsi="Times New Roman"/>
                <w:sz w:val="24"/>
                <w:szCs w:val="24"/>
              </w:rPr>
            </w:pPr>
            <w:r w:rsidRPr="00126D2A">
              <w:rPr>
                <w:rFonts w:ascii="Times New Roman" w:hAnsi="Times New Roman"/>
                <w:sz w:val="24"/>
                <w:szCs w:val="24"/>
              </w:rPr>
              <w:t>Regula (EK)</w:t>
            </w:r>
          </w:p>
          <w:p w14:paraId="785C257B" w14:textId="77777777" w:rsidR="00E654AD" w:rsidRPr="00126D2A" w:rsidRDefault="00E654AD" w:rsidP="008F6A92">
            <w:pPr>
              <w:spacing w:after="0" w:line="240" w:lineRule="auto"/>
              <w:ind w:left="-108" w:right="-125"/>
              <w:jc w:val="center"/>
              <w:rPr>
                <w:rFonts w:ascii="Times New Roman" w:hAnsi="Times New Roman"/>
                <w:sz w:val="24"/>
                <w:szCs w:val="24"/>
              </w:rPr>
            </w:pPr>
            <w:r w:rsidRPr="00126D2A">
              <w:rPr>
                <w:rFonts w:ascii="Times New Roman" w:hAnsi="Times New Roman"/>
                <w:sz w:val="24"/>
                <w:szCs w:val="24"/>
              </w:rPr>
              <w:t>Nr.661/2009</w:t>
            </w:r>
          </w:p>
        </w:tc>
        <w:tc>
          <w:tcPr>
            <w:tcW w:w="3566" w:type="dxa"/>
            <w:vMerge w:val="restart"/>
          </w:tcPr>
          <w:p w14:paraId="785C257C" w14:textId="7C0A5240" w:rsidR="00E654AD" w:rsidRPr="00126D2A" w:rsidRDefault="00E654AD" w:rsidP="00661027">
            <w:pPr>
              <w:spacing w:after="0" w:line="240" w:lineRule="auto"/>
              <w:ind w:right="-125"/>
              <w:rPr>
                <w:rFonts w:ascii="Times New Roman" w:hAnsi="Times New Roman"/>
                <w:bCs/>
                <w:sz w:val="24"/>
                <w:szCs w:val="24"/>
              </w:rPr>
            </w:pPr>
            <w:r w:rsidRPr="00126D2A">
              <w:rPr>
                <w:rFonts w:ascii="Times New Roman" w:hAnsi="Times New Roman"/>
                <w:bCs/>
                <w:sz w:val="24"/>
                <w:szCs w:val="24"/>
              </w:rPr>
              <w:t>Eiropas Parlamenta un Padomes 2009.gada 13.jūlija Regula (EK) Nr.661/2009 par tipa apstiprināšanas prasībām attiecībā uz mehānisko transportlīdzekļu, to piekabju un tiem paredzēto sistēmu, sastāvdaļu un atsevišķu tehnisko vienību vispārējo drošību (Dokuments attiecas uz EEZ) (Eiropas Savienības Oficiālais Vēstnesis, 31.07.2009., L 200, 1.–24.lpp.)</w:t>
            </w:r>
          </w:p>
        </w:tc>
        <w:tc>
          <w:tcPr>
            <w:tcW w:w="1559" w:type="dxa"/>
          </w:tcPr>
          <w:p w14:paraId="785C257D" w14:textId="77777777" w:rsidR="00E654AD" w:rsidRPr="00126D2A" w:rsidRDefault="00E654AD" w:rsidP="008F6A92">
            <w:pPr>
              <w:spacing w:after="0" w:line="240" w:lineRule="auto"/>
              <w:jc w:val="center"/>
              <w:rPr>
                <w:rFonts w:ascii="Times New Roman" w:hAnsi="Times New Roman"/>
                <w:b/>
                <w:bCs/>
                <w:sz w:val="24"/>
                <w:szCs w:val="24"/>
              </w:rPr>
            </w:pPr>
            <w:r w:rsidRPr="00126D2A">
              <w:rPr>
                <w:rFonts w:ascii="Times New Roman" w:hAnsi="Times New Roman"/>
                <w:b/>
                <w:bCs/>
                <w:sz w:val="24"/>
                <w:szCs w:val="24"/>
              </w:rPr>
              <w:t>Regula (EK)</w:t>
            </w:r>
          </w:p>
          <w:p w14:paraId="785C257E" w14:textId="77777777" w:rsidR="00E654AD" w:rsidRPr="00126D2A" w:rsidRDefault="00E654AD" w:rsidP="008F6A92">
            <w:pPr>
              <w:spacing w:after="0" w:line="240" w:lineRule="auto"/>
              <w:jc w:val="center"/>
              <w:rPr>
                <w:rFonts w:ascii="Times New Roman" w:hAnsi="Times New Roman"/>
                <w:bCs/>
                <w:sz w:val="24"/>
                <w:szCs w:val="24"/>
              </w:rPr>
            </w:pPr>
            <w:r w:rsidRPr="00126D2A">
              <w:rPr>
                <w:rFonts w:ascii="Times New Roman" w:hAnsi="Times New Roman"/>
                <w:b/>
                <w:bCs/>
                <w:sz w:val="24"/>
                <w:szCs w:val="24"/>
              </w:rPr>
              <w:t>Nr.661/2009</w:t>
            </w:r>
          </w:p>
        </w:tc>
        <w:tc>
          <w:tcPr>
            <w:tcW w:w="4961" w:type="dxa"/>
          </w:tcPr>
          <w:p w14:paraId="785C257F" w14:textId="77777777" w:rsidR="00E654AD" w:rsidRPr="00126D2A" w:rsidRDefault="00E654AD" w:rsidP="005C44CB">
            <w:pPr>
              <w:spacing w:after="0" w:line="240" w:lineRule="auto"/>
              <w:ind w:right="-108"/>
              <w:rPr>
                <w:rFonts w:ascii="Times New Roman" w:hAnsi="Times New Roman"/>
                <w:bCs/>
                <w:sz w:val="24"/>
                <w:szCs w:val="24"/>
              </w:rPr>
            </w:pPr>
            <w:r w:rsidRPr="00126D2A">
              <w:rPr>
                <w:rFonts w:ascii="Times New Roman" w:hAnsi="Times New Roman"/>
                <w:bCs/>
                <w:sz w:val="24"/>
                <w:szCs w:val="24"/>
              </w:rPr>
              <w:t>Eiropas Parlamenta un Padomes 2009.gada 13.jūlija Regula (EK) Nr.661/2009 par tipa apstiprināšanas prasībām attiecībā uz mehānisko transportlīdzekļu, to piekabju un tiem paredzēto sistēmu, sastāvdaļu un atsevišķu tehnisko vienību vispārējo drošību (Dokuments attiecas uz EEZ) (Eiropas Savienības Oficiālais Vēstnesis, 31.07.2009., L 200, 1.– 24.lpp.)</w:t>
            </w:r>
          </w:p>
        </w:tc>
        <w:tc>
          <w:tcPr>
            <w:tcW w:w="851" w:type="dxa"/>
            <w:vMerge w:val="restart"/>
            <w:vAlign w:val="bottom"/>
          </w:tcPr>
          <w:p w14:paraId="2533D46F" w14:textId="77777777" w:rsidR="00E654AD" w:rsidRPr="005C44CB" w:rsidRDefault="00661027" w:rsidP="005C44CB">
            <w:pPr>
              <w:spacing w:after="0" w:line="240" w:lineRule="auto"/>
              <w:ind w:left="-113" w:right="-57"/>
              <w:jc w:val="center"/>
              <w:rPr>
                <w:rFonts w:ascii="Times New Roman" w:hAnsi="Times New Roman"/>
                <w:bCs/>
                <w:sz w:val="24"/>
                <w:szCs w:val="24"/>
              </w:rPr>
            </w:pPr>
            <w:r w:rsidRPr="005C44CB">
              <w:rPr>
                <w:rFonts w:ascii="Times New Roman" w:hAnsi="Times New Roman"/>
                <w:bCs/>
                <w:sz w:val="24"/>
                <w:szCs w:val="24"/>
              </w:rPr>
              <w:t>–</w:t>
            </w:r>
          </w:p>
          <w:p w14:paraId="61F9965A" w14:textId="77777777" w:rsidR="005C44CB" w:rsidRDefault="005C44CB" w:rsidP="005C44CB">
            <w:pPr>
              <w:spacing w:after="0" w:line="240" w:lineRule="auto"/>
              <w:ind w:left="-113" w:right="-57"/>
              <w:jc w:val="right"/>
              <w:rPr>
                <w:rFonts w:ascii="Times New Roman" w:hAnsi="Times New Roman"/>
                <w:b/>
                <w:bCs/>
                <w:sz w:val="24"/>
                <w:szCs w:val="24"/>
              </w:rPr>
            </w:pPr>
          </w:p>
          <w:p w14:paraId="3F09D50F" w14:textId="77777777" w:rsidR="005C44CB" w:rsidRDefault="005C44CB" w:rsidP="005C44CB">
            <w:pPr>
              <w:spacing w:after="0" w:line="240" w:lineRule="auto"/>
              <w:ind w:left="-113" w:right="-57"/>
              <w:jc w:val="right"/>
              <w:rPr>
                <w:rFonts w:ascii="Times New Roman" w:hAnsi="Times New Roman"/>
                <w:b/>
                <w:bCs/>
                <w:sz w:val="24"/>
                <w:szCs w:val="24"/>
              </w:rPr>
            </w:pPr>
          </w:p>
          <w:p w14:paraId="773F7C88" w14:textId="77777777" w:rsidR="005C44CB" w:rsidRDefault="005C44CB" w:rsidP="005C44CB">
            <w:pPr>
              <w:spacing w:after="0" w:line="240" w:lineRule="auto"/>
              <w:ind w:left="-113" w:right="-57"/>
              <w:jc w:val="right"/>
              <w:rPr>
                <w:rFonts w:ascii="Times New Roman" w:hAnsi="Times New Roman"/>
                <w:b/>
                <w:bCs/>
                <w:sz w:val="24"/>
                <w:szCs w:val="24"/>
              </w:rPr>
            </w:pPr>
          </w:p>
          <w:p w14:paraId="599976AC" w14:textId="77777777" w:rsidR="005C44CB" w:rsidRDefault="005C44CB" w:rsidP="005C44CB">
            <w:pPr>
              <w:spacing w:after="0" w:line="240" w:lineRule="auto"/>
              <w:ind w:left="-113" w:right="-57"/>
              <w:jc w:val="right"/>
              <w:rPr>
                <w:rFonts w:ascii="Times New Roman" w:hAnsi="Times New Roman"/>
                <w:b/>
                <w:bCs/>
                <w:sz w:val="24"/>
                <w:szCs w:val="24"/>
              </w:rPr>
            </w:pPr>
          </w:p>
          <w:p w14:paraId="6F6A9BB1" w14:textId="77777777" w:rsidR="005C44CB" w:rsidRDefault="005C44CB" w:rsidP="005C44CB">
            <w:pPr>
              <w:spacing w:after="0" w:line="240" w:lineRule="auto"/>
              <w:ind w:left="-113" w:right="-57"/>
              <w:jc w:val="right"/>
              <w:rPr>
                <w:rFonts w:ascii="Times New Roman" w:hAnsi="Times New Roman"/>
                <w:b/>
                <w:bCs/>
                <w:sz w:val="24"/>
                <w:szCs w:val="24"/>
              </w:rPr>
            </w:pPr>
          </w:p>
          <w:p w14:paraId="67E3D520" w14:textId="77777777" w:rsidR="005C44CB" w:rsidRDefault="005C44CB" w:rsidP="005C44CB">
            <w:pPr>
              <w:spacing w:after="0" w:line="240" w:lineRule="auto"/>
              <w:ind w:left="-113" w:right="-57"/>
              <w:jc w:val="right"/>
              <w:rPr>
                <w:rFonts w:ascii="Times New Roman" w:hAnsi="Times New Roman"/>
                <w:b/>
                <w:bCs/>
                <w:sz w:val="24"/>
                <w:szCs w:val="24"/>
              </w:rPr>
            </w:pPr>
          </w:p>
          <w:p w14:paraId="2A74282F" w14:textId="77777777" w:rsidR="005C44CB" w:rsidRDefault="005C44CB" w:rsidP="005C44CB">
            <w:pPr>
              <w:spacing w:after="0" w:line="240" w:lineRule="auto"/>
              <w:ind w:left="-113" w:right="-57"/>
              <w:jc w:val="right"/>
              <w:rPr>
                <w:rFonts w:ascii="Times New Roman" w:hAnsi="Times New Roman"/>
                <w:b/>
                <w:bCs/>
                <w:sz w:val="24"/>
                <w:szCs w:val="24"/>
              </w:rPr>
            </w:pPr>
          </w:p>
          <w:p w14:paraId="45365AB5" w14:textId="77777777" w:rsidR="005C44CB" w:rsidRDefault="005C44CB" w:rsidP="005C44CB">
            <w:pPr>
              <w:spacing w:after="0" w:line="240" w:lineRule="auto"/>
              <w:ind w:left="-113" w:right="-57"/>
              <w:jc w:val="right"/>
              <w:rPr>
                <w:rFonts w:ascii="Times New Roman" w:hAnsi="Times New Roman"/>
                <w:b/>
                <w:bCs/>
                <w:sz w:val="24"/>
                <w:szCs w:val="24"/>
              </w:rPr>
            </w:pPr>
          </w:p>
          <w:p w14:paraId="51429E1B" w14:textId="77777777" w:rsidR="005C44CB" w:rsidRDefault="005C44CB" w:rsidP="005C44CB">
            <w:pPr>
              <w:spacing w:after="0" w:line="240" w:lineRule="auto"/>
              <w:ind w:left="-113" w:right="-57"/>
              <w:jc w:val="right"/>
              <w:rPr>
                <w:rFonts w:ascii="Times New Roman" w:hAnsi="Times New Roman"/>
                <w:b/>
                <w:bCs/>
                <w:sz w:val="24"/>
                <w:szCs w:val="24"/>
              </w:rPr>
            </w:pPr>
          </w:p>
          <w:p w14:paraId="03B84F2C" w14:textId="77777777" w:rsidR="005C44CB" w:rsidRDefault="005C44CB" w:rsidP="005C44CB">
            <w:pPr>
              <w:spacing w:after="0" w:line="240" w:lineRule="auto"/>
              <w:ind w:left="-113" w:right="-57"/>
              <w:jc w:val="right"/>
              <w:rPr>
                <w:rFonts w:ascii="Times New Roman" w:hAnsi="Times New Roman"/>
                <w:b/>
                <w:bCs/>
                <w:sz w:val="24"/>
                <w:szCs w:val="24"/>
              </w:rPr>
            </w:pPr>
          </w:p>
          <w:p w14:paraId="50C20AE6" w14:textId="77777777" w:rsidR="005C44CB" w:rsidRDefault="005C44CB" w:rsidP="005C44CB">
            <w:pPr>
              <w:spacing w:after="0" w:line="240" w:lineRule="auto"/>
              <w:ind w:left="-113" w:right="-57"/>
              <w:jc w:val="right"/>
              <w:rPr>
                <w:rFonts w:ascii="Times New Roman" w:hAnsi="Times New Roman"/>
                <w:b/>
                <w:bCs/>
                <w:sz w:val="24"/>
                <w:szCs w:val="24"/>
              </w:rPr>
            </w:pPr>
          </w:p>
          <w:p w14:paraId="3F28F112" w14:textId="77777777" w:rsidR="005C44CB" w:rsidRDefault="005C44CB" w:rsidP="005C44CB">
            <w:pPr>
              <w:spacing w:after="0" w:line="240" w:lineRule="auto"/>
              <w:ind w:left="-113" w:right="-57"/>
              <w:jc w:val="right"/>
              <w:rPr>
                <w:rFonts w:ascii="Times New Roman" w:hAnsi="Times New Roman"/>
                <w:b/>
                <w:bCs/>
                <w:sz w:val="24"/>
                <w:szCs w:val="24"/>
              </w:rPr>
            </w:pPr>
          </w:p>
          <w:p w14:paraId="20B51F60" w14:textId="77777777" w:rsidR="005C44CB" w:rsidRDefault="005C44CB" w:rsidP="005C44CB">
            <w:pPr>
              <w:spacing w:after="0" w:line="240" w:lineRule="auto"/>
              <w:ind w:left="-113" w:right="-57"/>
              <w:jc w:val="right"/>
              <w:rPr>
                <w:rFonts w:ascii="Times New Roman" w:hAnsi="Times New Roman"/>
                <w:b/>
                <w:bCs/>
                <w:sz w:val="24"/>
                <w:szCs w:val="24"/>
              </w:rPr>
            </w:pPr>
          </w:p>
          <w:p w14:paraId="5F816590" w14:textId="77777777" w:rsidR="005C44CB" w:rsidRDefault="005C44CB" w:rsidP="005C44CB">
            <w:pPr>
              <w:spacing w:after="0" w:line="240" w:lineRule="auto"/>
              <w:ind w:left="-113" w:right="-57"/>
              <w:jc w:val="right"/>
              <w:rPr>
                <w:rFonts w:ascii="Times New Roman" w:hAnsi="Times New Roman"/>
                <w:b/>
                <w:bCs/>
                <w:sz w:val="24"/>
                <w:szCs w:val="24"/>
              </w:rPr>
            </w:pPr>
          </w:p>
          <w:p w14:paraId="02222E4B" w14:textId="77777777" w:rsidR="005C44CB" w:rsidRDefault="005C44CB" w:rsidP="005C44CB">
            <w:pPr>
              <w:spacing w:after="0" w:line="240" w:lineRule="auto"/>
              <w:ind w:left="-113" w:right="-57"/>
              <w:jc w:val="right"/>
              <w:rPr>
                <w:rFonts w:ascii="Times New Roman" w:hAnsi="Times New Roman"/>
                <w:b/>
                <w:bCs/>
                <w:sz w:val="24"/>
                <w:szCs w:val="24"/>
              </w:rPr>
            </w:pPr>
          </w:p>
          <w:p w14:paraId="745692B7" w14:textId="77777777" w:rsidR="005C44CB" w:rsidRDefault="005C44CB" w:rsidP="005C44CB">
            <w:pPr>
              <w:spacing w:after="0" w:line="240" w:lineRule="auto"/>
              <w:ind w:left="-113" w:right="-57"/>
              <w:jc w:val="right"/>
              <w:rPr>
                <w:rFonts w:ascii="Times New Roman" w:hAnsi="Times New Roman"/>
                <w:b/>
                <w:bCs/>
                <w:sz w:val="24"/>
                <w:szCs w:val="24"/>
              </w:rPr>
            </w:pPr>
          </w:p>
          <w:p w14:paraId="38475B69" w14:textId="77777777" w:rsidR="005C44CB" w:rsidRDefault="005C44CB" w:rsidP="005C44CB">
            <w:pPr>
              <w:spacing w:after="0" w:line="240" w:lineRule="auto"/>
              <w:ind w:left="-113" w:right="-57"/>
              <w:jc w:val="right"/>
              <w:rPr>
                <w:rFonts w:ascii="Times New Roman" w:hAnsi="Times New Roman"/>
                <w:b/>
                <w:bCs/>
                <w:sz w:val="24"/>
                <w:szCs w:val="24"/>
              </w:rPr>
            </w:pPr>
          </w:p>
          <w:p w14:paraId="248AAF53" w14:textId="77777777" w:rsidR="005C44CB" w:rsidRDefault="005C44CB" w:rsidP="005C44CB">
            <w:pPr>
              <w:spacing w:after="0" w:line="240" w:lineRule="auto"/>
              <w:ind w:left="-113" w:right="-57"/>
              <w:jc w:val="right"/>
              <w:rPr>
                <w:rFonts w:ascii="Times New Roman" w:hAnsi="Times New Roman"/>
                <w:b/>
                <w:bCs/>
                <w:sz w:val="24"/>
                <w:szCs w:val="24"/>
              </w:rPr>
            </w:pPr>
          </w:p>
          <w:p w14:paraId="7774D75E" w14:textId="77777777" w:rsidR="005C44CB" w:rsidRDefault="005C44CB" w:rsidP="005C44CB">
            <w:pPr>
              <w:spacing w:after="0" w:line="240" w:lineRule="auto"/>
              <w:ind w:left="-113" w:right="-57"/>
              <w:jc w:val="right"/>
              <w:rPr>
                <w:rFonts w:ascii="Times New Roman" w:hAnsi="Times New Roman"/>
                <w:b/>
                <w:bCs/>
                <w:sz w:val="24"/>
                <w:szCs w:val="24"/>
              </w:rPr>
            </w:pPr>
          </w:p>
          <w:p w14:paraId="587737A5" w14:textId="77777777" w:rsidR="005C44CB" w:rsidRDefault="005C44CB" w:rsidP="005C44CB">
            <w:pPr>
              <w:spacing w:after="0" w:line="240" w:lineRule="auto"/>
              <w:ind w:left="-113" w:right="-57"/>
              <w:jc w:val="right"/>
              <w:rPr>
                <w:rFonts w:ascii="Times New Roman" w:hAnsi="Times New Roman"/>
                <w:b/>
                <w:bCs/>
                <w:sz w:val="24"/>
                <w:szCs w:val="24"/>
              </w:rPr>
            </w:pPr>
          </w:p>
          <w:p w14:paraId="709E9093" w14:textId="77777777" w:rsidR="005C44CB" w:rsidRDefault="005C44CB" w:rsidP="005C44CB">
            <w:pPr>
              <w:spacing w:after="0" w:line="240" w:lineRule="auto"/>
              <w:ind w:left="-113" w:right="-57"/>
              <w:jc w:val="right"/>
              <w:rPr>
                <w:rFonts w:ascii="Times New Roman" w:hAnsi="Times New Roman"/>
                <w:b/>
                <w:bCs/>
                <w:sz w:val="24"/>
                <w:szCs w:val="24"/>
              </w:rPr>
            </w:pPr>
          </w:p>
          <w:p w14:paraId="0E1D5D3A" w14:textId="77777777" w:rsidR="005C44CB" w:rsidRDefault="005C44CB" w:rsidP="005C44CB">
            <w:pPr>
              <w:spacing w:after="0" w:line="240" w:lineRule="auto"/>
              <w:ind w:left="-113" w:right="-57"/>
              <w:jc w:val="right"/>
              <w:rPr>
                <w:rFonts w:ascii="Times New Roman" w:hAnsi="Times New Roman"/>
                <w:b/>
                <w:bCs/>
                <w:sz w:val="24"/>
                <w:szCs w:val="24"/>
              </w:rPr>
            </w:pPr>
          </w:p>
          <w:p w14:paraId="178E3D49" w14:textId="77777777" w:rsidR="005C44CB" w:rsidRDefault="005C44CB" w:rsidP="005C44CB">
            <w:pPr>
              <w:spacing w:after="0" w:line="240" w:lineRule="auto"/>
              <w:ind w:left="-113" w:right="-57"/>
              <w:jc w:val="right"/>
              <w:rPr>
                <w:rFonts w:ascii="Times New Roman" w:hAnsi="Times New Roman"/>
                <w:b/>
                <w:bCs/>
                <w:sz w:val="24"/>
                <w:szCs w:val="24"/>
              </w:rPr>
            </w:pPr>
          </w:p>
          <w:p w14:paraId="46D1CA5F" w14:textId="77777777" w:rsidR="005C44CB" w:rsidRDefault="005C44CB" w:rsidP="005C44CB">
            <w:pPr>
              <w:spacing w:after="0" w:line="240" w:lineRule="auto"/>
              <w:ind w:left="-113" w:right="-57"/>
              <w:jc w:val="right"/>
              <w:rPr>
                <w:rFonts w:ascii="Times New Roman" w:hAnsi="Times New Roman"/>
                <w:b/>
                <w:bCs/>
                <w:sz w:val="24"/>
                <w:szCs w:val="24"/>
              </w:rPr>
            </w:pPr>
          </w:p>
          <w:p w14:paraId="794D88D5" w14:textId="77777777" w:rsidR="005C44CB" w:rsidRDefault="005C44CB" w:rsidP="005C44CB">
            <w:pPr>
              <w:spacing w:after="0" w:line="240" w:lineRule="auto"/>
              <w:ind w:left="-113" w:right="-57"/>
              <w:jc w:val="right"/>
              <w:rPr>
                <w:rFonts w:ascii="Times New Roman" w:hAnsi="Times New Roman"/>
                <w:b/>
                <w:bCs/>
                <w:sz w:val="24"/>
                <w:szCs w:val="24"/>
              </w:rPr>
            </w:pPr>
          </w:p>
          <w:p w14:paraId="2E8749EB" w14:textId="77777777" w:rsidR="005C44CB" w:rsidRDefault="005C44CB" w:rsidP="005C44CB">
            <w:pPr>
              <w:spacing w:after="0" w:line="240" w:lineRule="auto"/>
              <w:ind w:left="-113" w:right="-57"/>
              <w:jc w:val="right"/>
              <w:rPr>
                <w:rFonts w:ascii="Times New Roman" w:hAnsi="Times New Roman"/>
                <w:b/>
                <w:bCs/>
                <w:sz w:val="24"/>
                <w:szCs w:val="24"/>
              </w:rPr>
            </w:pPr>
          </w:p>
          <w:p w14:paraId="172B7D7D" w14:textId="77777777" w:rsidR="005C44CB" w:rsidRDefault="005C44CB" w:rsidP="005C44CB">
            <w:pPr>
              <w:spacing w:after="0" w:line="240" w:lineRule="auto"/>
              <w:ind w:left="-113" w:right="-57"/>
              <w:jc w:val="right"/>
              <w:rPr>
                <w:rFonts w:ascii="Times New Roman" w:hAnsi="Times New Roman"/>
                <w:b/>
                <w:bCs/>
                <w:sz w:val="24"/>
                <w:szCs w:val="24"/>
              </w:rPr>
            </w:pPr>
          </w:p>
          <w:p w14:paraId="7A79D1F7" w14:textId="77777777" w:rsidR="005C44CB" w:rsidRDefault="005C44CB" w:rsidP="005C44CB">
            <w:pPr>
              <w:spacing w:after="0" w:line="240" w:lineRule="auto"/>
              <w:ind w:left="-113" w:right="-57"/>
              <w:jc w:val="right"/>
              <w:rPr>
                <w:rFonts w:ascii="Times New Roman" w:hAnsi="Times New Roman"/>
                <w:b/>
                <w:bCs/>
                <w:sz w:val="24"/>
                <w:szCs w:val="24"/>
              </w:rPr>
            </w:pPr>
          </w:p>
          <w:p w14:paraId="2E78DB5B" w14:textId="77777777" w:rsidR="005C44CB" w:rsidRDefault="005C44CB" w:rsidP="005C44CB">
            <w:pPr>
              <w:spacing w:after="0" w:line="240" w:lineRule="auto"/>
              <w:ind w:left="-113" w:right="-57"/>
              <w:jc w:val="right"/>
              <w:rPr>
                <w:rFonts w:ascii="Times New Roman" w:hAnsi="Times New Roman"/>
                <w:b/>
                <w:bCs/>
                <w:sz w:val="24"/>
                <w:szCs w:val="24"/>
              </w:rPr>
            </w:pPr>
          </w:p>
          <w:p w14:paraId="6D83F7D0" w14:textId="77777777" w:rsidR="005C44CB" w:rsidRDefault="005C44CB" w:rsidP="005C44CB">
            <w:pPr>
              <w:spacing w:after="0" w:line="240" w:lineRule="auto"/>
              <w:ind w:left="-113" w:right="-57"/>
              <w:jc w:val="right"/>
              <w:rPr>
                <w:rFonts w:ascii="Times New Roman" w:hAnsi="Times New Roman"/>
                <w:b/>
                <w:bCs/>
                <w:sz w:val="24"/>
                <w:szCs w:val="24"/>
              </w:rPr>
            </w:pPr>
          </w:p>
          <w:p w14:paraId="7AC6EAE2" w14:textId="77777777" w:rsidR="005C44CB" w:rsidRDefault="005C44CB" w:rsidP="005C44CB">
            <w:pPr>
              <w:spacing w:after="0" w:line="240" w:lineRule="auto"/>
              <w:ind w:left="-113" w:right="-57"/>
              <w:jc w:val="right"/>
              <w:rPr>
                <w:rFonts w:ascii="Times New Roman" w:hAnsi="Times New Roman"/>
                <w:b/>
                <w:bCs/>
                <w:sz w:val="24"/>
                <w:szCs w:val="24"/>
              </w:rPr>
            </w:pPr>
          </w:p>
          <w:p w14:paraId="3C2DD7C3" w14:textId="77777777" w:rsidR="005C44CB" w:rsidRDefault="005C44CB" w:rsidP="005C44CB">
            <w:pPr>
              <w:spacing w:after="0" w:line="240" w:lineRule="auto"/>
              <w:ind w:left="-113" w:right="-57"/>
              <w:jc w:val="right"/>
              <w:rPr>
                <w:rFonts w:ascii="Times New Roman" w:hAnsi="Times New Roman"/>
                <w:b/>
                <w:bCs/>
                <w:sz w:val="24"/>
                <w:szCs w:val="24"/>
              </w:rPr>
            </w:pPr>
          </w:p>
          <w:p w14:paraId="45BB30D3" w14:textId="77777777" w:rsidR="005C44CB" w:rsidRDefault="005C44CB" w:rsidP="005C44CB">
            <w:pPr>
              <w:spacing w:after="0" w:line="240" w:lineRule="auto"/>
              <w:ind w:left="-113" w:right="-57"/>
              <w:jc w:val="right"/>
              <w:rPr>
                <w:rFonts w:ascii="Times New Roman" w:hAnsi="Times New Roman"/>
                <w:b/>
                <w:bCs/>
                <w:sz w:val="24"/>
                <w:szCs w:val="24"/>
              </w:rPr>
            </w:pPr>
          </w:p>
          <w:p w14:paraId="394CF874" w14:textId="77777777" w:rsidR="005C44CB" w:rsidRDefault="005C44CB" w:rsidP="005C44CB">
            <w:pPr>
              <w:spacing w:after="0" w:line="240" w:lineRule="auto"/>
              <w:ind w:left="-113" w:right="-57"/>
              <w:jc w:val="right"/>
              <w:rPr>
                <w:rFonts w:ascii="Times New Roman" w:hAnsi="Times New Roman"/>
                <w:b/>
                <w:bCs/>
                <w:sz w:val="24"/>
                <w:szCs w:val="24"/>
              </w:rPr>
            </w:pPr>
          </w:p>
          <w:p w14:paraId="58E43FE6" w14:textId="77777777" w:rsidR="005C44CB" w:rsidRDefault="005C44CB" w:rsidP="005C44CB">
            <w:pPr>
              <w:spacing w:after="0" w:line="240" w:lineRule="auto"/>
              <w:ind w:left="-113" w:right="-57"/>
              <w:jc w:val="right"/>
              <w:rPr>
                <w:rFonts w:ascii="Times New Roman" w:hAnsi="Times New Roman"/>
                <w:b/>
                <w:bCs/>
                <w:sz w:val="24"/>
                <w:szCs w:val="24"/>
              </w:rPr>
            </w:pPr>
          </w:p>
          <w:p w14:paraId="47743884" w14:textId="77777777" w:rsidR="005C44CB" w:rsidRDefault="005C44CB" w:rsidP="005C44CB">
            <w:pPr>
              <w:spacing w:after="0" w:line="240" w:lineRule="auto"/>
              <w:ind w:left="-113" w:right="-57"/>
              <w:jc w:val="right"/>
              <w:rPr>
                <w:rFonts w:ascii="Times New Roman" w:hAnsi="Times New Roman"/>
                <w:b/>
                <w:bCs/>
                <w:sz w:val="24"/>
                <w:szCs w:val="24"/>
              </w:rPr>
            </w:pPr>
          </w:p>
          <w:p w14:paraId="50A8F140" w14:textId="77777777" w:rsidR="005C44CB" w:rsidRDefault="005C44CB" w:rsidP="005C44CB">
            <w:pPr>
              <w:spacing w:after="0" w:line="240" w:lineRule="auto"/>
              <w:ind w:left="-113" w:right="-57"/>
              <w:jc w:val="right"/>
              <w:rPr>
                <w:rFonts w:ascii="Times New Roman" w:hAnsi="Times New Roman"/>
                <w:b/>
                <w:bCs/>
                <w:sz w:val="24"/>
                <w:szCs w:val="24"/>
              </w:rPr>
            </w:pPr>
          </w:p>
          <w:p w14:paraId="7C3C0128" w14:textId="77777777" w:rsidR="005C44CB" w:rsidRDefault="005C44CB" w:rsidP="005C44CB">
            <w:pPr>
              <w:spacing w:after="0" w:line="240" w:lineRule="auto"/>
              <w:ind w:left="-113" w:right="-57"/>
              <w:jc w:val="right"/>
              <w:rPr>
                <w:rFonts w:ascii="Times New Roman" w:hAnsi="Times New Roman"/>
                <w:b/>
                <w:bCs/>
                <w:sz w:val="24"/>
                <w:szCs w:val="24"/>
              </w:rPr>
            </w:pPr>
          </w:p>
          <w:p w14:paraId="250564BA" w14:textId="77777777" w:rsidR="005C44CB" w:rsidRDefault="005C44CB" w:rsidP="005C44CB">
            <w:pPr>
              <w:spacing w:after="0" w:line="240" w:lineRule="auto"/>
              <w:ind w:left="-113" w:right="-57"/>
              <w:jc w:val="right"/>
              <w:rPr>
                <w:rFonts w:ascii="Times New Roman" w:hAnsi="Times New Roman"/>
                <w:b/>
                <w:bCs/>
                <w:sz w:val="24"/>
                <w:szCs w:val="24"/>
              </w:rPr>
            </w:pPr>
          </w:p>
          <w:p w14:paraId="5AF5FD86" w14:textId="77777777" w:rsidR="005C44CB" w:rsidRDefault="005C44CB" w:rsidP="005C44CB">
            <w:pPr>
              <w:spacing w:after="0" w:line="240" w:lineRule="auto"/>
              <w:ind w:left="-113" w:right="-57"/>
              <w:jc w:val="right"/>
              <w:rPr>
                <w:rFonts w:ascii="Times New Roman" w:hAnsi="Times New Roman"/>
                <w:b/>
                <w:bCs/>
                <w:sz w:val="24"/>
                <w:szCs w:val="24"/>
              </w:rPr>
            </w:pPr>
          </w:p>
          <w:p w14:paraId="2A0BE23C" w14:textId="77777777" w:rsidR="005C44CB" w:rsidRDefault="005C44CB" w:rsidP="005C44CB">
            <w:pPr>
              <w:spacing w:after="0" w:line="240" w:lineRule="auto"/>
              <w:ind w:left="-113" w:right="-57"/>
              <w:jc w:val="right"/>
              <w:rPr>
                <w:rFonts w:ascii="Times New Roman" w:hAnsi="Times New Roman"/>
                <w:b/>
                <w:bCs/>
                <w:sz w:val="24"/>
                <w:szCs w:val="24"/>
              </w:rPr>
            </w:pPr>
          </w:p>
          <w:p w14:paraId="24F2E87F" w14:textId="77777777" w:rsidR="005C44CB" w:rsidRDefault="005C44CB" w:rsidP="005C44CB">
            <w:pPr>
              <w:spacing w:after="0" w:line="240" w:lineRule="auto"/>
              <w:ind w:left="-113" w:right="-57"/>
              <w:jc w:val="right"/>
              <w:rPr>
                <w:rFonts w:ascii="Times New Roman" w:hAnsi="Times New Roman"/>
                <w:b/>
                <w:bCs/>
                <w:sz w:val="24"/>
                <w:szCs w:val="24"/>
              </w:rPr>
            </w:pPr>
          </w:p>
          <w:p w14:paraId="15CE1BAB" w14:textId="77777777" w:rsidR="005C44CB" w:rsidRDefault="005C44CB" w:rsidP="005C44CB">
            <w:pPr>
              <w:spacing w:after="0" w:line="240" w:lineRule="auto"/>
              <w:ind w:left="-113" w:right="-57"/>
              <w:jc w:val="right"/>
              <w:rPr>
                <w:rFonts w:ascii="Times New Roman" w:hAnsi="Times New Roman"/>
                <w:b/>
                <w:bCs/>
                <w:sz w:val="24"/>
                <w:szCs w:val="24"/>
              </w:rPr>
            </w:pPr>
          </w:p>
          <w:p w14:paraId="1F082632" w14:textId="77777777" w:rsidR="005C44CB" w:rsidRDefault="005C44CB" w:rsidP="005C44CB">
            <w:pPr>
              <w:spacing w:after="0" w:line="240" w:lineRule="auto"/>
              <w:ind w:left="-113" w:right="-57"/>
              <w:jc w:val="right"/>
              <w:rPr>
                <w:rFonts w:ascii="Times New Roman" w:hAnsi="Times New Roman"/>
                <w:b/>
                <w:bCs/>
                <w:sz w:val="24"/>
                <w:szCs w:val="24"/>
              </w:rPr>
            </w:pPr>
          </w:p>
          <w:p w14:paraId="16AE130D" w14:textId="77777777" w:rsidR="005C44CB" w:rsidRDefault="005C44CB" w:rsidP="005C44CB">
            <w:pPr>
              <w:spacing w:after="0" w:line="240" w:lineRule="auto"/>
              <w:ind w:left="-113" w:right="-57"/>
              <w:jc w:val="right"/>
              <w:rPr>
                <w:rFonts w:ascii="Times New Roman" w:hAnsi="Times New Roman"/>
                <w:b/>
                <w:bCs/>
                <w:sz w:val="24"/>
                <w:szCs w:val="24"/>
              </w:rPr>
            </w:pPr>
          </w:p>
          <w:p w14:paraId="2F1D86C2" w14:textId="77777777" w:rsidR="005C44CB" w:rsidRDefault="005C44CB" w:rsidP="005C44CB">
            <w:pPr>
              <w:spacing w:after="0" w:line="240" w:lineRule="auto"/>
              <w:ind w:left="-113" w:right="-57"/>
              <w:jc w:val="right"/>
              <w:rPr>
                <w:rFonts w:ascii="Times New Roman" w:hAnsi="Times New Roman"/>
                <w:b/>
                <w:bCs/>
                <w:sz w:val="24"/>
                <w:szCs w:val="24"/>
              </w:rPr>
            </w:pPr>
          </w:p>
          <w:p w14:paraId="1AC77A53" w14:textId="77777777" w:rsidR="005C44CB" w:rsidRDefault="005C44CB" w:rsidP="005C44CB">
            <w:pPr>
              <w:spacing w:after="0" w:line="240" w:lineRule="auto"/>
              <w:ind w:left="-113" w:right="-57"/>
              <w:jc w:val="right"/>
              <w:rPr>
                <w:rFonts w:ascii="Times New Roman" w:hAnsi="Times New Roman"/>
                <w:b/>
                <w:bCs/>
                <w:sz w:val="24"/>
                <w:szCs w:val="24"/>
              </w:rPr>
            </w:pPr>
          </w:p>
          <w:p w14:paraId="71AC7E51" w14:textId="77777777" w:rsidR="005C44CB" w:rsidRDefault="005C44CB" w:rsidP="005C44CB">
            <w:pPr>
              <w:spacing w:after="0" w:line="240" w:lineRule="auto"/>
              <w:ind w:left="-113" w:right="-57"/>
              <w:jc w:val="right"/>
              <w:rPr>
                <w:rFonts w:ascii="Times New Roman" w:hAnsi="Times New Roman"/>
                <w:b/>
                <w:bCs/>
                <w:sz w:val="24"/>
                <w:szCs w:val="24"/>
              </w:rPr>
            </w:pPr>
          </w:p>
          <w:p w14:paraId="0176E42A" w14:textId="77777777" w:rsidR="005C44CB" w:rsidRDefault="005C44CB" w:rsidP="005C44CB">
            <w:pPr>
              <w:spacing w:after="0" w:line="240" w:lineRule="auto"/>
              <w:ind w:left="-113" w:right="-57"/>
              <w:jc w:val="right"/>
              <w:rPr>
                <w:rFonts w:ascii="Times New Roman" w:hAnsi="Times New Roman"/>
                <w:b/>
                <w:bCs/>
                <w:sz w:val="24"/>
                <w:szCs w:val="24"/>
              </w:rPr>
            </w:pPr>
          </w:p>
          <w:p w14:paraId="491BC09A" w14:textId="77777777" w:rsidR="005C44CB" w:rsidRDefault="005C44CB" w:rsidP="005C44CB">
            <w:pPr>
              <w:spacing w:after="0" w:line="240" w:lineRule="auto"/>
              <w:ind w:left="-113" w:right="-57"/>
              <w:jc w:val="right"/>
              <w:rPr>
                <w:rFonts w:ascii="Times New Roman" w:hAnsi="Times New Roman"/>
                <w:b/>
                <w:bCs/>
                <w:sz w:val="24"/>
                <w:szCs w:val="24"/>
              </w:rPr>
            </w:pPr>
          </w:p>
          <w:p w14:paraId="48B8A744" w14:textId="77777777" w:rsidR="005C44CB" w:rsidRDefault="005C44CB" w:rsidP="005C44CB">
            <w:pPr>
              <w:spacing w:after="0" w:line="240" w:lineRule="auto"/>
              <w:ind w:left="-113" w:right="-57"/>
              <w:jc w:val="right"/>
              <w:rPr>
                <w:rFonts w:ascii="Times New Roman" w:hAnsi="Times New Roman"/>
                <w:b/>
                <w:bCs/>
                <w:sz w:val="24"/>
                <w:szCs w:val="24"/>
              </w:rPr>
            </w:pPr>
          </w:p>
          <w:p w14:paraId="6EF5C067" w14:textId="77777777" w:rsidR="005C44CB" w:rsidRDefault="005C44CB" w:rsidP="005C44CB">
            <w:pPr>
              <w:spacing w:after="0" w:line="240" w:lineRule="auto"/>
              <w:ind w:left="-113" w:right="-57"/>
              <w:jc w:val="right"/>
              <w:rPr>
                <w:rFonts w:ascii="Times New Roman" w:hAnsi="Times New Roman"/>
                <w:b/>
                <w:bCs/>
                <w:sz w:val="24"/>
                <w:szCs w:val="24"/>
              </w:rPr>
            </w:pPr>
          </w:p>
          <w:p w14:paraId="64E3346A" w14:textId="77777777" w:rsidR="005C44CB" w:rsidRDefault="005C44CB" w:rsidP="005C44CB">
            <w:pPr>
              <w:spacing w:after="0" w:line="240" w:lineRule="auto"/>
              <w:ind w:left="-113" w:right="-57"/>
              <w:jc w:val="right"/>
              <w:rPr>
                <w:rFonts w:ascii="Times New Roman" w:hAnsi="Times New Roman"/>
                <w:b/>
                <w:bCs/>
                <w:sz w:val="24"/>
                <w:szCs w:val="24"/>
              </w:rPr>
            </w:pPr>
          </w:p>
          <w:p w14:paraId="7B5EB03A" w14:textId="77777777" w:rsidR="005C44CB" w:rsidRDefault="005C44CB" w:rsidP="005C44CB">
            <w:pPr>
              <w:spacing w:after="0" w:line="240" w:lineRule="auto"/>
              <w:ind w:left="-113" w:right="-57"/>
              <w:jc w:val="right"/>
              <w:rPr>
                <w:rFonts w:ascii="Times New Roman" w:hAnsi="Times New Roman"/>
                <w:b/>
                <w:bCs/>
                <w:sz w:val="24"/>
                <w:szCs w:val="24"/>
              </w:rPr>
            </w:pPr>
          </w:p>
          <w:p w14:paraId="7A9BAC95" w14:textId="77777777" w:rsidR="005C44CB" w:rsidRDefault="005C44CB" w:rsidP="005C44CB">
            <w:pPr>
              <w:spacing w:after="0" w:line="240" w:lineRule="auto"/>
              <w:ind w:left="-113" w:right="-57"/>
              <w:jc w:val="right"/>
              <w:rPr>
                <w:rFonts w:ascii="Times New Roman" w:hAnsi="Times New Roman"/>
                <w:b/>
                <w:bCs/>
                <w:sz w:val="24"/>
                <w:szCs w:val="24"/>
              </w:rPr>
            </w:pPr>
          </w:p>
          <w:p w14:paraId="4138D893" w14:textId="77777777" w:rsidR="005C44CB" w:rsidRDefault="005C44CB" w:rsidP="005C44CB">
            <w:pPr>
              <w:spacing w:after="0" w:line="240" w:lineRule="auto"/>
              <w:ind w:left="-113" w:right="-57"/>
              <w:jc w:val="right"/>
              <w:rPr>
                <w:rFonts w:ascii="Times New Roman" w:hAnsi="Times New Roman"/>
                <w:b/>
                <w:bCs/>
                <w:sz w:val="24"/>
                <w:szCs w:val="24"/>
              </w:rPr>
            </w:pPr>
          </w:p>
          <w:p w14:paraId="3CD95066" w14:textId="77777777" w:rsidR="005C44CB" w:rsidRDefault="005C44CB" w:rsidP="005C44CB">
            <w:pPr>
              <w:spacing w:after="0" w:line="240" w:lineRule="auto"/>
              <w:ind w:left="-113" w:right="-57"/>
              <w:jc w:val="right"/>
              <w:rPr>
                <w:rFonts w:ascii="Times New Roman" w:hAnsi="Times New Roman"/>
                <w:b/>
                <w:bCs/>
                <w:sz w:val="24"/>
                <w:szCs w:val="24"/>
              </w:rPr>
            </w:pPr>
          </w:p>
          <w:p w14:paraId="77EE4074" w14:textId="77777777" w:rsidR="005C44CB" w:rsidRDefault="005C44CB" w:rsidP="005C44CB">
            <w:pPr>
              <w:spacing w:after="0" w:line="240" w:lineRule="auto"/>
              <w:ind w:left="-113" w:right="-57"/>
              <w:jc w:val="right"/>
              <w:rPr>
                <w:rFonts w:ascii="Times New Roman" w:hAnsi="Times New Roman"/>
                <w:b/>
                <w:bCs/>
                <w:sz w:val="24"/>
                <w:szCs w:val="24"/>
              </w:rPr>
            </w:pPr>
          </w:p>
          <w:p w14:paraId="0A2B9575" w14:textId="77777777" w:rsidR="005C44CB" w:rsidRDefault="005C44CB" w:rsidP="005C44CB">
            <w:pPr>
              <w:spacing w:after="0" w:line="240" w:lineRule="auto"/>
              <w:ind w:left="-113" w:right="-57"/>
              <w:jc w:val="right"/>
              <w:rPr>
                <w:rFonts w:ascii="Times New Roman" w:hAnsi="Times New Roman"/>
                <w:b/>
                <w:bCs/>
                <w:sz w:val="24"/>
                <w:szCs w:val="24"/>
              </w:rPr>
            </w:pPr>
          </w:p>
          <w:p w14:paraId="785C2580" w14:textId="50696184" w:rsidR="005C44CB" w:rsidRPr="005C44CB" w:rsidRDefault="005C44CB" w:rsidP="005C44CB">
            <w:pPr>
              <w:spacing w:after="0" w:line="240" w:lineRule="auto"/>
              <w:ind w:left="-113" w:right="-57"/>
              <w:jc w:val="right"/>
              <w:rPr>
                <w:rFonts w:ascii="Times New Roman" w:hAnsi="Times New Roman"/>
                <w:bCs/>
                <w:sz w:val="24"/>
                <w:szCs w:val="24"/>
              </w:rPr>
            </w:pPr>
            <w:r w:rsidRPr="005C44CB">
              <w:rPr>
                <w:rFonts w:ascii="Times New Roman" w:hAnsi="Times New Roman"/>
                <w:bCs/>
                <w:sz w:val="24"/>
                <w:szCs w:val="24"/>
              </w:rPr>
              <w:t>"</w:t>
            </w:r>
          </w:p>
        </w:tc>
      </w:tr>
      <w:tr w:rsidR="00E654AD" w:rsidRPr="00126D2A" w14:paraId="785C258A" w14:textId="77777777" w:rsidTr="005C44CB">
        <w:trPr>
          <w:cantSplit/>
          <w:trHeight w:val="480"/>
        </w:trPr>
        <w:tc>
          <w:tcPr>
            <w:tcW w:w="540" w:type="dxa"/>
            <w:vMerge/>
          </w:tcPr>
          <w:p w14:paraId="785C2582" w14:textId="77777777" w:rsidR="00E654AD" w:rsidRPr="00126D2A" w:rsidRDefault="00E654AD" w:rsidP="008F6A92">
            <w:pPr>
              <w:spacing w:after="0" w:line="240" w:lineRule="auto"/>
              <w:ind w:left="-108" w:right="-108"/>
              <w:jc w:val="center"/>
              <w:rPr>
                <w:rFonts w:ascii="Times New Roman" w:hAnsi="Times New Roman"/>
                <w:sz w:val="24"/>
                <w:szCs w:val="24"/>
              </w:rPr>
            </w:pPr>
          </w:p>
        </w:tc>
        <w:tc>
          <w:tcPr>
            <w:tcW w:w="2100" w:type="dxa"/>
            <w:vMerge/>
          </w:tcPr>
          <w:p w14:paraId="785C2583" w14:textId="77777777" w:rsidR="00E654AD" w:rsidRPr="00126D2A" w:rsidRDefault="00E654AD" w:rsidP="008F6A92">
            <w:pPr>
              <w:spacing w:after="0" w:line="240" w:lineRule="auto"/>
              <w:rPr>
                <w:rFonts w:ascii="Times New Roman" w:hAnsi="Times New Roman"/>
                <w:sz w:val="24"/>
                <w:szCs w:val="24"/>
              </w:rPr>
            </w:pPr>
          </w:p>
        </w:tc>
        <w:tc>
          <w:tcPr>
            <w:tcW w:w="1422" w:type="dxa"/>
            <w:vMerge/>
          </w:tcPr>
          <w:p w14:paraId="785C2584" w14:textId="77777777" w:rsidR="00E654AD" w:rsidRPr="00126D2A" w:rsidRDefault="00E654AD" w:rsidP="008F6A92">
            <w:pPr>
              <w:spacing w:after="0" w:line="240" w:lineRule="auto"/>
              <w:ind w:left="-108" w:right="-125"/>
              <w:jc w:val="center"/>
              <w:rPr>
                <w:rFonts w:ascii="Times New Roman" w:hAnsi="Times New Roman"/>
                <w:sz w:val="24"/>
                <w:szCs w:val="24"/>
              </w:rPr>
            </w:pPr>
          </w:p>
        </w:tc>
        <w:tc>
          <w:tcPr>
            <w:tcW w:w="3566" w:type="dxa"/>
            <w:vMerge/>
          </w:tcPr>
          <w:p w14:paraId="785C2585" w14:textId="77777777" w:rsidR="00E654AD" w:rsidRPr="00126D2A" w:rsidRDefault="00E654AD" w:rsidP="008F6A92">
            <w:pPr>
              <w:spacing w:after="0" w:line="240" w:lineRule="auto"/>
              <w:ind w:left="-108" w:right="-125"/>
              <w:rPr>
                <w:rFonts w:ascii="Times New Roman" w:hAnsi="Times New Roman"/>
                <w:bCs/>
                <w:sz w:val="24"/>
                <w:szCs w:val="24"/>
              </w:rPr>
            </w:pPr>
          </w:p>
        </w:tc>
        <w:tc>
          <w:tcPr>
            <w:tcW w:w="1559" w:type="dxa"/>
          </w:tcPr>
          <w:p w14:paraId="785C2586" w14:textId="77777777" w:rsidR="00E654AD" w:rsidRPr="00126D2A" w:rsidRDefault="00E654AD" w:rsidP="008F6A92">
            <w:pPr>
              <w:spacing w:after="0" w:line="240" w:lineRule="auto"/>
              <w:jc w:val="center"/>
              <w:rPr>
                <w:rFonts w:ascii="Times New Roman" w:hAnsi="Times New Roman"/>
                <w:b/>
                <w:bCs/>
                <w:sz w:val="24"/>
                <w:szCs w:val="24"/>
              </w:rPr>
            </w:pPr>
            <w:r w:rsidRPr="00126D2A">
              <w:rPr>
                <w:rFonts w:ascii="Times New Roman" w:hAnsi="Times New Roman"/>
                <w:b/>
                <w:bCs/>
                <w:sz w:val="24"/>
                <w:szCs w:val="24"/>
              </w:rPr>
              <w:t>Regula (ES)</w:t>
            </w:r>
          </w:p>
          <w:p w14:paraId="785C2587" w14:textId="77777777" w:rsidR="00E654AD" w:rsidRPr="00126D2A" w:rsidRDefault="00E654AD" w:rsidP="008F6A92">
            <w:pPr>
              <w:spacing w:after="0" w:line="240" w:lineRule="auto"/>
              <w:jc w:val="center"/>
              <w:rPr>
                <w:rFonts w:ascii="Times New Roman" w:hAnsi="Times New Roman"/>
                <w:b/>
                <w:bCs/>
                <w:sz w:val="24"/>
                <w:szCs w:val="24"/>
              </w:rPr>
            </w:pPr>
            <w:r w:rsidRPr="00126D2A">
              <w:rPr>
                <w:rFonts w:ascii="Times New Roman" w:hAnsi="Times New Roman"/>
                <w:b/>
                <w:bCs/>
                <w:sz w:val="24"/>
                <w:szCs w:val="24"/>
              </w:rPr>
              <w:t>Nr.407/2011</w:t>
            </w:r>
          </w:p>
        </w:tc>
        <w:tc>
          <w:tcPr>
            <w:tcW w:w="4961" w:type="dxa"/>
          </w:tcPr>
          <w:p w14:paraId="785C2588" w14:textId="77777777" w:rsidR="00E654AD" w:rsidRPr="00126D2A" w:rsidRDefault="00E654AD" w:rsidP="005C44CB">
            <w:pPr>
              <w:spacing w:after="0" w:line="240" w:lineRule="auto"/>
              <w:ind w:right="-108"/>
              <w:rPr>
                <w:rFonts w:ascii="Times New Roman" w:hAnsi="Times New Roman"/>
                <w:bCs/>
                <w:sz w:val="24"/>
                <w:szCs w:val="24"/>
              </w:rPr>
            </w:pPr>
            <w:r w:rsidRPr="00126D2A">
              <w:rPr>
                <w:rFonts w:ascii="Times New Roman" w:hAnsi="Times New Roman"/>
                <w:bCs/>
                <w:sz w:val="24"/>
                <w:szCs w:val="24"/>
              </w:rPr>
              <w:t>Komisijas 2011.gada 27.aprīļa Regula (ES) Nr.407/2011, ar ko groza Eiropas Parlamenta un Padomes Regulu (EK) Nr.661/2009, lai iekļautu konkrētus Apvienoto Nāciju Organizācijas Eiropas Ekonomikas komisijas noteikumus par mehānisko transportlīdzekļu, to piekabju un tiem paredzēto sistēmu, sastāvdaļu un atsevišķu tehnisko vienību tipa apstiprināšanu (Dokuments attiecas uz EEZ) (Eiropas Savienības Oficiālais Vēstnesis, 28.04.2011., L 108, 13.–20.lpp.)</w:t>
            </w:r>
          </w:p>
        </w:tc>
        <w:tc>
          <w:tcPr>
            <w:tcW w:w="851" w:type="dxa"/>
            <w:vMerge/>
          </w:tcPr>
          <w:p w14:paraId="785C2589" w14:textId="77777777" w:rsidR="00E654AD" w:rsidRPr="00126D2A" w:rsidRDefault="00E654AD" w:rsidP="008F6A92">
            <w:pPr>
              <w:spacing w:after="0" w:line="240" w:lineRule="auto"/>
              <w:ind w:left="-113" w:right="-57"/>
              <w:jc w:val="center"/>
              <w:rPr>
                <w:rFonts w:ascii="Times New Roman" w:hAnsi="Times New Roman"/>
                <w:b/>
                <w:bCs/>
                <w:sz w:val="24"/>
                <w:szCs w:val="24"/>
              </w:rPr>
            </w:pPr>
          </w:p>
        </w:tc>
      </w:tr>
      <w:tr w:rsidR="00E654AD" w:rsidRPr="00126D2A" w14:paraId="785C2593" w14:textId="77777777" w:rsidTr="005C44CB">
        <w:trPr>
          <w:cantSplit/>
          <w:trHeight w:val="465"/>
        </w:trPr>
        <w:tc>
          <w:tcPr>
            <w:tcW w:w="540" w:type="dxa"/>
            <w:vMerge/>
          </w:tcPr>
          <w:p w14:paraId="785C258B" w14:textId="77777777" w:rsidR="00E654AD" w:rsidRPr="00126D2A" w:rsidRDefault="00E654AD" w:rsidP="008F6A92">
            <w:pPr>
              <w:spacing w:after="0" w:line="240" w:lineRule="auto"/>
              <w:ind w:left="-108" w:right="-108"/>
              <w:jc w:val="center"/>
              <w:rPr>
                <w:rFonts w:ascii="Times New Roman" w:hAnsi="Times New Roman"/>
                <w:sz w:val="24"/>
                <w:szCs w:val="24"/>
              </w:rPr>
            </w:pPr>
          </w:p>
        </w:tc>
        <w:tc>
          <w:tcPr>
            <w:tcW w:w="2100" w:type="dxa"/>
            <w:vMerge/>
          </w:tcPr>
          <w:p w14:paraId="785C258C" w14:textId="77777777" w:rsidR="00E654AD" w:rsidRPr="00126D2A" w:rsidRDefault="00E654AD" w:rsidP="008F6A92">
            <w:pPr>
              <w:spacing w:after="0" w:line="240" w:lineRule="auto"/>
              <w:rPr>
                <w:rFonts w:ascii="Times New Roman" w:hAnsi="Times New Roman"/>
                <w:sz w:val="24"/>
                <w:szCs w:val="24"/>
              </w:rPr>
            </w:pPr>
          </w:p>
        </w:tc>
        <w:tc>
          <w:tcPr>
            <w:tcW w:w="1422" w:type="dxa"/>
            <w:vMerge/>
          </w:tcPr>
          <w:p w14:paraId="785C258D" w14:textId="77777777" w:rsidR="00E654AD" w:rsidRPr="00126D2A" w:rsidRDefault="00E654AD" w:rsidP="008F6A92">
            <w:pPr>
              <w:spacing w:after="0" w:line="240" w:lineRule="auto"/>
              <w:ind w:left="-108" w:right="-125"/>
              <w:jc w:val="center"/>
              <w:rPr>
                <w:rFonts w:ascii="Times New Roman" w:hAnsi="Times New Roman"/>
                <w:sz w:val="24"/>
                <w:szCs w:val="24"/>
              </w:rPr>
            </w:pPr>
          </w:p>
        </w:tc>
        <w:tc>
          <w:tcPr>
            <w:tcW w:w="3566" w:type="dxa"/>
            <w:vMerge/>
          </w:tcPr>
          <w:p w14:paraId="785C258E" w14:textId="77777777" w:rsidR="00E654AD" w:rsidRPr="00126D2A" w:rsidRDefault="00E654AD" w:rsidP="008F6A92">
            <w:pPr>
              <w:spacing w:after="0" w:line="240" w:lineRule="auto"/>
              <w:ind w:left="-108" w:right="-125"/>
              <w:rPr>
                <w:rFonts w:ascii="Times New Roman" w:hAnsi="Times New Roman"/>
                <w:bCs/>
                <w:sz w:val="24"/>
                <w:szCs w:val="24"/>
              </w:rPr>
            </w:pPr>
          </w:p>
        </w:tc>
        <w:tc>
          <w:tcPr>
            <w:tcW w:w="1559" w:type="dxa"/>
          </w:tcPr>
          <w:p w14:paraId="785C258F" w14:textId="77777777" w:rsidR="00E654AD" w:rsidRPr="00126D2A" w:rsidRDefault="00E654AD" w:rsidP="008F6A92">
            <w:pPr>
              <w:spacing w:after="0" w:line="240" w:lineRule="auto"/>
              <w:jc w:val="center"/>
              <w:rPr>
                <w:rFonts w:ascii="Times New Roman" w:hAnsi="Times New Roman"/>
                <w:b/>
                <w:bCs/>
                <w:sz w:val="24"/>
                <w:szCs w:val="24"/>
              </w:rPr>
            </w:pPr>
            <w:r w:rsidRPr="00126D2A">
              <w:rPr>
                <w:rFonts w:ascii="Times New Roman" w:hAnsi="Times New Roman"/>
                <w:b/>
                <w:bCs/>
                <w:sz w:val="24"/>
                <w:szCs w:val="24"/>
              </w:rPr>
              <w:t>Regula (ES)</w:t>
            </w:r>
          </w:p>
          <w:p w14:paraId="785C2590" w14:textId="77777777" w:rsidR="00E654AD" w:rsidRPr="00126D2A" w:rsidRDefault="00E654AD" w:rsidP="008F6A92">
            <w:pPr>
              <w:spacing w:after="0" w:line="240" w:lineRule="auto"/>
              <w:jc w:val="center"/>
              <w:rPr>
                <w:rFonts w:ascii="Times New Roman" w:hAnsi="Times New Roman"/>
                <w:b/>
                <w:bCs/>
                <w:sz w:val="24"/>
                <w:szCs w:val="24"/>
              </w:rPr>
            </w:pPr>
            <w:r w:rsidRPr="00126D2A">
              <w:rPr>
                <w:rFonts w:ascii="Times New Roman" w:hAnsi="Times New Roman"/>
                <w:b/>
                <w:bCs/>
                <w:sz w:val="24"/>
                <w:szCs w:val="24"/>
              </w:rPr>
              <w:t>Nr.458/2011</w:t>
            </w:r>
          </w:p>
        </w:tc>
        <w:tc>
          <w:tcPr>
            <w:tcW w:w="4961" w:type="dxa"/>
          </w:tcPr>
          <w:p w14:paraId="785C2591" w14:textId="148311F2" w:rsidR="00E654AD" w:rsidRPr="00126D2A" w:rsidRDefault="00E654AD" w:rsidP="005C44CB">
            <w:pPr>
              <w:spacing w:after="0" w:line="240" w:lineRule="auto"/>
              <w:ind w:right="-108"/>
              <w:rPr>
                <w:rFonts w:ascii="Times New Roman" w:hAnsi="Times New Roman"/>
                <w:bCs/>
                <w:sz w:val="24"/>
                <w:szCs w:val="24"/>
              </w:rPr>
            </w:pPr>
            <w:r w:rsidRPr="00126D2A">
              <w:rPr>
                <w:rFonts w:ascii="Times New Roman" w:hAnsi="Times New Roman"/>
                <w:bCs/>
                <w:sz w:val="24"/>
                <w:szCs w:val="24"/>
              </w:rPr>
              <w:t>Komisijas 2011.gada 12.maija Regula (ES) Nr.458/2011 par tipa apstiprinājuma pieprasījumiem mehāniskajiem transport</w:t>
            </w:r>
            <w:r w:rsidRPr="00126D2A">
              <w:rPr>
                <w:rFonts w:ascii="Times New Roman" w:hAnsi="Times New Roman"/>
                <w:bCs/>
                <w:sz w:val="24"/>
                <w:szCs w:val="24"/>
              </w:rPr>
              <w:softHyphen/>
              <w:t>līdzekļiem un to piekabēm attiecībā uz to riepu uzstādīšanu un par Regulas (EK) Nr.661/2009 par tipa apstiprināšanas prasībām attiecībā uz mehānisko transportlīdzekļu, to piekabju un tiem paredzēto sistēmu, sastāvdaļu un atsevišķu tehnisko vienību vispārējo drošību īstenošanu (Dokuments attiecas uz EEZ) (Eiropas Savienības Oficiālais Vēstnesis, 13.05.2011., L 124, 11.–20.lpp.)</w:t>
            </w:r>
          </w:p>
        </w:tc>
        <w:tc>
          <w:tcPr>
            <w:tcW w:w="851" w:type="dxa"/>
            <w:vMerge/>
          </w:tcPr>
          <w:p w14:paraId="785C2592" w14:textId="77777777" w:rsidR="00E654AD" w:rsidRPr="00126D2A" w:rsidRDefault="00E654AD" w:rsidP="008F6A92">
            <w:pPr>
              <w:spacing w:after="0" w:line="240" w:lineRule="auto"/>
              <w:ind w:left="-113" w:right="-57"/>
              <w:jc w:val="center"/>
              <w:rPr>
                <w:rFonts w:ascii="Times New Roman" w:hAnsi="Times New Roman"/>
                <w:b/>
                <w:bCs/>
                <w:sz w:val="24"/>
                <w:szCs w:val="24"/>
              </w:rPr>
            </w:pPr>
          </w:p>
        </w:tc>
      </w:tr>
      <w:tr w:rsidR="00E654AD" w:rsidRPr="00126D2A" w14:paraId="785C259D" w14:textId="77777777" w:rsidTr="005C44CB">
        <w:trPr>
          <w:cantSplit/>
          <w:trHeight w:val="465"/>
        </w:trPr>
        <w:tc>
          <w:tcPr>
            <w:tcW w:w="540" w:type="dxa"/>
            <w:vMerge/>
          </w:tcPr>
          <w:p w14:paraId="785C2594" w14:textId="77777777" w:rsidR="00E654AD" w:rsidRPr="00126D2A" w:rsidRDefault="00E654AD" w:rsidP="008F6A92">
            <w:pPr>
              <w:spacing w:after="0" w:line="240" w:lineRule="auto"/>
              <w:ind w:left="-108" w:right="-108"/>
              <w:jc w:val="center"/>
              <w:rPr>
                <w:rFonts w:ascii="Times New Roman" w:hAnsi="Times New Roman"/>
                <w:sz w:val="24"/>
                <w:szCs w:val="24"/>
              </w:rPr>
            </w:pPr>
          </w:p>
        </w:tc>
        <w:tc>
          <w:tcPr>
            <w:tcW w:w="2100" w:type="dxa"/>
            <w:vMerge/>
          </w:tcPr>
          <w:p w14:paraId="785C2595" w14:textId="77777777" w:rsidR="00E654AD" w:rsidRPr="00126D2A" w:rsidRDefault="00E654AD" w:rsidP="008F6A92">
            <w:pPr>
              <w:spacing w:after="0" w:line="240" w:lineRule="auto"/>
              <w:rPr>
                <w:rFonts w:ascii="Times New Roman" w:hAnsi="Times New Roman"/>
                <w:sz w:val="24"/>
                <w:szCs w:val="24"/>
              </w:rPr>
            </w:pPr>
          </w:p>
        </w:tc>
        <w:tc>
          <w:tcPr>
            <w:tcW w:w="1422" w:type="dxa"/>
            <w:vMerge/>
          </w:tcPr>
          <w:p w14:paraId="785C2596" w14:textId="77777777" w:rsidR="00E654AD" w:rsidRPr="00126D2A" w:rsidRDefault="00E654AD" w:rsidP="008F6A92">
            <w:pPr>
              <w:spacing w:after="0" w:line="240" w:lineRule="auto"/>
              <w:ind w:left="-108" w:right="-125"/>
              <w:jc w:val="center"/>
              <w:rPr>
                <w:rFonts w:ascii="Times New Roman" w:hAnsi="Times New Roman"/>
                <w:sz w:val="24"/>
                <w:szCs w:val="24"/>
              </w:rPr>
            </w:pPr>
          </w:p>
        </w:tc>
        <w:tc>
          <w:tcPr>
            <w:tcW w:w="3566" w:type="dxa"/>
            <w:vMerge/>
          </w:tcPr>
          <w:p w14:paraId="785C2597" w14:textId="77777777" w:rsidR="00E654AD" w:rsidRPr="00126D2A" w:rsidRDefault="00E654AD" w:rsidP="008F6A92">
            <w:pPr>
              <w:spacing w:after="0" w:line="240" w:lineRule="auto"/>
              <w:ind w:left="-108" w:right="-125"/>
              <w:rPr>
                <w:rFonts w:ascii="Times New Roman" w:hAnsi="Times New Roman"/>
                <w:bCs/>
                <w:sz w:val="24"/>
                <w:szCs w:val="24"/>
              </w:rPr>
            </w:pPr>
          </w:p>
        </w:tc>
        <w:tc>
          <w:tcPr>
            <w:tcW w:w="1559" w:type="dxa"/>
          </w:tcPr>
          <w:p w14:paraId="785C2598" w14:textId="77777777" w:rsidR="00E654AD" w:rsidRPr="000E1960" w:rsidRDefault="00E654AD" w:rsidP="008F6A92">
            <w:pPr>
              <w:spacing w:after="0" w:line="240" w:lineRule="auto"/>
              <w:jc w:val="center"/>
              <w:rPr>
                <w:rFonts w:ascii="Times New Roman" w:hAnsi="Times New Roman"/>
                <w:b/>
                <w:bCs/>
                <w:sz w:val="24"/>
                <w:szCs w:val="24"/>
              </w:rPr>
            </w:pPr>
            <w:r w:rsidRPr="000E1960">
              <w:rPr>
                <w:rFonts w:ascii="Times New Roman" w:hAnsi="Times New Roman"/>
                <w:b/>
                <w:bCs/>
                <w:sz w:val="24"/>
                <w:szCs w:val="24"/>
              </w:rPr>
              <w:t>Regula (ES)</w:t>
            </w:r>
          </w:p>
          <w:p w14:paraId="785C2599" w14:textId="77777777" w:rsidR="00E654AD" w:rsidRPr="000E1960" w:rsidRDefault="00E654AD" w:rsidP="008F6A92">
            <w:pPr>
              <w:spacing w:after="0" w:line="240" w:lineRule="auto"/>
              <w:jc w:val="center"/>
              <w:rPr>
                <w:rFonts w:ascii="Times New Roman" w:hAnsi="Times New Roman"/>
                <w:b/>
                <w:bCs/>
                <w:sz w:val="24"/>
                <w:szCs w:val="24"/>
              </w:rPr>
            </w:pPr>
            <w:r w:rsidRPr="000E1960">
              <w:rPr>
                <w:rFonts w:ascii="Times New Roman" w:hAnsi="Times New Roman"/>
                <w:b/>
                <w:bCs/>
                <w:sz w:val="24"/>
                <w:szCs w:val="24"/>
              </w:rPr>
              <w:t>Nr.130/2012</w:t>
            </w:r>
          </w:p>
        </w:tc>
        <w:tc>
          <w:tcPr>
            <w:tcW w:w="4961" w:type="dxa"/>
          </w:tcPr>
          <w:p w14:paraId="785C259A" w14:textId="01580F42" w:rsidR="00E654AD" w:rsidRPr="000E1960" w:rsidRDefault="00E654AD" w:rsidP="005C44CB">
            <w:pPr>
              <w:spacing w:after="0" w:line="240" w:lineRule="auto"/>
              <w:ind w:left="34" w:right="-108"/>
              <w:rPr>
                <w:rFonts w:ascii="Times New Roman" w:hAnsi="Times New Roman"/>
                <w:bCs/>
                <w:sz w:val="24"/>
                <w:szCs w:val="24"/>
              </w:rPr>
            </w:pPr>
            <w:r w:rsidRPr="000E1960">
              <w:rPr>
                <w:rFonts w:ascii="Times New Roman" w:hAnsi="Times New Roman"/>
                <w:bCs/>
                <w:sz w:val="24"/>
                <w:szCs w:val="24"/>
              </w:rPr>
              <w:t>Komisijas 2012</w:t>
            </w:r>
            <w:r w:rsidR="00BB7049">
              <w:rPr>
                <w:rFonts w:ascii="Times New Roman" w:hAnsi="Times New Roman"/>
                <w:bCs/>
                <w:sz w:val="24"/>
                <w:szCs w:val="24"/>
              </w:rPr>
              <w:t>.</w:t>
            </w:r>
            <w:r w:rsidRPr="000E1960">
              <w:rPr>
                <w:rFonts w:ascii="Times New Roman" w:hAnsi="Times New Roman"/>
                <w:bCs/>
                <w:sz w:val="24"/>
                <w:szCs w:val="24"/>
              </w:rPr>
              <w:t>gada 15</w:t>
            </w:r>
            <w:r w:rsidR="00BB7049">
              <w:rPr>
                <w:rFonts w:ascii="Times New Roman" w:hAnsi="Times New Roman"/>
                <w:bCs/>
                <w:sz w:val="24"/>
                <w:szCs w:val="24"/>
              </w:rPr>
              <w:t>.</w:t>
            </w:r>
            <w:r w:rsidRPr="000E1960">
              <w:rPr>
                <w:rFonts w:ascii="Times New Roman" w:hAnsi="Times New Roman"/>
                <w:bCs/>
                <w:sz w:val="24"/>
                <w:szCs w:val="24"/>
              </w:rPr>
              <w:t>februāra Regula (ES) Nr</w:t>
            </w:r>
            <w:r w:rsidR="00BB7049">
              <w:rPr>
                <w:rFonts w:ascii="Times New Roman" w:hAnsi="Times New Roman"/>
                <w:bCs/>
                <w:sz w:val="24"/>
                <w:szCs w:val="24"/>
              </w:rPr>
              <w:t>.</w:t>
            </w:r>
            <w:r w:rsidRPr="000E1960">
              <w:rPr>
                <w:rFonts w:ascii="Times New Roman" w:hAnsi="Times New Roman"/>
                <w:bCs/>
                <w:sz w:val="24"/>
                <w:szCs w:val="24"/>
              </w:rPr>
              <w:t>130/2012, kas attiecas uz mehānisko transportlīdzekļu tipa apstiprināšanas prasībām pieejamības un manevrējamības ziņā un ar ko īsteno Eiropas Parlamenta un Padomes Regulu (EK) Nr</w:t>
            </w:r>
            <w:r w:rsidR="00BB7049">
              <w:rPr>
                <w:rFonts w:ascii="Times New Roman" w:hAnsi="Times New Roman"/>
                <w:bCs/>
                <w:sz w:val="24"/>
                <w:szCs w:val="24"/>
              </w:rPr>
              <w:t>.</w:t>
            </w:r>
            <w:r w:rsidRPr="000E1960">
              <w:rPr>
                <w:rFonts w:ascii="Times New Roman" w:hAnsi="Times New Roman"/>
                <w:bCs/>
                <w:sz w:val="24"/>
                <w:szCs w:val="24"/>
              </w:rPr>
              <w:t>661/2009 par tipa apstiprināšanas prasībām attiecībā uz mehānisko transportlīdzekļu, to piekabju un tiem paredzēto sistēmu, sastāvdaļu un atsevišķu tehnisko vienību vispārējo drošību</w:t>
            </w:r>
          </w:p>
          <w:p w14:paraId="785C259B" w14:textId="77777777" w:rsidR="00E654AD" w:rsidRPr="000E1960" w:rsidRDefault="00E654AD" w:rsidP="005C44CB">
            <w:pPr>
              <w:spacing w:after="0" w:line="240" w:lineRule="auto"/>
              <w:ind w:left="34" w:right="-108"/>
              <w:rPr>
                <w:rFonts w:ascii="Times New Roman" w:hAnsi="Times New Roman"/>
                <w:bCs/>
                <w:sz w:val="24"/>
                <w:szCs w:val="24"/>
              </w:rPr>
            </w:pPr>
            <w:r w:rsidRPr="000E1960">
              <w:rPr>
                <w:rFonts w:ascii="Times New Roman" w:hAnsi="Times New Roman"/>
                <w:bCs/>
                <w:sz w:val="24"/>
                <w:szCs w:val="24"/>
              </w:rPr>
              <w:t>(Dokuments attiecas uz EEZ)  (Eiropas Savienības Oficiālais Vēstnesis, 16.02.2012., L 43, 6.–14.lpp.)</w:t>
            </w:r>
          </w:p>
        </w:tc>
        <w:tc>
          <w:tcPr>
            <w:tcW w:w="851" w:type="dxa"/>
            <w:vMerge/>
          </w:tcPr>
          <w:p w14:paraId="785C259C" w14:textId="77777777" w:rsidR="00E654AD" w:rsidRPr="00126D2A" w:rsidRDefault="00E654AD" w:rsidP="008F6A92">
            <w:pPr>
              <w:spacing w:after="0" w:line="240" w:lineRule="auto"/>
              <w:ind w:left="-113" w:right="-57"/>
              <w:jc w:val="center"/>
              <w:rPr>
                <w:rFonts w:ascii="Times New Roman" w:hAnsi="Times New Roman"/>
                <w:b/>
                <w:bCs/>
                <w:sz w:val="24"/>
                <w:szCs w:val="24"/>
              </w:rPr>
            </w:pPr>
          </w:p>
        </w:tc>
      </w:tr>
      <w:tr w:rsidR="00E654AD" w:rsidRPr="00126D2A" w14:paraId="785C25A7" w14:textId="77777777" w:rsidTr="005C44CB">
        <w:trPr>
          <w:cantSplit/>
          <w:trHeight w:val="465"/>
        </w:trPr>
        <w:tc>
          <w:tcPr>
            <w:tcW w:w="540" w:type="dxa"/>
            <w:vMerge/>
          </w:tcPr>
          <w:p w14:paraId="785C259E" w14:textId="77777777" w:rsidR="00E654AD" w:rsidRPr="00126D2A" w:rsidRDefault="00E654AD" w:rsidP="008F6A92">
            <w:pPr>
              <w:spacing w:after="0" w:line="240" w:lineRule="auto"/>
              <w:ind w:left="-108" w:right="-108"/>
              <w:jc w:val="center"/>
              <w:rPr>
                <w:rFonts w:ascii="Times New Roman" w:hAnsi="Times New Roman"/>
                <w:sz w:val="24"/>
                <w:szCs w:val="24"/>
              </w:rPr>
            </w:pPr>
          </w:p>
        </w:tc>
        <w:tc>
          <w:tcPr>
            <w:tcW w:w="2100" w:type="dxa"/>
            <w:vMerge/>
          </w:tcPr>
          <w:p w14:paraId="785C259F" w14:textId="77777777" w:rsidR="00E654AD" w:rsidRPr="00126D2A" w:rsidRDefault="00E654AD" w:rsidP="008F6A92">
            <w:pPr>
              <w:spacing w:after="0" w:line="240" w:lineRule="auto"/>
              <w:rPr>
                <w:rFonts w:ascii="Times New Roman" w:hAnsi="Times New Roman"/>
                <w:sz w:val="24"/>
                <w:szCs w:val="24"/>
              </w:rPr>
            </w:pPr>
          </w:p>
        </w:tc>
        <w:tc>
          <w:tcPr>
            <w:tcW w:w="1422" w:type="dxa"/>
            <w:vMerge/>
          </w:tcPr>
          <w:p w14:paraId="785C25A0" w14:textId="77777777" w:rsidR="00E654AD" w:rsidRPr="00126D2A" w:rsidRDefault="00E654AD" w:rsidP="008F6A92">
            <w:pPr>
              <w:spacing w:after="0" w:line="240" w:lineRule="auto"/>
              <w:ind w:left="-108" w:right="-125"/>
              <w:jc w:val="center"/>
              <w:rPr>
                <w:rFonts w:ascii="Times New Roman" w:hAnsi="Times New Roman"/>
                <w:sz w:val="24"/>
                <w:szCs w:val="24"/>
              </w:rPr>
            </w:pPr>
          </w:p>
        </w:tc>
        <w:tc>
          <w:tcPr>
            <w:tcW w:w="3566" w:type="dxa"/>
            <w:vMerge/>
          </w:tcPr>
          <w:p w14:paraId="785C25A1" w14:textId="77777777" w:rsidR="00E654AD" w:rsidRPr="00126D2A" w:rsidRDefault="00E654AD" w:rsidP="008F6A92">
            <w:pPr>
              <w:spacing w:after="0" w:line="240" w:lineRule="auto"/>
              <w:ind w:left="-108" w:right="-125"/>
              <w:rPr>
                <w:rFonts w:ascii="Times New Roman" w:hAnsi="Times New Roman"/>
                <w:bCs/>
                <w:sz w:val="24"/>
                <w:szCs w:val="24"/>
              </w:rPr>
            </w:pPr>
          </w:p>
        </w:tc>
        <w:tc>
          <w:tcPr>
            <w:tcW w:w="1559" w:type="dxa"/>
          </w:tcPr>
          <w:p w14:paraId="785C25A2" w14:textId="77777777" w:rsidR="00E654AD" w:rsidRPr="000E1960" w:rsidRDefault="00E654AD" w:rsidP="008F6A92">
            <w:pPr>
              <w:spacing w:after="0" w:line="240" w:lineRule="auto"/>
              <w:jc w:val="center"/>
              <w:rPr>
                <w:rFonts w:ascii="Times New Roman" w:hAnsi="Times New Roman"/>
                <w:b/>
                <w:bCs/>
                <w:sz w:val="24"/>
              </w:rPr>
            </w:pPr>
            <w:r w:rsidRPr="000E1960">
              <w:rPr>
                <w:rFonts w:ascii="Times New Roman" w:hAnsi="Times New Roman"/>
                <w:b/>
                <w:bCs/>
                <w:sz w:val="24"/>
              </w:rPr>
              <w:t>Regula (ES)</w:t>
            </w:r>
          </w:p>
          <w:p w14:paraId="785C25A3" w14:textId="77777777" w:rsidR="00E654AD" w:rsidRPr="000E1960" w:rsidRDefault="00E654AD" w:rsidP="008F6A92">
            <w:pPr>
              <w:spacing w:after="0" w:line="240" w:lineRule="auto"/>
              <w:jc w:val="center"/>
              <w:rPr>
                <w:rFonts w:ascii="Times New Roman" w:hAnsi="Times New Roman"/>
                <w:b/>
                <w:bCs/>
                <w:sz w:val="24"/>
              </w:rPr>
            </w:pPr>
            <w:r w:rsidRPr="000E1960">
              <w:rPr>
                <w:rFonts w:ascii="Times New Roman" w:hAnsi="Times New Roman"/>
                <w:b/>
                <w:bCs/>
                <w:sz w:val="24"/>
              </w:rPr>
              <w:t>Nr.347/2012</w:t>
            </w:r>
          </w:p>
        </w:tc>
        <w:tc>
          <w:tcPr>
            <w:tcW w:w="4961" w:type="dxa"/>
          </w:tcPr>
          <w:p w14:paraId="785C25A4" w14:textId="6ABE17E0" w:rsidR="00E654AD" w:rsidRPr="000E1960" w:rsidRDefault="00E654AD" w:rsidP="005C44CB">
            <w:pPr>
              <w:spacing w:after="0" w:line="240" w:lineRule="auto"/>
              <w:ind w:left="34" w:right="-108"/>
              <w:rPr>
                <w:rFonts w:ascii="Times New Roman" w:hAnsi="Times New Roman"/>
                <w:bCs/>
                <w:sz w:val="24"/>
              </w:rPr>
            </w:pPr>
            <w:r w:rsidRPr="000E1960">
              <w:rPr>
                <w:rFonts w:ascii="Times New Roman" w:hAnsi="Times New Roman"/>
                <w:bCs/>
                <w:sz w:val="24"/>
              </w:rPr>
              <w:t>Komisijas 2012</w:t>
            </w:r>
            <w:r w:rsidR="00BB7049">
              <w:rPr>
                <w:rFonts w:ascii="Times New Roman" w:hAnsi="Times New Roman"/>
                <w:bCs/>
                <w:sz w:val="24"/>
              </w:rPr>
              <w:t>.</w:t>
            </w:r>
            <w:r w:rsidRPr="000E1960">
              <w:rPr>
                <w:rFonts w:ascii="Times New Roman" w:hAnsi="Times New Roman"/>
                <w:bCs/>
                <w:sz w:val="24"/>
              </w:rPr>
              <w:t>gada 16</w:t>
            </w:r>
            <w:r w:rsidR="00BB7049">
              <w:rPr>
                <w:rFonts w:ascii="Times New Roman" w:hAnsi="Times New Roman"/>
                <w:bCs/>
                <w:sz w:val="24"/>
              </w:rPr>
              <w:t>.</w:t>
            </w:r>
            <w:r w:rsidRPr="000E1960">
              <w:rPr>
                <w:rFonts w:ascii="Times New Roman" w:hAnsi="Times New Roman"/>
                <w:bCs/>
                <w:sz w:val="24"/>
              </w:rPr>
              <w:t>aprīļa Regula  (ES) Nr</w:t>
            </w:r>
            <w:r w:rsidR="00BB7049">
              <w:rPr>
                <w:rFonts w:ascii="Times New Roman" w:hAnsi="Times New Roman"/>
                <w:bCs/>
                <w:sz w:val="24"/>
              </w:rPr>
              <w:t>.</w:t>
            </w:r>
            <w:r w:rsidRPr="000E1960">
              <w:rPr>
                <w:rFonts w:ascii="Times New Roman" w:hAnsi="Times New Roman"/>
                <w:bCs/>
                <w:sz w:val="24"/>
              </w:rPr>
              <w:t>347/2012, ar kuru īsteno Eiropas Parlamenta un Padomes Regulu (EK) Nr</w:t>
            </w:r>
            <w:r w:rsidR="00BB7049">
              <w:rPr>
                <w:rFonts w:ascii="Times New Roman" w:hAnsi="Times New Roman"/>
                <w:bCs/>
                <w:sz w:val="24"/>
              </w:rPr>
              <w:t>.</w:t>
            </w:r>
            <w:r w:rsidRPr="000E1960">
              <w:rPr>
                <w:rFonts w:ascii="Times New Roman" w:hAnsi="Times New Roman"/>
                <w:bCs/>
                <w:sz w:val="24"/>
              </w:rPr>
              <w:t>661/2009 attiecībā uz tipa apstiprinājuma prasībām noteiktu mehānisko transportlīdzekļu kategoriju uzlabotām avārijas bremzēšanas sistēmām</w:t>
            </w:r>
          </w:p>
          <w:p w14:paraId="785C25A5" w14:textId="77777777" w:rsidR="00E654AD" w:rsidRPr="000E1960" w:rsidRDefault="00E654AD" w:rsidP="005C44CB">
            <w:pPr>
              <w:spacing w:after="0" w:line="240" w:lineRule="auto"/>
              <w:ind w:left="34" w:right="-108"/>
              <w:rPr>
                <w:rFonts w:ascii="Times New Roman" w:hAnsi="Times New Roman"/>
                <w:bCs/>
                <w:sz w:val="24"/>
              </w:rPr>
            </w:pPr>
            <w:r w:rsidRPr="000E1960">
              <w:rPr>
                <w:rFonts w:ascii="Times New Roman" w:hAnsi="Times New Roman"/>
                <w:bCs/>
                <w:sz w:val="24"/>
              </w:rPr>
              <w:t>(Eiropas Savienības Oficiālais Vēstnesis, 21.04.2012., L 109, 1.–17.lpp.)</w:t>
            </w:r>
          </w:p>
        </w:tc>
        <w:tc>
          <w:tcPr>
            <w:tcW w:w="851" w:type="dxa"/>
            <w:vMerge/>
          </w:tcPr>
          <w:p w14:paraId="785C25A6" w14:textId="77777777" w:rsidR="00E654AD" w:rsidRPr="00126D2A" w:rsidRDefault="00E654AD" w:rsidP="008F6A92">
            <w:pPr>
              <w:spacing w:after="0" w:line="240" w:lineRule="auto"/>
              <w:ind w:left="-113" w:right="-57"/>
              <w:jc w:val="center"/>
              <w:rPr>
                <w:rFonts w:ascii="Times New Roman" w:hAnsi="Times New Roman"/>
                <w:b/>
                <w:bCs/>
                <w:sz w:val="24"/>
                <w:szCs w:val="24"/>
              </w:rPr>
            </w:pPr>
          </w:p>
        </w:tc>
      </w:tr>
      <w:tr w:rsidR="00E654AD" w:rsidRPr="00126D2A" w14:paraId="785C25B1" w14:textId="77777777" w:rsidTr="005C44CB">
        <w:trPr>
          <w:cantSplit/>
          <w:trHeight w:val="465"/>
        </w:trPr>
        <w:tc>
          <w:tcPr>
            <w:tcW w:w="540" w:type="dxa"/>
            <w:vMerge/>
          </w:tcPr>
          <w:p w14:paraId="785C25A8" w14:textId="77777777" w:rsidR="00E654AD" w:rsidRPr="00126D2A" w:rsidRDefault="00E654AD" w:rsidP="008F6A92">
            <w:pPr>
              <w:spacing w:after="0" w:line="240" w:lineRule="auto"/>
              <w:ind w:left="-108" w:right="-108"/>
              <w:jc w:val="center"/>
              <w:rPr>
                <w:rFonts w:ascii="Times New Roman" w:hAnsi="Times New Roman"/>
                <w:sz w:val="24"/>
                <w:szCs w:val="24"/>
              </w:rPr>
            </w:pPr>
          </w:p>
        </w:tc>
        <w:tc>
          <w:tcPr>
            <w:tcW w:w="2100" w:type="dxa"/>
            <w:vMerge/>
          </w:tcPr>
          <w:p w14:paraId="785C25A9" w14:textId="77777777" w:rsidR="00E654AD" w:rsidRPr="00126D2A" w:rsidRDefault="00E654AD" w:rsidP="008F6A92">
            <w:pPr>
              <w:spacing w:after="0" w:line="240" w:lineRule="auto"/>
              <w:rPr>
                <w:rFonts w:ascii="Times New Roman" w:hAnsi="Times New Roman"/>
                <w:sz w:val="24"/>
                <w:szCs w:val="24"/>
              </w:rPr>
            </w:pPr>
          </w:p>
        </w:tc>
        <w:tc>
          <w:tcPr>
            <w:tcW w:w="1422" w:type="dxa"/>
            <w:vMerge/>
          </w:tcPr>
          <w:p w14:paraId="785C25AA" w14:textId="77777777" w:rsidR="00E654AD" w:rsidRPr="00126D2A" w:rsidRDefault="00E654AD" w:rsidP="008F6A92">
            <w:pPr>
              <w:spacing w:after="0" w:line="240" w:lineRule="auto"/>
              <w:ind w:left="-108" w:right="-125"/>
              <w:jc w:val="center"/>
              <w:rPr>
                <w:rFonts w:ascii="Times New Roman" w:hAnsi="Times New Roman"/>
                <w:sz w:val="24"/>
                <w:szCs w:val="24"/>
              </w:rPr>
            </w:pPr>
          </w:p>
        </w:tc>
        <w:tc>
          <w:tcPr>
            <w:tcW w:w="3566" w:type="dxa"/>
            <w:vMerge/>
          </w:tcPr>
          <w:p w14:paraId="785C25AB" w14:textId="77777777" w:rsidR="00E654AD" w:rsidRPr="00126D2A" w:rsidRDefault="00E654AD" w:rsidP="008F6A92">
            <w:pPr>
              <w:spacing w:after="0" w:line="240" w:lineRule="auto"/>
              <w:ind w:left="-108" w:right="-125"/>
              <w:rPr>
                <w:rFonts w:ascii="Times New Roman" w:hAnsi="Times New Roman"/>
                <w:bCs/>
                <w:sz w:val="24"/>
                <w:szCs w:val="24"/>
              </w:rPr>
            </w:pPr>
          </w:p>
        </w:tc>
        <w:tc>
          <w:tcPr>
            <w:tcW w:w="1559" w:type="dxa"/>
          </w:tcPr>
          <w:p w14:paraId="785C25AC" w14:textId="77777777" w:rsidR="00E654AD" w:rsidRPr="000E1960" w:rsidRDefault="00E654AD" w:rsidP="008F6A92">
            <w:pPr>
              <w:spacing w:after="0" w:line="240" w:lineRule="auto"/>
              <w:jc w:val="center"/>
              <w:rPr>
                <w:rFonts w:ascii="Times New Roman" w:hAnsi="Times New Roman"/>
                <w:b/>
                <w:bCs/>
                <w:sz w:val="24"/>
              </w:rPr>
            </w:pPr>
            <w:r w:rsidRPr="000E1960">
              <w:rPr>
                <w:rFonts w:ascii="Times New Roman" w:hAnsi="Times New Roman"/>
                <w:b/>
                <w:bCs/>
                <w:sz w:val="24"/>
              </w:rPr>
              <w:t>Regula (ES)</w:t>
            </w:r>
          </w:p>
          <w:p w14:paraId="785C25AD" w14:textId="77777777" w:rsidR="00E654AD" w:rsidRPr="000E1960" w:rsidRDefault="00E654AD" w:rsidP="008F6A92">
            <w:pPr>
              <w:spacing w:after="0" w:line="240" w:lineRule="auto"/>
              <w:jc w:val="center"/>
              <w:rPr>
                <w:rFonts w:ascii="Times New Roman" w:hAnsi="Times New Roman"/>
                <w:b/>
                <w:bCs/>
                <w:sz w:val="24"/>
              </w:rPr>
            </w:pPr>
            <w:r w:rsidRPr="000E1960">
              <w:rPr>
                <w:rFonts w:ascii="Times New Roman" w:hAnsi="Times New Roman"/>
                <w:b/>
                <w:bCs/>
                <w:sz w:val="24"/>
              </w:rPr>
              <w:t>Nr.351/2012</w:t>
            </w:r>
          </w:p>
        </w:tc>
        <w:tc>
          <w:tcPr>
            <w:tcW w:w="4961" w:type="dxa"/>
          </w:tcPr>
          <w:p w14:paraId="785C25AE" w14:textId="21F687B3" w:rsidR="00E654AD" w:rsidRPr="000E1960" w:rsidRDefault="00E654AD" w:rsidP="005C44CB">
            <w:pPr>
              <w:spacing w:after="0" w:line="240" w:lineRule="auto"/>
              <w:ind w:left="34" w:right="-108"/>
              <w:rPr>
                <w:rFonts w:ascii="Times New Roman" w:hAnsi="Times New Roman"/>
                <w:bCs/>
                <w:sz w:val="24"/>
              </w:rPr>
            </w:pPr>
            <w:r w:rsidRPr="000E1960">
              <w:rPr>
                <w:rFonts w:ascii="Times New Roman" w:hAnsi="Times New Roman"/>
                <w:bCs/>
                <w:sz w:val="24"/>
              </w:rPr>
              <w:t>Komisijas 2012</w:t>
            </w:r>
            <w:r w:rsidR="00BB7049">
              <w:rPr>
                <w:rFonts w:ascii="Times New Roman" w:hAnsi="Times New Roman"/>
                <w:bCs/>
                <w:sz w:val="24"/>
              </w:rPr>
              <w:t>.</w:t>
            </w:r>
            <w:r w:rsidRPr="000E1960">
              <w:rPr>
                <w:rFonts w:ascii="Times New Roman" w:hAnsi="Times New Roman"/>
                <w:bCs/>
                <w:sz w:val="24"/>
              </w:rPr>
              <w:t>gada 23</w:t>
            </w:r>
            <w:r w:rsidR="00BB7049">
              <w:rPr>
                <w:rFonts w:ascii="Times New Roman" w:hAnsi="Times New Roman"/>
                <w:bCs/>
                <w:sz w:val="24"/>
              </w:rPr>
              <w:t>.</w:t>
            </w:r>
            <w:r w:rsidRPr="000E1960">
              <w:rPr>
                <w:rFonts w:ascii="Times New Roman" w:hAnsi="Times New Roman"/>
                <w:bCs/>
                <w:sz w:val="24"/>
              </w:rPr>
              <w:t>aprīļa Regula  (ES) Nr</w:t>
            </w:r>
            <w:r w:rsidR="00BB7049">
              <w:rPr>
                <w:rFonts w:ascii="Times New Roman" w:hAnsi="Times New Roman"/>
                <w:bCs/>
                <w:sz w:val="24"/>
              </w:rPr>
              <w:t>.</w:t>
            </w:r>
            <w:r w:rsidRPr="000E1960">
              <w:rPr>
                <w:rFonts w:ascii="Times New Roman" w:hAnsi="Times New Roman"/>
                <w:bCs/>
                <w:sz w:val="24"/>
              </w:rPr>
              <w:t>351/2012, ar kuru īsteno Eiropas Parlamenta un Padomes Regulu (EK) Nr</w:t>
            </w:r>
            <w:r w:rsidR="00BB7049">
              <w:rPr>
                <w:rFonts w:ascii="Times New Roman" w:hAnsi="Times New Roman"/>
                <w:bCs/>
                <w:sz w:val="24"/>
              </w:rPr>
              <w:t>.</w:t>
            </w:r>
            <w:r w:rsidRPr="000E1960">
              <w:rPr>
                <w:rFonts w:ascii="Times New Roman" w:hAnsi="Times New Roman"/>
                <w:bCs/>
                <w:sz w:val="24"/>
              </w:rPr>
              <w:t>661/2009 attiecībā uz tipa apstiprinājuma prasībām joslu uzraudzības sistēmu uzstādīšanai mehāniskajos transportlīdzekļos</w:t>
            </w:r>
          </w:p>
          <w:p w14:paraId="785C25AF" w14:textId="77777777" w:rsidR="00E654AD" w:rsidRPr="000E1960" w:rsidRDefault="00E654AD" w:rsidP="005C44CB">
            <w:pPr>
              <w:spacing w:after="0" w:line="240" w:lineRule="auto"/>
              <w:ind w:left="34" w:right="-108"/>
              <w:rPr>
                <w:rFonts w:ascii="Times New Roman" w:hAnsi="Times New Roman"/>
                <w:bCs/>
                <w:sz w:val="24"/>
              </w:rPr>
            </w:pPr>
            <w:r w:rsidRPr="000E1960">
              <w:rPr>
                <w:rFonts w:ascii="Times New Roman" w:hAnsi="Times New Roman"/>
                <w:bCs/>
                <w:sz w:val="24"/>
              </w:rPr>
              <w:t>(Eiropas Savienības Oficiālais Vēstnesis, 24.04.2012., L 110, 18.–30.lpp.)</w:t>
            </w:r>
          </w:p>
        </w:tc>
        <w:tc>
          <w:tcPr>
            <w:tcW w:w="851" w:type="dxa"/>
            <w:vMerge/>
          </w:tcPr>
          <w:p w14:paraId="785C25B0" w14:textId="77777777" w:rsidR="00E654AD" w:rsidRPr="00126D2A" w:rsidRDefault="00E654AD" w:rsidP="008F6A92">
            <w:pPr>
              <w:spacing w:after="0" w:line="240" w:lineRule="auto"/>
              <w:ind w:left="-113" w:right="-57"/>
              <w:jc w:val="center"/>
              <w:rPr>
                <w:rFonts w:ascii="Times New Roman" w:hAnsi="Times New Roman"/>
                <w:b/>
                <w:bCs/>
                <w:sz w:val="24"/>
                <w:szCs w:val="24"/>
              </w:rPr>
            </w:pPr>
          </w:p>
        </w:tc>
      </w:tr>
    </w:tbl>
    <w:p w14:paraId="785C25B2" w14:textId="77777777" w:rsidR="00E654AD" w:rsidRDefault="00E654AD" w:rsidP="008F6A92">
      <w:pPr>
        <w:spacing w:after="0" w:line="240" w:lineRule="auto"/>
        <w:rPr>
          <w:rFonts w:ascii="Times New Roman" w:hAnsi="Times New Roman"/>
          <w:bCs/>
          <w:sz w:val="24"/>
        </w:rPr>
      </w:pPr>
    </w:p>
    <w:p w14:paraId="785C25BB" w14:textId="71B5050F" w:rsidR="008F6A92" w:rsidRDefault="00E654AD" w:rsidP="008F6A92">
      <w:pPr>
        <w:spacing w:after="0" w:line="240" w:lineRule="auto"/>
        <w:ind w:firstLine="720"/>
        <w:jc w:val="both"/>
        <w:rPr>
          <w:rFonts w:ascii="Times New Roman" w:hAnsi="Times New Roman"/>
          <w:sz w:val="28"/>
          <w:szCs w:val="28"/>
        </w:rPr>
      </w:pPr>
      <w:r>
        <w:rPr>
          <w:rFonts w:ascii="Times New Roman" w:hAnsi="Times New Roman"/>
          <w:sz w:val="28"/>
          <w:szCs w:val="28"/>
        </w:rPr>
        <w:t>7</w:t>
      </w:r>
      <w:r w:rsidRPr="00874E40">
        <w:rPr>
          <w:rFonts w:ascii="Times New Roman" w:hAnsi="Times New Roman"/>
          <w:sz w:val="28"/>
          <w:szCs w:val="28"/>
        </w:rPr>
        <w:t xml:space="preserve">. Papildināt </w:t>
      </w:r>
      <w:r>
        <w:rPr>
          <w:rFonts w:ascii="Times New Roman" w:hAnsi="Times New Roman"/>
          <w:sz w:val="28"/>
          <w:szCs w:val="28"/>
        </w:rPr>
        <w:t>11.pielikuma II nodaļas tabulu ar</w:t>
      </w:r>
      <w:r w:rsidRPr="00B12475">
        <w:rPr>
          <w:rFonts w:ascii="Times New Roman" w:hAnsi="Times New Roman"/>
          <w:sz w:val="28"/>
          <w:szCs w:val="28"/>
        </w:rPr>
        <w:t xml:space="preserve"> </w:t>
      </w:r>
      <w:r>
        <w:rPr>
          <w:rFonts w:ascii="Times New Roman" w:hAnsi="Times New Roman"/>
          <w:sz w:val="28"/>
          <w:szCs w:val="28"/>
        </w:rPr>
        <w:t>63</w:t>
      </w:r>
      <w:r w:rsidRPr="00B12475">
        <w:rPr>
          <w:rFonts w:ascii="Times New Roman" w:hAnsi="Times New Roman"/>
          <w:sz w:val="28"/>
          <w:szCs w:val="28"/>
        </w:rPr>
        <w:t>.</w:t>
      </w:r>
      <w:r w:rsidR="005C44CB">
        <w:rPr>
          <w:rFonts w:ascii="Times New Roman" w:hAnsi="Times New Roman"/>
          <w:sz w:val="28"/>
          <w:szCs w:val="28"/>
        </w:rPr>
        <w:t>a </w:t>
      </w:r>
      <w:r>
        <w:rPr>
          <w:rFonts w:ascii="Times New Roman" w:hAnsi="Times New Roman"/>
          <w:sz w:val="28"/>
          <w:szCs w:val="28"/>
        </w:rPr>
        <w:t>punktu šā</w:t>
      </w:r>
      <w:r w:rsidRPr="00B12475">
        <w:rPr>
          <w:rFonts w:ascii="Times New Roman" w:hAnsi="Times New Roman"/>
          <w:sz w:val="28"/>
          <w:szCs w:val="28"/>
        </w:rPr>
        <w:t>dā redakcijā:</w:t>
      </w:r>
    </w:p>
    <w:p w14:paraId="549F0959" w14:textId="7F7A927C" w:rsidR="00E654AD" w:rsidRDefault="00E654AD" w:rsidP="008F6A92">
      <w:pPr>
        <w:spacing w:after="0" w:line="240" w:lineRule="auto"/>
        <w:ind w:firstLine="720"/>
        <w:jc w:val="both"/>
        <w:rPr>
          <w:rFonts w:ascii="Times New Roman" w:hAnsi="Times New Roman"/>
          <w:sz w:val="28"/>
          <w:szCs w:val="28"/>
        </w:rPr>
      </w:pPr>
    </w:p>
    <w:tbl>
      <w:tblPr>
        <w:tblW w:w="1499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00"/>
        <w:gridCol w:w="1422"/>
        <w:gridCol w:w="3991"/>
        <w:gridCol w:w="1559"/>
        <w:gridCol w:w="4528"/>
        <w:gridCol w:w="859"/>
      </w:tblGrid>
      <w:tr w:rsidR="00E654AD" w:rsidRPr="00126D2A" w14:paraId="785C25C7" w14:textId="77777777" w:rsidTr="005C44CB">
        <w:trPr>
          <w:cantSplit/>
          <w:trHeight w:val="410"/>
        </w:trPr>
        <w:tc>
          <w:tcPr>
            <w:tcW w:w="540" w:type="dxa"/>
          </w:tcPr>
          <w:p w14:paraId="785C25BC" w14:textId="2E360882" w:rsidR="00E654AD" w:rsidRPr="005649E5" w:rsidRDefault="008F6A92" w:rsidP="005C44CB">
            <w:pPr>
              <w:spacing w:after="0" w:line="240" w:lineRule="auto"/>
              <w:ind w:left="-108" w:right="-108"/>
              <w:jc w:val="center"/>
              <w:rPr>
                <w:rFonts w:ascii="Times New Roman" w:hAnsi="Times New Roman"/>
                <w:sz w:val="24"/>
                <w:szCs w:val="24"/>
              </w:rPr>
            </w:pPr>
            <w:r>
              <w:rPr>
                <w:rFonts w:ascii="Times New Roman" w:hAnsi="Times New Roman"/>
                <w:sz w:val="24"/>
                <w:szCs w:val="24"/>
              </w:rPr>
              <w:t>"</w:t>
            </w:r>
            <w:r w:rsidR="00E654AD" w:rsidRPr="005649E5">
              <w:rPr>
                <w:rFonts w:ascii="Times New Roman" w:hAnsi="Times New Roman"/>
                <w:sz w:val="24"/>
                <w:szCs w:val="24"/>
              </w:rPr>
              <w:t>63.</w:t>
            </w:r>
            <w:r w:rsidR="005C44CB">
              <w:rPr>
                <w:rFonts w:ascii="Times New Roman" w:hAnsi="Times New Roman"/>
                <w:sz w:val="24"/>
                <w:szCs w:val="24"/>
              </w:rPr>
              <w:t>a</w:t>
            </w:r>
          </w:p>
        </w:tc>
        <w:tc>
          <w:tcPr>
            <w:tcW w:w="2100" w:type="dxa"/>
          </w:tcPr>
          <w:p w14:paraId="785C25BD" w14:textId="77777777" w:rsidR="00E654AD" w:rsidRPr="005649E5" w:rsidRDefault="00E654AD" w:rsidP="008F6A92">
            <w:pPr>
              <w:spacing w:after="0" w:line="240" w:lineRule="auto"/>
              <w:rPr>
                <w:rFonts w:ascii="Times New Roman" w:hAnsi="Times New Roman"/>
                <w:sz w:val="24"/>
                <w:szCs w:val="24"/>
              </w:rPr>
            </w:pPr>
            <w:r w:rsidRPr="005649E5">
              <w:rPr>
                <w:rFonts w:ascii="Times New Roman" w:hAnsi="Times New Roman"/>
                <w:sz w:val="24"/>
                <w:szCs w:val="24"/>
              </w:rPr>
              <w:t>Pārnesumu pārslēgšanas indikatori</w:t>
            </w:r>
          </w:p>
        </w:tc>
        <w:tc>
          <w:tcPr>
            <w:tcW w:w="1422" w:type="dxa"/>
          </w:tcPr>
          <w:p w14:paraId="785C25BE" w14:textId="77777777" w:rsidR="00E654AD" w:rsidRPr="005649E5" w:rsidRDefault="00E654AD" w:rsidP="008F6A92">
            <w:pPr>
              <w:spacing w:after="0" w:line="240" w:lineRule="auto"/>
              <w:ind w:left="-108" w:right="-125"/>
              <w:jc w:val="center"/>
              <w:rPr>
                <w:rFonts w:ascii="Times New Roman" w:hAnsi="Times New Roman"/>
                <w:sz w:val="24"/>
                <w:szCs w:val="24"/>
              </w:rPr>
            </w:pPr>
            <w:r w:rsidRPr="005649E5">
              <w:rPr>
                <w:rFonts w:ascii="Times New Roman" w:hAnsi="Times New Roman"/>
                <w:sz w:val="24"/>
                <w:szCs w:val="24"/>
              </w:rPr>
              <w:t>Regula (ES)</w:t>
            </w:r>
          </w:p>
          <w:p w14:paraId="785C25BF" w14:textId="77777777" w:rsidR="00E654AD" w:rsidRPr="005649E5" w:rsidRDefault="00E654AD" w:rsidP="008F6A92">
            <w:pPr>
              <w:spacing w:after="0" w:line="240" w:lineRule="auto"/>
              <w:ind w:left="-108" w:right="-125"/>
              <w:jc w:val="center"/>
              <w:rPr>
                <w:rFonts w:ascii="Times New Roman" w:hAnsi="Times New Roman"/>
                <w:sz w:val="24"/>
                <w:szCs w:val="24"/>
              </w:rPr>
            </w:pPr>
            <w:r w:rsidRPr="005649E5">
              <w:rPr>
                <w:rFonts w:ascii="Times New Roman" w:hAnsi="Times New Roman"/>
                <w:sz w:val="24"/>
                <w:szCs w:val="24"/>
              </w:rPr>
              <w:t>Nr.65/2012</w:t>
            </w:r>
          </w:p>
        </w:tc>
        <w:tc>
          <w:tcPr>
            <w:tcW w:w="3991" w:type="dxa"/>
          </w:tcPr>
          <w:p w14:paraId="785C25C0" w14:textId="11A085EA" w:rsidR="00E654AD" w:rsidRPr="005649E5" w:rsidRDefault="00E654AD" w:rsidP="008F6A92">
            <w:pPr>
              <w:spacing w:after="0" w:line="240" w:lineRule="auto"/>
              <w:ind w:left="-108" w:right="-125"/>
              <w:rPr>
                <w:rFonts w:ascii="Times New Roman" w:hAnsi="Times New Roman"/>
                <w:bCs/>
                <w:sz w:val="24"/>
                <w:szCs w:val="24"/>
              </w:rPr>
            </w:pPr>
            <w:r w:rsidRPr="005649E5">
              <w:rPr>
                <w:rFonts w:ascii="Times New Roman" w:hAnsi="Times New Roman"/>
                <w:bCs/>
                <w:sz w:val="24"/>
                <w:szCs w:val="24"/>
              </w:rPr>
              <w:t>Komisijas 2012</w:t>
            </w:r>
            <w:r w:rsidR="00BB7049">
              <w:rPr>
                <w:rFonts w:ascii="Times New Roman" w:hAnsi="Times New Roman"/>
                <w:bCs/>
                <w:sz w:val="24"/>
                <w:szCs w:val="24"/>
              </w:rPr>
              <w:t>.</w:t>
            </w:r>
            <w:r w:rsidRPr="005649E5">
              <w:rPr>
                <w:rFonts w:ascii="Times New Roman" w:hAnsi="Times New Roman"/>
                <w:bCs/>
                <w:sz w:val="24"/>
                <w:szCs w:val="24"/>
              </w:rPr>
              <w:t>gada 24</w:t>
            </w:r>
            <w:r w:rsidR="00BB7049">
              <w:rPr>
                <w:rFonts w:ascii="Times New Roman" w:hAnsi="Times New Roman"/>
                <w:bCs/>
                <w:sz w:val="24"/>
                <w:szCs w:val="24"/>
              </w:rPr>
              <w:t>.</w:t>
            </w:r>
            <w:r w:rsidRPr="005649E5">
              <w:rPr>
                <w:rFonts w:ascii="Times New Roman" w:hAnsi="Times New Roman"/>
                <w:bCs/>
                <w:sz w:val="24"/>
                <w:szCs w:val="24"/>
              </w:rPr>
              <w:t>janvāra Regula (ES) Nr</w:t>
            </w:r>
            <w:r w:rsidR="00BB7049">
              <w:rPr>
                <w:rFonts w:ascii="Times New Roman" w:hAnsi="Times New Roman"/>
                <w:bCs/>
                <w:sz w:val="24"/>
                <w:szCs w:val="24"/>
              </w:rPr>
              <w:t>.</w:t>
            </w:r>
            <w:r w:rsidRPr="005649E5">
              <w:rPr>
                <w:rFonts w:ascii="Times New Roman" w:hAnsi="Times New Roman"/>
                <w:bCs/>
                <w:sz w:val="24"/>
                <w:szCs w:val="24"/>
              </w:rPr>
              <w:t>65/2012, ar ko īsteno Eiropas Parlamenta un Padomes Regulu (EK) Nr</w:t>
            </w:r>
            <w:r w:rsidR="00BB7049">
              <w:rPr>
                <w:rFonts w:ascii="Times New Roman" w:hAnsi="Times New Roman"/>
                <w:bCs/>
                <w:sz w:val="24"/>
                <w:szCs w:val="24"/>
              </w:rPr>
              <w:t>.</w:t>
            </w:r>
            <w:r w:rsidRPr="005649E5">
              <w:rPr>
                <w:rFonts w:ascii="Times New Roman" w:hAnsi="Times New Roman"/>
                <w:bCs/>
                <w:sz w:val="24"/>
                <w:szCs w:val="24"/>
              </w:rPr>
              <w:t>661/2009 attiecībā uz pārnesumu pārslēgšanas indikatoriem un groza Eiropas Parlamenta un Padomes Direktīvu 2007/46/EK</w:t>
            </w:r>
          </w:p>
          <w:p w14:paraId="785C25C1" w14:textId="77777777" w:rsidR="00E654AD" w:rsidRPr="005649E5" w:rsidRDefault="00E654AD" w:rsidP="008F6A92">
            <w:pPr>
              <w:spacing w:after="0" w:line="240" w:lineRule="auto"/>
              <w:ind w:left="-108" w:right="-125"/>
              <w:rPr>
                <w:rFonts w:ascii="Times New Roman" w:hAnsi="Times New Roman"/>
                <w:b/>
                <w:bCs/>
                <w:sz w:val="24"/>
                <w:szCs w:val="24"/>
              </w:rPr>
            </w:pPr>
            <w:r w:rsidRPr="005649E5">
              <w:rPr>
                <w:rFonts w:ascii="Times New Roman" w:hAnsi="Times New Roman"/>
                <w:bCs/>
                <w:sz w:val="24"/>
                <w:szCs w:val="24"/>
              </w:rPr>
              <w:t>(Dokuments attiecas uz EEZ)  (Eiropas Savienības Oficiālais Vēstnesis, 31.01.2012., L 28, 24.–38.lpp.)</w:t>
            </w:r>
          </w:p>
        </w:tc>
        <w:tc>
          <w:tcPr>
            <w:tcW w:w="1559" w:type="dxa"/>
          </w:tcPr>
          <w:p w14:paraId="785C25C2" w14:textId="77777777" w:rsidR="00E654AD" w:rsidRPr="005649E5" w:rsidRDefault="00E654AD" w:rsidP="008F6A92">
            <w:pPr>
              <w:spacing w:after="0" w:line="240" w:lineRule="auto"/>
              <w:ind w:left="-108" w:right="-125"/>
              <w:jc w:val="center"/>
              <w:rPr>
                <w:rFonts w:ascii="Times New Roman" w:hAnsi="Times New Roman"/>
                <w:b/>
                <w:sz w:val="24"/>
                <w:szCs w:val="24"/>
              </w:rPr>
            </w:pPr>
            <w:r w:rsidRPr="005649E5">
              <w:rPr>
                <w:rFonts w:ascii="Times New Roman" w:hAnsi="Times New Roman"/>
                <w:b/>
                <w:sz w:val="24"/>
                <w:szCs w:val="24"/>
              </w:rPr>
              <w:t>Regula (ES)</w:t>
            </w:r>
          </w:p>
          <w:p w14:paraId="785C25C3" w14:textId="77777777" w:rsidR="00E654AD" w:rsidRPr="005649E5" w:rsidRDefault="00E654AD" w:rsidP="008F6A92">
            <w:pPr>
              <w:spacing w:after="0" w:line="240" w:lineRule="auto"/>
              <w:jc w:val="center"/>
              <w:rPr>
                <w:rFonts w:ascii="Times New Roman" w:hAnsi="Times New Roman"/>
                <w:bCs/>
                <w:sz w:val="24"/>
                <w:szCs w:val="24"/>
              </w:rPr>
            </w:pPr>
            <w:r w:rsidRPr="005649E5">
              <w:rPr>
                <w:rFonts w:ascii="Times New Roman" w:hAnsi="Times New Roman"/>
                <w:b/>
                <w:sz w:val="24"/>
                <w:szCs w:val="24"/>
              </w:rPr>
              <w:t>Nr.65/2012</w:t>
            </w:r>
          </w:p>
        </w:tc>
        <w:tc>
          <w:tcPr>
            <w:tcW w:w="4528" w:type="dxa"/>
          </w:tcPr>
          <w:p w14:paraId="785C25C4" w14:textId="2C65B496" w:rsidR="00E654AD" w:rsidRPr="005649E5" w:rsidRDefault="00E654AD" w:rsidP="008F6A92">
            <w:pPr>
              <w:spacing w:after="0" w:line="240" w:lineRule="auto"/>
              <w:ind w:left="-108" w:right="-125"/>
              <w:rPr>
                <w:rFonts w:ascii="Times New Roman" w:hAnsi="Times New Roman"/>
                <w:bCs/>
                <w:sz w:val="24"/>
                <w:szCs w:val="24"/>
              </w:rPr>
            </w:pPr>
            <w:r w:rsidRPr="005649E5">
              <w:rPr>
                <w:rFonts w:ascii="Times New Roman" w:hAnsi="Times New Roman"/>
                <w:bCs/>
                <w:sz w:val="24"/>
                <w:szCs w:val="24"/>
              </w:rPr>
              <w:t>Komisijas 2012</w:t>
            </w:r>
            <w:r w:rsidR="00BB7049">
              <w:rPr>
                <w:rFonts w:ascii="Times New Roman" w:hAnsi="Times New Roman"/>
                <w:bCs/>
                <w:sz w:val="24"/>
                <w:szCs w:val="24"/>
              </w:rPr>
              <w:t>.</w:t>
            </w:r>
            <w:r w:rsidRPr="005649E5">
              <w:rPr>
                <w:rFonts w:ascii="Times New Roman" w:hAnsi="Times New Roman"/>
                <w:bCs/>
                <w:sz w:val="24"/>
                <w:szCs w:val="24"/>
              </w:rPr>
              <w:t>gada 24</w:t>
            </w:r>
            <w:r w:rsidR="00BB7049">
              <w:rPr>
                <w:rFonts w:ascii="Times New Roman" w:hAnsi="Times New Roman"/>
                <w:bCs/>
                <w:sz w:val="24"/>
                <w:szCs w:val="24"/>
              </w:rPr>
              <w:t>.</w:t>
            </w:r>
            <w:r w:rsidRPr="005649E5">
              <w:rPr>
                <w:rFonts w:ascii="Times New Roman" w:hAnsi="Times New Roman"/>
                <w:bCs/>
                <w:sz w:val="24"/>
                <w:szCs w:val="24"/>
              </w:rPr>
              <w:t>janvāra Regula (ES) Nr</w:t>
            </w:r>
            <w:r w:rsidR="00BB7049">
              <w:rPr>
                <w:rFonts w:ascii="Times New Roman" w:hAnsi="Times New Roman"/>
                <w:bCs/>
                <w:sz w:val="24"/>
                <w:szCs w:val="24"/>
              </w:rPr>
              <w:t>.</w:t>
            </w:r>
            <w:r w:rsidRPr="005649E5">
              <w:rPr>
                <w:rFonts w:ascii="Times New Roman" w:hAnsi="Times New Roman"/>
                <w:bCs/>
                <w:sz w:val="24"/>
                <w:szCs w:val="24"/>
              </w:rPr>
              <w:t>65/2012, ar ko īsteno Eiropas Parlamenta un Padomes Regulu (EK) Nr</w:t>
            </w:r>
            <w:r w:rsidR="00BB7049">
              <w:rPr>
                <w:rFonts w:ascii="Times New Roman" w:hAnsi="Times New Roman"/>
                <w:bCs/>
                <w:sz w:val="24"/>
                <w:szCs w:val="24"/>
              </w:rPr>
              <w:t>.</w:t>
            </w:r>
            <w:r w:rsidRPr="005649E5">
              <w:rPr>
                <w:rFonts w:ascii="Times New Roman" w:hAnsi="Times New Roman"/>
                <w:bCs/>
                <w:sz w:val="24"/>
                <w:szCs w:val="24"/>
              </w:rPr>
              <w:t>661/2009 attiecībā uz pārnesumu pārslēgšanas indikatoriem un groza Eiropas Parlamenta un Padomes Direktīvu 2007/46/EK</w:t>
            </w:r>
          </w:p>
          <w:p w14:paraId="785C25C5" w14:textId="77777777" w:rsidR="00E654AD" w:rsidRPr="005649E5" w:rsidRDefault="00E654AD" w:rsidP="008F6A92">
            <w:pPr>
              <w:spacing w:after="0" w:line="240" w:lineRule="auto"/>
              <w:ind w:left="-108" w:right="-108"/>
              <w:rPr>
                <w:rFonts w:ascii="Times New Roman" w:hAnsi="Times New Roman"/>
                <w:b/>
                <w:bCs/>
                <w:sz w:val="24"/>
                <w:szCs w:val="24"/>
              </w:rPr>
            </w:pPr>
            <w:r w:rsidRPr="005649E5">
              <w:rPr>
                <w:rFonts w:ascii="Times New Roman" w:hAnsi="Times New Roman"/>
                <w:bCs/>
                <w:sz w:val="24"/>
                <w:szCs w:val="24"/>
              </w:rPr>
              <w:t>(Dokuments attiecas uz EEZ)  (Eiropas Savienības Oficiālais Vēstnesis, 31.01.2012., L 28, 24.–38.lpp.)</w:t>
            </w:r>
          </w:p>
        </w:tc>
        <w:tc>
          <w:tcPr>
            <w:tcW w:w="859" w:type="dxa"/>
            <w:vAlign w:val="bottom"/>
          </w:tcPr>
          <w:p w14:paraId="1F200292" w14:textId="77777777" w:rsidR="005C44CB" w:rsidRPr="005C44CB" w:rsidRDefault="005C44CB" w:rsidP="005C44CB">
            <w:pPr>
              <w:spacing w:after="0" w:line="240" w:lineRule="auto"/>
              <w:ind w:left="-113" w:right="-57"/>
              <w:jc w:val="center"/>
              <w:rPr>
                <w:rFonts w:ascii="Times New Roman" w:hAnsi="Times New Roman"/>
                <w:bCs/>
                <w:sz w:val="24"/>
                <w:szCs w:val="24"/>
              </w:rPr>
            </w:pPr>
            <w:r w:rsidRPr="005C44CB">
              <w:rPr>
                <w:rFonts w:ascii="Times New Roman" w:hAnsi="Times New Roman"/>
                <w:bCs/>
                <w:sz w:val="24"/>
                <w:szCs w:val="24"/>
              </w:rPr>
              <w:t>–</w:t>
            </w:r>
          </w:p>
          <w:p w14:paraId="2C4EC112" w14:textId="77777777" w:rsidR="005C44CB" w:rsidRDefault="005C44CB" w:rsidP="005C44CB">
            <w:pPr>
              <w:spacing w:after="0" w:line="240" w:lineRule="auto"/>
              <w:ind w:left="-113" w:right="-57"/>
              <w:jc w:val="right"/>
              <w:rPr>
                <w:rFonts w:ascii="Times New Roman" w:hAnsi="Times New Roman"/>
                <w:b/>
                <w:bCs/>
                <w:sz w:val="24"/>
                <w:szCs w:val="24"/>
              </w:rPr>
            </w:pPr>
          </w:p>
          <w:p w14:paraId="64518F27" w14:textId="77777777" w:rsidR="005C44CB" w:rsidRDefault="005C44CB" w:rsidP="005C44CB">
            <w:pPr>
              <w:spacing w:after="0" w:line="240" w:lineRule="auto"/>
              <w:ind w:left="-113" w:right="-57"/>
              <w:jc w:val="right"/>
              <w:rPr>
                <w:rFonts w:ascii="Times New Roman" w:hAnsi="Times New Roman"/>
                <w:b/>
                <w:bCs/>
                <w:sz w:val="24"/>
                <w:szCs w:val="24"/>
              </w:rPr>
            </w:pPr>
          </w:p>
          <w:p w14:paraId="27EDAD2D" w14:textId="77777777" w:rsidR="005C44CB" w:rsidRDefault="005C44CB" w:rsidP="005C44CB">
            <w:pPr>
              <w:spacing w:after="0" w:line="240" w:lineRule="auto"/>
              <w:ind w:left="-113" w:right="-57"/>
              <w:jc w:val="right"/>
              <w:rPr>
                <w:rFonts w:ascii="Times New Roman" w:hAnsi="Times New Roman"/>
                <w:b/>
                <w:bCs/>
                <w:sz w:val="24"/>
                <w:szCs w:val="24"/>
              </w:rPr>
            </w:pPr>
          </w:p>
          <w:p w14:paraId="6419614D" w14:textId="77777777" w:rsidR="005C44CB" w:rsidRDefault="005C44CB" w:rsidP="005C44CB">
            <w:pPr>
              <w:spacing w:after="0" w:line="240" w:lineRule="auto"/>
              <w:ind w:left="-113" w:right="-57"/>
              <w:jc w:val="right"/>
              <w:rPr>
                <w:rFonts w:ascii="Times New Roman" w:hAnsi="Times New Roman"/>
                <w:b/>
                <w:bCs/>
                <w:sz w:val="24"/>
                <w:szCs w:val="24"/>
              </w:rPr>
            </w:pPr>
          </w:p>
          <w:p w14:paraId="3CB6AB87" w14:textId="77777777" w:rsidR="005C44CB" w:rsidRDefault="005C44CB" w:rsidP="005C44CB">
            <w:pPr>
              <w:spacing w:after="0" w:line="240" w:lineRule="auto"/>
              <w:ind w:left="-113" w:right="-57"/>
              <w:jc w:val="right"/>
              <w:rPr>
                <w:rFonts w:ascii="Times New Roman" w:hAnsi="Times New Roman"/>
                <w:b/>
                <w:bCs/>
                <w:sz w:val="24"/>
                <w:szCs w:val="24"/>
              </w:rPr>
            </w:pPr>
          </w:p>
          <w:p w14:paraId="46DF2ABE" w14:textId="77777777" w:rsidR="005C44CB" w:rsidRDefault="005C44CB" w:rsidP="005C44CB">
            <w:pPr>
              <w:spacing w:after="0" w:line="240" w:lineRule="auto"/>
              <w:ind w:left="-113" w:right="-57"/>
              <w:jc w:val="right"/>
              <w:rPr>
                <w:rFonts w:ascii="Times New Roman" w:hAnsi="Times New Roman"/>
                <w:b/>
                <w:bCs/>
                <w:sz w:val="24"/>
                <w:szCs w:val="24"/>
              </w:rPr>
            </w:pPr>
          </w:p>
          <w:p w14:paraId="7A77868C" w14:textId="77777777" w:rsidR="005C44CB" w:rsidRDefault="005C44CB" w:rsidP="005C44CB">
            <w:pPr>
              <w:spacing w:after="0" w:line="240" w:lineRule="auto"/>
              <w:ind w:left="-113" w:right="-57"/>
              <w:jc w:val="right"/>
              <w:rPr>
                <w:rFonts w:ascii="Times New Roman" w:hAnsi="Times New Roman"/>
                <w:b/>
                <w:bCs/>
                <w:sz w:val="24"/>
                <w:szCs w:val="24"/>
              </w:rPr>
            </w:pPr>
          </w:p>
          <w:p w14:paraId="5671ACA8" w14:textId="77777777" w:rsidR="005C44CB" w:rsidRDefault="005C44CB" w:rsidP="005C44CB">
            <w:pPr>
              <w:spacing w:after="0" w:line="240" w:lineRule="auto"/>
              <w:ind w:left="-113" w:right="-57"/>
              <w:jc w:val="right"/>
              <w:rPr>
                <w:rFonts w:ascii="Times New Roman" w:hAnsi="Times New Roman"/>
                <w:b/>
                <w:bCs/>
                <w:sz w:val="24"/>
                <w:szCs w:val="24"/>
              </w:rPr>
            </w:pPr>
          </w:p>
          <w:p w14:paraId="785C25C6" w14:textId="2A0F697E" w:rsidR="00E654AD" w:rsidRPr="005C44CB" w:rsidRDefault="008F6A92" w:rsidP="005C44CB">
            <w:pPr>
              <w:spacing w:after="0" w:line="240" w:lineRule="auto"/>
              <w:ind w:left="-113" w:right="-57"/>
              <w:jc w:val="right"/>
              <w:rPr>
                <w:rFonts w:ascii="Times New Roman" w:hAnsi="Times New Roman"/>
                <w:bCs/>
                <w:sz w:val="24"/>
                <w:szCs w:val="24"/>
              </w:rPr>
            </w:pPr>
            <w:r w:rsidRPr="005C44CB">
              <w:rPr>
                <w:rFonts w:ascii="Times New Roman" w:hAnsi="Times New Roman"/>
                <w:bCs/>
                <w:sz w:val="24"/>
                <w:szCs w:val="24"/>
              </w:rPr>
              <w:t>"</w:t>
            </w:r>
          </w:p>
        </w:tc>
      </w:tr>
    </w:tbl>
    <w:p w14:paraId="785C25C8" w14:textId="77777777" w:rsidR="00E654AD" w:rsidRDefault="00E654AD" w:rsidP="008F6A92">
      <w:pPr>
        <w:spacing w:after="0" w:line="240" w:lineRule="auto"/>
        <w:ind w:firstLine="720"/>
        <w:jc w:val="both"/>
        <w:rPr>
          <w:rFonts w:ascii="Times New Roman" w:hAnsi="Times New Roman"/>
          <w:sz w:val="28"/>
          <w:szCs w:val="28"/>
        </w:rPr>
      </w:pPr>
    </w:p>
    <w:p w14:paraId="7E085800" w14:textId="77777777" w:rsidR="008F6A92" w:rsidRDefault="008F6A92" w:rsidP="008F6A92">
      <w:pPr>
        <w:spacing w:after="0" w:line="240" w:lineRule="auto"/>
        <w:ind w:firstLine="720"/>
        <w:jc w:val="both"/>
        <w:rPr>
          <w:rFonts w:ascii="Times New Roman" w:hAnsi="Times New Roman"/>
          <w:sz w:val="28"/>
          <w:szCs w:val="28"/>
        </w:rPr>
      </w:pPr>
    </w:p>
    <w:p w14:paraId="2124F19C" w14:textId="77777777" w:rsidR="008F6A92" w:rsidRDefault="008F6A92" w:rsidP="008F6A92">
      <w:pPr>
        <w:spacing w:after="0" w:line="240" w:lineRule="auto"/>
        <w:ind w:firstLine="720"/>
        <w:jc w:val="both"/>
        <w:rPr>
          <w:rFonts w:ascii="Times New Roman" w:hAnsi="Times New Roman"/>
          <w:sz w:val="28"/>
          <w:szCs w:val="28"/>
        </w:rPr>
      </w:pPr>
    </w:p>
    <w:p w14:paraId="5174A972" w14:textId="77777777" w:rsidR="004841D8" w:rsidRDefault="004841D8" w:rsidP="008F6A92">
      <w:pPr>
        <w:tabs>
          <w:tab w:val="left" w:pos="6804"/>
        </w:tabs>
        <w:spacing w:after="0" w:line="240" w:lineRule="auto"/>
        <w:ind w:left="720" w:hanging="11"/>
        <w:rPr>
          <w:rFonts w:ascii="Times New Roman" w:hAnsi="Times New Roman"/>
          <w:sz w:val="28"/>
          <w:szCs w:val="28"/>
        </w:rPr>
      </w:pPr>
      <w:r>
        <w:rPr>
          <w:rFonts w:ascii="Times New Roman" w:hAnsi="Times New Roman"/>
          <w:sz w:val="28"/>
          <w:szCs w:val="28"/>
        </w:rPr>
        <w:t xml:space="preserve">Ministru prezidenta vietā – </w:t>
      </w:r>
    </w:p>
    <w:p w14:paraId="785C25C9" w14:textId="08360F32" w:rsidR="00E654AD" w:rsidRDefault="004841D8" w:rsidP="008F6A92">
      <w:pPr>
        <w:tabs>
          <w:tab w:val="left" w:pos="6804"/>
        </w:tabs>
        <w:spacing w:after="0" w:line="240" w:lineRule="auto"/>
        <w:ind w:left="720" w:hanging="11"/>
        <w:rPr>
          <w:rFonts w:ascii="Times New Roman" w:hAnsi="Times New Roman"/>
          <w:sz w:val="28"/>
          <w:szCs w:val="28"/>
        </w:rPr>
      </w:pPr>
      <w:r>
        <w:rPr>
          <w:rFonts w:ascii="Times New Roman" w:hAnsi="Times New Roman"/>
          <w:sz w:val="28"/>
          <w:szCs w:val="28"/>
        </w:rPr>
        <w:t>labklājības ministre</w:t>
      </w:r>
      <w:r w:rsidR="00E654AD">
        <w:rPr>
          <w:rFonts w:ascii="Times New Roman" w:hAnsi="Times New Roman"/>
          <w:sz w:val="28"/>
          <w:szCs w:val="28"/>
        </w:rPr>
        <w:tab/>
      </w:r>
      <w:r>
        <w:rPr>
          <w:rFonts w:ascii="Times New Roman" w:hAnsi="Times New Roman"/>
          <w:sz w:val="28"/>
          <w:szCs w:val="28"/>
        </w:rPr>
        <w:t>I</w:t>
      </w:r>
      <w:r w:rsidR="00E654AD">
        <w:rPr>
          <w:rFonts w:ascii="Times New Roman" w:hAnsi="Times New Roman"/>
          <w:sz w:val="28"/>
          <w:szCs w:val="28"/>
        </w:rPr>
        <w:t>.</w:t>
      </w:r>
      <w:r>
        <w:rPr>
          <w:rFonts w:ascii="Times New Roman" w:hAnsi="Times New Roman"/>
          <w:sz w:val="28"/>
          <w:szCs w:val="28"/>
        </w:rPr>
        <w:t>Viņķele</w:t>
      </w:r>
    </w:p>
    <w:p w14:paraId="785C25CA" w14:textId="77777777" w:rsidR="00E654AD" w:rsidRDefault="00E654AD" w:rsidP="008F6A92">
      <w:pPr>
        <w:tabs>
          <w:tab w:val="left" w:pos="6804"/>
        </w:tabs>
        <w:spacing w:after="0" w:line="240" w:lineRule="auto"/>
        <w:ind w:hanging="11"/>
        <w:rPr>
          <w:rFonts w:ascii="Times New Roman" w:hAnsi="Times New Roman"/>
          <w:sz w:val="28"/>
          <w:szCs w:val="28"/>
        </w:rPr>
      </w:pPr>
    </w:p>
    <w:p w14:paraId="2155C005" w14:textId="77777777" w:rsidR="008F6A92" w:rsidRDefault="008F6A92" w:rsidP="008F6A92">
      <w:pPr>
        <w:tabs>
          <w:tab w:val="left" w:pos="6804"/>
        </w:tabs>
        <w:spacing w:after="0" w:line="240" w:lineRule="auto"/>
        <w:ind w:hanging="11"/>
        <w:rPr>
          <w:rFonts w:ascii="Times New Roman" w:hAnsi="Times New Roman"/>
          <w:sz w:val="28"/>
          <w:szCs w:val="28"/>
        </w:rPr>
      </w:pPr>
    </w:p>
    <w:p w14:paraId="71B44B31" w14:textId="77777777" w:rsidR="008F6A92" w:rsidRDefault="008F6A92" w:rsidP="008F6A92">
      <w:pPr>
        <w:tabs>
          <w:tab w:val="left" w:pos="6804"/>
        </w:tabs>
        <w:spacing w:after="0" w:line="240" w:lineRule="auto"/>
        <w:ind w:hanging="11"/>
        <w:rPr>
          <w:rFonts w:ascii="Times New Roman" w:hAnsi="Times New Roman"/>
          <w:sz w:val="28"/>
          <w:szCs w:val="28"/>
        </w:rPr>
      </w:pPr>
    </w:p>
    <w:p w14:paraId="785C25CB" w14:textId="058EF3AB" w:rsidR="00E654AD" w:rsidRDefault="00E654AD" w:rsidP="008F6A92">
      <w:pPr>
        <w:tabs>
          <w:tab w:val="left" w:pos="6804"/>
        </w:tabs>
        <w:spacing w:after="0" w:line="240" w:lineRule="auto"/>
        <w:ind w:left="720" w:hanging="11"/>
        <w:rPr>
          <w:rFonts w:ascii="Times New Roman" w:hAnsi="Times New Roman"/>
          <w:sz w:val="28"/>
          <w:szCs w:val="28"/>
        </w:rPr>
      </w:pPr>
      <w:r>
        <w:rPr>
          <w:rFonts w:ascii="Times New Roman" w:hAnsi="Times New Roman"/>
          <w:sz w:val="28"/>
          <w:szCs w:val="28"/>
        </w:rPr>
        <w:t xml:space="preserve">Satiksmes ministrs </w:t>
      </w:r>
      <w:r>
        <w:rPr>
          <w:rFonts w:ascii="Times New Roman" w:hAnsi="Times New Roman"/>
          <w:sz w:val="28"/>
          <w:szCs w:val="28"/>
        </w:rPr>
        <w:tab/>
        <w:t>A.Ronis</w:t>
      </w:r>
    </w:p>
    <w:sectPr w:rsidR="00E654AD" w:rsidSect="008F6A92">
      <w:pgSz w:w="16838" w:h="11906" w:orient="landscape"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A5F14" w14:textId="77777777" w:rsidR="000B49B9" w:rsidRDefault="000B49B9">
      <w:r>
        <w:separator/>
      </w:r>
    </w:p>
  </w:endnote>
  <w:endnote w:type="continuationSeparator" w:id="0">
    <w:p w14:paraId="51484147" w14:textId="77777777" w:rsidR="000B49B9" w:rsidRDefault="000B49B9">
      <w:r>
        <w:continuationSeparator/>
      </w:r>
    </w:p>
  </w:endnote>
  <w:endnote w:type="continuationNotice" w:id="1">
    <w:p w14:paraId="0A0C7AAB" w14:textId="77777777" w:rsidR="00A5009E" w:rsidRDefault="00A500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5A7D2" w14:textId="10552441" w:rsidR="000B49B9" w:rsidRPr="008F6A92" w:rsidRDefault="000B49B9" w:rsidP="008F6A92">
    <w:pPr>
      <w:pStyle w:val="Footer"/>
      <w:spacing w:after="0" w:line="240" w:lineRule="auto"/>
      <w:rPr>
        <w:rFonts w:ascii="Times New Roman" w:hAnsi="Times New Roman"/>
        <w:sz w:val="16"/>
        <w:szCs w:val="16"/>
      </w:rPr>
    </w:pPr>
    <w:r w:rsidRPr="008F6A92">
      <w:rPr>
        <w:rFonts w:ascii="Times New Roman" w:hAnsi="Times New Roman"/>
        <w:sz w:val="16"/>
        <w:szCs w:val="16"/>
      </w:rPr>
      <w:t>N1524_2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C234C" w14:textId="29EB0F89" w:rsidR="000B49B9" w:rsidRPr="008F6A92" w:rsidRDefault="000B49B9" w:rsidP="008F6A92">
    <w:pPr>
      <w:pStyle w:val="Footer"/>
      <w:spacing w:after="0" w:line="240" w:lineRule="auto"/>
      <w:rPr>
        <w:rFonts w:ascii="Times New Roman" w:hAnsi="Times New Roman"/>
        <w:sz w:val="16"/>
        <w:szCs w:val="16"/>
      </w:rPr>
    </w:pPr>
    <w:r w:rsidRPr="008F6A92">
      <w:rPr>
        <w:rFonts w:ascii="Times New Roman" w:hAnsi="Times New Roman"/>
        <w:sz w:val="16"/>
        <w:szCs w:val="16"/>
      </w:rPr>
      <w:t>N1524_2</w:t>
    </w:r>
    <w:r>
      <w:rPr>
        <w:rFonts w:ascii="Times New Roman" w:hAnsi="Times New Roman"/>
        <w:sz w:val="16"/>
        <w:szCs w:val="16"/>
      </w:rPr>
      <w:t xml:space="preserve"> v_sk. = </w:t>
    </w:r>
    <w:r>
      <w:rPr>
        <w:rFonts w:ascii="Times New Roman" w:hAnsi="Times New Roman"/>
        <w:sz w:val="16"/>
        <w:szCs w:val="16"/>
      </w:rPr>
      <w:fldChar w:fldCharType="begin"/>
    </w:r>
    <w:r>
      <w:rPr>
        <w:rFonts w:ascii="Times New Roman" w:hAnsi="Times New Roman"/>
        <w:sz w:val="16"/>
        <w:szCs w:val="16"/>
      </w:rPr>
      <w:instrText xml:space="preserve"> NUMWORDS  \* MERGEFORMAT </w:instrText>
    </w:r>
    <w:r>
      <w:rPr>
        <w:rFonts w:ascii="Times New Roman" w:hAnsi="Times New Roman"/>
        <w:sz w:val="16"/>
        <w:szCs w:val="16"/>
      </w:rPr>
      <w:fldChar w:fldCharType="separate"/>
    </w:r>
    <w:r>
      <w:rPr>
        <w:rFonts w:ascii="Times New Roman" w:hAnsi="Times New Roman"/>
        <w:noProof/>
        <w:sz w:val="16"/>
        <w:szCs w:val="16"/>
      </w:rPr>
      <w:t>1304</w:t>
    </w:r>
    <w:r>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8F08D" w14:textId="77777777" w:rsidR="000B49B9" w:rsidRDefault="000B49B9">
      <w:r>
        <w:separator/>
      </w:r>
    </w:p>
  </w:footnote>
  <w:footnote w:type="continuationSeparator" w:id="0">
    <w:p w14:paraId="64EA4EB9" w14:textId="77777777" w:rsidR="000B49B9" w:rsidRDefault="000B49B9">
      <w:r>
        <w:continuationSeparator/>
      </w:r>
    </w:p>
  </w:footnote>
  <w:footnote w:type="continuationNotice" w:id="1">
    <w:p w14:paraId="17618B33" w14:textId="77777777" w:rsidR="00A5009E" w:rsidRDefault="00A5009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C25DC" w14:textId="77777777" w:rsidR="000B49B9" w:rsidRDefault="000B49B9" w:rsidP="00C15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5C25DD" w14:textId="77777777" w:rsidR="000B49B9" w:rsidRDefault="000B49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C25DE" w14:textId="77777777" w:rsidR="000B49B9" w:rsidRPr="008F6A92" w:rsidRDefault="000B49B9" w:rsidP="00C1549B">
    <w:pPr>
      <w:pStyle w:val="Header"/>
      <w:framePr w:wrap="around" w:vAnchor="text" w:hAnchor="margin" w:xAlign="center" w:y="1"/>
      <w:rPr>
        <w:rStyle w:val="PageNumber"/>
        <w:rFonts w:ascii="Times New Roman" w:hAnsi="Times New Roman"/>
        <w:sz w:val="24"/>
        <w:szCs w:val="24"/>
      </w:rPr>
    </w:pPr>
    <w:r w:rsidRPr="008F6A92">
      <w:rPr>
        <w:rStyle w:val="PageNumber"/>
        <w:rFonts w:ascii="Times New Roman" w:hAnsi="Times New Roman"/>
        <w:sz w:val="24"/>
        <w:szCs w:val="24"/>
      </w:rPr>
      <w:fldChar w:fldCharType="begin"/>
    </w:r>
    <w:r w:rsidRPr="008F6A92">
      <w:rPr>
        <w:rStyle w:val="PageNumber"/>
        <w:rFonts w:ascii="Times New Roman" w:hAnsi="Times New Roman"/>
        <w:sz w:val="24"/>
        <w:szCs w:val="24"/>
      </w:rPr>
      <w:instrText xml:space="preserve">PAGE  </w:instrText>
    </w:r>
    <w:r w:rsidRPr="008F6A92">
      <w:rPr>
        <w:rStyle w:val="PageNumber"/>
        <w:rFonts w:ascii="Times New Roman" w:hAnsi="Times New Roman"/>
        <w:sz w:val="24"/>
        <w:szCs w:val="24"/>
      </w:rPr>
      <w:fldChar w:fldCharType="separate"/>
    </w:r>
    <w:r w:rsidR="006503F2">
      <w:rPr>
        <w:rStyle w:val="PageNumber"/>
        <w:rFonts w:ascii="Times New Roman" w:hAnsi="Times New Roman"/>
        <w:noProof/>
        <w:sz w:val="24"/>
        <w:szCs w:val="24"/>
      </w:rPr>
      <w:t>2</w:t>
    </w:r>
    <w:r w:rsidRPr="008F6A92">
      <w:rPr>
        <w:rStyle w:val="PageNumber"/>
        <w:rFonts w:ascii="Times New Roman" w:hAnsi="Times New Roman"/>
        <w:sz w:val="24"/>
        <w:szCs w:val="24"/>
      </w:rPr>
      <w:fldChar w:fldCharType="end"/>
    </w:r>
  </w:p>
  <w:p w14:paraId="785C25DF" w14:textId="77777777" w:rsidR="000B49B9" w:rsidRDefault="000B49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84ECD" w14:textId="0CA0578A" w:rsidR="000B49B9" w:rsidRDefault="006503F2" w:rsidP="008F6A92">
    <w:pPr>
      <w:pStyle w:val="Header"/>
      <w:jc w:val="center"/>
    </w:pPr>
    <w:r>
      <w:rPr>
        <w:noProof/>
        <w:lang w:eastAsia="lv-LV"/>
      </w:rPr>
      <w:drawing>
        <wp:inline distT="0" distB="0" distL="0" distR="0" wp14:anchorId="55ECF12B" wp14:editId="021F7A38">
          <wp:extent cx="5452110" cy="139763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2110" cy="1397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CCB"/>
    <w:multiLevelType w:val="multilevel"/>
    <w:tmpl w:val="D730E806"/>
    <w:lvl w:ilvl="0">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25C38AF"/>
    <w:multiLevelType w:val="multilevel"/>
    <w:tmpl w:val="87786E24"/>
    <w:lvl w:ilvl="0">
      <w:start w:val="2"/>
      <w:numFmt w:val="decimal"/>
      <w:lvlText w:val="%1."/>
      <w:lvlJc w:val="left"/>
      <w:pPr>
        <w:tabs>
          <w:tab w:val="num" w:pos="555"/>
        </w:tabs>
        <w:ind w:left="555" w:hanging="555"/>
      </w:pPr>
      <w:rPr>
        <w:rFonts w:cs="Times New Roman" w:hint="default"/>
      </w:rPr>
    </w:lvl>
    <w:lvl w:ilvl="1">
      <w:start w:val="11"/>
      <w:numFmt w:val="decimal"/>
      <w:lvlText w:val="%1.%2."/>
      <w:lvlJc w:val="left"/>
      <w:pPr>
        <w:tabs>
          <w:tab w:val="num" w:pos="698"/>
        </w:tabs>
        <w:ind w:left="698" w:hanging="720"/>
      </w:pPr>
      <w:rPr>
        <w:rFonts w:cs="Times New Roman" w:hint="default"/>
      </w:rPr>
    </w:lvl>
    <w:lvl w:ilvl="2">
      <w:start w:val="1"/>
      <w:numFmt w:val="decimal"/>
      <w:lvlText w:val="%1.%2.%3."/>
      <w:lvlJc w:val="left"/>
      <w:pPr>
        <w:tabs>
          <w:tab w:val="num" w:pos="676"/>
        </w:tabs>
        <w:ind w:left="676" w:hanging="720"/>
      </w:pPr>
      <w:rPr>
        <w:rFonts w:cs="Times New Roman" w:hint="default"/>
      </w:rPr>
    </w:lvl>
    <w:lvl w:ilvl="3">
      <w:start w:val="1"/>
      <w:numFmt w:val="decimal"/>
      <w:lvlText w:val="%1.%2.%3.%4."/>
      <w:lvlJc w:val="left"/>
      <w:pPr>
        <w:tabs>
          <w:tab w:val="num" w:pos="1014"/>
        </w:tabs>
        <w:ind w:left="1014" w:hanging="1080"/>
      </w:pPr>
      <w:rPr>
        <w:rFonts w:cs="Times New Roman" w:hint="default"/>
      </w:rPr>
    </w:lvl>
    <w:lvl w:ilvl="4">
      <w:start w:val="1"/>
      <w:numFmt w:val="decimal"/>
      <w:lvlText w:val="%1.%2.%3.%4.%5."/>
      <w:lvlJc w:val="left"/>
      <w:pPr>
        <w:tabs>
          <w:tab w:val="num" w:pos="992"/>
        </w:tabs>
        <w:ind w:left="992" w:hanging="1080"/>
      </w:pPr>
      <w:rPr>
        <w:rFonts w:cs="Times New Roman" w:hint="default"/>
      </w:rPr>
    </w:lvl>
    <w:lvl w:ilvl="5">
      <w:start w:val="1"/>
      <w:numFmt w:val="decimal"/>
      <w:lvlText w:val="%1.%2.%3.%4.%5.%6."/>
      <w:lvlJc w:val="left"/>
      <w:pPr>
        <w:tabs>
          <w:tab w:val="num" w:pos="1330"/>
        </w:tabs>
        <w:ind w:left="1330" w:hanging="1440"/>
      </w:pPr>
      <w:rPr>
        <w:rFonts w:cs="Times New Roman" w:hint="default"/>
      </w:rPr>
    </w:lvl>
    <w:lvl w:ilvl="6">
      <w:start w:val="1"/>
      <w:numFmt w:val="decimal"/>
      <w:lvlText w:val="%1.%2.%3.%4.%5.%6.%7."/>
      <w:lvlJc w:val="left"/>
      <w:pPr>
        <w:tabs>
          <w:tab w:val="num" w:pos="1668"/>
        </w:tabs>
        <w:ind w:left="1668" w:hanging="1800"/>
      </w:pPr>
      <w:rPr>
        <w:rFonts w:cs="Times New Roman" w:hint="default"/>
      </w:rPr>
    </w:lvl>
    <w:lvl w:ilvl="7">
      <w:start w:val="1"/>
      <w:numFmt w:val="decimal"/>
      <w:lvlText w:val="%1.%2.%3.%4.%5.%6.%7.%8."/>
      <w:lvlJc w:val="left"/>
      <w:pPr>
        <w:tabs>
          <w:tab w:val="num" w:pos="1646"/>
        </w:tabs>
        <w:ind w:left="1646" w:hanging="1800"/>
      </w:pPr>
      <w:rPr>
        <w:rFonts w:cs="Times New Roman" w:hint="default"/>
      </w:rPr>
    </w:lvl>
    <w:lvl w:ilvl="8">
      <w:start w:val="1"/>
      <w:numFmt w:val="decimal"/>
      <w:lvlText w:val="%1.%2.%3.%4.%5.%6.%7.%8.%9."/>
      <w:lvlJc w:val="left"/>
      <w:pPr>
        <w:tabs>
          <w:tab w:val="num" w:pos="1984"/>
        </w:tabs>
        <w:ind w:left="1984" w:hanging="2160"/>
      </w:pPr>
      <w:rPr>
        <w:rFonts w:cs="Times New Roman" w:hint="default"/>
      </w:rPr>
    </w:lvl>
  </w:abstractNum>
  <w:abstractNum w:abstractNumId="2">
    <w:nsid w:val="25AD25EE"/>
    <w:multiLevelType w:val="multilevel"/>
    <w:tmpl w:val="B1FA531E"/>
    <w:lvl w:ilvl="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F5F7C35"/>
    <w:multiLevelType w:val="multilevel"/>
    <w:tmpl w:val="C1FC6E9E"/>
    <w:lvl w:ilvl="0">
      <w:start w:val="1"/>
      <w:numFmt w:val="decimal"/>
      <w:lvlText w:val="%1."/>
      <w:lvlJc w:val="left"/>
      <w:pPr>
        <w:tabs>
          <w:tab w:val="num" w:pos="630"/>
        </w:tabs>
        <w:ind w:left="630" w:hanging="63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30CA756B"/>
    <w:multiLevelType w:val="multilevel"/>
    <w:tmpl w:val="A32EBBA2"/>
    <w:lvl w:ilvl="0">
      <w:start w:val="1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990"/>
        </w:tabs>
        <w:ind w:left="990" w:hanging="99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335A4E16"/>
    <w:multiLevelType w:val="multilevel"/>
    <w:tmpl w:val="CC28BE48"/>
    <w:lvl w:ilvl="0">
      <w:start w:val="9"/>
      <w:numFmt w:val="decimal"/>
      <w:lvlText w:val="%1."/>
      <w:lvlJc w:val="left"/>
      <w:pPr>
        <w:tabs>
          <w:tab w:val="num" w:pos="990"/>
        </w:tabs>
        <w:ind w:left="990" w:hanging="990"/>
      </w:pPr>
      <w:rPr>
        <w:rFonts w:cs="Times New Roman" w:hint="default"/>
      </w:rPr>
    </w:lvl>
    <w:lvl w:ilvl="1">
      <w:start w:val="10"/>
      <w:numFmt w:val="decimal"/>
      <w:lvlText w:val="%1.%2."/>
      <w:lvlJc w:val="left"/>
      <w:pPr>
        <w:tabs>
          <w:tab w:val="num" w:pos="990"/>
        </w:tabs>
        <w:ind w:left="990" w:hanging="990"/>
      </w:pPr>
      <w:rPr>
        <w:rFonts w:cs="Times New Roman" w:hint="default"/>
      </w:rPr>
    </w:lvl>
    <w:lvl w:ilvl="2">
      <w:start w:val="3"/>
      <w:numFmt w:val="decimal"/>
      <w:lvlText w:val="%1.%2.%3."/>
      <w:lvlJc w:val="left"/>
      <w:pPr>
        <w:tabs>
          <w:tab w:val="num" w:pos="990"/>
        </w:tabs>
        <w:ind w:left="990" w:hanging="99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3461375B"/>
    <w:multiLevelType w:val="multilevel"/>
    <w:tmpl w:val="AA32DCC0"/>
    <w:lvl w:ilvl="0">
      <w:start w:val="3"/>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990"/>
        </w:tabs>
        <w:ind w:left="990" w:hanging="99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6A059B7"/>
    <w:multiLevelType w:val="multilevel"/>
    <w:tmpl w:val="342E3C10"/>
    <w:lvl w:ilvl="0">
      <w:start w:val="2"/>
      <w:numFmt w:val="decimal"/>
      <w:lvlText w:val="%1."/>
      <w:lvlJc w:val="left"/>
      <w:pPr>
        <w:ind w:left="450" w:hanging="45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42FB6042"/>
    <w:multiLevelType w:val="multilevel"/>
    <w:tmpl w:val="202CA5FE"/>
    <w:lvl w:ilvl="0">
      <w:start w:val="2"/>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43670A61"/>
    <w:multiLevelType w:val="multilevel"/>
    <w:tmpl w:val="C6B2108E"/>
    <w:lvl w:ilvl="0">
      <w:start w:val="3"/>
      <w:numFmt w:val="decimal"/>
      <w:lvlText w:val="%1."/>
      <w:lvlJc w:val="left"/>
      <w:pPr>
        <w:tabs>
          <w:tab w:val="num" w:pos="1425"/>
        </w:tabs>
        <w:ind w:left="1425" w:hanging="1425"/>
      </w:pPr>
      <w:rPr>
        <w:rFonts w:cs="Times New Roman" w:hint="default"/>
      </w:rPr>
    </w:lvl>
    <w:lvl w:ilvl="1">
      <w:start w:val="2"/>
      <w:numFmt w:val="decimal"/>
      <w:lvlText w:val="%1.%2."/>
      <w:lvlJc w:val="left"/>
      <w:pPr>
        <w:tabs>
          <w:tab w:val="num" w:pos="1425"/>
        </w:tabs>
        <w:ind w:left="1425" w:hanging="1425"/>
      </w:pPr>
      <w:rPr>
        <w:rFonts w:cs="Times New Roman" w:hint="default"/>
      </w:rPr>
    </w:lvl>
    <w:lvl w:ilvl="2">
      <w:start w:val="13"/>
      <w:numFmt w:val="decimal"/>
      <w:lvlText w:val="%1.%2.%3."/>
      <w:lvlJc w:val="left"/>
      <w:pPr>
        <w:tabs>
          <w:tab w:val="num" w:pos="1425"/>
        </w:tabs>
        <w:ind w:left="1425" w:hanging="1425"/>
      </w:pPr>
      <w:rPr>
        <w:rFonts w:cs="Times New Roman" w:hint="default"/>
      </w:rPr>
    </w:lvl>
    <w:lvl w:ilvl="3">
      <w:start w:val="1"/>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5D0A117E"/>
    <w:multiLevelType w:val="multilevel"/>
    <w:tmpl w:val="9E001468"/>
    <w:lvl w:ilvl="0">
      <w:start w:val="3"/>
      <w:numFmt w:val="decimal"/>
      <w:lvlText w:val="%1."/>
      <w:lvlJc w:val="left"/>
      <w:pPr>
        <w:tabs>
          <w:tab w:val="num" w:pos="990"/>
        </w:tabs>
        <w:ind w:left="990" w:hanging="990"/>
      </w:pPr>
      <w:rPr>
        <w:rFonts w:cs="Times New Roman" w:hint="default"/>
      </w:rPr>
    </w:lvl>
    <w:lvl w:ilvl="1">
      <w:start w:val="2"/>
      <w:numFmt w:val="decimal"/>
      <w:lvlText w:val="%1.%2."/>
      <w:lvlJc w:val="left"/>
      <w:pPr>
        <w:tabs>
          <w:tab w:val="num" w:pos="990"/>
        </w:tabs>
        <w:ind w:left="990" w:hanging="990"/>
      </w:pPr>
      <w:rPr>
        <w:rFonts w:cs="Times New Roman" w:hint="default"/>
      </w:rPr>
    </w:lvl>
    <w:lvl w:ilvl="2">
      <w:start w:val="2"/>
      <w:numFmt w:val="decimal"/>
      <w:lvlText w:val="%1.%2.%3."/>
      <w:lvlJc w:val="left"/>
      <w:pPr>
        <w:tabs>
          <w:tab w:val="num" w:pos="990"/>
        </w:tabs>
        <w:ind w:left="990" w:hanging="99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63D9490A"/>
    <w:multiLevelType w:val="multilevel"/>
    <w:tmpl w:val="7E225184"/>
    <w:lvl w:ilvl="0">
      <w:start w:val="3"/>
      <w:numFmt w:val="decimal"/>
      <w:lvlText w:val="%1."/>
      <w:lvlJc w:val="left"/>
      <w:pPr>
        <w:ind w:left="825" w:hanging="825"/>
      </w:pPr>
      <w:rPr>
        <w:rFonts w:cs="Times New Roman" w:hint="default"/>
      </w:rPr>
    </w:lvl>
    <w:lvl w:ilvl="1">
      <w:start w:val="2"/>
      <w:numFmt w:val="decimal"/>
      <w:lvlText w:val="%1.%2."/>
      <w:lvlJc w:val="left"/>
      <w:pPr>
        <w:ind w:left="825" w:hanging="825"/>
      </w:pPr>
      <w:rPr>
        <w:rFonts w:cs="Times New Roman" w:hint="default"/>
      </w:rPr>
    </w:lvl>
    <w:lvl w:ilvl="2">
      <w:start w:val="13"/>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8"/>
  </w:num>
  <w:num w:numId="2">
    <w:abstractNumId w:val="9"/>
  </w:num>
  <w:num w:numId="3">
    <w:abstractNumId w:val="2"/>
  </w:num>
  <w:num w:numId="4">
    <w:abstractNumId w:val="0"/>
  </w:num>
  <w:num w:numId="5">
    <w:abstractNumId w:val="6"/>
  </w:num>
  <w:num w:numId="6">
    <w:abstractNumId w:val="3"/>
  </w:num>
  <w:num w:numId="7">
    <w:abstractNumId w:val="1"/>
  </w:num>
  <w:num w:numId="8">
    <w:abstractNumId w:val="10"/>
  </w:num>
  <w:num w:numId="9">
    <w:abstractNumId w:val="5"/>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8"/>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6D"/>
    <w:rsid w:val="000017FF"/>
    <w:rsid w:val="00002A88"/>
    <w:rsid w:val="000142BD"/>
    <w:rsid w:val="00014FFE"/>
    <w:rsid w:val="00023F28"/>
    <w:rsid w:val="00026D2B"/>
    <w:rsid w:val="00055281"/>
    <w:rsid w:val="0005600B"/>
    <w:rsid w:val="000912D4"/>
    <w:rsid w:val="00096F35"/>
    <w:rsid w:val="000B49B9"/>
    <w:rsid w:val="000B4F0C"/>
    <w:rsid w:val="000B52EF"/>
    <w:rsid w:val="000C6663"/>
    <w:rsid w:val="000D4D50"/>
    <w:rsid w:val="000D6F3F"/>
    <w:rsid w:val="000E1960"/>
    <w:rsid w:val="000E5F0E"/>
    <w:rsid w:val="000F5574"/>
    <w:rsid w:val="000F5FA1"/>
    <w:rsid w:val="00105E95"/>
    <w:rsid w:val="001236FB"/>
    <w:rsid w:val="00124098"/>
    <w:rsid w:val="00126D2A"/>
    <w:rsid w:val="00141B86"/>
    <w:rsid w:val="00143981"/>
    <w:rsid w:val="00157A0B"/>
    <w:rsid w:val="00172121"/>
    <w:rsid w:val="001725B4"/>
    <w:rsid w:val="00190F43"/>
    <w:rsid w:val="001C5FF5"/>
    <w:rsid w:val="001F016C"/>
    <w:rsid w:val="001F18C0"/>
    <w:rsid w:val="001F68D2"/>
    <w:rsid w:val="00216E99"/>
    <w:rsid w:val="0022007E"/>
    <w:rsid w:val="00265C79"/>
    <w:rsid w:val="00266922"/>
    <w:rsid w:val="002D2B7F"/>
    <w:rsid w:val="002E12AD"/>
    <w:rsid w:val="002F505A"/>
    <w:rsid w:val="003017F0"/>
    <w:rsid w:val="00307986"/>
    <w:rsid w:val="00313286"/>
    <w:rsid w:val="00330F60"/>
    <w:rsid w:val="00334A62"/>
    <w:rsid w:val="00337BB0"/>
    <w:rsid w:val="00353B4A"/>
    <w:rsid w:val="00356FF2"/>
    <w:rsid w:val="0036361B"/>
    <w:rsid w:val="003655BB"/>
    <w:rsid w:val="003660E1"/>
    <w:rsid w:val="003B19C9"/>
    <w:rsid w:val="00400899"/>
    <w:rsid w:val="00445880"/>
    <w:rsid w:val="0045109E"/>
    <w:rsid w:val="00464749"/>
    <w:rsid w:val="004841D8"/>
    <w:rsid w:val="004B61C7"/>
    <w:rsid w:val="004D11FC"/>
    <w:rsid w:val="004D6713"/>
    <w:rsid w:val="00535788"/>
    <w:rsid w:val="005421D6"/>
    <w:rsid w:val="005649E5"/>
    <w:rsid w:val="00572086"/>
    <w:rsid w:val="005769D5"/>
    <w:rsid w:val="0059332E"/>
    <w:rsid w:val="00593614"/>
    <w:rsid w:val="005A3203"/>
    <w:rsid w:val="005C44CB"/>
    <w:rsid w:val="005C6623"/>
    <w:rsid w:val="005D47A5"/>
    <w:rsid w:val="005E1F7A"/>
    <w:rsid w:val="00603500"/>
    <w:rsid w:val="006062FB"/>
    <w:rsid w:val="006326D4"/>
    <w:rsid w:val="006503F2"/>
    <w:rsid w:val="00651742"/>
    <w:rsid w:val="006570DA"/>
    <w:rsid w:val="00661027"/>
    <w:rsid w:val="00663A3D"/>
    <w:rsid w:val="006750D4"/>
    <w:rsid w:val="00675E86"/>
    <w:rsid w:val="00683B86"/>
    <w:rsid w:val="006B5B75"/>
    <w:rsid w:val="00702122"/>
    <w:rsid w:val="00705D00"/>
    <w:rsid w:val="0070682C"/>
    <w:rsid w:val="007231BD"/>
    <w:rsid w:val="00752ED2"/>
    <w:rsid w:val="00765B1D"/>
    <w:rsid w:val="007769AA"/>
    <w:rsid w:val="00784017"/>
    <w:rsid w:val="0078722A"/>
    <w:rsid w:val="00795ECA"/>
    <w:rsid w:val="007A6314"/>
    <w:rsid w:val="007B268C"/>
    <w:rsid w:val="007B6138"/>
    <w:rsid w:val="007F1472"/>
    <w:rsid w:val="008150B6"/>
    <w:rsid w:val="00815D5A"/>
    <w:rsid w:val="00840B81"/>
    <w:rsid w:val="0084143C"/>
    <w:rsid w:val="0087187C"/>
    <w:rsid w:val="00871A4B"/>
    <w:rsid w:val="00874E40"/>
    <w:rsid w:val="00887C5C"/>
    <w:rsid w:val="008B0BEC"/>
    <w:rsid w:val="008C03F9"/>
    <w:rsid w:val="008F0531"/>
    <w:rsid w:val="008F6A92"/>
    <w:rsid w:val="009721FC"/>
    <w:rsid w:val="009840BE"/>
    <w:rsid w:val="009B47BD"/>
    <w:rsid w:val="009B5E0C"/>
    <w:rsid w:val="009D21D6"/>
    <w:rsid w:val="00A02894"/>
    <w:rsid w:val="00A07E19"/>
    <w:rsid w:val="00A209FF"/>
    <w:rsid w:val="00A30065"/>
    <w:rsid w:val="00A33196"/>
    <w:rsid w:val="00A5009E"/>
    <w:rsid w:val="00A62234"/>
    <w:rsid w:val="00A721DF"/>
    <w:rsid w:val="00A74565"/>
    <w:rsid w:val="00A97522"/>
    <w:rsid w:val="00AC6CD5"/>
    <w:rsid w:val="00B12475"/>
    <w:rsid w:val="00B1361A"/>
    <w:rsid w:val="00B20794"/>
    <w:rsid w:val="00B23CF8"/>
    <w:rsid w:val="00B341F3"/>
    <w:rsid w:val="00B473CA"/>
    <w:rsid w:val="00B64039"/>
    <w:rsid w:val="00B7783D"/>
    <w:rsid w:val="00BB7049"/>
    <w:rsid w:val="00BC55AF"/>
    <w:rsid w:val="00BD57E6"/>
    <w:rsid w:val="00BF0F0C"/>
    <w:rsid w:val="00C04AE2"/>
    <w:rsid w:val="00C1549B"/>
    <w:rsid w:val="00C30906"/>
    <w:rsid w:val="00C35FF9"/>
    <w:rsid w:val="00C616A9"/>
    <w:rsid w:val="00C6396F"/>
    <w:rsid w:val="00C74AA3"/>
    <w:rsid w:val="00C838E4"/>
    <w:rsid w:val="00CA7962"/>
    <w:rsid w:val="00CB16F4"/>
    <w:rsid w:val="00CD5874"/>
    <w:rsid w:val="00CF7A17"/>
    <w:rsid w:val="00D0539A"/>
    <w:rsid w:val="00D221D3"/>
    <w:rsid w:val="00D322BC"/>
    <w:rsid w:val="00D447DF"/>
    <w:rsid w:val="00D57ABB"/>
    <w:rsid w:val="00D65423"/>
    <w:rsid w:val="00D7221D"/>
    <w:rsid w:val="00D869EB"/>
    <w:rsid w:val="00DA4672"/>
    <w:rsid w:val="00DA6F3C"/>
    <w:rsid w:val="00DD0D62"/>
    <w:rsid w:val="00DE2951"/>
    <w:rsid w:val="00E403B9"/>
    <w:rsid w:val="00E654AD"/>
    <w:rsid w:val="00EA03E5"/>
    <w:rsid w:val="00EA6CBB"/>
    <w:rsid w:val="00EB2925"/>
    <w:rsid w:val="00EE2948"/>
    <w:rsid w:val="00F27056"/>
    <w:rsid w:val="00F34ACF"/>
    <w:rsid w:val="00F47C71"/>
    <w:rsid w:val="00F64114"/>
    <w:rsid w:val="00F657C9"/>
    <w:rsid w:val="00F75B6D"/>
    <w:rsid w:val="00FA59DE"/>
    <w:rsid w:val="00FA6BEB"/>
    <w:rsid w:val="00FB53B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14338"/>
    <o:shapelayout v:ext="edit">
      <o:idmap v:ext="edit" data="1"/>
    </o:shapelayout>
  </w:shapeDefaults>
  <w:decimalSymbol w:val=","/>
  <w:listSeparator w:val=";"/>
  <w14:docId w14:val="785C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9E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5B6D"/>
    <w:pPr>
      <w:ind w:left="720"/>
      <w:contextualSpacing/>
    </w:pPr>
  </w:style>
  <w:style w:type="paragraph" w:styleId="Header">
    <w:name w:val="header"/>
    <w:basedOn w:val="Normal"/>
    <w:link w:val="HeaderChar"/>
    <w:uiPriority w:val="99"/>
    <w:rsid w:val="00A62234"/>
    <w:pPr>
      <w:tabs>
        <w:tab w:val="center" w:pos="4153"/>
        <w:tab w:val="right" w:pos="8306"/>
      </w:tabs>
    </w:pPr>
  </w:style>
  <w:style w:type="character" w:customStyle="1" w:styleId="HeaderChar">
    <w:name w:val="Header Char"/>
    <w:basedOn w:val="DefaultParagraphFont"/>
    <w:link w:val="Header"/>
    <w:uiPriority w:val="99"/>
    <w:semiHidden/>
    <w:locked/>
    <w:rsid w:val="008C03F9"/>
    <w:rPr>
      <w:rFonts w:cs="Times New Roman"/>
      <w:lang w:eastAsia="en-US"/>
    </w:rPr>
  </w:style>
  <w:style w:type="paragraph" w:styleId="Footer">
    <w:name w:val="footer"/>
    <w:basedOn w:val="Normal"/>
    <w:link w:val="FooterChar"/>
    <w:uiPriority w:val="99"/>
    <w:rsid w:val="00A62234"/>
    <w:pPr>
      <w:tabs>
        <w:tab w:val="center" w:pos="4153"/>
        <w:tab w:val="right" w:pos="8306"/>
      </w:tabs>
    </w:pPr>
  </w:style>
  <w:style w:type="character" w:customStyle="1" w:styleId="FooterChar">
    <w:name w:val="Footer Char"/>
    <w:basedOn w:val="DefaultParagraphFont"/>
    <w:link w:val="Footer"/>
    <w:uiPriority w:val="99"/>
    <w:semiHidden/>
    <w:locked/>
    <w:rsid w:val="008C03F9"/>
    <w:rPr>
      <w:rFonts w:cs="Times New Roman"/>
      <w:lang w:eastAsia="en-US"/>
    </w:rPr>
  </w:style>
  <w:style w:type="character" w:styleId="PageNumber">
    <w:name w:val="page number"/>
    <w:basedOn w:val="DefaultParagraphFont"/>
    <w:uiPriority w:val="99"/>
    <w:rsid w:val="00B64039"/>
    <w:rPr>
      <w:rFonts w:cs="Times New Roman"/>
    </w:rPr>
  </w:style>
  <w:style w:type="character" w:styleId="CommentReference">
    <w:name w:val="annotation reference"/>
    <w:basedOn w:val="DefaultParagraphFont"/>
    <w:uiPriority w:val="99"/>
    <w:semiHidden/>
    <w:rsid w:val="0078722A"/>
    <w:rPr>
      <w:rFonts w:cs="Times New Roman"/>
      <w:sz w:val="16"/>
      <w:szCs w:val="16"/>
    </w:rPr>
  </w:style>
  <w:style w:type="paragraph" w:styleId="CommentText">
    <w:name w:val="annotation text"/>
    <w:basedOn w:val="Normal"/>
    <w:link w:val="CommentTextChar"/>
    <w:uiPriority w:val="99"/>
    <w:semiHidden/>
    <w:rsid w:val="0078722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8722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78722A"/>
    <w:rPr>
      <w:b/>
      <w:bCs/>
    </w:rPr>
  </w:style>
  <w:style w:type="character" w:customStyle="1" w:styleId="CommentSubjectChar">
    <w:name w:val="Comment Subject Char"/>
    <w:basedOn w:val="CommentTextChar"/>
    <w:link w:val="CommentSubject"/>
    <w:uiPriority w:val="99"/>
    <w:semiHidden/>
    <w:locked/>
    <w:rsid w:val="0078722A"/>
    <w:rPr>
      <w:rFonts w:cs="Times New Roman"/>
      <w:b/>
      <w:bCs/>
      <w:sz w:val="20"/>
      <w:szCs w:val="20"/>
      <w:lang w:eastAsia="en-US"/>
    </w:rPr>
  </w:style>
  <w:style w:type="paragraph" w:styleId="BalloonText">
    <w:name w:val="Balloon Text"/>
    <w:basedOn w:val="Normal"/>
    <w:link w:val="BalloonTextChar"/>
    <w:uiPriority w:val="99"/>
    <w:semiHidden/>
    <w:rsid w:val="00787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722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9E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5B6D"/>
    <w:pPr>
      <w:ind w:left="720"/>
      <w:contextualSpacing/>
    </w:pPr>
  </w:style>
  <w:style w:type="paragraph" w:styleId="Header">
    <w:name w:val="header"/>
    <w:basedOn w:val="Normal"/>
    <w:link w:val="HeaderChar"/>
    <w:uiPriority w:val="99"/>
    <w:rsid w:val="00A62234"/>
    <w:pPr>
      <w:tabs>
        <w:tab w:val="center" w:pos="4153"/>
        <w:tab w:val="right" w:pos="8306"/>
      </w:tabs>
    </w:pPr>
  </w:style>
  <w:style w:type="character" w:customStyle="1" w:styleId="HeaderChar">
    <w:name w:val="Header Char"/>
    <w:basedOn w:val="DefaultParagraphFont"/>
    <w:link w:val="Header"/>
    <w:uiPriority w:val="99"/>
    <w:semiHidden/>
    <w:locked/>
    <w:rsid w:val="008C03F9"/>
    <w:rPr>
      <w:rFonts w:cs="Times New Roman"/>
      <w:lang w:eastAsia="en-US"/>
    </w:rPr>
  </w:style>
  <w:style w:type="paragraph" w:styleId="Footer">
    <w:name w:val="footer"/>
    <w:basedOn w:val="Normal"/>
    <w:link w:val="FooterChar"/>
    <w:uiPriority w:val="99"/>
    <w:rsid w:val="00A62234"/>
    <w:pPr>
      <w:tabs>
        <w:tab w:val="center" w:pos="4153"/>
        <w:tab w:val="right" w:pos="8306"/>
      </w:tabs>
    </w:pPr>
  </w:style>
  <w:style w:type="character" w:customStyle="1" w:styleId="FooterChar">
    <w:name w:val="Footer Char"/>
    <w:basedOn w:val="DefaultParagraphFont"/>
    <w:link w:val="Footer"/>
    <w:uiPriority w:val="99"/>
    <w:semiHidden/>
    <w:locked/>
    <w:rsid w:val="008C03F9"/>
    <w:rPr>
      <w:rFonts w:cs="Times New Roman"/>
      <w:lang w:eastAsia="en-US"/>
    </w:rPr>
  </w:style>
  <w:style w:type="character" w:styleId="PageNumber">
    <w:name w:val="page number"/>
    <w:basedOn w:val="DefaultParagraphFont"/>
    <w:uiPriority w:val="99"/>
    <w:rsid w:val="00B64039"/>
    <w:rPr>
      <w:rFonts w:cs="Times New Roman"/>
    </w:rPr>
  </w:style>
  <w:style w:type="character" w:styleId="CommentReference">
    <w:name w:val="annotation reference"/>
    <w:basedOn w:val="DefaultParagraphFont"/>
    <w:uiPriority w:val="99"/>
    <w:semiHidden/>
    <w:rsid w:val="0078722A"/>
    <w:rPr>
      <w:rFonts w:cs="Times New Roman"/>
      <w:sz w:val="16"/>
      <w:szCs w:val="16"/>
    </w:rPr>
  </w:style>
  <w:style w:type="paragraph" w:styleId="CommentText">
    <w:name w:val="annotation text"/>
    <w:basedOn w:val="Normal"/>
    <w:link w:val="CommentTextChar"/>
    <w:uiPriority w:val="99"/>
    <w:semiHidden/>
    <w:rsid w:val="0078722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8722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78722A"/>
    <w:rPr>
      <w:b/>
      <w:bCs/>
    </w:rPr>
  </w:style>
  <w:style w:type="character" w:customStyle="1" w:styleId="CommentSubjectChar">
    <w:name w:val="Comment Subject Char"/>
    <w:basedOn w:val="CommentTextChar"/>
    <w:link w:val="CommentSubject"/>
    <w:uiPriority w:val="99"/>
    <w:semiHidden/>
    <w:locked/>
    <w:rsid w:val="0078722A"/>
    <w:rPr>
      <w:rFonts w:cs="Times New Roman"/>
      <w:b/>
      <w:bCs/>
      <w:sz w:val="20"/>
      <w:szCs w:val="20"/>
      <w:lang w:eastAsia="en-US"/>
    </w:rPr>
  </w:style>
  <w:style w:type="paragraph" w:styleId="BalloonText">
    <w:name w:val="Balloon Text"/>
    <w:basedOn w:val="Normal"/>
    <w:link w:val="BalloonTextChar"/>
    <w:uiPriority w:val="99"/>
    <w:semiHidden/>
    <w:rsid w:val="00787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722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235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3A2ED-9C55-48F0-941A-CC97E465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6916</Words>
  <Characters>3943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Grozījumi Ministru kabineta 2009.gada 22.decembra noteikumos Nr.1494 „Mopēdu, mehānisko transportlīdzekļu, to piekabju un sastāvdaļu atbilstības novērtēšanas noteikumi</vt:lpstr>
    </vt:vector>
  </TitlesOfParts>
  <Company>Satiksmes ministrija</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22.decembra noteikumos Nr.1494 „Mopēdu, mehānisko transportlīdzekļu, to piekabju un sastāvdaļu atbilstības novērtēšanas noteikumi</dc:title>
  <dc:subject>Noteikumu projekts</dc:subject>
  <dc:creator>Jānis Liepiņš</dc:creator>
  <dc:description>janis.liepins@csdd.gov.lv67025706</dc:description>
  <cp:lastModifiedBy>Linda Milenberga</cp:lastModifiedBy>
  <cp:revision>2</cp:revision>
  <cp:lastPrinted>2012-08-07T05:40:00Z</cp:lastPrinted>
  <dcterms:created xsi:type="dcterms:W3CDTF">2012-08-07T13:11:00Z</dcterms:created>
  <dcterms:modified xsi:type="dcterms:W3CDTF">2012-08-07T13:11:00Z</dcterms:modified>
</cp:coreProperties>
</file>