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E3964" w14:textId="77777777" w:rsidR="00D07FA8" w:rsidRPr="00620108" w:rsidRDefault="00D07FA8" w:rsidP="00826BA0">
      <w:pPr>
        <w:tabs>
          <w:tab w:val="left" w:pos="6804"/>
        </w:tabs>
        <w:spacing w:after="0" w:line="240" w:lineRule="auto"/>
        <w:jc w:val="both"/>
        <w:rPr>
          <w:rFonts w:ascii="Times New Roman" w:hAnsi="Times New Roman"/>
          <w:sz w:val="28"/>
          <w:szCs w:val="28"/>
        </w:rPr>
      </w:pPr>
    </w:p>
    <w:p w14:paraId="305C9642" w14:textId="77777777" w:rsidR="00D07FA8" w:rsidRPr="00620108" w:rsidRDefault="00D07FA8" w:rsidP="00826BA0">
      <w:pPr>
        <w:tabs>
          <w:tab w:val="left" w:pos="6663"/>
        </w:tabs>
        <w:spacing w:after="0" w:line="240" w:lineRule="auto"/>
        <w:rPr>
          <w:rFonts w:ascii="Times New Roman" w:hAnsi="Times New Roman"/>
          <w:sz w:val="28"/>
          <w:szCs w:val="28"/>
        </w:rPr>
      </w:pPr>
    </w:p>
    <w:p w14:paraId="6AFD2F27" w14:textId="77777777" w:rsidR="00D07FA8" w:rsidRPr="00620108" w:rsidRDefault="00D07FA8" w:rsidP="00826BA0">
      <w:pPr>
        <w:tabs>
          <w:tab w:val="left" w:pos="6663"/>
        </w:tabs>
        <w:spacing w:after="0" w:line="240" w:lineRule="auto"/>
        <w:rPr>
          <w:rFonts w:ascii="Times New Roman" w:hAnsi="Times New Roman"/>
          <w:sz w:val="28"/>
          <w:szCs w:val="28"/>
        </w:rPr>
      </w:pPr>
    </w:p>
    <w:p w14:paraId="0E06C875" w14:textId="77777777" w:rsidR="00D07FA8" w:rsidRPr="00620108" w:rsidRDefault="00D07FA8" w:rsidP="00826BA0">
      <w:pPr>
        <w:tabs>
          <w:tab w:val="left" w:pos="6663"/>
        </w:tabs>
        <w:spacing w:after="0" w:line="240" w:lineRule="auto"/>
        <w:rPr>
          <w:rFonts w:ascii="Times New Roman" w:hAnsi="Times New Roman"/>
          <w:sz w:val="28"/>
          <w:szCs w:val="28"/>
        </w:rPr>
      </w:pPr>
    </w:p>
    <w:p w14:paraId="3544E986" w14:textId="77777777" w:rsidR="00D07FA8" w:rsidRPr="00620108" w:rsidRDefault="00D07FA8" w:rsidP="00826BA0">
      <w:pPr>
        <w:tabs>
          <w:tab w:val="left" w:pos="6663"/>
        </w:tabs>
        <w:spacing w:after="0" w:line="240" w:lineRule="auto"/>
        <w:rPr>
          <w:rFonts w:ascii="Times New Roman" w:hAnsi="Times New Roman"/>
          <w:sz w:val="28"/>
          <w:szCs w:val="28"/>
        </w:rPr>
      </w:pPr>
    </w:p>
    <w:p w14:paraId="2FBF9C49" w14:textId="5938369C" w:rsidR="00D07FA8" w:rsidRPr="00620108" w:rsidRDefault="00D07FA8" w:rsidP="00826BA0">
      <w:pPr>
        <w:tabs>
          <w:tab w:val="left" w:pos="6663"/>
        </w:tabs>
        <w:spacing w:after="0" w:line="240" w:lineRule="auto"/>
        <w:rPr>
          <w:rFonts w:ascii="Times New Roman" w:hAnsi="Times New Roman"/>
          <w:sz w:val="28"/>
          <w:szCs w:val="28"/>
        </w:rPr>
      </w:pPr>
      <w:r w:rsidRPr="00620108">
        <w:rPr>
          <w:rFonts w:ascii="Times New Roman" w:hAnsi="Times New Roman"/>
          <w:sz w:val="28"/>
          <w:szCs w:val="28"/>
        </w:rPr>
        <w:t xml:space="preserve">2012.gada </w:t>
      </w:r>
      <w:r w:rsidR="00B97A41">
        <w:rPr>
          <w:rFonts w:ascii="Times New Roman" w:hAnsi="Times New Roman"/>
          <w:sz w:val="28"/>
          <w:szCs w:val="28"/>
        </w:rPr>
        <w:t>11.decembrī</w:t>
      </w:r>
      <w:proofErr w:type="gramStart"/>
      <w:r w:rsidRPr="00620108">
        <w:rPr>
          <w:rFonts w:ascii="Times New Roman" w:hAnsi="Times New Roman"/>
          <w:sz w:val="28"/>
          <w:szCs w:val="28"/>
        </w:rPr>
        <w:t xml:space="preserve">           </w:t>
      </w:r>
      <w:proofErr w:type="gramEnd"/>
      <w:r w:rsidRPr="00620108">
        <w:rPr>
          <w:rFonts w:ascii="Times New Roman" w:hAnsi="Times New Roman"/>
          <w:sz w:val="28"/>
          <w:szCs w:val="28"/>
        </w:rPr>
        <w:tab/>
        <w:t>Noteikumi Nr.</w:t>
      </w:r>
      <w:r w:rsidR="00B97A41">
        <w:rPr>
          <w:rFonts w:ascii="Times New Roman" w:hAnsi="Times New Roman"/>
          <w:sz w:val="28"/>
          <w:szCs w:val="28"/>
        </w:rPr>
        <w:t xml:space="preserve"> 832</w:t>
      </w:r>
    </w:p>
    <w:p w14:paraId="64DB77DB" w14:textId="455459C2" w:rsidR="00D07FA8" w:rsidRPr="00620108" w:rsidRDefault="00D07FA8" w:rsidP="00826BA0">
      <w:pPr>
        <w:tabs>
          <w:tab w:val="left" w:pos="6663"/>
        </w:tabs>
        <w:spacing w:after="0" w:line="240" w:lineRule="auto"/>
        <w:rPr>
          <w:rFonts w:ascii="Times New Roman" w:hAnsi="Times New Roman"/>
        </w:rPr>
      </w:pPr>
      <w:r w:rsidRPr="00620108">
        <w:rPr>
          <w:rFonts w:ascii="Times New Roman" w:hAnsi="Times New Roman"/>
          <w:sz w:val="28"/>
          <w:szCs w:val="28"/>
        </w:rPr>
        <w:t>Rīgā</w:t>
      </w:r>
      <w:r w:rsidRPr="00620108">
        <w:rPr>
          <w:rFonts w:ascii="Times New Roman" w:hAnsi="Times New Roman"/>
          <w:sz w:val="28"/>
          <w:szCs w:val="28"/>
        </w:rPr>
        <w:tab/>
        <w:t xml:space="preserve">(prot. Nr. </w:t>
      </w:r>
      <w:r w:rsidR="00B97A41">
        <w:rPr>
          <w:rFonts w:ascii="Times New Roman" w:hAnsi="Times New Roman"/>
          <w:sz w:val="28"/>
          <w:szCs w:val="28"/>
        </w:rPr>
        <w:t>70 20</w:t>
      </w:r>
      <w:bookmarkStart w:id="0" w:name="_GoBack"/>
      <w:bookmarkEnd w:id="0"/>
      <w:r w:rsidRPr="00620108">
        <w:rPr>
          <w:rFonts w:ascii="Times New Roman" w:hAnsi="Times New Roman"/>
          <w:sz w:val="28"/>
          <w:szCs w:val="28"/>
        </w:rPr>
        <w:t>.§)</w:t>
      </w:r>
    </w:p>
    <w:p w14:paraId="0D8A2CAE" w14:textId="77777777" w:rsidR="001E1B3F" w:rsidRPr="00620108" w:rsidRDefault="001E1B3F" w:rsidP="00643C20">
      <w:pPr>
        <w:spacing w:after="0" w:line="240" w:lineRule="auto"/>
        <w:ind w:right="-334"/>
        <w:jc w:val="center"/>
        <w:rPr>
          <w:rFonts w:ascii="Times New Roman" w:hAnsi="Times New Roman"/>
          <w:b/>
          <w:bCs/>
          <w:sz w:val="28"/>
          <w:szCs w:val="28"/>
          <w:lang w:eastAsia="lv-LV"/>
        </w:rPr>
      </w:pPr>
    </w:p>
    <w:p w14:paraId="0D8A2CAF" w14:textId="024027AA" w:rsidR="001E1B3F" w:rsidRPr="00620108" w:rsidRDefault="001E1B3F" w:rsidP="000B2E37">
      <w:pPr>
        <w:spacing w:after="0" w:line="240" w:lineRule="auto"/>
        <w:ind w:right="-1"/>
        <w:jc w:val="center"/>
        <w:rPr>
          <w:rFonts w:ascii="Times New Roman" w:hAnsi="Times New Roman"/>
          <w:b/>
          <w:bCs/>
          <w:sz w:val="28"/>
          <w:szCs w:val="28"/>
          <w:lang w:eastAsia="lv-LV"/>
        </w:rPr>
      </w:pPr>
      <w:r w:rsidRPr="00620108">
        <w:rPr>
          <w:rFonts w:ascii="Times New Roman" w:hAnsi="Times New Roman"/>
          <w:b/>
          <w:bCs/>
          <w:sz w:val="28"/>
          <w:szCs w:val="28"/>
          <w:lang w:eastAsia="lv-LV"/>
        </w:rPr>
        <w:t xml:space="preserve">Kārtība, kādā </w:t>
      </w:r>
      <w:r w:rsidRPr="00F46000">
        <w:rPr>
          <w:rFonts w:ascii="Times New Roman" w:hAnsi="Times New Roman"/>
          <w:b/>
          <w:bCs/>
          <w:sz w:val="28"/>
          <w:szCs w:val="28"/>
          <w:lang w:eastAsia="lv-LV"/>
        </w:rPr>
        <w:t xml:space="preserve">nosakāma </w:t>
      </w:r>
      <w:r w:rsidR="00F46000" w:rsidRPr="00F46000">
        <w:rPr>
          <w:rFonts w:ascii="Times New Roman" w:hAnsi="Times New Roman"/>
          <w:b/>
          <w:sz w:val="28"/>
          <w:szCs w:val="28"/>
          <w:lang w:eastAsia="lv-LV"/>
        </w:rPr>
        <w:t>kravas automobiļ</w:t>
      </w:r>
      <w:r w:rsidR="00F46000">
        <w:rPr>
          <w:rFonts w:ascii="Times New Roman" w:hAnsi="Times New Roman"/>
          <w:b/>
          <w:sz w:val="28"/>
          <w:szCs w:val="28"/>
          <w:lang w:eastAsia="lv-LV"/>
        </w:rPr>
        <w:t>u</w:t>
      </w:r>
      <w:r w:rsidR="00F46000" w:rsidRPr="00F46000">
        <w:rPr>
          <w:rFonts w:ascii="Times New Roman" w:hAnsi="Times New Roman"/>
          <w:b/>
          <w:sz w:val="28"/>
          <w:szCs w:val="28"/>
          <w:lang w:eastAsia="lv-LV"/>
        </w:rPr>
        <w:t xml:space="preserve"> </w:t>
      </w:r>
      <w:r w:rsidRPr="00F46000">
        <w:rPr>
          <w:rFonts w:ascii="Times New Roman" w:hAnsi="Times New Roman"/>
          <w:b/>
          <w:bCs/>
          <w:sz w:val="28"/>
          <w:szCs w:val="28"/>
          <w:lang w:eastAsia="lv-LV"/>
        </w:rPr>
        <w:t>dzenošā</w:t>
      </w:r>
      <w:r w:rsidRPr="00620108">
        <w:rPr>
          <w:rFonts w:ascii="Times New Roman" w:hAnsi="Times New Roman"/>
          <w:b/>
          <w:bCs/>
          <w:sz w:val="28"/>
          <w:szCs w:val="28"/>
          <w:lang w:eastAsia="lv-LV"/>
        </w:rPr>
        <w:t xml:space="preserve"> tilta atsperojuma ekvivalence pneimatiskajam atsperojumam</w:t>
      </w:r>
    </w:p>
    <w:p w14:paraId="0D8A2CB0" w14:textId="77777777" w:rsidR="001E1B3F" w:rsidRPr="00620108" w:rsidRDefault="001E1B3F" w:rsidP="00643C20">
      <w:pPr>
        <w:spacing w:after="0" w:line="240" w:lineRule="auto"/>
        <w:ind w:right="-334" w:firstLine="720"/>
        <w:jc w:val="center"/>
        <w:rPr>
          <w:rFonts w:ascii="Times New Roman" w:hAnsi="Times New Roman"/>
          <w:b/>
          <w:bCs/>
          <w:sz w:val="28"/>
          <w:szCs w:val="28"/>
          <w:lang w:eastAsia="lv-LV"/>
        </w:rPr>
      </w:pPr>
    </w:p>
    <w:p w14:paraId="0D8A2CB1" w14:textId="77777777" w:rsidR="001E1B3F" w:rsidRPr="00620108" w:rsidRDefault="001E1B3F" w:rsidP="000B2E37">
      <w:pPr>
        <w:spacing w:after="0" w:line="240" w:lineRule="auto"/>
        <w:ind w:right="-1"/>
        <w:jc w:val="right"/>
        <w:rPr>
          <w:rFonts w:ascii="Times New Roman" w:hAnsi="Times New Roman"/>
          <w:iCs/>
          <w:sz w:val="28"/>
          <w:szCs w:val="28"/>
          <w:lang w:eastAsia="lv-LV"/>
        </w:rPr>
      </w:pPr>
      <w:r w:rsidRPr="00620108">
        <w:rPr>
          <w:rFonts w:ascii="Times New Roman" w:hAnsi="Times New Roman"/>
          <w:iCs/>
          <w:sz w:val="28"/>
          <w:szCs w:val="28"/>
          <w:lang w:eastAsia="lv-LV"/>
        </w:rPr>
        <w:t>Izdoti saskaņā ar</w:t>
      </w:r>
    </w:p>
    <w:p w14:paraId="0D8A2CB2" w14:textId="5BD52DC4" w:rsidR="001E1B3F" w:rsidRPr="00620108" w:rsidRDefault="001E1B3F" w:rsidP="000B2E37">
      <w:pPr>
        <w:spacing w:after="0" w:line="240" w:lineRule="auto"/>
        <w:ind w:right="-1"/>
        <w:jc w:val="right"/>
        <w:rPr>
          <w:rFonts w:ascii="Times New Roman" w:hAnsi="Times New Roman"/>
          <w:iCs/>
          <w:sz w:val="28"/>
          <w:szCs w:val="28"/>
          <w:lang w:eastAsia="lv-LV"/>
        </w:rPr>
      </w:pPr>
      <w:r w:rsidRPr="00620108">
        <w:rPr>
          <w:rFonts w:ascii="Times New Roman" w:hAnsi="Times New Roman"/>
          <w:iCs/>
          <w:sz w:val="28"/>
          <w:szCs w:val="28"/>
          <w:lang w:eastAsia="lv-LV"/>
        </w:rPr>
        <w:t>Transportlīdzekļa ekspluatācijas nodokļa</w:t>
      </w:r>
      <w:r w:rsidR="00826BA0" w:rsidRPr="00620108">
        <w:rPr>
          <w:rFonts w:ascii="Times New Roman" w:hAnsi="Times New Roman"/>
          <w:iCs/>
          <w:sz w:val="28"/>
          <w:szCs w:val="28"/>
          <w:lang w:eastAsia="lv-LV"/>
        </w:rPr>
        <w:t xml:space="preserve"> un</w:t>
      </w:r>
    </w:p>
    <w:p w14:paraId="0D8A2CB3" w14:textId="4ED3C688" w:rsidR="001E1B3F" w:rsidRPr="00620108" w:rsidRDefault="001E1B3F" w:rsidP="000B2E37">
      <w:pPr>
        <w:spacing w:after="0" w:line="240" w:lineRule="auto"/>
        <w:ind w:right="-1"/>
        <w:jc w:val="right"/>
        <w:rPr>
          <w:rFonts w:ascii="Times New Roman" w:hAnsi="Times New Roman"/>
          <w:iCs/>
          <w:sz w:val="28"/>
          <w:szCs w:val="28"/>
          <w:lang w:eastAsia="lv-LV"/>
        </w:rPr>
      </w:pPr>
      <w:r w:rsidRPr="00620108">
        <w:rPr>
          <w:rFonts w:ascii="Times New Roman" w:hAnsi="Times New Roman"/>
          <w:iCs/>
          <w:sz w:val="28"/>
          <w:szCs w:val="28"/>
          <w:lang w:eastAsia="lv-LV"/>
        </w:rPr>
        <w:t>uzņēmumu vieglo transportlīdzekļu nodokļa</w:t>
      </w:r>
    </w:p>
    <w:p w14:paraId="0D8A2CB4" w14:textId="69F9F26B" w:rsidR="001E1B3F" w:rsidRPr="00620108" w:rsidRDefault="001E1B3F" w:rsidP="000B2E37">
      <w:pPr>
        <w:spacing w:after="0" w:line="240" w:lineRule="auto"/>
        <w:ind w:right="-1" w:firstLine="720"/>
        <w:jc w:val="right"/>
        <w:rPr>
          <w:rFonts w:ascii="Times New Roman" w:hAnsi="Times New Roman"/>
          <w:iCs/>
          <w:sz w:val="28"/>
          <w:szCs w:val="28"/>
          <w:lang w:eastAsia="lv-LV"/>
        </w:rPr>
      </w:pPr>
      <w:r w:rsidRPr="00620108">
        <w:rPr>
          <w:rFonts w:ascii="Times New Roman" w:hAnsi="Times New Roman"/>
          <w:iCs/>
          <w:sz w:val="28"/>
          <w:szCs w:val="28"/>
          <w:lang w:eastAsia="lv-LV"/>
        </w:rPr>
        <w:t>likuma</w:t>
      </w:r>
      <w:r w:rsidRPr="00620108">
        <w:rPr>
          <w:rFonts w:ascii="Times New Roman" w:hAnsi="Times New Roman"/>
          <w:sz w:val="28"/>
          <w:szCs w:val="28"/>
        </w:rPr>
        <w:t xml:space="preserve"> 4</w:t>
      </w:r>
      <w:r w:rsidRPr="00620108">
        <w:rPr>
          <w:rFonts w:ascii="Times New Roman" w:hAnsi="Times New Roman"/>
          <w:iCs/>
          <w:sz w:val="28"/>
          <w:szCs w:val="28"/>
          <w:lang w:eastAsia="lv-LV"/>
        </w:rPr>
        <w:t>.panta divpadsmito daļu</w:t>
      </w:r>
    </w:p>
    <w:p w14:paraId="0D8A2CB5" w14:textId="5A474502" w:rsidR="001E1B3F" w:rsidRPr="00620108" w:rsidRDefault="001E1B3F" w:rsidP="000B2E37">
      <w:pPr>
        <w:spacing w:after="0" w:line="240" w:lineRule="auto"/>
        <w:ind w:right="-1" w:firstLine="720"/>
        <w:jc w:val="right"/>
        <w:rPr>
          <w:rFonts w:ascii="Times New Roman" w:hAnsi="Times New Roman"/>
          <w:iCs/>
          <w:sz w:val="28"/>
          <w:szCs w:val="28"/>
          <w:lang w:eastAsia="lv-LV"/>
        </w:rPr>
      </w:pPr>
      <w:r w:rsidRPr="00620108">
        <w:rPr>
          <w:rFonts w:ascii="Times New Roman" w:hAnsi="Times New Roman"/>
          <w:iCs/>
          <w:sz w:val="28"/>
          <w:szCs w:val="28"/>
          <w:lang w:eastAsia="lv-LV"/>
        </w:rPr>
        <w:t xml:space="preserve">un likuma </w:t>
      </w:r>
      <w:r w:rsidR="00826BA0" w:rsidRPr="00620108">
        <w:rPr>
          <w:rFonts w:ascii="Times New Roman" w:hAnsi="Times New Roman"/>
          <w:iCs/>
          <w:sz w:val="28"/>
          <w:szCs w:val="28"/>
          <w:lang w:eastAsia="lv-LV"/>
        </w:rPr>
        <w:t>"</w:t>
      </w:r>
      <w:hyperlink r:id="rId7" w:tgtFrame="_blank" w:history="1">
        <w:r w:rsidRPr="00620108">
          <w:rPr>
            <w:rFonts w:ascii="Times New Roman" w:hAnsi="Times New Roman"/>
            <w:iCs/>
            <w:sz w:val="28"/>
            <w:szCs w:val="28"/>
            <w:lang w:eastAsia="lv-LV"/>
          </w:rPr>
          <w:t>Par atbilstības novērtēšanu</w:t>
        </w:r>
      </w:hyperlink>
      <w:r w:rsidR="00274410" w:rsidRPr="00620108">
        <w:rPr>
          <w:rFonts w:ascii="Times New Roman" w:hAnsi="Times New Roman"/>
          <w:iCs/>
          <w:sz w:val="28"/>
          <w:szCs w:val="28"/>
          <w:lang w:eastAsia="lv-LV"/>
        </w:rPr>
        <w:t>"</w:t>
      </w:r>
    </w:p>
    <w:p w14:paraId="0D8A2CB6" w14:textId="77777777" w:rsidR="001E1B3F" w:rsidRPr="00620108" w:rsidRDefault="001E1B3F" w:rsidP="000B2E37">
      <w:pPr>
        <w:spacing w:after="0" w:line="240" w:lineRule="auto"/>
        <w:ind w:right="-1" w:firstLine="720"/>
        <w:jc w:val="right"/>
        <w:rPr>
          <w:rFonts w:ascii="Times New Roman" w:hAnsi="Times New Roman"/>
          <w:iCs/>
          <w:sz w:val="28"/>
          <w:szCs w:val="28"/>
          <w:lang w:eastAsia="lv-LV"/>
        </w:rPr>
      </w:pPr>
      <w:r w:rsidRPr="00620108">
        <w:rPr>
          <w:rFonts w:ascii="Times New Roman" w:hAnsi="Times New Roman"/>
          <w:iCs/>
          <w:sz w:val="28"/>
          <w:szCs w:val="28"/>
          <w:lang w:eastAsia="lv-LV"/>
        </w:rPr>
        <w:t>7.panta pirmo daļu</w:t>
      </w:r>
    </w:p>
    <w:p w14:paraId="0D8A2CB8" w14:textId="77777777" w:rsidR="001E1B3F" w:rsidRPr="00620108" w:rsidRDefault="001E1B3F" w:rsidP="000B2E37">
      <w:pPr>
        <w:spacing w:after="0" w:line="240" w:lineRule="auto"/>
        <w:ind w:right="-1" w:firstLine="720"/>
        <w:jc w:val="right"/>
        <w:rPr>
          <w:rFonts w:ascii="Times New Roman" w:hAnsi="Times New Roman"/>
          <w:iCs/>
          <w:sz w:val="28"/>
          <w:szCs w:val="28"/>
          <w:lang w:eastAsia="lv-LV"/>
        </w:rPr>
      </w:pPr>
    </w:p>
    <w:p w14:paraId="0D8A2CB9" w14:textId="32B84C88" w:rsidR="001E1B3F" w:rsidRPr="00620108" w:rsidRDefault="001E1B3F" w:rsidP="000B2E37">
      <w:pPr>
        <w:spacing w:after="0" w:line="240" w:lineRule="auto"/>
        <w:ind w:right="-1" w:firstLine="720"/>
        <w:jc w:val="both"/>
        <w:rPr>
          <w:rFonts w:ascii="Times New Roman" w:hAnsi="Times New Roman"/>
          <w:sz w:val="28"/>
          <w:szCs w:val="28"/>
          <w:lang w:eastAsia="lv-LV"/>
        </w:rPr>
      </w:pPr>
      <w:bookmarkStart w:id="1" w:name="p1"/>
      <w:bookmarkEnd w:id="1"/>
      <w:r w:rsidRPr="00620108">
        <w:rPr>
          <w:rFonts w:ascii="Times New Roman" w:hAnsi="Times New Roman"/>
          <w:sz w:val="28"/>
          <w:szCs w:val="28"/>
          <w:lang w:eastAsia="lv-LV"/>
        </w:rPr>
        <w:t>1.</w:t>
      </w:r>
      <w:r w:rsidR="00826BA0" w:rsidRPr="00620108">
        <w:rPr>
          <w:rFonts w:ascii="Times New Roman" w:hAnsi="Times New Roman"/>
          <w:sz w:val="28"/>
          <w:szCs w:val="28"/>
          <w:lang w:eastAsia="lv-LV"/>
        </w:rPr>
        <w:t> </w:t>
      </w:r>
      <w:r w:rsidRPr="00620108">
        <w:rPr>
          <w:rFonts w:ascii="Times New Roman" w:hAnsi="Times New Roman"/>
          <w:sz w:val="28"/>
          <w:szCs w:val="28"/>
          <w:lang w:eastAsia="lv-LV"/>
        </w:rPr>
        <w:t>Noteikumi nosaka kārtību, kādā kravas automobiļiem ar pilnu masu</w:t>
      </w:r>
      <w:r w:rsidR="00826BA0" w:rsidRPr="00620108">
        <w:rPr>
          <w:rFonts w:ascii="Times New Roman" w:hAnsi="Times New Roman"/>
          <w:sz w:val="28"/>
          <w:szCs w:val="28"/>
          <w:lang w:eastAsia="lv-LV"/>
        </w:rPr>
        <w:t>, lielāku par</w:t>
      </w:r>
      <w:r w:rsidRPr="00620108">
        <w:rPr>
          <w:rFonts w:ascii="Times New Roman" w:hAnsi="Times New Roman"/>
          <w:sz w:val="28"/>
          <w:szCs w:val="28"/>
          <w:lang w:eastAsia="lv-LV"/>
        </w:rPr>
        <w:t xml:space="preserve"> 12000</w:t>
      </w:r>
      <w:r w:rsidR="00826BA0" w:rsidRPr="00620108">
        <w:rPr>
          <w:rFonts w:ascii="Times New Roman" w:hAnsi="Times New Roman"/>
          <w:sz w:val="28"/>
          <w:szCs w:val="28"/>
          <w:lang w:eastAsia="lv-LV"/>
        </w:rPr>
        <w:t> </w:t>
      </w:r>
      <w:r w:rsidRPr="00620108">
        <w:rPr>
          <w:rFonts w:ascii="Times New Roman" w:hAnsi="Times New Roman"/>
          <w:sz w:val="28"/>
          <w:szCs w:val="28"/>
          <w:lang w:eastAsia="lv-LV"/>
        </w:rPr>
        <w:t xml:space="preserve">kg (turpmāk </w:t>
      </w:r>
      <w:r w:rsidR="00826BA0" w:rsidRPr="00620108">
        <w:rPr>
          <w:rFonts w:ascii="Times New Roman" w:hAnsi="Times New Roman"/>
          <w:sz w:val="28"/>
          <w:szCs w:val="28"/>
          <w:lang w:eastAsia="lv-LV"/>
        </w:rPr>
        <w:t>–</w:t>
      </w:r>
      <w:r w:rsidRPr="00620108">
        <w:rPr>
          <w:rFonts w:ascii="Times New Roman" w:hAnsi="Times New Roman"/>
          <w:sz w:val="28"/>
          <w:szCs w:val="28"/>
          <w:lang w:eastAsia="lv-LV"/>
        </w:rPr>
        <w:t xml:space="preserve"> transportlīdzeklis)</w:t>
      </w:r>
      <w:r w:rsidR="00826BA0" w:rsidRPr="00620108">
        <w:rPr>
          <w:rFonts w:ascii="Times New Roman" w:hAnsi="Times New Roman"/>
          <w:sz w:val="28"/>
          <w:szCs w:val="28"/>
          <w:lang w:eastAsia="lv-LV"/>
        </w:rPr>
        <w:t>,</w:t>
      </w:r>
      <w:r w:rsidRPr="00620108">
        <w:rPr>
          <w:rFonts w:ascii="Times New Roman" w:hAnsi="Times New Roman"/>
          <w:sz w:val="28"/>
          <w:szCs w:val="28"/>
          <w:lang w:eastAsia="lv-LV"/>
        </w:rPr>
        <w:t xml:space="preserve"> nosakāma dzenošā tilta atsperojuma ekvivalence pneimatiskajam atsperojumam.</w:t>
      </w:r>
    </w:p>
    <w:p w14:paraId="0D8A2CBA" w14:textId="77777777" w:rsidR="001E1B3F" w:rsidRPr="00620108" w:rsidRDefault="001E1B3F" w:rsidP="000B2E37">
      <w:pPr>
        <w:spacing w:after="0" w:line="240" w:lineRule="auto"/>
        <w:ind w:right="-1" w:firstLine="720"/>
        <w:jc w:val="both"/>
        <w:rPr>
          <w:rFonts w:ascii="Times New Roman" w:hAnsi="Times New Roman"/>
          <w:sz w:val="28"/>
          <w:szCs w:val="28"/>
          <w:lang w:eastAsia="lv-LV"/>
        </w:rPr>
      </w:pPr>
      <w:bookmarkStart w:id="2" w:name="p2"/>
      <w:bookmarkEnd w:id="2"/>
    </w:p>
    <w:p w14:paraId="0D8A2CBB" w14:textId="7BDFBBE0" w:rsidR="001E1B3F" w:rsidRPr="00620108" w:rsidRDefault="001E1B3F" w:rsidP="000B2E37">
      <w:pPr>
        <w:spacing w:after="0" w:line="240" w:lineRule="auto"/>
        <w:ind w:right="-1" w:firstLine="720"/>
        <w:jc w:val="both"/>
        <w:rPr>
          <w:rFonts w:ascii="Times New Roman" w:hAnsi="Times New Roman"/>
          <w:sz w:val="28"/>
          <w:szCs w:val="28"/>
          <w:lang w:eastAsia="lv-LV"/>
        </w:rPr>
      </w:pPr>
      <w:r w:rsidRPr="00620108">
        <w:rPr>
          <w:rFonts w:ascii="Times New Roman" w:hAnsi="Times New Roman"/>
          <w:sz w:val="28"/>
          <w:szCs w:val="28"/>
          <w:lang w:eastAsia="lv-LV"/>
        </w:rPr>
        <w:t>2.</w:t>
      </w:r>
      <w:r w:rsidR="00826BA0" w:rsidRPr="00620108">
        <w:rPr>
          <w:rFonts w:ascii="Times New Roman" w:hAnsi="Times New Roman"/>
          <w:sz w:val="28"/>
          <w:szCs w:val="28"/>
          <w:lang w:eastAsia="lv-LV"/>
        </w:rPr>
        <w:t> </w:t>
      </w:r>
      <w:r w:rsidRPr="00620108">
        <w:rPr>
          <w:rFonts w:ascii="Times New Roman" w:hAnsi="Times New Roman"/>
          <w:sz w:val="28"/>
          <w:szCs w:val="28"/>
          <w:lang w:eastAsia="lv-LV"/>
        </w:rPr>
        <w:t>Par pneimatisko atsperojumu uzskata atsperojumu, kur</w:t>
      </w:r>
      <w:r w:rsidR="00826BA0" w:rsidRPr="00620108">
        <w:rPr>
          <w:rFonts w:ascii="Times New Roman" w:hAnsi="Times New Roman"/>
          <w:sz w:val="28"/>
          <w:szCs w:val="28"/>
          <w:lang w:eastAsia="lv-LV"/>
        </w:rPr>
        <w:t>am</w:t>
      </w:r>
      <w:r w:rsidRPr="00620108">
        <w:rPr>
          <w:rFonts w:ascii="Times New Roman" w:hAnsi="Times New Roman"/>
          <w:sz w:val="28"/>
          <w:szCs w:val="28"/>
          <w:lang w:eastAsia="lv-LV"/>
        </w:rPr>
        <w:t xml:space="preserve"> vismaz 75</w:t>
      </w:r>
      <w:r w:rsidR="00826BA0" w:rsidRPr="00620108">
        <w:rPr>
          <w:rFonts w:ascii="Times New Roman" w:hAnsi="Times New Roman"/>
          <w:sz w:val="28"/>
          <w:szCs w:val="28"/>
          <w:lang w:eastAsia="lv-LV"/>
        </w:rPr>
        <w:t> </w:t>
      </w:r>
      <w:r w:rsidRPr="00620108">
        <w:rPr>
          <w:rFonts w:ascii="Times New Roman" w:hAnsi="Times New Roman"/>
          <w:sz w:val="28"/>
          <w:szCs w:val="28"/>
          <w:lang w:eastAsia="lv-LV"/>
        </w:rPr>
        <w:t>% no atsperīguma efekta rada pneimatiskie elementi.</w:t>
      </w:r>
    </w:p>
    <w:p w14:paraId="0D8A2CBC" w14:textId="77777777" w:rsidR="001E1B3F" w:rsidRPr="00620108" w:rsidRDefault="001E1B3F" w:rsidP="000B2E37">
      <w:pPr>
        <w:spacing w:after="0" w:line="240" w:lineRule="auto"/>
        <w:ind w:right="-1" w:firstLine="720"/>
        <w:jc w:val="both"/>
        <w:rPr>
          <w:rFonts w:ascii="Times New Roman" w:hAnsi="Times New Roman"/>
          <w:sz w:val="28"/>
          <w:szCs w:val="28"/>
          <w:lang w:eastAsia="lv-LV"/>
        </w:rPr>
      </w:pPr>
      <w:bookmarkStart w:id="3" w:name="p4"/>
      <w:bookmarkEnd w:id="3"/>
    </w:p>
    <w:p w14:paraId="0D8A2CBD" w14:textId="26DECFFF" w:rsidR="001E1B3F" w:rsidRPr="00620108" w:rsidRDefault="001E1B3F" w:rsidP="000B2E37">
      <w:pPr>
        <w:spacing w:after="0" w:line="240" w:lineRule="auto"/>
        <w:ind w:right="-1" w:firstLine="720"/>
        <w:jc w:val="both"/>
        <w:rPr>
          <w:rFonts w:ascii="Times New Roman" w:hAnsi="Times New Roman"/>
          <w:sz w:val="28"/>
          <w:szCs w:val="28"/>
          <w:lang w:eastAsia="lv-LV"/>
        </w:rPr>
      </w:pPr>
      <w:r w:rsidRPr="00620108">
        <w:rPr>
          <w:rFonts w:ascii="Times New Roman" w:hAnsi="Times New Roman"/>
          <w:sz w:val="28"/>
          <w:szCs w:val="28"/>
          <w:lang w:eastAsia="lv-LV"/>
        </w:rPr>
        <w:t>3.</w:t>
      </w:r>
      <w:r w:rsidR="00826BA0" w:rsidRPr="00620108">
        <w:rPr>
          <w:rFonts w:ascii="Times New Roman" w:hAnsi="Times New Roman"/>
          <w:sz w:val="28"/>
          <w:szCs w:val="28"/>
          <w:lang w:eastAsia="lv-LV"/>
        </w:rPr>
        <w:t> </w:t>
      </w:r>
      <w:r w:rsidRPr="00620108">
        <w:rPr>
          <w:rFonts w:ascii="Times New Roman" w:hAnsi="Times New Roman"/>
          <w:sz w:val="28"/>
          <w:szCs w:val="28"/>
          <w:lang w:eastAsia="lv-LV"/>
        </w:rPr>
        <w:t>Atsperojums, kas nav pneimatiskais atsperojums, tiek uzskatīts par ekvivalentu pneimatiskajam atsperojumam, ja tas atbilst šo noteikumu 1.pielikumā minētajām prasībām.</w:t>
      </w:r>
    </w:p>
    <w:p w14:paraId="0D8A2CBE" w14:textId="77777777" w:rsidR="001E1B3F" w:rsidRPr="00620108" w:rsidRDefault="001E1B3F" w:rsidP="000B2E37">
      <w:pPr>
        <w:spacing w:after="0" w:line="240" w:lineRule="auto"/>
        <w:ind w:right="-1" w:firstLine="720"/>
        <w:jc w:val="both"/>
        <w:rPr>
          <w:rFonts w:ascii="Times New Roman" w:hAnsi="Times New Roman"/>
          <w:sz w:val="28"/>
          <w:szCs w:val="28"/>
          <w:lang w:eastAsia="lv-LV"/>
        </w:rPr>
      </w:pPr>
      <w:bookmarkStart w:id="4" w:name="p5"/>
      <w:bookmarkEnd w:id="4"/>
    </w:p>
    <w:p w14:paraId="0D8A2CBF" w14:textId="235F6F0B" w:rsidR="001E1B3F" w:rsidRPr="00620108" w:rsidRDefault="001E1B3F" w:rsidP="000B2E37">
      <w:pPr>
        <w:spacing w:after="0" w:line="240" w:lineRule="auto"/>
        <w:ind w:right="-1" w:firstLine="720"/>
        <w:jc w:val="both"/>
        <w:rPr>
          <w:rFonts w:ascii="Times New Roman" w:hAnsi="Times New Roman"/>
          <w:sz w:val="28"/>
          <w:szCs w:val="28"/>
          <w:lang w:eastAsia="lv-LV"/>
        </w:rPr>
      </w:pPr>
      <w:r w:rsidRPr="00620108">
        <w:rPr>
          <w:rFonts w:ascii="Times New Roman" w:hAnsi="Times New Roman"/>
          <w:sz w:val="28"/>
          <w:szCs w:val="28"/>
          <w:lang w:eastAsia="lv-LV"/>
        </w:rPr>
        <w:t>4.</w:t>
      </w:r>
      <w:r w:rsidR="00826BA0" w:rsidRPr="00620108">
        <w:rPr>
          <w:rFonts w:ascii="Times New Roman" w:hAnsi="Times New Roman"/>
          <w:sz w:val="28"/>
          <w:szCs w:val="28"/>
          <w:lang w:eastAsia="lv-LV"/>
        </w:rPr>
        <w:t> </w:t>
      </w:r>
      <w:r w:rsidRPr="00620108">
        <w:rPr>
          <w:rFonts w:ascii="Times New Roman" w:hAnsi="Times New Roman"/>
          <w:sz w:val="28"/>
          <w:szCs w:val="28"/>
          <w:lang w:eastAsia="lv-LV"/>
        </w:rPr>
        <w:t xml:space="preserve">Ekvivalences novērtēšanu atbilstoši šo noteikumu 1.pielikumā </w:t>
      </w:r>
      <w:r w:rsidR="00826BA0" w:rsidRPr="00620108">
        <w:rPr>
          <w:rFonts w:ascii="Times New Roman" w:hAnsi="Times New Roman"/>
          <w:sz w:val="28"/>
          <w:szCs w:val="28"/>
          <w:lang w:eastAsia="lv-LV"/>
        </w:rPr>
        <w:t xml:space="preserve">minētajām </w:t>
      </w:r>
      <w:r w:rsidRPr="00620108">
        <w:rPr>
          <w:rFonts w:ascii="Times New Roman" w:hAnsi="Times New Roman"/>
          <w:sz w:val="28"/>
          <w:szCs w:val="28"/>
          <w:lang w:eastAsia="lv-LV"/>
        </w:rPr>
        <w:t xml:space="preserve">prasībām ir tiesīga veikt akreditēta inspicēšanas institūcija, par kuru Ekonomikas ministrija ir publicējusi paziņojumu </w:t>
      </w:r>
      <w:r w:rsidR="00826BA0" w:rsidRPr="00620108">
        <w:rPr>
          <w:rFonts w:ascii="Times New Roman" w:hAnsi="Times New Roman"/>
          <w:sz w:val="28"/>
          <w:szCs w:val="28"/>
          <w:lang w:eastAsia="lv-LV"/>
        </w:rPr>
        <w:t>oficiālajā izdevumā</w:t>
      </w:r>
      <w:r w:rsidRPr="00620108">
        <w:rPr>
          <w:rFonts w:ascii="Times New Roman" w:hAnsi="Times New Roman"/>
          <w:sz w:val="28"/>
          <w:szCs w:val="28"/>
          <w:lang w:eastAsia="lv-LV"/>
        </w:rPr>
        <w:t xml:space="preserve"> </w:t>
      </w:r>
      <w:r w:rsidR="00826BA0" w:rsidRPr="00620108">
        <w:rPr>
          <w:rFonts w:ascii="Times New Roman" w:hAnsi="Times New Roman"/>
          <w:sz w:val="28"/>
          <w:szCs w:val="28"/>
          <w:lang w:eastAsia="lv-LV"/>
        </w:rPr>
        <w:t>"</w:t>
      </w:r>
      <w:r w:rsidRPr="00620108">
        <w:rPr>
          <w:rFonts w:ascii="Times New Roman" w:hAnsi="Times New Roman"/>
          <w:sz w:val="28"/>
          <w:szCs w:val="28"/>
          <w:lang w:eastAsia="lv-LV"/>
        </w:rPr>
        <w:t>Latvijas Vēstnesis</w:t>
      </w:r>
      <w:r w:rsidR="00274410" w:rsidRPr="00620108">
        <w:rPr>
          <w:rFonts w:ascii="Times New Roman" w:hAnsi="Times New Roman"/>
          <w:sz w:val="28"/>
          <w:szCs w:val="28"/>
          <w:lang w:eastAsia="lv-LV"/>
        </w:rPr>
        <w:t>"</w:t>
      </w:r>
      <w:r w:rsidRPr="00620108">
        <w:rPr>
          <w:rFonts w:ascii="Times New Roman" w:hAnsi="Times New Roman"/>
          <w:sz w:val="28"/>
          <w:szCs w:val="28"/>
          <w:lang w:eastAsia="lv-LV"/>
        </w:rPr>
        <w:t xml:space="preserve"> (turpmāk </w:t>
      </w:r>
      <w:r w:rsidR="00826BA0" w:rsidRPr="00620108">
        <w:rPr>
          <w:rFonts w:ascii="Times New Roman" w:hAnsi="Times New Roman"/>
          <w:sz w:val="28"/>
          <w:szCs w:val="28"/>
          <w:lang w:eastAsia="lv-LV"/>
        </w:rPr>
        <w:t>–</w:t>
      </w:r>
      <w:r w:rsidRPr="00620108">
        <w:rPr>
          <w:rFonts w:ascii="Times New Roman" w:hAnsi="Times New Roman"/>
          <w:sz w:val="28"/>
          <w:szCs w:val="28"/>
          <w:lang w:eastAsia="lv-LV"/>
        </w:rPr>
        <w:t xml:space="preserve"> inspicēšanas institūcija), ja tā ir akreditēta Latvijas Nacionālajā akreditācijas birojā atbilstoši standartā LVS</w:t>
      </w:r>
      <w:r w:rsidR="00826BA0" w:rsidRPr="00620108">
        <w:rPr>
          <w:rFonts w:ascii="Times New Roman" w:hAnsi="Times New Roman"/>
          <w:sz w:val="28"/>
          <w:szCs w:val="28"/>
          <w:lang w:eastAsia="lv-LV"/>
        </w:rPr>
        <w:t> </w:t>
      </w:r>
      <w:r w:rsidRPr="00620108">
        <w:rPr>
          <w:rFonts w:ascii="Times New Roman" w:hAnsi="Times New Roman"/>
          <w:sz w:val="28"/>
          <w:szCs w:val="28"/>
          <w:lang w:eastAsia="lv-LV"/>
        </w:rPr>
        <w:t>EN</w:t>
      </w:r>
      <w:r w:rsidR="00826BA0" w:rsidRPr="00620108">
        <w:rPr>
          <w:rFonts w:ascii="Times New Roman" w:hAnsi="Times New Roman"/>
          <w:sz w:val="28"/>
          <w:szCs w:val="28"/>
          <w:lang w:eastAsia="lv-LV"/>
        </w:rPr>
        <w:t> </w:t>
      </w:r>
      <w:r w:rsidRPr="00620108">
        <w:rPr>
          <w:rFonts w:ascii="Times New Roman" w:hAnsi="Times New Roman"/>
          <w:sz w:val="28"/>
          <w:szCs w:val="28"/>
          <w:lang w:eastAsia="lv-LV"/>
        </w:rPr>
        <w:t xml:space="preserve">ISO/IEC 17020:2005 </w:t>
      </w:r>
      <w:r w:rsidR="00826BA0" w:rsidRPr="00620108">
        <w:rPr>
          <w:rFonts w:ascii="Times New Roman" w:hAnsi="Times New Roman"/>
          <w:sz w:val="28"/>
          <w:szCs w:val="28"/>
          <w:lang w:eastAsia="lv-LV"/>
        </w:rPr>
        <w:t>"</w:t>
      </w:r>
      <w:r w:rsidRPr="00620108">
        <w:rPr>
          <w:rFonts w:ascii="Times New Roman" w:hAnsi="Times New Roman"/>
          <w:sz w:val="28"/>
          <w:szCs w:val="28"/>
          <w:lang w:eastAsia="lv-LV"/>
        </w:rPr>
        <w:t>Galvenie kritēriji dažād</w:t>
      </w:r>
      <w:r w:rsidR="00D36582">
        <w:rPr>
          <w:rFonts w:ascii="Times New Roman" w:hAnsi="Times New Roman"/>
          <w:sz w:val="28"/>
          <w:szCs w:val="28"/>
          <w:lang w:eastAsia="lv-LV"/>
        </w:rPr>
        <w:t>u</w:t>
      </w:r>
      <w:r w:rsidRPr="00620108">
        <w:rPr>
          <w:rFonts w:ascii="Times New Roman" w:hAnsi="Times New Roman"/>
          <w:sz w:val="28"/>
          <w:szCs w:val="28"/>
          <w:lang w:eastAsia="lv-LV"/>
        </w:rPr>
        <w:t xml:space="preserve"> veid</w:t>
      </w:r>
      <w:r w:rsidR="00D36582">
        <w:rPr>
          <w:rFonts w:ascii="Times New Roman" w:hAnsi="Times New Roman"/>
          <w:sz w:val="28"/>
          <w:szCs w:val="28"/>
          <w:lang w:eastAsia="lv-LV"/>
        </w:rPr>
        <w:t>u</w:t>
      </w:r>
      <w:r w:rsidRPr="00620108">
        <w:rPr>
          <w:rFonts w:ascii="Times New Roman" w:hAnsi="Times New Roman"/>
          <w:sz w:val="28"/>
          <w:szCs w:val="28"/>
          <w:lang w:eastAsia="lv-LV"/>
        </w:rPr>
        <w:t xml:space="preserve"> institūcijām, kas veic inspekciju</w:t>
      </w:r>
      <w:r w:rsidR="00274410" w:rsidRPr="00620108">
        <w:rPr>
          <w:rFonts w:ascii="Times New Roman" w:hAnsi="Times New Roman"/>
          <w:sz w:val="28"/>
          <w:szCs w:val="28"/>
          <w:lang w:eastAsia="lv-LV"/>
        </w:rPr>
        <w:t>"</w:t>
      </w:r>
      <w:r w:rsidRPr="00620108">
        <w:rPr>
          <w:rFonts w:ascii="Times New Roman" w:hAnsi="Times New Roman"/>
          <w:sz w:val="28"/>
          <w:szCs w:val="28"/>
          <w:lang w:eastAsia="lv-LV"/>
        </w:rPr>
        <w:t xml:space="preserve"> noteiktajiem kritērijiem un šajos </w:t>
      </w:r>
      <w:r w:rsidR="00620108">
        <w:rPr>
          <w:rFonts w:ascii="Times New Roman" w:hAnsi="Times New Roman"/>
          <w:sz w:val="28"/>
          <w:szCs w:val="28"/>
          <w:lang w:eastAsia="lv-LV"/>
        </w:rPr>
        <w:t>noteikumos noteiktajām prasībām.</w:t>
      </w:r>
    </w:p>
    <w:p w14:paraId="0D8A2CC0" w14:textId="77777777" w:rsidR="001E1B3F" w:rsidRPr="00620108" w:rsidRDefault="001E1B3F" w:rsidP="000B2E37">
      <w:pPr>
        <w:spacing w:after="0" w:line="240" w:lineRule="auto"/>
        <w:ind w:right="-1" w:firstLine="720"/>
        <w:jc w:val="both"/>
        <w:rPr>
          <w:rFonts w:ascii="Times New Roman" w:hAnsi="Times New Roman"/>
          <w:sz w:val="28"/>
          <w:szCs w:val="28"/>
          <w:lang w:eastAsia="lv-LV"/>
        </w:rPr>
      </w:pPr>
      <w:bookmarkStart w:id="5" w:name="p6"/>
      <w:bookmarkEnd w:id="5"/>
    </w:p>
    <w:p w14:paraId="0D8A2CC1" w14:textId="16262CB9" w:rsidR="001E1B3F" w:rsidRPr="00620108" w:rsidRDefault="001E1B3F" w:rsidP="000B2E37">
      <w:pPr>
        <w:spacing w:after="0" w:line="240" w:lineRule="auto"/>
        <w:ind w:right="-1" w:firstLine="720"/>
        <w:jc w:val="both"/>
        <w:rPr>
          <w:rFonts w:ascii="Times New Roman" w:hAnsi="Times New Roman"/>
          <w:sz w:val="28"/>
          <w:szCs w:val="28"/>
          <w:lang w:eastAsia="lv-LV"/>
        </w:rPr>
      </w:pPr>
      <w:r w:rsidRPr="00620108">
        <w:rPr>
          <w:rFonts w:ascii="Times New Roman" w:hAnsi="Times New Roman"/>
          <w:sz w:val="28"/>
          <w:szCs w:val="28"/>
          <w:lang w:eastAsia="lv-LV"/>
        </w:rPr>
        <w:lastRenderedPageBreak/>
        <w:t>5. Latvijas Nacionālais akreditācijas birojs novērtē un regulāri pārbauda inspicēšanas institūcijas atbilstību šo noteikumu 4.punktā minētajām prasībām.</w:t>
      </w:r>
    </w:p>
    <w:p w14:paraId="0D8A2CC2" w14:textId="77777777" w:rsidR="001E1B3F" w:rsidRPr="00620108" w:rsidRDefault="001E1B3F" w:rsidP="000B2E37">
      <w:pPr>
        <w:spacing w:after="0" w:line="240" w:lineRule="auto"/>
        <w:ind w:right="-1" w:firstLine="720"/>
        <w:jc w:val="both"/>
        <w:rPr>
          <w:rFonts w:ascii="Times New Roman" w:hAnsi="Times New Roman"/>
          <w:sz w:val="28"/>
          <w:szCs w:val="28"/>
          <w:lang w:eastAsia="lv-LV"/>
        </w:rPr>
      </w:pPr>
      <w:bookmarkStart w:id="6" w:name="p7"/>
      <w:bookmarkEnd w:id="6"/>
    </w:p>
    <w:p w14:paraId="0D8A2CC3" w14:textId="77777777" w:rsidR="001E1B3F" w:rsidRPr="00620108" w:rsidRDefault="001E1B3F" w:rsidP="000B2E37">
      <w:pPr>
        <w:spacing w:after="0" w:line="240" w:lineRule="auto"/>
        <w:ind w:right="-1" w:firstLine="720"/>
        <w:jc w:val="both"/>
        <w:rPr>
          <w:rFonts w:ascii="Times New Roman" w:hAnsi="Times New Roman"/>
          <w:sz w:val="28"/>
          <w:szCs w:val="28"/>
          <w:lang w:eastAsia="lv-LV"/>
        </w:rPr>
      </w:pPr>
      <w:r w:rsidRPr="00620108">
        <w:rPr>
          <w:rFonts w:ascii="Times New Roman" w:hAnsi="Times New Roman"/>
          <w:sz w:val="28"/>
          <w:szCs w:val="28"/>
          <w:lang w:eastAsia="lv-LV"/>
        </w:rPr>
        <w:t>6. Lai novērtētu transportlīdzekļa dzenošā tilta atsperojuma ekvivalenci pneimatiskajam atsperojumam, transportlīdzekļa īpašnieks (turētājs) iesniedz inspicēšanas institūcijā attiecīgu iesniegumu.</w:t>
      </w:r>
    </w:p>
    <w:p w14:paraId="0D8A2CC4" w14:textId="77777777" w:rsidR="001E1B3F" w:rsidRPr="00620108" w:rsidRDefault="001E1B3F" w:rsidP="000B2E37">
      <w:pPr>
        <w:spacing w:after="0" w:line="240" w:lineRule="auto"/>
        <w:ind w:right="-1" w:firstLine="720"/>
        <w:jc w:val="both"/>
        <w:rPr>
          <w:rFonts w:ascii="Times New Roman" w:hAnsi="Times New Roman"/>
          <w:sz w:val="28"/>
          <w:szCs w:val="28"/>
          <w:lang w:eastAsia="lv-LV"/>
        </w:rPr>
      </w:pPr>
      <w:bookmarkStart w:id="7" w:name="p8"/>
      <w:bookmarkEnd w:id="7"/>
    </w:p>
    <w:p w14:paraId="0D8A2CC5" w14:textId="77777777" w:rsidR="001E1B3F" w:rsidRPr="00620108" w:rsidRDefault="001E1B3F" w:rsidP="000B2E37">
      <w:pPr>
        <w:spacing w:after="0" w:line="240" w:lineRule="auto"/>
        <w:ind w:right="-1" w:firstLine="720"/>
        <w:jc w:val="both"/>
        <w:rPr>
          <w:rFonts w:ascii="Times New Roman" w:hAnsi="Times New Roman"/>
          <w:sz w:val="28"/>
          <w:szCs w:val="28"/>
          <w:lang w:eastAsia="lv-LV"/>
        </w:rPr>
      </w:pPr>
      <w:r w:rsidRPr="00620108">
        <w:rPr>
          <w:rFonts w:ascii="Times New Roman" w:hAnsi="Times New Roman"/>
          <w:sz w:val="28"/>
          <w:szCs w:val="28"/>
          <w:lang w:eastAsia="lv-LV"/>
        </w:rPr>
        <w:t>7. Inspicēšanas institūcija reģistrē iesniegumu un piecu darbdienu laikā informē tā iesniedzēju par transportlīdzekļa novērtēšanas vietu un laiku. Transportlīdzekli novērtē 15 darbdienu laikā pēc iesnieguma reģistrēšanas.</w:t>
      </w:r>
    </w:p>
    <w:p w14:paraId="0D8A2CC6" w14:textId="77777777" w:rsidR="001E1B3F" w:rsidRPr="00620108" w:rsidRDefault="001E1B3F" w:rsidP="000B2E37">
      <w:pPr>
        <w:spacing w:after="0" w:line="240" w:lineRule="auto"/>
        <w:ind w:right="-1" w:firstLine="720"/>
        <w:jc w:val="both"/>
        <w:rPr>
          <w:rFonts w:ascii="Times New Roman" w:hAnsi="Times New Roman"/>
          <w:sz w:val="28"/>
          <w:szCs w:val="28"/>
          <w:lang w:eastAsia="lv-LV"/>
        </w:rPr>
      </w:pPr>
    </w:p>
    <w:p w14:paraId="0D8A2CC7" w14:textId="77777777" w:rsidR="001E1B3F" w:rsidRPr="00620108" w:rsidRDefault="001E1B3F" w:rsidP="000B2E37">
      <w:pPr>
        <w:spacing w:after="0" w:line="240" w:lineRule="auto"/>
        <w:ind w:right="-1" w:firstLine="720"/>
        <w:jc w:val="both"/>
        <w:rPr>
          <w:rFonts w:ascii="Times New Roman" w:hAnsi="Times New Roman"/>
          <w:sz w:val="28"/>
          <w:szCs w:val="28"/>
          <w:lang w:eastAsia="lv-LV"/>
        </w:rPr>
      </w:pPr>
      <w:bookmarkStart w:id="8" w:name="p9"/>
      <w:bookmarkEnd w:id="8"/>
      <w:r w:rsidRPr="00620108">
        <w:rPr>
          <w:rFonts w:ascii="Times New Roman" w:hAnsi="Times New Roman"/>
          <w:sz w:val="28"/>
          <w:szCs w:val="28"/>
          <w:lang w:eastAsia="lv-LV"/>
        </w:rPr>
        <w:t>8. Novērtējot transportlīdzekli, inspicēšanas institūcija veic šo noteikumu 1.pielikumā minētos testus un aprēķinus un sniedz atzinumu par transportlīdzekļa atbilstību šo noteikumu 1.pielikumā minētajām prasībām.</w:t>
      </w:r>
    </w:p>
    <w:p w14:paraId="0D8A2CC8" w14:textId="77777777" w:rsidR="001E1B3F" w:rsidRPr="00620108" w:rsidRDefault="001E1B3F" w:rsidP="000B2E37">
      <w:pPr>
        <w:spacing w:after="0" w:line="240" w:lineRule="auto"/>
        <w:ind w:right="-1" w:firstLine="720"/>
        <w:jc w:val="both"/>
        <w:rPr>
          <w:rFonts w:ascii="Times New Roman" w:hAnsi="Times New Roman"/>
          <w:sz w:val="28"/>
          <w:szCs w:val="28"/>
          <w:lang w:eastAsia="lv-LV"/>
        </w:rPr>
      </w:pPr>
      <w:bookmarkStart w:id="9" w:name="p10"/>
      <w:bookmarkEnd w:id="9"/>
    </w:p>
    <w:p w14:paraId="0D8A2CC9" w14:textId="77777777" w:rsidR="001E1B3F" w:rsidRPr="00620108" w:rsidRDefault="001E1B3F" w:rsidP="000B2E37">
      <w:pPr>
        <w:spacing w:after="0" w:line="240" w:lineRule="auto"/>
        <w:ind w:right="-1" w:firstLine="720"/>
        <w:jc w:val="both"/>
        <w:rPr>
          <w:rFonts w:ascii="Times New Roman" w:hAnsi="Times New Roman"/>
          <w:sz w:val="28"/>
          <w:szCs w:val="28"/>
          <w:lang w:eastAsia="lv-LV"/>
        </w:rPr>
      </w:pPr>
      <w:r w:rsidRPr="00620108">
        <w:rPr>
          <w:rFonts w:ascii="Times New Roman" w:hAnsi="Times New Roman"/>
          <w:sz w:val="28"/>
          <w:szCs w:val="28"/>
          <w:lang w:eastAsia="lv-LV"/>
        </w:rPr>
        <w:t>9. Ja inspicēšanas institūcija konstatē, ka transportlīdzekļa dzenošā tilta atsperojums ir ekvivalents pneimatiskajam atsperojumam, tā pieņem lēmumu izsniegt apliecinājumu par dzenošā tilta atsperojuma ekvivalenci pneimatis</w:t>
      </w:r>
      <w:r w:rsidRPr="00620108">
        <w:rPr>
          <w:rFonts w:ascii="Times New Roman" w:hAnsi="Times New Roman"/>
          <w:sz w:val="28"/>
          <w:szCs w:val="28"/>
          <w:lang w:eastAsia="lv-LV"/>
        </w:rPr>
        <w:softHyphen/>
        <w:t>kajam atsperojumam (2.pielikums) un izdara attiecīgu atzīmi Transportlīdzekļu un to vadītāju valsts reģistrā.</w:t>
      </w:r>
    </w:p>
    <w:p w14:paraId="0D8A2CCA" w14:textId="77777777" w:rsidR="001E1B3F" w:rsidRPr="00620108" w:rsidRDefault="001E1B3F" w:rsidP="000B2E37">
      <w:pPr>
        <w:spacing w:after="0" w:line="240" w:lineRule="auto"/>
        <w:ind w:right="-1" w:firstLine="720"/>
        <w:jc w:val="both"/>
        <w:rPr>
          <w:rFonts w:ascii="Times New Roman" w:hAnsi="Times New Roman"/>
          <w:sz w:val="28"/>
          <w:szCs w:val="28"/>
          <w:lang w:eastAsia="lv-LV"/>
        </w:rPr>
      </w:pPr>
      <w:bookmarkStart w:id="10" w:name="p11"/>
      <w:bookmarkEnd w:id="10"/>
    </w:p>
    <w:p w14:paraId="0D8A2CCB" w14:textId="77777777" w:rsidR="001E1B3F" w:rsidRPr="00620108" w:rsidRDefault="001E1B3F" w:rsidP="000B2E37">
      <w:pPr>
        <w:spacing w:after="0" w:line="240" w:lineRule="auto"/>
        <w:ind w:right="-1" w:firstLine="720"/>
        <w:jc w:val="both"/>
        <w:rPr>
          <w:rFonts w:ascii="Times New Roman" w:hAnsi="Times New Roman"/>
          <w:sz w:val="28"/>
          <w:szCs w:val="28"/>
          <w:lang w:eastAsia="lv-LV"/>
        </w:rPr>
      </w:pPr>
      <w:r w:rsidRPr="00620108">
        <w:rPr>
          <w:rFonts w:ascii="Times New Roman" w:hAnsi="Times New Roman"/>
          <w:sz w:val="28"/>
          <w:szCs w:val="28"/>
          <w:lang w:eastAsia="lv-LV"/>
        </w:rPr>
        <w:t>10. Ja inspicēšanas institūcija konstatē, ka transportlīdzekļa dzenošā tilta atsperojums nav ekvivalents pneimatiskajam atsperojumam, tā pieņem lēmumu par atteikumu izsniegt šo noteikumu 9.punktā minēto apliecinājumu un rakstiski informē par to transportlīdzekļa īpašnieku, pamatojot atteikuma iemeslu, kā arī norāda kārtību, kādā pieņemto lēmumu iespējams apstrīdēt.</w:t>
      </w:r>
    </w:p>
    <w:p w14:paraId="0D8A2CCC" w14:textId="77777777" w:rsidR="001E1B3F" w:rsidRPr="00620108" w:rsidRDefault="001E1B3F" w:rsidP="000B2E37">
      <w:pPr>
        <w:spacing w:after="0" w:line="240" w:lineRule="auto"/>
        <w:ind w:right="-1" w:firstLine="720"/>
        <w:jc w:val="both"/>
        <w:rPr>
          <w:rFonts w:ascii="Times New Roman" w:hAnsi="Times New Roman"/>
          <w:sz w:val="28"/>
          <w:szCs w:val="28"/>
          <w:lang w:eastAsia="lv-LV"/>
        </w:rPr>
      </w:pPr>
    </w:p>
    <w:p w14:paraId="0D8A2CCD" w14:textId="23FD0F63" w:rsidR="001E1B3F" w:rsidRPr="00620108" w:rsidRDefault="001E1B3F" w:rsidP="000B2E37">
      <w:pPr>
        <w:pStyle w:val="Footer"/>
        <w:spacing w:after="0" w:line="240" w:lineRule="auto"/>
        <w:ind w:right="-1" w:firstLine="720"/>
        <w:jc w:val="both"/>
        <w:rPr>
          <w:rFonts w:ascii="Times New Roman" w:hAnsi="Times New Roman"/>
          <w:b/>
          <w:bCs/>
          <w:sz w:val="28"/>
          <w:szCs w:val="28"/>
          <w:lang w:eastAsia="lv-LV"/>
        </w:rPr>
      </w:pPr>
      <w:r w:rsidRPr="00620108">
        <w:rPr>
          <w:rFonts w:ascii="Times New Roman" w:hAnsi="Times New Roman"/>
          <w:sz w:val="28"/>
          <w:szCs w:val="28"/>
          <w:lang w:eastAsia="lv-LV"/>
        </w:rPr>
        <w:tab/>
        <w:t>11.</w:t>
      </w:r>
      <w:r w:rsidR="00826BA0" w:rsidRPr="00620108">
        <w:rPr>
          <w:rFonts w:ascii="Times New Roman" w:hAnsi="Times New Roman"/>
          <w:sz w:val="28"/>
          <w:szCs w:val="28"/>
          <w:lang w:eastAsia="lv-LV"/>
        </w:rPr>
        <w:t> </w:t>
      </w:r>
      <w:r w:rsidRPr="00620108">
        <w:rPr>
          <w:rFonts w:ascii="Times New Roman" w:hAnsi="Times New Roman"/>
          <w:sz w:val="28"/>
          <w:szCs w:val="28"/>
          <w:lang w:eastAsia="lv-LV"/>
        </w:rPr>
        <w:t xml:space="preserve">Atzīt par spēku zaudējušiem Ministru kabineta 2005.gada 12.jūlija noteikumus Nr.500 </w:t>
      </w:r>
      <w:r w:rsidR="00274410" w:rsidRPr="00620108">
        <w:rPr>
          <w:rFonts w:ascii="Times New Roman" w:hAnsi="Times New Roman"/>
          <w:sz w:val="28"/>
          <w:szCs w:val="28"/>
        </w:rPr>
        <w:t>"</w:t>
      </w:r>
      <w:r w:rsidRPr="00620108">
        <w:rPr>
          <w:rFonts w:ascii="Times New Roman" w:hAnsi="Times New Roman"/>
          <w:sz w:val="28"/>
          <w:szCs w:val="28"/>
        </w:rPr>
        <w:t>Kārtība, kādā nosakāma dzenošā tilta atsperojuma ekvivalence pneimatiskajam atsperojumam</w:t>
      </w:r>
      <w:r w:rsidR="00274410" w:rsidRPr="00620108">
        <w:rPr>
          <w:rFonts w:ascii="Times New Roman" w:hAnsi="Times New Roman"/>
          <w:sz w:val="28"/>
          <w:szCs w:val="28"/>
        </w:rPr>
        <w:t>"</w:t>
      </w:r>
      <w:r w:rsidRPr="00620108">
        <w:rPr>
          <w:rFonts w:ascii="Times New Roman" w:hAnsi="Times New Roman"/>
          <w:sz w:val="28"/>
          <w:szCs w:val="28"/>
        </w:rPr>
        <w:t xml:space="preserve"> (Latvijas Vēstnesis, 2005, 111.nr.). </w:t>
      </w:r>
      <w:bookmarkStart w:id="11" w:name="213721"/>
      <w:bookmarkEnd w:id="11"/>
    </w:p>
    <w:p w14:paraId="0D8A2CCE" w14:textId="77777777" w:rsidR="001E1B3F" w:rsidRPr="00620108" w:rsidRDefault="001E1B3F" w:rsidP="000B2E37">
      <w:pPr>
        <w:spacing w:after="0" w:line="240" w:lineRule="auto"/>
        <w:ind w:right="-1" w:firstLine="720"/>
        <w:jc w:val="both"/>
        <w:rPr>
          <w:rFonts w:ascii="Times New Roman" w:hAnsi="Times New Roman"/>
          <w:sz w:val="28"/>
          <w:szCs w:val="28"/>
          <w:lang w:eastAsia="lv-LV"/>
        </w:rPr>
      </w:pPr>
    </w:p>
    <w:p w14:paraId="39FD5DD7" w14:textId="77777777" w:rsidR="00D07FA8" w:rsidRPr="00620108" w:rsidRDefault="00D07FA8" w:rsidP="000B2E37">
      <w:pPr>
        <w:spacing w:after="0" w:line="240" w:lineRule="auto"/>
        <w:ind w:right="-1" w:firstLine="720"/>
        <w:jc w:val="both"/>
        <w:rPr>
          <w:rFonts w:ascii="Times New Roman" w:hAnsi="Times New Roman"/>
          <w:sz w:val="28"/>
          <w:szCs w:val="28"/>
          <w:lang w:eastAsia="lv-LV"/>
        </w:rPr>
      </w:pPr>
    </w:p>
    <w:p w14:paraId="4805CB82" w14:textId="77777777" w:rsidR="00D07FA8" w:rsidRPr="00620108" w:rsidRDefault="00D07FA8" w:rsidP="000B2E37">
      <w:pPr>
        <w:tabs>
          <w:tab w:val="left" w:pos="6804"/>
        </w:tabs>
        <w:spacing w:after="0" w:line="240" w:lineRule="auto"/>
        <w:ind w:right="-1" w:firstLine="720"/>
        <w:jc w:val="both"/>
        <w:rPr>
          <w:rFonts w:ascii="Times New Roman" w:hAnsi="Times New Roman"/>
          <w:sz w:val="28"/>
          <w:szCs w:val="28"/>
          <w:lang w:eastAsia="lv-LV"/>
        </w:rPr>
      </w:pPr>
    </w:p>
    <w:p w14:paraId="0D8A2CCF" w14:textId="7A061E40" w:rsidR="001E1B3F" w:rsidRPr="00620108" w:rsidRDefault="001E1B3F" w:rsidP="000B2E37">
      <w:pPr>
        <w:tabs>
          <w:tab w:val="left" w:pos="6804"/>
        </w:tabs>
        <w:spacing w:after="0" w:line="240" w:lineRule="auto"/>
        <w:ind w:right="-1" w:firstLine="720"/>
        <w:jc w:val="both"/>
        <w:rPr>
          <w:rFonts w:ascii="Times New Roman" w:hAnsi="Times New Roman"/>
          <w:sz w:val="28"/>
          <w:szCs w:val="28"/>
          <w:lang w:eastAsia="lv-LV"/>
        </w:rPr>
      </w:pPr>
      <w:r w:rsidRPr="00620108">
        <w:rPr>
          <w:rFonts w:ascii="Times New Roman" w:hAnsi="Times New Roman"/>
          <w:sz w:val="28"/>
          <w:szCs w:val="28"/>
          <w:lang w:eastAsia="lv-LV"/>
        </w:rPr>
        <w:t xml:space="preserve">Ministru prezidents </w:t>
      </w:r>
      <w:r w:rsidRPr="00620108">
        <w:rPr>
          <w:rFonts w:ascii="Times New Roman" w:hAnsi="Times New Roman"/>
          <w:sz w:val="28"/>
          <w:szCs w:val="28"/>
          <w:lang w:eastAsia="lv-LV"/>
        </w:rPr>
        <w:tab/>
        <w:t>V.Dombrovskis</w:t>
      </w:r>
    </w:p>
    <w:p w14:paraId="0D8A2CD0" w14:textId="77777777" w:rsidR="001E1B3F" w:rsidRPr="00620108" w:rsidRDefault="001E1B3F" w:rsidP="000B2E37">
      <w:pPr>
        <w:tabs>
          <w:tab w:val="left" w:pos="6804"/>
        </w:tabs>
        <w:spacing w:after="0" w:line="240" w:lineRule="auto"/>
        <w:ind w:right="-1" w:firstLine="720"/>
        <w:jc w:val="both"/>
        <w:rPr>
          <w:rFonts w:ascii="Times New Roman" w:hAnsi="Times New Roman"/>
          <w:sz w:val="28"/>
          <w:szCs w:val="28"/>
          <w:lang w:eastAsia="lv-LV"/>
        </w:rPr>
      </w:pPr>
    </w:p>
    <w:p w14:paraId="215D223B" w14:textId="77777777" w:rsidR="00D07FA8" w:rsidRPr="00620108" w:rsidRDefault="00D07FA8" w:rsidP="000B2E37">
      <w:pPr>
        <w:tabs>
          <w:tab w:val="left" w:pos="6804"/>
        </w:tabs>
        <w:spacing w:after="0" w:line="240" w:lineRule="auto"/>
        <w:ind w:right="-1" w:firstLine="720"/>
        <w:jc w:val="both"/>
        <w:rPr>
          <w:rFonts w:ascii="Times New Roman" w:hAnsi="Times New Roman"/>
          <w:sz w:val="28"/>
          <w:szCs w:val="28"/>
          <w:lang w:eastAsia="lv-LV"/>
        </w:rPr>
      </w:pPr>
    </w:p>
    <w:p w14:paraId="0CF6E969" w14:textId="77777777" w:rsidR="00D07FA8" w:rsidRPr="00620108" w:rsidRDefault="00D07FA8" w:rsidP="000B2E37">
      <w:pPr>
        <w:tabs>
          <w:tab w:val="left" w:pos="6804"/>
        </w:tabs>
        <w:spacing w:after="0" w:line="240" w:lineRule="auto"/>
        <w:ind w:right="-1" w:firstLine="720"/>
        <w:jc w:val="both"/>
        <w:rPr>
          <w:rFonts w:ascii="Times New Roman" w:hAnsi="Times New Roman"/>
          <w:sz w:val="28"/>
          <w:szCs w:val="28"/>
          <w:lang w:eastAsia="lv-LV"/>
        </w:rPr>
      </w:pPr>
    </w:p>
    <w:p w14:paraId="0D8A2CD1" w14:textId="03544A03" w:rsidR="001E1B3F" w:rsidRPr="00620108" w:rsidRDefault="001E1B3F" w:rsidP="000B2E37">
      <w:pPr>
        <w:tabs>
          <w:tab w:val="left" w:pos="6804"/>
        </w:tabs>
        <w:spacing w:after="0" w:line="240" w:lineRule="auto"/>
        <w:ind w:right="-1" w:firstLine="720"/>
        <w:jc w:val="both"/>
        <w:rPr>
          <w:rFonts w:ascii="Times New Roman" w:hAnsi="Times New Roman"/>
          <w:sz w:val="28"/>
          <w:szCs w:val="28"/>
          <w:lang w:eastAsia="lv-LV"/>
        </w:rPr>
      </w:pPr>
      <w:r w:rsidRPr="00620108">
        <w:rPr>
          <w:rFonts w:ascii="Times New Roman" w:hAnsi="Times New Roman"/>
          <w:sz w:val="28"/>
          <w:szCs w:val="28"/>
          <w:lang w:eastAsia="lv-LV"/>
        </w:rPr>
        <w:t xml:space="preserve">Satiksmes ministrs </w:t>
      </w:r>
      <w:r w:rsidRPr="00620108">
        <w:rPr>
          <w:rFonts w:ascii="Times New Roman" w:hAnsi="Times New Roman"/>
          <w:sz w:val="28"/>
          <w:szCs w:val="28"/>
          <w:lang w:eastAsia="lv-LV"/>
        </w:rPr>
        <w:tab/>
        <w:t>A.Ronis</w:t>
      </w:r>
    </w:p>
    <w:p w14:paraId="0D8A2CD2" w14:textId="77777777" w:rsidR="001E1B3F" w:rsidRPr="00620108" w:rsidRDefault="001E1B3F" w:rsidP="000B2E37">
      <w:pPr>
        <w:spacing w:after="0" w:line="240" w:lineRule="auto"/>
        <w:ind w:right="-1"/>
        <w:jc w:val="both"/>
        <w:rPr>
          <w:rFonts w:ascii="Times New Roman" w:hAnsi="Times New Roman"/>
          <w:sz w:val="28"/>
          <w:szCs w:val="28"/>
          <w:lang w:eastAsia="lv-LV"/>
        </w:rPr>
      </w:pPr>
      <w:bookmarkStart w:id="12" w:name="piel1"/>
      <w:bookmarkEnd w:id="12"/>
    </w:p>
    <w:p w14:paraId="0D8A2CDC" w14:textId="155586CB" w:rsidR="001E1B3F" w:rsidRPr="00620108" w:rsidRDefault="001E1B3F" w:rsidP="00D07FA8">
      <w:pPr>
        <w:spacing w:after="0" w:line="240" w:lineRule="auto"/>
        <w:ind w:right="-335"/>
        <w:jc w:val="both"/>
        <w:rPr>
          <w:rFonts w:ascii="Times New Roman" w:hAnsi="Times New Roman"/>
        </w:rPr>
      </w:pPr>
      <w:r w:rsidRPr="00620108">
        <w:rPr>
          <w:rFonts w:ascii="Times New Roman" w:hAnsi="Times New Roman"/>
          <w:sz w:val="28"/>
          <w:szCs w:val="28"/>
        </w:rPr>
        <w:tab/>
      </w:r>
    </w:p>
    <w:sectPr w:rsidR="001E1B3F" w:rsidRPr="00620108" w:rsidSect="00D07FA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A2CE2" w14:textId="77777777" w:rsidR="00494E48" w:rsidRDefault="00494E48">
      <w:r>
        <w:separator/>
      </w:r>
    </w:p>
  </w:endnote>
  <w:endnote w:type="continuationSeparator" w:id="0">
    <w:p w14:paraId="0D8A2CE3" w14:textId="77777777" w:rsidR="00494E48" w:rsidRDefault="0049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E9E83" w14:textId="37D8E88D" w:rsidR="00494E48" w:rsidRPr="00D07FA8" w:rsidRDefault="00494E48" w:rsidP="00D07FA8">
    <w:pPr>
      <w:pStyle w:val="Footer"/>
      <w:spacing w:after="0" w:line="240" w:lineRule="auto"/>
      <w:rPr>
        <w:rFonts w:ascii="Times New Roman" w:hAnsi="Times New Roman"/>
        <w:sz w:val="16"/>
        <w:szCs w:val="16"/>
      </w:rPr>
    </w:pPr>
    <w:r w:rsidRPr="00D07FA8">
      <w:rPr>
        <w:rFonts w:ascii="Times New Roman" w:hAnsi="Times New Roman"/>
        <w:sz w:val="16"/>
        <w:szCs w:val="16"/>
      </w:rPr>
      <w:t>N2502_2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643BE" w14:textId="78F1B956" w:rsidR="00494E48" w:rsidRPr="00D07FA8" w:rsidRDefault="00494E48" w:rsidP="00D07FA8">
    <w:pPr>
      <w:pStyle w:val="Footer"/>
      <w:spacing w:after="0" w:line="240" w:lineRule="auto"/>
      <w:rPr>
        <w:rFonts w:ascii="Times New Roman" w:hAnsi="Times New Roman"/>
        <w:sz w:val="16"/>
        <w:szCs w:val="16"/>
      </w:rPr>
    </w:pPr>
    <w:r w:rsidRPr="00D07FA8">
      <w:rPr>
        <w:rFonts w:ascii="Times New Roman" w:hAnsi="Times New Roman"/>
        <w:sz w:val="16"/>
        <w:szCs w:val="16"/>
      </w:rPr>
      <w:t>N2502_2</w:t>
    </w:r>
    <w:r>
      <w:rPr>
        <w:rFonts w:ascii="Times New Roman" w:hAnsi="Times New Roman"/>
        <w:sz w:val="16"/>
        <w:szCs w:val="16"/>
      </w:rPr>
      <w:t xml:space="preserve"> </w:t>
    </w:r>
    <w:proofErr w:type="spellStart"/>
    <w:r>
      <w:rPr>
        <w:rFonts w:ascii="Times New Roman" w:hAnsi="Times New Roman"/>
        <w:sz w:val="16"/>
        <w:szCs w:val="16"/>
      </w:rPr>
      <w:t>v_sk</w:t>
    </w:r>
    <w:proofErr w:type="spellEnd"/>
    <w:r>
      <w:rPr>
        <w:rFonts w:ascii="Times New Roman" w:hAnsi="Times New Roman"/>
        <w:sz w:val="16"/>
        <w:szCs w:val="16"/>
      </w:rPr>
      <w:t xml:space="preserve">. = </w:t>
    </w:r>
    <w:r>
      <w:rPr>
        <w:rFonts w:ascii="Times New Roman" w:hAnsi="Times New Roman"/>
        <w:sz w:val="16"/>
        <w:szCs w:val="16"/>
      </w:rPr>
      <w:fldChar w:fldCharType="begin"/>
    </w:r>
    <w:r>
      <w:rPr>
        <w:rFonts w:ascii="Times New Roman" w:hAnsi="Times New Roman"/>
        <w:sz w:val="16"/>
        <w:szCs w:val="16"/>
      </w:rPr>
      <w:instrText xml:space="preserve"> NUMWORDS  \* MERGEFORMAT </w:instrText>
    </w:r>
    <w:r>
      <w:rPr>
        <w:rFonts w:ascii="Times New Roman" w:hAnsi="Times New Roman"/>
        <w:sz w:val="16"/>
        <w:szCs w:val="16"/>
      </w:rPr>
      <w:fldChar w:fldCharType="separate"/>
    </w:r>
    <w:r w:rsidR="00F46000">
      <w:rPr>
        <w:rFonts w:ascii="Times New Roman" w:hAnsi="Times New Roman"/>
        <w:noProof/>
        <w:sz w:val="16"/>
        <w:szCs w:val="16"/>
      </w:rPr>
      <w:t>354</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A2CE0" w14:textId="77777777" w:rsidR="00494E48" w:rsidRDefault="00494E48">
      <w:r>
        <w:separator/>
      </w:r>
    </w:p>
  </w:footnote>
  <w:footnote w:type="continuationSeparator" w:id="0">
    <w:p w14:paraId="0D8A2CE1" w14:textId="77777777" w:rsidR="00494E48" w:rsidRDefault="0049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A2CE5" w14:textId="6AB5FE78" w:rsidR="00494E48" w:rsidRPr="00D07FA8" w:rsidRDefault="00494E48" w:rsidP="00D07FA8">
    <w:pPr>
      <w:pStyle w:val="Header"/>
      <w:jc w:val="center"/>
      <w:rPr>
        <w:rFonts w:ascii="Times New Roman" w:hAnsi="Times New Roman"/>
        <w:sz w:val="24"/>
        <w:szCs w:val="24"/>
      </w:rPr>
    </w:pPr>
    <w:r w:rsidRPr="00D07FA8">
      <w:rPr>
        <w:rFonts w:ascii="Times New Roman" w:hAnsi="Times New Roman"/>
        <w:sz w:val="24"/>
        <w:szCs w:val="24"/>
      </w:rPr>
      <w:fldChar w:fldCharType="begin"/>
    </w:r>
    <w:r w:rsidRPr="00D07FA8">
      <w:rPr>
        <w:rFonts w:ascii="Times New Roman" w:hAnsi="Times New Roman"/>
        <w:sz w:val="24"/>
        <w:szCs w:val="24"/>
      </w:rPr>
      <w:instrText xml:space="preserve"> PAGE   \* MERGEFORMAT </w:instrText>
    </w:r>
    <w:r w:rsidRPr="00D07FA8">
      <w:rPr>
        <w:rFonts w:ascii="Times New Roman" w:hAnsi="Times New Roman"/>
        <w:sz w:val="24"/>
        <w:szCs w:val="24"/>
      </w:rPr>
      <w:fldChar w:fldCharType="separate"/>
    </w:r>
    <w:r w:rsidR="00B97A41">
      <w:rPr>
        <w:rFonts w:ascii="Times New Roman" w:hAnsi="Times New Roman"/>
        <w:noProof/>
        <w:sz w:val="24"/>
        <w:szCs w:val="24"/>
      </w:rPr>
      <w:t>2</w:t>
    </w:r>
    <w:r w:rsidRPr="00D07FA8">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C6A6C" w14:textId="28339530" w:rsidR="00494E48" w:rsidRDefault="00B97A41" w:rsidP="00D07FA8">
    <w:pPr>
      <w:pStyle w:val="Header"/>
      <w:jc w:val="center"/>
    </w:pPr>
    <w:r>
      <w:pict w14:anchorId="2C1B2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25pt;height:110.2pt">
          <v:imagedata r:id="rId1" o:title="veidlapas0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DE9"/>
    <w:rsid w:val="00020BB4"/>
    <w:rsid w:val="000309CC"/>
    <w:rsid w:val="00057297"/>
    <w:rsid w:val="00072143"/>
    <w:rsid w:val="000B2E37"/>
    <w:rsid w:val="00194022"/>
    <w:rsid w:val="001E1B3F"/>
    <w:rsid w:val="001E3A3A"/>
    <w:rsid w:val="002337E3"/>
    <w:rsid w:val="00274410"/>
    <w:rsid w:val="00296B1C"/>
    <w:rsid w:val="002F7828"/>
    <w:rsid w:val="00330468"/>
    <w:rsid w:val="00354954"/>
    <w:rsid w:val="003818BA"/>
    <w:rsid w:val="003855FB"/>
    <w:rsid w:val="003A511C"/>
    <w:rsid w:val="003C218A"/>
    <w:rsid w:val="003D7BB9"/>
    <w:rsid w:val="003E5802"/>
    <w:rsid w:val="00403057"/>
    <w:rsid w:val="00404E96"/>
    <w:rsid w:val="004067E7"/>
    <w:rsid w:val="00430A42"/>
    <w:rsid w:val="00494E48"/>
    <w:rsid w:val="004A430C"/>
    <w:rsid w:val="004B4E8B"/>
    <w:rsid w:val="00525C4A"/>
    <w:rsid w:val="00576936"/>
    <w:rsid w:val="0059411A"/>
    <w:rsid w:val="005D5BA7"/>
    <w:rsid w:val="00620108"/>
    <w:rsid w:val="0063671A"/>
    <w:rsid w:val="00643C20"/>
    <w:rsid w:val="00656940"/>
    <w:rsid w:val="006B4691"/>
    <w:rsid w:val="006E5182"/>
    <w:rsid w:val="006E6D78"/>
    <w:rsid w:val="006F152A"/>
    <w:rsid w:val="00732231"/>
    <w:rsid w:val="00751E51"/>
    <w:rsid w:val="00826BA0"/>
    <w:rsid w:val="00845837"/>
    <w:rsid w:val="008A771A"/>
    <w:rsid w:val="008C0D4F"/>
    <w:rsid w:val="008C558F"/>
    <w:rsid w:val="00926FE4"/>
    <w:rsid w:val="009E1C05"/>
    <w:rsid w:val="00A048E0"/>
    <w:rsid w:val="00AA3C8B"/>
    <w:rsid w:val="00AC36DC"/>
    <w:rsid w:val="00AF02E8"/>
    <w:rsid w:val="00B01734"/>
    <w:rsid w:val="00B11F4B"/>
    <w:rsid w:val="00B56887"/>
    <w:rsid w:val="00B60DE9"/>
    <w:rsid w:val="00B7611D"/>
    <w:rsid w:val="00B97A41"/>
    <w:rsid w:val="00C62D86"/>
    <w:rsid w:val="00D07FA8"/>
    <w:rsid w:val="00D36582"/>
    <w:rsid w:val="00D56C33"/>
    <w:rsid w:val="00DA4831"/>
    <w:rsid w:val="00DE3B60"/>
    <w:rsid w:val="00E628AD"/>
    <w:rsid w:val="00EB5643"/>
    <w:rsid w:val="00F22723"/>
    <w:rsid w:val="00F46000"/>
    <w:rsid w:val="00FA7F4E"/>
    <w:rsid w:val="00FC0DD9"/>
    <w:rsid w:val="00FD1C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0D8A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4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0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DE9"/>
    <w:rPr>
      <w:rFonts w:ascii="Tahoma" w:hAnsi="Tahoma" w:cs="Tahoma"/>
      <w:sz w:val="16"/>
      <w:szCs w:val="16"/>
    </w:rPr>
  </w:style>
  <w:style w:type="paragraph" w:styleId="Header">
    <w:name w:val="header"/>
    <w:basedOn w:val="Normal"/>
    <w:link w:val="HeaderChar"/>
    <w:uiPriority w:val="99"/>
    <w:rsid w:val="004A430C"/>
    <w:pPr>
      <w:tabs>
        <w:tab w:val="center" w:pos="4153"/>
        <w:tab w:val="right" w:pos="8306"/>
      </w:tabs>
    </w:pPr>
  </w:style>
  <w:style w:type="character" w:customStyle="1" w:styleId="HeaderChar">
    <w:name w:val="Header Char"/>
    <w:basedOn w:val="DefaultParagraphFont"/>
    <w:link w:val="Header"/>
    <w:uiPriority w:val="99"/>
    <w:locked/>
    <w:rsid w:val="00576936"/>
    <w:rPr>
      <w:rFonts w:cs="Times New Roman"/>
      <w:lang w:eastAsia="en-US"/>
    </w:rPr>
  </w:style>
  <w:style w:type="paragraph" w:styleId="Footer">
    <w:name w:val="footer"/>
    <w:basedOn w:val="Normal"/>
    <w:link w:val="FooterChar"/>
    <w:uiPriority w:val="99"/>
    <w:rsid w:val="004A430C"/>
    <w:pPr>
      <w:tabs>
        <w:tab w:val="center" w:pos="4153"/>
        <w:tab w:val="right" w:pos="8306"/>
      </w:tabs>
    </w:pPr>
  </w:style>
  <w:style w:type="character" w:customStyle="1" w:styleId="FooterChar">
    <w:name w:val="Footer Char"/>
    <w:basedOn w:val="DefaultParagraphFont"/>
    <w:link w:val="Footer"/>
    <w:uiPriority w:val="99"/>
    <w:semiHidden/>
    <w:locked/>
    <w:rsid w:val="00576936"/>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12407">
      <w:marLeft w:val="0"/>
      <w:marRight w:val="0"/>
      <w:marTop w:val="0"/>
      <w:marBottom w:val="0"/>
      <w:divBdr>
        <w:top w:val="none" w:sz="0" w:space="0" w:color="auto"/>
        <w:left w:val="none" w:sz="0" w:space="0" w:color="auto"/>
        <w:bottom w:val="none" w:sz="0" w:space="0" w:color="auto"/>
        <w:right w:val="none" w:sz="0" w:space="0" w:color="auto"/>
      </w:divBdr>
    </w:div>
    <w:div w:id="1188912410">
      <w:marLeft w:val="45"/>
      <w:marRight w:val="45"/>
      <w:marTop w:val="90"/>
      <w:marBottom w:val="90"/>
      <w:divBdr>
        <w:top w:val="none" w:sz="0" w:space="0" w:color="auto"/>
        <w:left w:val="none" w:sz="0" w:space="0" w:color="auto"/>
        <w:bottom w:val="none" w:sz="0" w:space="0" w:color="auto"/>
        <w:right w:val="none" w:sz="0" w:space="0" w:color="auto"/>
      </w:divBdr>
      <w:divsChild>
        <w:div w:id="1188912403">
          <w:marLeft w:val="0"/>
          <w:marRight w:val="0"/>
          <w:marTop w:val="240"/>
          <w:marBottom w:val="0"/>
          <w:divBdr>
            <w:top w:val="none" w:sz="0" w:space="0" w:color="auto"/>
            <w:left w:val="none" w:sz="0" w:space="0" w:color="auto"/>
            <w:bottom w:val="none" w:sz="0" w:space="0" w:color="auto"/>
            <w:right w:val="none" w:sz="0" w:space="0" w:color="auto"/>
          </w:divBdr>
        </w:div>
        <w:div w:id="1188912404">
          <w:marLeft w:val="0"/>
          <w:marRight w:val="0"/>
          <w:marTop w:val="480"/>
          <w:marBottom w:val="0"/>
          <w:divBdr>
            <w:top w:val="single" w:sz="8" w:space="28" w:color="000000"/>
            <w:left w:val="none" w:sz="0" w:space="0" w:color="auto"/>
            <w:bottom w:val="none" w:sz="0" w:space="0" w:color="auto"/>
            <w:right w:val="none" w:sz="0" w:space="0" w:color="auto"/>
          </w:divBdr>
        </w:div>
        <w:div w:id="1188912405">
          <w:marLeft w:val="0"/>
          <w:marRight w:val="0"/>
          <w:marTop w:val="240"/>
          <w:marBottom w:val="0"/>
          <w:divBdr>
            <w:top w:val="none" w:sz="0" w:space="0" w:color="auto"/>
            <w:left w:val="none" w:sz="0" w:space="0" w:color="auto"/>
            <w:bottom w:val="none" w:sz="0" w:space="0" w:color="auto"/>
            <w:right w:val="none" w:sz="0" w:space="0" w:color="auto"/>
          </w:divBdr>
        </w:div>
        <w:div w:id="1188912406">
          <w:marLeft w:val="0"/>
          <w:marRight w:val="0"/>
          <w:marTop w:val="0"/>
          <w:marBottom w:val="567"/>
          <w:divBdr>
            <w:top w:val="none" w:sz="0" w:space="0" w:color="auto"/>
            <w:left w:val="none" w:sz="0" w:space="0" w:color="auto"/>
            <w:bottom w:val="none" w:sz="0" w:space="0" w:color="auto"/>
            <w:right w:val="none" w:sz="0" w:space="0" w:color="auto"/>
          </w:divBdr>
        </w:div>
        <w:div w:id="1188912408">
          <w:marLeft w:val="0"/>
          <w:marRight w:val="0"/>
          <w:marTop w:val="240"/>
          <w:marBottom w:val="0"/>
          <w:divBdr>
            <w:top w:val="none" w:sz="0" w:space="0" w:color="auto"/>
            <w:left w:val="none" w:sz="0" w:space="0" w:color="auto"/>
            <w:bottom w:val="none" w:sz="0" w:space="0" w:color="auto"/>
            <w:right w:val="none" w:sz="0" w:space="0" w:color="auto"/>
          </w:divBdr>
        </w:div>
        <w:div w:id="1188912409">
          <w:marLeft w:val="0"/>
          <w:marRight w:val="0"/>
          <w:marTop w:val="240"/>
          <w:marBottom w:val="0"/>
          <w:divBdr>
            <w:top w:val="none" w:sz="0" w:space="0" w:color="auto"/>
            <w:left w:val="none" w:sz="0" w:space="0" w:color="auto"/>
            <w:bottom w:val="none" w:sz="0" w:space="0" w:color="auto"/>
            <w:right w:val="none" w:sz="0" w:space="0" w:color="auto"/>
          </w:divBdr>
        </w:div>
        <w:div w:id="1188912411">
          <w:marLeft w:val="0"/>
          <w:marRight w:val="0"/>
          <w:marTop w:val="240"/>
          <w:marBottom w:val="0"/>
          <w:divBdr>
            <w:top w:val="none" w:sz="0" w:space="0" w:color="auto"/>
            <w:left w:val="none" w:sz="0" w:space="0" w:color="auto"/>
            <w:bottom w:val="none" w:sz="0" w:space="0" w:color="auto"/>
            <w:right w:val="none" w:sz="0" w:space="0" w:color="auto"/>
          </w:divBdr>
        </w:div>
        <w:div w:id="1188912412">
          <w:marLeft w:val="0"/>
          <w:marRight w:val="0"/>
          <w:marTop w:val="240"/>
          <w:marBottom w:val="0"/>
          <w:divBdr>
            <w:top w:val="none" w:sz="0" w:space="0" w:color="auto"/>
            <w:left w:val="none" w:sz="0" w:space="0" w:color="auto"/>
            <w:bottom w:val="none" w:sz="0" w:space="0" w:color="auto"/>
            <w:right w:val="none" w:sz="0" w:space="0" w:color="auto"/>
          </w:divBdr>
        </w:div>
        <w:div w:id="1188912413">
          <w:marLeft w:val="0"/>
          <w:marRight w:val="0"/>
          <w:marTop w:val="240"/>
          <w:marBottom w:val="0"/>
          <w:divBdr>
            <w:top w:val="none" w:sz="0" w:space="0" w:color="auto"/>
            <w:left w:val="none" w:sz="0" w:space="0" w:color="auto"/>
            <w:bottom w:val="none" w:sz="0" w:space="0" w:color="auto"/>
            <w:right w:val="none" w:sz="0" w:space="0" w:color="auto"/>
          </w:divBdr>
        </w:div>
        <w:div w:id="1188912414">
          <w:marLeft w:val="0"/>
          <w:marRight w:val="0"/>
          <w:marTop w:val="0"/>
          <w:marBottom w:val="567"/>
          <w:divBdr>
            <w:top w:val="none" w:sz="0" w:space="0" w:color="auto"/>
            <w:left w:val="none" w:sz="0" w:space="0" w:color="auto"/>
            <w:bottom w:val="none" w:sz="0" w:space="0" w:color="auto"/>
            <w:right w:val="none" w:sz="0" w:space="0" w:color="auto"/>
          </w:divBdr>
        </w:div>
        <w:div w:id="1188912415">
          <w:marLeft w:val="0"/>
          <w:marRight w:val="0"/>
          <w:marTop w:val="240"/>
          <w:marBottom w:val="0"/>
          <w:divBdr>
            <w:top w:val="none" w:sz="0" w:space="0" w:color="auto"/>
            <w:left w:val="none" w:sz="0" w:space="0" w:color="auto"/>
            <w:bottom w:val="none" w:sz="0" w:space="0" w:color="auto"/>
            <w:right w:val="none" w:sz="0" w:space="0" w:color="auto"/>
          </w:divBdr>
        </w:div>
        <w:div w:id="1188912416">
          <w:marLeft w:val="0"/>
          <w:marRight w:val="0"/>
          <w:marTop w:val="240"/>
          <w:marBottom w:val="0"/>
          <w:divBdr>
            <w:top w:val="none" w:sz="0" w:space="0" w:color="auto"/>
            <w:left w:val="none" w:sz="0" w:space="0" w:color="auto"/>
            <w:bottom w:val="none" w:sz="0" w:space="0" w:color="auto"/>
            <w:right w:val="none" w:sz="0" w:space="0" w:color="auto"/>
          </w:divBdr>
        </w:div>
        <w:div w:id="1188912417">
          <w:marLeft w:val="0"/>
          <w:marRight w:val="0"/>
          <w:marTop w:val="480"/>
          <w:marBottom w:val="240"/>
          <w:divBdr>
            <w:top w:val="none" w:sz="0" w:space="0" w:color="auto"/>
            <w:left w:val="none" w:sz="0" w:space="0" w:color="auto"/>
            <w:bottom w:val="none" w:sz="0" w:space="0" w:color="auto"/>
            <w:right w:val="none" w:sz="0" w:space="0" w:color="auto"/>
          </w:divBdr>
        </w:div>
        <w:div w:id="1188912418">
          <w:marLeft w:val="0"/>
          <w:marRight w:val="0"/>
          <w:marTop w:val="240"/>
          <w:marBottom w:val="0"/>
          <w:divBdr>
            <w:top w:val="none" w:sz="0" w:space="0" w:color="auto"/>
            <w:left w:val="none" w:sz="0" w:space="0" w:color="auto"/>
            <w:bottom w:val="none" w:sz="0" w:space="0" w:color="auto"/>
            <w:right w:val="none" w:sz="0" w:space="0" w:color="auto"/>
          </w:divBdr>
        </w:div>
        <w:div w:id="1188912419">
          <w:marLeft w:val="0"/>
          <w:marRight w:val="0"/>
          <w:marTop w:val="240"/>
          <w:marBottom w:val="0"/>
          <w:divBdr>
            <w:top w:val="none" w:sz="0" w:space="0" w:color="auto"/>
            <w:left w:val="none" w:sz="0" w:space="0" w:color="auto"/>
            <w:bottom w:val="none" w:sz="0" w:space="0" w:color="auto"/>
            <w:right w:val="none" w:sz="0" w:space="0" w:color="auto"/>
          </w:divBdr>
        </w:div>
        <w:div w:id="1188912420">
          <w:marLeft w:val="0"/>
          <w:marRight w:val="0"/>
          <w:marTop w:val="240"/>
          <w:marBottom w:val="0"/>
          <w:divBdr>
            <w:top w:val="none" w:sz="0" w:space="0" w:color="auto"/>
            <w:left w:val="none" w:sz="0" w:space="0" w:color="auto"/>
            <w:bottom w:val="none" w:sz="0" w:space="0" w:color="auto"/>
            <w:right w:val="none" w:sz="0" w:space="0" w:color="auto"/>
          </w:divBdr>
        </w:div>
        <w:div w:id="1188912421">
          <w:marLeft w:val="0"/>
          <w:marRight w:val="0"/>
          <w:marTop w:val="240"/>
          <w:marBottom w:val="0"/>
          <w:divBdr>
            <w:top w:val="none" w:sz="0" w:space="0" w:color="auto"/>
            <w:left w:val="none" w:sz="0" w:space="0" w:color="auto"/>
            <w:bottom w:val="none" w:sz="0" w:space="0" w:color="auto"/>
            <w:right w:val="none" w:sz="0" w:space="0" w:color="auto"/>
          </w:divBdr>
        </w:div>
        <w:div w:id="1188912422">
          <w:marLeft w:val="0"/>
          <w:marRight w:val="0"/>
          <w:marTop w:val="240"/>
          <w:marBottom w:val="0"/>
          <w:divBdr>
            <w:top w:val="none" w:sz="0" w:space="0" w:color="auto"/>
            <w:left w:val="none" w:sz="0" w:space="0" w:color="auto"/>
            <w:bottom w:val="none" w:sz="0" w:space="0" w:color="auto"/>
            <w:right w:val="none" w:sz="0" w:space="0" w:color="auto"/>
          </w:divBdr>
        </w:div>
        <w:div w:id="1188912423">
          <w:marLeft w:val="0"/>
          <w:marRight w:val="0"/>
          <w:marTop w:val="240"/>
          <w:marBottom w:val="0"/>
          <w:divBdr>
            <w:top w:val="none" w:sz="0" w:space="0" w:color="auto"/>
            <w:left w:val="none" w:sz="0" w:space="0" w:color="auto"/>
            <w:bottom w:val="none" w:sz="0" w:space="0" w:color="auto"/>
            <w:right w:val="none" w:sz="0" w:space="0" w:color="auto"/>
          </w:divBdr>
        </w:div>
        <w:div w:id="1188912424">
          <w:marLeft w:val="0"/>
          <w:marRight w:val="0"/>
          <w:marTop w:val="240"/>
          <w:marBottom w:val="0"/>
          <w:divBdr>
            <w:top w:val="none" w:sz="0" w:space="0" w:color="auto"/>
            <w:left w:val="none" w:sz="0" w:space="0" w:color="auto"/>
            <w:bottom w:val="none" w:sz="0" w:space="0" w:color="auto"/>
            <w:right w:val="none" w:sz="0" w:space="0" w:color="auto"/>
          </w:divBdr>
        </w:div>
        <w:div w:id="1188912425">
          <w:marLeft w:val="0"/>
          <w:marRight w:val="0"/>
          <w:marTop w:val="240"/>
          <w:marBottom w:val="0"/>
          <w:divBdr>
            <w:top w:val="none" w:sz="0" w:space="0" w:color="auto"/>
            <w:left w:val="none" w:sz="0" w:space="0" w:color="auto"/>
            <w:bottom w:val="none" w:sz="0" w:space="0" w:color="auto"/>
            <w:right w:val="none" w:sz="0" w:space="0" w:color="auto"/>
          </w:divBdr>
        </w:div>
        <w:div w:id="1188912426">
          <w:marLeft w:val="0"/>
          <w:marRight w:val="0"/>
          <w:marTop w:val="240"/>
          <w:marBottom w:val="0"/>
          <w:divBdr>
            <w:top w:val="none" w:sz="0" w:space="0" w:color="auto"/>
            <w:left w:val="none" w:sz="0" w:space="0" w:color="auto"/>
            <w:bottom w:val="none" w:sz="0" w:space="0" w:color="auto"/>
            <w:right w:val="none" w:sz="0" w:space="0" w:color="auto"/>
          </w:divBdr>
        </w:div>
        <w:div w:id="1188912427">
          <w:marLeft w:val="0"/>
          <w:marRight w:val="0"/>
          <w:marTop w:val="240"/>
          <w:marBottom w:val="0"/>
          <w:divBdr>
            <w:top w:val="none" w:sz="0" w:space="0" w:color="auto"/>
            <w:left w:val="none" w:sz="0" w:space="0" w:color="auto"/>
            <w:bottom w:val="none" w:sz="0" w:space="0" w:color="auto"/>
            <w:right w:val="none" w:sz="0" w:space="0" w:color="auto"/>
          </w:divBdr>
        </w:div>
        <w:div w:id="1188912428">
          <w:marLeft w:val="0"/>
          <w:marRight w:val="0"/>
          <w:marTop w:val="480"/>
          <w:marBottom w:val="0"/>
          <w:divBdr>
            <w:top w:val="single" w:sz="8" w:space="28"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6383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2066</Words>
  <Characters>1179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Kārtība, kādā nosakāma dzenošā tilta atsperojuma ekvivalence pneimatiskajam atsperojumam</vt:lpstr>
    </vt:vector>
  </TitlesOfParts>
  <Company>Satiksmes ministrija</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nosakāma dzenošā tilta atsperojuma ekvivalence pneimatiskajam atsperojumam</dc:title>
  <dc:subject>noteikumu projekts</dc:subject>
  <dc:creator>Jānis Golubevs</dc:creator>
  <cp:keywords/>
  <dc:description>67025701, janis.golubevs@csdd.gov.lv</dc:description>
  <cp:lastModifiedBy>Leontīne Babkina</cp:lastModifiedBy>
  <cp:revision>17</cp:revision>
  <cp:lastPrinted>2012-11-27T13:01:00Z</cp:lastPrinted>
  <dcterms:created xsi:type="dcterms:W3CDTF">2012-10-15T20:00:00Z</dcterms:created>
  <dcterms:modified xsi:type="dcterms:W3CDTF">2012-12-13T08:44:00Z</dcterms:modified>
</cp:coreProperties>
</file>