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F8" w:rsidRPr="005952E0" w:rsidRDefault="005C41F8" w:rsidP="00360E25">
      <w:pPr>
        <w:pStyle w:val="Header"/>
        <w:pBdr>
          <w:bottom w:val="single" w:sz="4" w:space="1" w:color="auto"/>
        </w:pBdr>
        <w:jc w:val="center"/>
        <w:rPr>
          <w:sz w:val="26"/>
          <w:szCs w:val="26"/>
        </w:rPr>
      </w:pPr>
      <w:r w:rsidRPr="005952E0">
        <w:rPr>
          <w:b/>
          <w:bCs/>
          <w:sz w:val="26"/>
          <w:szCs w:val="26"/>
        </w:rPr>
        <w:t>MINISTRU KABINETA SĒDES PROTOKOLLĒMUMS</w:t>
      </w:r>
    </w:p>
    <w:p w:rsidR="005C41F8" w:rsidRPr="005952E0" w:rsidRDefault="005C41F8" w:rsidP="00360E25">
      <w:pPr>
        <w:tabs>
          <w:tab w:val="left" w:pos="6804"/>
        </w:tabs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R="005C41F8" w:rsidRPr="005952E0" w:rsidTr="002C1053">
        <w:trPr>
          <w:cantSplit/>
        </w:trPr>
        <w:tc>
          <w:tcPr>
            <w:tcW w:w="3967" w:type="dxa"/>
          </w:tcPr>
          <w:p w:rsidR="005C41F8" w:rsidRPr="005952E0" w:rsidRDefault="005C41F8" w:rsidP="002C1053">
            <w:pPr>
              <w:rPr>
                <w:sz w:val="26"/>
                <w:szCs w:val="26"/>
              </w:rPr>
            </w:pPr>
            <w:r w:rsidRPr="005952E0">
              <w:rPr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5C41F8" w:rsidRPr="005952E0" w:rsidRDefault="005C41F8" w:rsidP="002C1053">
            <w:pPr>
              <w:rPr>
                <w:sz w:val="26"/>
                <w:szCs w:val="26"/>
              </w:rPr>
            </w:pPr>
            <w:r w:rsidRPr="005952E0">
              <w:rPr>
                <w:sz w:val="26"/>
                <w:szCs w:val="26"/>
              </w:rPr>
              <w:t>Nr.</w:t>
            </w:r>
          </w:p>
        </w:tc>
        <w:tc>
          <w:tcPr>
            <w:tcW w:w="4361" w:type="dxa"/>
          </w:tcPr>
          <w:p w:rsidR="005C41F8" w:rsidRPr="005952E0" w:rsidRDefault="005C41F8" w:rsidP="002C1053">
            <w:pPr>
              <w:jc w:val="right"/>
              <w:rPr>
                <w:sz w:val="26"/>
                <w:szCs w:val="26"/>
              </w:rPr>
            </w:pPr>
            <w:r w:rsidRPr="005952E0">
              <w:rPr>
                <w:sz w:val="26"/>
                <w:szCs w:val="26"/>
              </w:rPr>
              <w:t xml:space="preserve">2012.gada </w:t>
            </w:r>
          </w:p>
        </w:tc>
      </w:tr>
    </w:tbl>
    <w:p w:rsidR="005C41F8" w:rsidRPr="005952E0" w:rsidRDefault="005C41F8" w:rsidP="00360E25">
      <w:pPr>
        <w:jc w:val="center"/>
        <w:rPr>
          <w:b/>
          <w:sz w:val="26"/>
          <w:szCs w:val="26"/>
        </w:rPr>
      </w:pPr>
    </w:p>
    <w:p w:rsidR="005C41F8" w:rsidRPr="005952E0" w:rsidRDefault="005C41F8" w:rsidP="00360E25">
      <w:pPr>
        <w:jc w:val="center"/>
        <w:rPr>
          <w:b/>
          <w:sz w:val="26"/>
          <w:szCs w:val="26"/>
        </w:rPr>
      </w:pPr>
      <w:r w:rsidRPr="005952E0">
        <w:rPr>
          <w:b/>
          <w:sz w:val="26"/>
          <w:szCs w:val="26"/>
        </w:rPr>
        <w:t>.§</w:t>
      </w:r>
    </w:p>
    <w:p w:rsidR="005C41F8" w:rsidRPr="005952E0" w:rsidRDefault="005C41F8" w:rsidP="00360E25">
      <w:pPr>
        <w:tabs>
          <w:tab w:val="left" w:pos="6480"/>
        </w:tabs>
        <w:rPr>
          <w:sz w:val="26"/>
          <w:szCs w:val="26"/>
        </w:rPr>
      </w:pPr>
    </w:p>
    <w:p w:rsidR="005C41F8" w:rsidRPr="005952E0" w:rsidRDefault="005C41F8" w:rsidP="00360E25">
      <w:pPr>
        <w:jc w:val="center"/>
        <w:rPr>
          <w:sz w:val="26"/>
          <w:szCs w:val="26"/>
        </w:rPr>
      </w:pPr>
      <w:r w:rsidRPr="005952E0">
        <w:rPr>
          <w:sz w:val="26"/>
          <w:szCs w:val="26"/>
        </w:rPr>
        <w:t>Informatīvais ziņojums par Kohēzijas fonda projekta „Starptautiskās lidostas „Rīga” infrastruktūras attīstība” Nr. 3DP/3.3.1.4.0/10/IPIA/SM/001 finansēšanu</w:t>
      </w:r>
    </w:p>
    <w:p w:rsidR="005C41F8" w:rsidRPr="005952E0" w:rsidRDefault="005C41F8" w:rsidP="00360E25">
      <w:pPr>
        <w:jc w:val="center"/>
        <w:rPr>
          <w:rFonts w:cs="Tahoma"/>
          <w:b/>
          <w:bCs/>
          <w:color w:val="2A2A2A"/>
          <w:sz w:val="26"/>
          <w:szCs w:val="26"/>
        </w:rPr>
      </w:pPr>
    </w:p>
    <w:p w:rsidR="005C41F8" w:rsidRPr="005952E0" w:rsidRDefault="005C41F8" w:rsidP="00360E25">
      <w:pPr>
        <w:ind w:firstLine="720"/>
        <w:rPr>
          <w:b/>
          <w:sz w:val="26"/>
          <w:szCs w:val="26"/>
        </w:rPr>
      </w:pPr>
      <w:r w:rsidRPr="005952E0">
        <w:rPr>
          <w:b/>
          <w:sz w:val="26"/>
          <w:szCs w:val="26"/>
        </w:rPr>
        <w:t>TA-</w:t>
      </w:r>
    </w:p>
    <w:p w:rsidR="005C41F8" w:rsidRPr="005952E0" w:rsidRDefault="005C41F8" w:rsidP="00360E25">
      <w:pPr>
        <w:jc w:val="center"/>
        <w:rPr>
          <w:sz w:val="26"/>
          <w:szCs w:val="26"/>
        </w:rPr>
      </w:pPr>
      <w:r w:rsidRPr="005952E0">
        <w:rPr>
          <w:sz w:val="26"/>
          <w:szCs w:val="26"/>
        </w:rPr>
        <w:t>_______________________________________________________</w:t>
      </w:r>
    </w:p>
    <w:p w:rsidR="005C41F8" w:rsidRPr="005952E0" w:rsidRDefault="005C41F8" w:rsidP="00360E25">
      <w:pPr>
        <w:jc w:val="center"/>
        <w:rPr>
          <w:sz w:val="26"/>
          <w:szCs w:val="26"/>
        </w:rPr>
      </w:pPr>
      <w:r w:rsidRPr="005952E0">
        <w:rPr>
          <w:sz w:val="26"/>
          <w:szCs w:val="26"/>
        </w:rPr>
        <w:t>(...)</w:t>
      </w:r>
    </w:p>
    <w:p w:rsidR="005C41F8" w:rsidRPr="005952E0" w:rsidRDefault="005C41F8" w:rsidP="00360E25">
      <w:pPr>
        <w:pStyle w:val="naisc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C41F8" w:rsidRPr="005952E0" w:rsidRDefault="005C41F8" w:rsidP="00360E25">
      <w:pPr>
        <w:pStyle w:val="naisc"/>
        <w:spacing w:before="0" w:beforeAutospacing="0" w:after="0" w:afterAutospacing="0"/>
        <w:jc w:val="both"/>
        <w:rPr>
          <w:sz w:val="26"/>
          <w:szCs w:val="26"/>
        </w:rPr>
      </w:pPr>
      <w:r w:rsidRPr="005952E0">
        <w:rPr>
          <w:sz w:val="26"/>
          <w:szCs w:val="26"/>
        </w:rPr>
        <w:t xml:space="preserve">1. Pieņemt zināšanai </w:t>
      </w:r>
      <w:r>
        <w:rPr>
          <w:sz w:val="26"/>
          <w:szCs w:val="26"/>
        </w:rPr>
        <w:t xml:space="preserve">informatīvo ziņojumu. </w:t>
      </w:r>
    </w:p>
    <w:p w:rsidR="005C41F8" w:rsidRPr="005952E0" w:rsidRDefault="005C41F8" w:rsidP="00360E2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5952E0">
        <w:rPr>
          <w:rFonts w:ascii="Times New Roman" w:hAnsi="Times New Roman"/>
          <w:sz w:val="26"/>
          <w:szCs w:val="26"/>
        </w:rPr>
        <w:t xml:space="preserve">2. Atbalstīt informatīvajā ziņojumā piedāvāto valsts atbalsta procentuālās daļas palielināšanu no 61,41% līdz pieļaujamajai 75%, piešķirot valsts budžeta finansējumu 8 255 847,00 LVL (13,59%) un vienlaicīgi samazinot valsts akciju sabiedrības „Starptautiskā lidosta „Rīga”” līdzfinansējumu līdz 11 379 547,00 LVL (25%). </w:t>
      </w:r>
    </w:p>
    <w:p w:rsidR="005C41F8" w:rsidRPr="005952E0" w:rsidRDefault="005C41F8" w:rsidP="00360E2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5952E0">
        <w:rPr>
          <w:rFonts w:ascii="Times New Roman" w:hAnsi="Times New Roman"/>
          <w:sz w:val="26"/>
          <w:szCs w:val="26"/>
        </w:rPr>
        <w:t xml:space="preserve">3. Satiksmes ministrijai līdz 2012.gada </w:t>
      </w:r>
      <w:r>
        <w:rPr>
          <w:rFonts w:ascii="Times New Roman" w:hAnsi="Times New Roman"/>
          <w:sz w:val="26"/>
          <w:szCs w:val="26"/>
        </w:rPr>
        <w:t>21</w:t>
      </w:r>
      <w:r w:rsidRPr="005952E0">
        <w:rPr>
          <w:rFonts w:ascii="Times New Roman" w:hAnsi="Times New Roman"/>
          <w:sz w:val="26"/>
          <w:szCs w:val="26"/>
        </w:rPr>
        <w:t>.decembrim iesniegt izskatīšanai Ministru kabinetā grozījumus 3.darbības programmas „Infrastruktūra un pakalpojumi” papildinājumā</w:t>
      </w:r>
      <w:r>
        <w:rPr>
          <w:rFonts w:ascii="Times New Roman" w:hAnsi="Times New Roman"/>
          <w:sz w:val="26"/>
          <w:szCs w:val="26"/>
        </w:rPr>
        <w:t>.</w:t>
      </w:r>
    </w:p>
    <w:p w:rsidR="005C41F8" w:rsidRPr="005952E0" w:rsidRDefault="005C41F8" w:rsidP="001520D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5C41F8" w:rsidRPr="005952E0" w:rsidRDefault="005C41F8" w:rsidP="00360E2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5C41F8" w:rsidRPr="005952E0" w:rsidRDefault="005C41F8" w:rsidP="00360E2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5C41F8" w:rsidRPr="005952E0" w:rsidRDefault="005C41F8" w:rsidP="00360E25">
      <w:pPr>
        <w:pStyle w:val="NormalWeb"/>
        <w:tabs>
          <w:tab w:val="left" w:pos="6660"/>
        </w:tabs>
        <w:spacing w:before="0" w:beforeAutospacing="0" w:after="0" w:afterAutospacing="0"/>
        <w:ind w:firstLine="720"/>
        <w:rPr>
          <w:rFonts w:ascii="Times New Roman" w:hAnsi="Times New Roman"/>
          <w:color w:val="auto"/>
          <w:sz w:val="26"/>
          <w:szCs w:val="26"/>
        </w:rPr>
      </w:pPr>
      <w:r w:rsidRPr="005952E0">
        <w:rPr>
          <w:rFonts w:ascii="Times New Roman" w:hAnsi="Times New Roman"/>
          <w:color w:val="auto"/>
          <w:sz w:val="26"/>
          <w:szCs w:val="26"/>
        </w:rPr>
        <w:t>Ministru prezidents</w:t>
      </w:r>
      <w:r w:rsidRPr="005952E0">
        <w:rPr>
          <w:rFonts w:ascii="Times New Roman" w:hAnsi="Times New Roman"/>
          <w:color w:val="auto"/>
          <w:sz w:val="26"/>
          <w:szCs w:val="26"/>
        </w:rPr>
        <w:tab/>
        <w:t>V. Dombrovskis</w:t>
      </w:r>
    </w:p>
    <w:p w:rsidR="005C41F8" w:rsidRPr="005952E0" w:rsidRDefault="005C41F8" w:rsidP="00360E25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color w:val="auto"/>
          <w:sz w:val="26"/>
          <w:szCs w:val="26"/>
        </w:rPr>
      </w:pPr>
    </w:p>
    <w:p w:rsidR="005C41F8" w:rsidRPr="005952E0" w:rsidRDefault="005C41F8" w:rsidP="00360E25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color w:val="auto"/>
          <w:sz w:val="26"/>
          <w:szCs w:val="26"/>
        </w:rPr>
      </w:pPr>
    </w:p>
    <w:p w:rsidR="005C41F8" w:rsidRPr="005952E0" w:rsidRDefault="005C41F8" w:rsidP="00360E25">
      <w:pPr>
        <w:pStyle w:val="NormalWeb"/>
        <w:tabs>
          <w:tab w:val="left" w:pos="6660"/>
        </w:tabs>
        <w:spacing w:before="0" w:beforeAutospacing="0" w:after="0" w:afterAutospacing="0"/>
        <w:ind w:firstLine="720"/>
        <w:rPr>
          <w:rFonts w:ascii="Times New Roman" w:hAnsi="Times New Roman"/>
          <w:color w:val="auto"/>
          <w:sz w:val="26"/>
          <w:szCs w:val="26"/>
        </w:rPr>
      </w:pPr>
      <w:r w:rsidRPr="005952E0">
        <w:rPr>
          <w:rFonts w:ascii="Times New Roman" w:hAnsi="Times New Roman"/>
          <w:color w:val="auto"/>
          <w:sz w:val="26"/>
          <w:szCs w:val="26"/>
        </w:rPr>
        <w:t>Valsts kancelejas direktore</w:t>
      </w:r>
      <w:r w:rsidRPr="005952E0">
        <w:rPr>
          <w:rFonts w:ascii="Times New Roman" w:hAnsi="Times New Roman"/>
          <w:color w:val="auto"/>
          <w:sz w:val="26"/>
          <w:szCs w:val="26"/>
        </w:rPr>
        <w:tab/>
        <w:t>E.Dreimane</w:t>
      </w:r>
    </w:p>
    <w:p w:rsidR="005C41F8" w:rsidRPr="005952E0" w:rsidRDefault="005C41F8" w:rsidP="00360E25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/>
          <w:color w:val="auto"/>
          <w:sz w:val="26"/>
          <w:szCs w:val="26"/>
        </w:rPr>
      </w:pPr>
    </w:p>
    <w:p w:rsidR="005C41F8" w:rsidRPr="005952E0" w:rsidRDefault="005C41F8" w:rsidP="00360E25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/>
          <w:color w:val="auto"/>
          <w:sz w:val="26"/>
          <w:szCs w:val="26"/>
        </w:rPr>
      </w:pPr>
    </w:p>
    <w:p w:rsidR="005C41F8" w:rsidRPr="005952E0" w:rsidRDefault="005C41F8" w:rsidP="00360E25">
      <w:pPr>
        <w:pStyle w:val="NormalWeb"/>
        <w:tabs>
          <w:tab w:val="left" w:pos="6660"/>
        </w:tabs>
        <w:spacing w:before="0" w:beforeAutospacing="0" w:after="0" w:afterAutospacing="0"/>
        <w:ind w:firstLine="720"/>
        <w:rPr>
          <w:rFonts w:ascii="Times New Roman" w:hAnsi="Times New Roman"/>
          <w:color w:val="auto"/>
          <w:sz w:val="26"/>
          <w:szCs w:val="26"/>
        </w:rPr>
      </w:pPr>
      <w:r w:rsidRPr="005952E0">
        <w:rPr>
          <w:rFonts w:ascii="Times New Roman" w:hAnsi="Times New Roman"/>
          <w:color w:val="auto"/>
          <w:sz w:val="26"/>
          <w:szCs w:val="26"/>
        </w:rPr>
        <w:t>Iesniedzējs: Satiksmes ministrs</w:t>
      </w:r>
      <w:r w:rsidRPr="005952E0">
        <w:rPr>
          <w:rFonts w:ascii="Times New Roman" w:hAnsi="Times New Roman"/>
          <w:color w:val="auto"/>
          <w:sz w:val="26"/>
          <w:szCs w:val="26"/>
        </w:rPr>
        <w:tab/>
        <w:t>A.Ronis</w:t>
      </w:r>
    </w:p>
    <w:p w:rsidR="005C41F8" w:rsidRPr="005952E0" w:rsidRDefault="005C41F8" w:rsidP="00360E25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/>
          <w:color w:val="auto"/>
          <w:sz w:val="26"/>
          <w:szCs w:val="26"/>
        </w:rPr>
      </w:pPr>
    </w:p>
    <w:p w:rsidR="005C41F8" w:rsidRPr="005952E0" w:rsidRDefault="005C41F8" w:rsidP="00360E25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/>
          <w:color w:val="auto"/>
          <w:sz w:val="26"/>
          <w:szCs w:val="26"/>
        </w:rPr>
      </w:pPr>
    </w:p>
    <w:p w:rsidR="005C41F8" w:rsidRPr="005952E0" w:rsidRDefault="005C41F8" w:rsidP="00360E25">
      <w:pPr>
        <w:pStyle w:val="NormalWeb"/>
        <w:tabs>
          <w:tab w:val="left" w:pos="6660"/>
        </w:tabs>
        <w:spacing w:before="0" w:beforeAutospacing="0" w:after="0" w:afterAutospacing="0"/>
        <w:ind w:firstLine="720"/>
        <w:rPr>
          <w:rFonts w:ascii="Times New Roman" w:hAnsi="Times New Roman"/>
          <w:color w:val="auto"/>
          <w:sz w:val="26"/>
          <w:szCs w:val="26"/>
        </w:rPr>
      </w:pPr>
      <w:r w:rsidRPr="005952E0">
        <w:rPr>
          <w:rFonts w:ascii="Times New Roman" w:hAnsi="Times New Roman"/>
          <w:color w:val="auto"/>
          <w:sz w:val="26"/>
          <w:szCs w:val="26"/>
        </w:rPr>
        <w:t>Vīza: Valsts sekretārs</w:t>
      </w:r>
      <w:r w:rsidRPr="005952E0">
        <w:rPr>
          <w:rFonts w:ascii="Times New Roman" w:hAnsi="Times New Roman"/>
          <w:color w:val="auto"/>
          <w:sz w:val="26"/>
          <w:szCs w:val="26"/>
        </w:rPr>
        <w:tab/>
        <w:t>A.Matīss</w:t>
      </w:r>
    </w:p>
    <w:p w:rsidR="005C41F8" w:rsidRDefault="005C41F8" w:rsidP="00360E25">
      <w:pPr>
        <w:rPr>
          <w:sz w:val="26"/>
          <w:szCs w:val="26"/>
        </w:rPr>
      </w:pPr>
    </w:p>
    <w:p w:rsidR="005C41F8" w:rsidRDefault="005C41F8" w:rsidP="00360E25">
      <w:pPr>
        <w:rPr>
          <w:sz w:val="26"/>
          <w:szCs w:val="26"/>
        </w:rPr>
      </w:pPr>
    </w:p>
    <w:p w:rsidR="005C41F8" w:rsidRPr="005952E0" w:rsidRDefault="005C41F8" w:rsidP="00360E25">
      <w:pPr>
        <w:rPr>
          <w:sz w:val="26"/>
          <w:szCs w:val="26"/>
        </w:rPr>
      </w:pPr>
    </w:p>
    <w:p w:rsidR="005C41F8" w:rsidRDefault="005C41F8" w:rsidP="00360E25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>14.12.2012. 11:13</w:t>
      </w:r>
    </w:p>
    <w:p w:rsidR="005C41F8" w:rsidRDefault="005C41F8" w:rsidP="00360E25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>115</w:t>
      </w:r>
      <w:bookmarkStart w:id="0" w:name="_GoBack"/>
      <w:bookmarkEnd w:id="0"/>
    </w:p>
    <w:p w:rsidR="005C41F8" w:rsidRDefault="005C41F8" w:rsidP="00360E25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>Satiksmes ministrija</w:t>
      </w:r>
    </w:p>
    <w:p w:rsidR="005C41F8" w:rsidRDefault="005C41F8" w:rsidP="00360E25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>Investīciju departaments</w:t>
      </w:r>
    </w:p>
    <w:p w:rsidR="005C41F8" w:rsidRPr="00C03708" w:rsidRDefault="005C41F8" w:rsidP="00360E25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>Vecākā referente</w:t>
      </w:r>
    </w:p>
    <w:p w:rsidR="005C41F8" w:rsidRDefault="005C41F8" w:rsidP="00360E25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A.Vilnīte </w:t>
      </w:r>
      <w:r w:rsidRPr="00C03708">
        <w:rPr>
          <w:sz w:val="20"/>
          <w:szCs w:val="20"/>
        </w:rPr>
        <w:t>670</w:t>
      </w:r>
      <w:r>
        <w:rPr>
          <w:sz w:val="20"/>
          <w:szCs w:val="20"/>
        </w:rPr>
        <w:t>28244</w:t>
      </w:r>
    </w:p>
    <w:p w:rsidR="005C41F8" w:rsidRDefault="005C41F8" w:rsidP="0027513E">
      <w:pPr>
        <w:ind w:right="22"/>
        <w:jc w:val="both"/>
      </w:pPr>
      <w:r>
        <w:rPr>
          <w:sz w:val="20"/>
          <w:szCs w:val="20"/>
        </w:rPr>
        <w:t>Astra.Vilnite</w:t>
      </w:r>
      <w:r w:rsidRPr="00C03708">
        <w:rPr>
          <w:sz w:val="20"/>
          <w:szCs w:val="20"/>
        </w:rPr>
        <w:t>@sam.gov.lv</w:t>
      </w:r>
    </w:p>
    <w:sectPr w:rsidR="005C41F8" w:rsidSect="002C1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1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F8" w:rsidRDefault="005C41F8" w:rsidP="00360E25">
      <w:r>
        <w:separator/>
      </w:r>
    </w:p>
  </w:endnote>
  <w:endnote w:type="continuationSeparator" w:id="0">
    <w:p w:rsidR="005C41F8" w:rsidRDefault="005C41F8" w:rsidP="0036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F8" w:rsidRDefault="005C41F8" w:rsidP="002C1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1F8" w:rsidRDefault="005C41F8" w:rsidP="002C10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F8" w:rsidRDefault="005C41F8" w:rsidP="00360E25">
    <w:pPr>
      <w:jc w:val="both"/>
      <w:rPr>
        <w:sz w:val="20"/>
        <w:szCs w:val="20"/>
      </w:rPr>
    </w:pPr>
    <w:r w:rsidRPr="00C03708">
      <w:rPr>
        <w:sz w:val="20"/>
        <w:szCs w:val="20"/>
      </w:rPr>
      <w:t>SAMPro</w:t>
    </w:r>
    <w:r>
      <w:rPr>
        <w:sz w:val="20"/>
        <w:szCs w:val="20"/>
      </w:rPr>
      <w:t>t_141212_RIX; Protokollēmums par „</w:t>
    </w:r>
    <w:r w:rsidRPr="00CC414D">
      <w:rPr>
        <w:sz w:val="20"/>
        <w:szCs w:val="20"/>
      </w:rPr>
      <w:t xml:space="preserve">Informatīvais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CC414D">
        <w:rPr>
          <w:sz w:val="20"/>
          <w:szCs w:val="20"/>
        </w:rPr>
        <w:t>ziņojums</w:t>
      </w:r>
    </w:smartTag>
    <w:r w:rsidRPr="00CC414D">
      <w:rPr>
        <w:sz w:val="20"/>
        <w:szCs w:val="20"/>
      </w:rPr>
      <w:t xml:space="preserve"> </w:t>
    </w:r>
    <w:r>
      <w:rPr>
        <w:sz w:val="20"/>
        <w:szCs w:val="20"/>
      </w:rPr>
      <w:t xml:space="preserve">par Kohēzijas fonda projekta  </w:t>
    </w:r>
    <w:r w:rsidRPr="00CC414D">
      <w:rPr>
        <w:sz w:val="20"/>
        <w:szCs w:val="20"/>
      </w:rPr>
      <w:t>„</w:t>
    </w:r>
    <w:r>
      <w:rPr>
        <w:sz w:val="20"/>
        <w:szCs w:val="20"/>
      </w:rPr>
      <w:t>Starptautiskās lidostas „Rīga” infrastruktūras attīstība” Nr. 3DP/3.3.1.4.0/10/IPIA/SM/001 finansēšanu”</w:t>
    </w:r>
  </w:p>
  <w:p w:rsidR="005C41F8" w:rsidRPr="006C226F" w:rsidRDefault="005C41F8" w:rsidP="002C1053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F8" w:rsidRPr="00240712" w:rsidRDefault="005C41F8" w:rsidP="002C1053">
    <w:pPr>
      <w:jc w:val="both"/>
      <w:rPr>
        <w:sz w:val="20"/>
        <w:szCs w:val="20"/>
      </w:rPr>
    </w:pPr>
    <w:fldSimple w:instr=" FILENAME   \* MERGEFORMAT ">
      <w:r w:rsidRPr="00D064D6">
        <w:rPr>
          <w:noProof/>
          <w:sz w:val="20"/>
          <w:szCs w:val="20"/>
        </w:rPr>
        <w:t>SAMProt_121212_RIX</w:t>
      </w:r>
    </w:fldSimple>
    <w:r w:rsidRPr="009534C3">
      <w:rPr>
        <w:sz w:val="20"/>
        <w:szCs w:val="20"/>
      </w:rPr>
      <w:t xml:space="preserve">; Ministru kabineta sēdes protokollēmuma projekts </w:t>
    </w:r>
    <w:r>
      <w:rPr>
        <w:sz w:val="20"/>
        <w:szCs w:val="20"/>
      </w:rPr>
      <w:t>„</w:t>
    </w:r>
    <w:r w:rsidRPr="00240712">
      <w:rPr>
        <w:sz w:val="20"/>
        <w:szCs w:val="20"/>
      </w:rPr>
      <w:t xml:space="preserve">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240712">
        <w:rPr>
          <w:sz w:val="20"/>
          <w:szCs w:val="20"/>
        </w:rPr>
        <w:t>ziņojums</w:t>
      </w:r>
    </w:smartTag>
    <w:r w:rsidRPr="00240712">
      <w:rPr>
        <w:sz w:val="20"/>
        <w:szCs w:val="20"/>
      </w:rPr>
      <w:t xml:space="preserve"> „Par 3.3.2.1. aktivitātes „Ilgtspējīga sabiedriskā transporta sistēmas attīstības Kohēzijas fonda projektu „Rīgas piepilsētas dzelzceļa pasažieru pārvadājumu sistēmas modernizācija un dīzeļvilcienu ritošā sastāva atjaunošana” </w:t>
    </w:r>
    <w:r>
      <w:rPr>
        <w:sz w:val="20"/>
        <w:szCs w:val="20"/>
      </w:rPr>
      <w:t>īstenošanas alternatīvām un ar tām saistītajiem iespējamiem riskiem.</w:t>
    </w:r>
  </w:p>
  <w:p w:rsidR="005C41F8" w:rsidRDefault="005C41F8" w:rsidP="002C1053">
    <w:pPr>
      <w:pStyle w:val="Header"/>
      <w:jc w:val="center"/>
      <w:rPr>
        <w:sz w:val="28"/>
        <w:szCs w:val="28"/>
      </w:rPr>
    </w:pPr>
  </w:p>
  <w:p w:rsidR="005C41F8" w:rsidRDefault="005C41F8" w:rsidP="002C105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IEROBEŽOTA PIEEJAMĪBA</w:t>
    </w:r>
  </w:p>
  <w:p w:rsidR="005C41F8" w:rsidRPr="00960144" w:rsidRDefault="005C41F8" w:rsidP="002C1053">
    <w:pPr>
      <w:spacing w:before="120" w:after="120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F8" w:rsidRDefault="005C41F8" w:rsidP="00360E25">
      <w:r>
        <w:separator/>
      </w:r>
    </w:p>
  </w:footnote>
  <w:footnote w:type="continuationSeparator" w:id="0">
    <w:p w:rsidR="005C41F8" w:rsidRDefault="005C41F8" w:rsidP="00360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F8" w:rsidRDefault="005C41F8" w:rsidP="002C10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1F8" w:rsidRDefault="005C41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F8" w:rsidRDefault="005C41F8" w:rsidP="002C1053">
    <w:pPr>
      <w:pStyle w:val="Header"/>
      <w:framePr w:wrap="around" w:vAnchor="text" w:hAnchor="margin" w:xAlign="center" w:y="1"/>
      <w:rPr>
        <w:rStyle w:val="PageNumber"/>
      </w:rPr>
    </w:pPr>
  </w:p>
  <w:p w:rsidR="005C41F8" w:rsidRPr="002C0AE4" w:rsidRDefault="005C41F8" w:rsidP="002C1053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F8" w:rsidRPr="0009406E" w:rsidRDefault="005C41F8" w:rsidP="002C105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IEROBEŽOTA PIEEJAMĪBA</w:t>
    </w:r>
  </w:p>
  <w:p w:rsidR="005C41F8" w:rsidRDefault="005C41F8" w:rsidP="002C105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E0"/>
    <w:rsid w:val="0009406E"/>
    <w:rsid w:val="000A4977"/>
    <w:rsid w:val="000B2DFF"/>
    <w:rsid w:val="000D1692"/>
    <w:rsid w:val="001512C8"/>
    <w:rsid w:val="001520D4"/>
    <w:rsid w:val="001D73E0"/>
    <w:rsid w:val="00215F1A"/>
    <w:rsid w:val="0021736E"/>
    <w:rsid w:val="00240712"/>
    <w:rsid w:val="0027513E"/>
    <w:rsid w:val="002A5543"/>
    <w:rsid w:val="002C0AE4"/>
    <w:rsid w:val="002C1053"/>
    <w:rsid w:val="002C262F"/>
    <w:rsid w:val="00337EB3"/>
    <w:rsid w:val="003475C6"/>
    <w:rsid w:val="00355B8B"/>
    <w:rsid w:val="00360E25"/>
    <w:rsid w:val="003B0D71"/>
    <w:rsid w:val="003D76DC"/>
    <w:rsid w:val="00455554"/>
    <w:rsid w:val="004E4E3A"/>
    <w:rsid w:val="0050284A"/>
    <w:rsid w:val="005314A4"/>
    <w:rsid w:val="005434BC"/>
    <w:rsid w:val="005952E0"/>
    <w:rsid w:val="005C3A7E"/>
    <w:rsid w:val="005C41F8"/>
    <w:rsid w:val="005F345A"/>
    <w:rsid w:val="005F64DA"/>
    <w:rsid w:val="00682C0A"/>
    <w:rsid w:val="006A70B6"/>
    <w:rsid w:val="006A7D79"/>
    <w:rsid w:val="006C226F"/>
    <w:rsid w:val="00786404"/>
    <w:rsid w:val="00810503"/>
    <w:rsid w:val="00820EBE"/>
    <w:rsid w:val="008D1C61"/>
    <w:rsid w:val="00923885"/>
    <w:rsid w:val="009275D8"/>
    <w:rsid w:val="009534C3"/>
    <w:rsid w:val="00960144"/>
    <w:rsid w:val="009669D5"/>
    <w:rsid w:val="00A63948"/>
    <w:rsid w:val="00AB69AB"/>
    <w:rsid w:val="00AE6C57"/>
    <w:rsid w:val="00B73527"/>
    <w:rsid w:val="00BF29D9"/>
    <w:rsid w:val="00C03708"/>
    <w:rsid w:val="00C86E66"/>
    <w:rsid w:val="00CC414D"/>
    <w:rsid w:val="00CD7B38"/>
    <w:rsid w:val="00D064D6"/>
    <w:rsid w:val="00D77906"/>
    <w:rsid w:val="00D8575A"/>
    <w:rsid w:val="00D96D54"/>
    <w:rsid w:val="00DA4987"/>
    <w:rsid w:val="00DC35BE"/>
    <w:rsid w:val="00E578F2"/>
    <w:rsid w:val="00ED57E2"/>
    <w:rsid w:val="00F43CE6"/>
    <w:rsid w:val="00F603B4"/>
    <w:rsid w:val="00F60FE9"/>
    <w:rsid w:val="00F72F40"/>
    <w:rsid w:val="00FD2351"/>
    <w:rsid w:val="00FD3B53"/>
    <w:rsid w:val="00FD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2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E25"/>
    <w:pPr>
      <w:spacing w:before="100" w:beforeAutospacing="1" w:after="100" w:afterAutospacing="1"/>
    </w:pPr>
    <w:rPr>
      <w:rFonts w:ascii="Helvetica" w:hAnsi="Helvetic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0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0E25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360E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0E25"/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360E25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360E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0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E25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2C26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2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6C5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2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6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115</Words>
  <Characters>979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„Informatīvais ziņojums par Kohēzijas fonda projekta „Starptautiskās lidostas „Rīga” infrastruktūras attīstība” Nr.3DP/3.3.1.4.0/10/IPIS/SM/001 finansēšanu</dc:title>
  <dc:subject>Protokollēmums</dc:subject>
  <dc:creator>Astra Vilnīte</dc:creator>
  <cp:keywords/>
  <dc:description>tālr. 67028244, fakss 67028621Astra.Vilnite@sam.gov.lv</dc:description>
  <cp:lastModifiedBy>Baiba Šterna</cp:lastModifiedBy>
  <cp:revision>4</cp:revision>
  <cp:lastPrinted>2012-12-14T09:15:00Z</cp:lastPrinted>
  <dcterms:created xsi:type="dcterms:W3CDTF">2012-12-14T09:11:00Z</dcterms:created>
  <dcterms:modified xsi:type="dcterms:W3CDTF">2012-12-14T11:51:00Z</dcterms:modified>
</cp:coreProperties>
</file>