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C4" w:rsidRDefault="00D418C4" w:rsidP="008C57B6">
      <w:pPr>
        <w:jc w:val="center"/>
        <w:rPr>
          <w:b/>
          <w:sz w:val="26"/>
          <w:szCs w:val="26"/>
        </w:rPr>
      </w:pPr>
    </w:p>
    <w:p w:rsidR="00D418C4" w:rsidRDefault="00D418C4" w:rsidP="008C57B6">
      <w:pPr>
        <w:jc w:val="center"/>
        <w:rPr>
          <w:b/>
          <w:sz w:val="26"/>
          <w:szCs w:val="26"/>
        </w:rPr>
      </w:pPr>
    </w:p>
    <w:p w:rsidR="008C57B6" w:rsidRPr="00201FC1" w:rsidRDefault="008C57B6" w:rsidP="008C57B6">
      <w:pPr>
        <w:jc w:val="center"/>
        <w:rPr>
          <w:b/>
          <w:sz w:val="26"/>
          <w:szCs w:val="26"/>
        </w:rPr>
      </w:pPr>
      <w:r w:rsidRPr="00201FC1">
        <w:rPr>
          <w:b/>
          <w:sz w:val="26"/>
          <w:szCs w:val="26"/>
        </w:rPr>
        <w:t>Informatīvais ziņojums</w:t>
      </w:r>
    </w:p>
    <w:p w:rsidR="008C57B6" w:rsidRPr="00201FC1" w:rsidRDefault="008C57B6" w:rsidP="008C57B6">
      <w:pPr>
        <w:jc w:val="center"/>
        <w:rPr>
          <w:b/>
          <w:sz w:val="26"/>
          <w:szCs w:val="26"/>
        </w:rPr>
      </w:pPr>
      <w:r w:rsidRPr="00201FC1">
        <w:rPr>
          <w:b/>
          <w:sz w:val="26"/>
          <w:szCs w:val="26"/>
        </w:rPr>
        <w:t xml:space="preserve">„Par situāciju </w:t>
      </w:r>
      <w:r w:rsidR="00AA0A7D" w:rsidRPr="00201FC1">
        <w:rPr>
          <w:b/>
          <w:sz w:val="26"/>
          <w:szCs w:val="26"/>
        </w:rPr>
        <w:t>sabiedriskā transporta pakalpojumu sniegšan</w:t>
      </w:r>
      <w:r w:rsidR="001F6E48" w:rsidRPr="00201FC1">
        <w:rPr>
          <w:b/>
          <w:sz w:val="26"/>
          <w:szCs w:val="26"/>
        </w:rPr>
        <w:t>ā</w:t>
      </w:r>
      <w:r w:rsidR="00AA0A7D" w:rsidRPr="00201FC1">
        <w:rPr>
          <w:b/>
          <w:sz w:val="26"/>
          <w:szCs w:val="26"/>
        </w:rPr>
        <w:t xml:space="preserve"> reģionālajos vietējās nozīmes maršrutos </w:t>
      </w:r>
      <w:r w:rsidR="00D14E87" w:rsidRPr="00201FC1">
        <w:rPr>
          <w:b/>
          <w:sz w:val="26"/>
          <w:szCs w:val="26"/>
        </w:rPr>
        <w:t>2013.gadā</w:t>
      </w:r>
      <w:r w:rsidRPr="00201FC1">
        <w:rPr>
          <w:b/>
          <w:sz w:val="26"/>
          <w:szCs w:val="26"/>
        </w:rPr>
        <w:t>”</w:t>
      </w:r>
    </w:p>
    <w:p w:rsidR="00D418C4" w:rsidRDefault="00D418C4" w:rsidP="008C57B6">
      <w:pPr>
        <w:jc w:val="both"/>
        <w:rPr>
          <w:sz w:val="26"/>
          <w:szCs w:val="26"/>
        </w:rPr>
      </w:pPr>
    </w:p>
    <w:p w:rsidR="00D418C4" w:rsidRPr="00201FC1" w:rsidRDefault="00D418C4" w:rsidP="008C57B6">
      <w:pPr>
        <w:jc w:val="both"/>
        <w:rPr>
          <w:sz w:val="26"/>
          <w:szCs w:val="26"/>
        </w:rPr>
      </w:pPr>
    </w:p>
    <w:p w:rsidR="008C57B6" w:rsidRPr="00201FC1" w:rsidRDefault="00104F5B" w:rsidP="00EC4BA2">
      <w:pPr>
        <w:tabs>
          <w:tab w:val="left" w:pos="709"/>
        </w:tabs>
        <w:jc w:val="both"/>
        <w:rPr>
          <w:sz w:val="26"/>
          <w:szCs w:val="26"/>
        </w:rPr>
      </w:pPr>
      <w:r w:rsidRPr="00201FC1">
        <w:rPr>
          <w:sz w:val="26"/>
          <w:szCs w:val="26"/>
        </w:rPr>
        <w:tab/>
        <w:t xml:space="preserve">Ministru kabineta </w:t>
      </w:r>
      <w:r w:rsidR="003D170A" w:rsidRPr="00201FC1">
        <w:rPr>
          <w:sz w:val="26"/>
          <w:szCs w:val="26"/>
        </w:rPr>
        <w:t xml:space="preserve">2012.gada 15.maija </w:t>
      </w:r>
      <w:r w:rsidRPr="00201FC1">
        <w:rPr>
          <w:sz w:val="26"/>
          <w:szCs w:val="26"/>
        </w:rPr>
        <w:t>noteikumu Nr.341 „Kārtība, kādā nosaka un kompensē ar sabiedriskā transporta pakalpojumu sniegšanu saistītos zaudējumus un izdevumus un nosaka sabiedriskā transporta pakalpojuma tarifu” (turpmāk – MK noteikumi Nr.341) 22.punkts nosaka, ka, ja valsts budžeta programmā „Sabiedriskais transports” nepietiek līdzekļu, lai pilnībā kompensētu zaudējumus un izdevumus, par nepieciešamā finansējuma apmēru un avotu lemj Ministru kabinets.</w:t>
      </w:r>
    </w:p>
    <w:p w:rsidR="00397A67" w:rsidRPr="00201FC1" w:rsidRDefault="00BB6F15">
      <w:pPr>
        <w:ind w:firstLine="709"/>
        <w:jc w:val="both"/>
        <w:rPr>
          <w:sz w:val="26"/>
          <w:szCs w:val="26"/>
        </w:rPr>
      </w:pPr>
      <w:r w:rsidRPr="00201FC1">
        <w:rPr>
          <w:sz w:val="26"/>
          <w:szCs w:val="26"/>
        </w:rPr>
        <w:t xml:space="preserve">Informatīvais ziņojums </w:t>
      </w:r>
      <w:r w:rsidR="00E60CD1" w:rsidRPr="00201FC1">
        <w:rPr>
          <w:sz w:val="26"/>
          <w:szCs w:val="26"/>
        </w:rPr>
        <w:t>„Par situāciju sabiedriskā transporta pakalpojumu sniegšanā reģionālajos vietējās nozīmes maršrutos 2013.gadā”</w:t>
      </w:r>
      <w:r w:rsidRPr="00201FC1">
        <w:rPr>
          <w:sz w:val="26"/>
          <w:szCs w:val="26"/>
        </w:rPr>
        <w:t xml:space="preserve"> tika izskatīts Ministru kabineta </w:t>
      </w:r>
      <w:r w:rsidR="003D170A" w:rsidRPr="00201FC1">
        <w:rPr>
          <w:sz w:val="26"/>
          <w:szCs w:val="26"/>
        </w:rPr>
        <w:t xml:space="preserve">2013.gada 29.oktobra </w:t>
      </w:r>
      <w:r w:rsidRPr="00201FC1">
        <w:rPr>
          <w:sz w:val="26"/>
          <w:szCs w:val="26"/>
        </w:rPr>
        <w:t>sēdē, uzdodot p</w:t>
      </w:r>
      <w:r w:rsidR="003D170A" w:rsidRPr="00201FC1">
        <w:rPr>
          <w:sz w:val="26"/>
          <w:szCs w:val="26"/>
        </w:rPr>
        <w:t>apildināt</w:t>
      </w:r>
      <w:r w:rsidRPr="00201FC1">
        <w:rPr>
          <w:sz w:val="26"/>
          <w:szCs w:val="26"/>
        </w:rPr>
        <w:t xml:space="preserve"> Informatīvo ziņojumu ar pamatojumu par papildu līdzekļu </w:t>
      </w:r>
      <w:r w:rsidR="003D170A" w:rsidRPr="00201FC1">
        <w:rPr>
          <w:sz w:val="26"/>
          <w:szCs w:val="26"/>
        </w:rPr>
        <w:t>apjomu, kā arī norādot iemeslus, kas radījuši nepieciešamību pēc papildu līdzekļiem</w:t>
      </w:r>
      <w:r w:rsidRPr="00201FC1">
        <w:rPr>
          <w:sz w:val="26"/>
          <w:szCs w:val="26"/>
        </w:rPr>
        <w:t>.</w:t>
      </w:r>
    </w:p>
    <w:p w:rsidR="00AA0A7D" w:rsidRPr="00201FC1" w:rsidRDefault="00AA0A7D" w:rsidP="00EC4BA2">
      <w:pPr>
        <w:tabs>
          <w:tab w:val="left" w:pos="709"/>
        </w:tabs>
        <w:ind w:firstLine="709"/>
        <w:jc w:val="both"/>
        <w:rPr>
          <w:sz w:val="26"/>
          <w:szCs w:val="26"/>
        </w:rPr>
      </w:pPr>
      <w:r w:rsidRPr="00201FC1">
        <w:rPr>
          <w:sz w:val="26"/>
          <w:szCs w:val="26"/>
        </w:rPr>
        <w:t xml:space="preserve">Ministru kabineta </w:t>
      </w:r>
      <w:r w:rsidR="003D170A" w:rsidRPr="00201FC1">
        <w:rPr>
          <w:sz w:val="26"/>
          <w:szCs w:val="26"/>
        </w:rPr>
        <w:t xml:space="preserve">2013.gada 10.septembra </w:t>
      </w:r>
      <w:r w:rsidRPr="00201FC1">
        <w:rPr>
          <w:sz w:val="26"/>
          <w:szCs w:val="26"/>
        </w:rPr>
        <w:t>sēdē (</w:t>
      </w:r>
      <w:proofErr w:type="spellStart"/>
      <w:r w:rsidRPr="00201FC1">
        <w:rPr>
          <w:sz w:val="26"/>
          <w:szCs w:val="26"/>
        </w:rPr>
        <w:t>prot</w:t>
      </w:r>
      <w:proofErr w:type="spellEnd"/>
      <w:r w:rsidRPr="00201FC1">
        <w:rPr>
          <w:sz w:val="26"/>
          <w:szCs w:val="26"/>
        </w:rPr>
        <w:t xml:space="preserve">. Nr.48 64.§) tika izskatīts Informatīvais ziņojums „Par situāciju sabiedriskā transporta pakalpojumu sniegšanas nozarē 2013.gadā”, ar kuru </w:t>
      </w:r>
      <w:r w:rsidR="003D170A" w:rsidRPr="00201FC1">
        <w:rPr>
          <w:sz w:val="26"/>
          <w:szCs w:val="26"/>
        </w:rPr>
        <w:t xml:space="preserve">Ministru kabinets </w:t>
      </w:r>
      <w:r w:rsidRPr="00201FC1">
        <w:rPr>
          <w:sz w:val="26"/>
          <w:szCs w:val="26"/>
        </w:rPr>
        <w:t xml:space="preserve">jau tika informēts, ka kopumā, lai nodrošinātu sabiedriskā transporta pakalpojumus </w:t>
      </w:r>
      <w:r w:rsidR="003D170A" w:rsidRPr="00201FC1">
        <w:rPr>
          <w:sz w:val="26"/>
          <w:szCs w:val="26"/>
        </w:rPr>
        <w:t xml:space="preserve">pašreizējā apmērā </w:t>
      </w:r>
      <w:r w:rsidRPr="00201FC1">
        <w:rPr>
          <w:sz w:val="26"/>
          <w:szCs w:val="26"/>
        </w:rPr>
        <w:t xml:space="preserve">atbilstoši sabiedriskā transporta pakalpojumu līgumos ietvertajam sabiedriskā transporta pakalpojumu pasūtījuma apjomam, </w:t>
      </w:r>
      <w:r w:rsidRPr="00201FC1">
        <w:rPr>
          <w:b/>
          <w:sz w:val="26"/>
          <w:szCs w:val="26"/>
        </w:rPr>
        <w:t xml:space="preserve">2013.gadā papildus vēl nepieciešami 5.05 </w:t>
      </w:r>
      <w:proofErr w:type="spellStart"/>
      <w:r w:rsidRPr="00201FC1">
        <w:rPr>
          <w:b/>
          <w:sz w:val="26"/>
          <w:szCs w:val="26"/>
        </w:rPr>
        <w:t>milj.LVL</w:t>
      </w:r>
      <w:proofErr w:type="spellEnd"/>
      <w:r w:rsidRPr="00201FC1">
        <w:rPr>
          <w:b/>
          <w:sz w:val="26"/>
          <w:szCs w:val="26"/>
        </w:rPr>
        <w:t xml:space="preserve">. </w:t>
      </w:r>
      <w:r w:rsidRPr="00201FC1">
        <w:rPr>
          <w:sz w:val="26"/>
          <w:szCs w:val="26"/>
        </w:rPr>
        <w:t>Papildus finansējums nepieciešams visos pārvadājumu veidos, tostarp arī reģionālajos vietējās nozīmes pārvadājumos.</w:t>
      </w:r>
    </w:p>
    <w:p w:rsidR="00AA0A7D" w:rsidRPr="00201FC1" w:rsidRDefault="009177A7" w:rsidP="009177A7">
      <w:pPr>
        <w:tabs>
          <w:tab w:val="left" w:pos="709"/>
        </w:tabs>
        <w:ind w:firstLine="709"/>
        <w:jc w:val="both"/>
        <w:rPr>
          <w:sz w:val="26"/>
          <w:szCs w:val="26"/>
        </w:rPr>
      </w:pPr>
      <w:r w:rsidRPr="00201FC1">
        <w:rPr>
          <w:sz w:val="26"/>
          <w:szCs w:val="26"/>
        </w:rPr>
        <w:t>Precizējot Informatīvo ziņojumu</w:t>
      </w:r>
      <w:r w:rsidR="00AD32C8" w:rsidRPr="00201FC1">
        <w:rPr>
          <w:sz w:val="26"/>
          <w:szCs w:val="26"/>
        </w:rPr>
        <w:t xml:space="preserve"> uz 2013.gada 31.oktobri</w:t>
      </w:r>
      <w:r w:rsidRPr="00201FC1">
        <w:rPr>
          <w:sz w:val="26"/>
          <w:szCs w:val="26"/>
        </w:rPr>
        <w:t>, saskaņā ar plānošanas reģionu</w:t>
      </w:r>
      <w:r w:rsidR="003D170A" w:rsidRPr="00201FC1">
        <w:rPr>
          <w:sz w:val="26"/>
          <w:szCs w:val="26"/>
        </w:rPr>
        <w:t xml:space="preserve"> sniegtajiem datiem par</w:t>
      </w:r>
      <w:r w:rsidRPr="00201FC1">
        <w:rPr>
          <w:sz w:val="26"/>
          <w:szCs w:val="26"/>
        </w:rPr>
        <w:t xml:space="preserve"> faktiskajiem rezultātiem 2013.gada 8 mēnešos un VSIA „Autotransporta direkcija” veiktajiem aprēķiniem, ir konstatēts, ka 2013.gadā papildus valsts budžet</w:t>
      </w:r>
      <w:r w:rsidR="003D170A" w:rsidRPr="00201FC1">
        <w:rPr>
          <w:sz w:val="26"/>
          <w:szCs w:val="26"/>
        </w:rPr>
        <w:t>ā</w:t>
      </w:r>
      <w:r w:rsidRPr="00201FC1">
        <w:rPr>
          <w:sz w:val="26"/>
          <w:szCs w:val="26"/>
        </w:rPr>
        <w:t xml:space="preserve"> piešķirtajam finansējumam </w:t>
      </w:r>
      <w:r w:rsidRPr="00201FC1">
        <w:rPr>
          <w:b/>
          <w:sz w:val="26"/>
          <w:szCs w:val="26"/>
        </w:rPr>
        <w:t xml:space="preserve">plānošanas reģioniem ir nepieciešami </w:t>
      </w:r>
      <w:r w:rsidR="00B51A14" w:rsidRPr="00201FC1">
        <w:rPr>
          <w:b/>
          <w:sz w:val="26"/>
          <w:szCs w:val="26"/>
        </w:rPr>
        <w:t>1 </w:t>
      </w:r>
      <w:r w:rsidRPr="00201FC1">
        <w:rPr>
          <w:b/>
          <w:sz w:val="26"/>
          <w:szCs w:val="26"/>
        </w:rPr>
        <w:t>723 713 LVL</w:t>
      </w:r>
      <w:r w:rsidR="00AD32C8" w:rsidRPr="00201FC1">
        <w:rPr>
          <w:b/>
          <w:sz w:val="26"/>
          <w:szCs w:val="26"/>
        </w:rPr>
        <w:t xml:space="preserve"> </w:t>
      </w:r>
      <w:r w:rsidR="00AD32C8" w:rsidRPr="00201FC1">
        <w:rPr>
          <w:sz w:val="26"/>
          <w:szCs w:val="26"/>
        </w:rPr>
        <w:t>(skatīt 2.tabulu)</w:t>
      </w:r>
      <w:r w:rsidRPr="00201FC1">
        <w:rPr>
          <w:sz w:val="26"/>
          <w:szCs w:val="26"/>
        </w:rPr>
        <w:t xml:space="preserve">. </w:t>
      </w:r>
      <w:r w:rsidR="00FF131B" w:rsidRPr="00201FC1">
        <w:rPr>
          <w:sz w:val="26"/>
          <w:szCs w:val="26"/>
        </w:rPr>
        <w:t>Iepriekš aprēķinātā papildus nepieciešamā finansējuma aprēķins (1 424</w:t>
      </w:r>
      <w:r w:rsidR="00137007" w:rsidRPr="00201FC1">
        <w:rPr>
          <w:sz w:val="26"/>
          <w:szCs w:val="26"/>
        </w:rPr>
        <w:t> </w:t>
      </w:r>
      <w:r w:rsidR="00FF131B" w:rsidRPr="00201FC1">
        <w:rPr>
          <w:sz w:val="26"/>
          <w:szCs w:val="26"/>
        </w:rPr>
        <w:t>401</w:t>
      </w:r>
      <w:r w:rsidR="00137007" w:rsidRPr="00201FC1">
        <w:rPr>
          <w:sz w:val="26"/>
          <w:szCs w:val="26"/>
        </w:rPr>
        <w:t> </w:t>
      </w:r>
      <w:r w:rsidR="00FF131B" w:rsidRPr="00201FC1">
        <w:rPr>
          <w:sz w:val="26"/>
          <w:szCs w:val="26"/>
        </w:rPr>
        <w:t xml:space="preserve">LVL) tika balstīts uz </w:t>
      </w:r>
      <w:r w:rsidR="00137007" w:rsidRPr="00201FC1">
        <w:rPr>
          <w:sz w:val="26"/>
          <w:szCs w:val="26"/>
        </w:rPr>
        <w:t>6 mēnešu</w:t>
      </w:r>
      <w:r w:rsidR="00FF131B" w:rsidRPr="00201FC1">
        <w:rPr>
          <w:sz w:val="26"/>
          <w:szCs w:val="26"/>
        </w:rPr>
        <w:t xml:space="preserve"> rezultātiem</w:t>
      </w:r>
      <w:r w:rsidR="001A6540" w:rsidRPr="00201FC1">
        <w:rPr>
          <w:sz w:val="26"/>
          <w:szCs w:val="26"/>
        </w:rPr>
        <w:t xml:space="preserve"> un </w:t>
      </w:r>
      <w:r w:rsidR="00297E91" w:rsidRPr="00201FC1">
        <w:rPr>
          <w:sz w:val="26"/>
          <w:szCs w:val="26"/>
        </w:rPr>
        <w:t>pamatojās</w:t>
      </w:r>
      <w:r w:rsidR="001A6540" w:rsidRPr="00201FC1">
        <w:rPr>
          <w:sz w:val="26"/>
          <w:szCs w:val="26"/>
        </w:rPr>
        <w:t xml:space="preserve"> uz provizoriskiem aprēķiniem</w:t>
      </w:r>
      <w:r w:rsidR="00AD32C8" w:rsidRPr="00201FC1">
        <w:rPr>
          <w:sz w:val="26"/>
          <w:szCs w:val="26"/>
        </w:rPr>
        <w:t>, atspoguļojot situāciju, kāda bija gada vidū.</w:t>
      </w:r>
    </w:p>
    <w:p w:rsidR="006119E4" w:rsidRPr="00201FC1" w:rsidRDefault="003D170A" w:rsidP="006119E4">
      <w:pPr>
        <w:ind w:firstLine="720"/>
        <w:jc w:val="both"/>
        <w:rPr>
          <w:sz w:val="26"/>
          <w:szCs w:val="26"/>
        </w:rPr>
      </w:pPr>
      <w:r w:rsidRPr="00201FC1">
        <w:rPr>
          <w:sz w:val="26"/>
          <w:szCs w:val="26"/>
        </w:rPr>
        <w:t>P</w:t>
      </w:r>
      <w:r w:rsidR="00BB6F15" w:rsidRPr="00201FC1">
        <w:rPr>
          <w:sz w:val="26"/>
          <w:szCs w:val="26"/>
        </w:rPr>
        <w:t xml:space="preserve">apildu finansējuma nepieciešamība </w:t>
      </w:r>
      <w:r w:rsidR="006119E4" w:rsidRPr="00201FC1">
        <w:rPr>
          <w:sz w:val="26"/>
          <w:szCs w:val="26"/>
        </w:rPr>
        <w:t xml:space="preserve">gadu no gada </w:t>
      </w:r>
      <w:r w:rsidRPr="00201FC1">
        <w:rPr>
          <w:sz w:val="26"/>
          <w:szCs w:val="26"/>
        </w:rPr>
        <w:t xml:space="preserve">izskaidrojama </w:t>
      </w:r>
      <w:r w:rsidR="006119E4" w:rsidRPr="00201FC1">
        <w:rPr>
          <w:sz w:val="26"/>
          <w:szCs w:val="26"/>
        </w:rPr>
        <w:t>ar to, ka piešķirtā valsts budžeta dotācija ir mazāka nekā faktiskie zaudējumi reģionālajos vietējās nozīmes maršrutos, atbilst</w:t>
      </w:r>
      <w:r w:rsidRPr="00201FC1">
        <w:rPr>
          <w:sz w:val="26"/>
          <w:szCs w:val="26"/>
        </w:rPr>
        <w:t>oši</w:t>
      </w:r>
      <w:r w:rsidR="006119E4" w:rsidRPr="00201FC1">
        <w:rPr>
          <w:sz w:val="26"/>
          <w:szCs w:val="26"/>
        </w:rPr>
        <w:t xml:space="preserve"> </w:t>
      </w:r>
      <w:r w:rsidRPr="00201FC1">
        <w:rPr>
          <w:sz w:val="26"/>
          <w:szCs w:val="26"/>
        </w:rPr>
        <w:t xml:space="preserve">pašreizējam </w:t>
      </w:r>
      <w:r w:rsidR="006119E4" w:rsidRPr="00201FC1">
        <w:rPr>
          <w:sz w:val="26"/>
          <w:szCs w:val="26"/>
        </w:rPr>
        <w:t>maršrutu tīkla apjomam.</w:t>
      </w:r>
    </w:p>
    <w:p w:rsidR="00D418C4" w:rsidRPr="00201FC1" w:rsidRDefault="00D418C4" w:rsidP="00D418C4">
      <w:pPr>
        <w:ind w:firstLine="709"/>
        <w:jc w:val="both"/>
        <w:rPr>
          <w:sz w:val="26"/>
          <w:szCs w:val="26"/>
        </w:rPr>
      </w:pPr>
      <w:r w:rsidRPr="00201FC1">
        <w:rPr>
          <w:sz w:val="26"/>
          <w:szCs w:val="26"/>
        </w:rPr>
        <w:t xml:space="preserve">Valsts budžetā kārtējam gadam piešķirtā valsts budžeta dotācija starp plānošanas reģioniem tiek sadalīta, ievērojot Ministru kabineta 2011.gada 27.decembra noteikumos Nr.1028 „Kārtība, kādā valsts budžetā sabiedriskā transporta pakalpojumu nodrošināšanai reģionālajos vietējās nozīmes maršrutos paredzētos līdzekļus sadala starp plānošanas reģioniem” (turpmāk – MK noteikumi Nr.1028) noteikto un koeficientus, kas vērsti uz principu – piešķirt lielāku dotāciju plānošanas reģionam, kurš iepriekšējā pārskata periodā ir strādājis efektīvāk, </w:t>
      </w:r>
      <w:proofErr w:type="spellStart"/>
      <w:r w:rsidRPr="00201FC1">
        <w:rPr>
          <w:sz w:val="26"/>
          <w:szCs w:val="26"/>
        </w:rPr>
        <w:t>t.i</w:t>
      </w:r>
      <w:proofErr w:type="spellEnd"/>
      <w:r w:rsidRPr="00201FC1">
        <w:rPr>
          <w:sz w:val="26"/>
          <w:szCs w:val="26"/>
        </w:rPr>
        <w:t xml:space="preserve">., ar zemāku vidējo viena kilometra pašizmaksu (salīdzinājumam dati par plānošanas reģioniem 2013.gada 1.pusgadā: Kurzeme 0.575; Latgale 0.627; Rīga 0.662; Vidzeme 0.672 un Zemgale 0.695). Savukārt līdz 2012.gadam (MK noteikumu Nr.1028 spēkā stāšanās brīdim) </w:t>
      </w:r>
      <w:r w:rsidRPr="00201FC1">
        <w:rPr>
          <w:sz w:val="26"/>
          <w:szCs w:val="26"/>
        </w:rPr>
        <w:lastRenderedPageBreak/>
        <w:t xml:space="preserve">valsts budžeta dotāciju sadales kārtība starp plānošanas reģioniem paredzēja citus principus, kur pamatā tika ņemts vērā zaudējumu apmērs katrā plānošanas reģionā, neievērojot efektivitātes rādītājus. Ievērojot to, ka kopējais dotāciju apmērs zaudējumu kompensēšanai reģionālajiem vietējās nozīmes maršrutiem 2012.gadā, salīdzinot ar 2011.gadu, tika samazināts par 8.3%, atsevišķiem plānošanas reģioniem finansējuma samazinājums pārsniedza 20%.  </w:t>
      </w:r>
    </w:p>
    <w:p w:rsidR="00D418C4" w:rsidRDefault="00D418C4" w:rsidP="00297E91">
      <w:pPr>
        <w:ind w:firstLine="720"/>
        <w:jc w:val="right"/>
        <w:rPr>
          <w:sz w:val="26"/>
          <w:szCs w:val="26"/>
        </w:rPr>
      </w:pPr>
    </w:p>
    <w:p w:rsidR="006119E4" w:rsidRPr="00201FC1" w:rsidRDefault="00297E91" w:rsidP="00297E91">
      <w:pPr>
        <w:ind w:firstLine="720"/>
        <w:jc w:val="right"/>
        <w:rPr>
          <w:sz w:val="26"/>
          <w:szCs w:val="26"/>
        </w:rPr>
      </w:pPr>
      <w:r w:rsidRPr="00201FC1">
        <w:rPr>
          <w:sz w:val="26"/>
          <w:szCs w:val="26"/>
        </w:rPr>
        <w:t>1.attēls</w:t>
      </w:r>
    </w:p>
    <w:p w:rsidR="006119E4" w:rsidRPr="00201FC1" w:rsidRDefault="006119E4" w:rsidP="006119E4">
      <w:pPr>
        <w:jc w:val="center"/>
        <w:rPr>
          <w:sz w:val="26"/>
          <w:szCs w:val="26"/>
        </w:rPr>
      </w:pPr>
      <w:r w:rsidRPr="00201FC1">
        <w:rPr>
          <w:b/>
          <w:bCs/>
          <w:sz w:val="26"/>
          <w:szCs w:val="26"/>
        </w:rPr>
        <w:t xml:space="preserve">Plānošanas reģioniem piešķirtās valsts budžeta dotācijas un nesegtie zaudējumi 2012. un 2013.gadā, </w:t>
      </w:r>
      <w:proofErr w:type="spellStart"/>
      <w:r w:rsidRPr="00201FC1">
        <w:rPr>
          <w:b/>
          <w:bCs/>
          <w:sz w:val="26"/>
          <w:szCs w:val="26"/>
        </w:rPr>
        <w:t>milj</w:t>
      </w:r>
      <w:proofErr w:type="spellEnd"/>
      <w:r w:rsidRPr="00201FC1">
        <w:rPr>
          <w:b/>
          <w:bCs/>
          <w:sz w:val="26"/>
          <w:szCs w:val="26"/>
        </w:rPr>
        <w:t>. LVL</w:t>
      </w:r>
    </w:p>
    <w:p w:rsidR="006119E4" w:rsidRPr="00374594" w:rsidRDefault="006119E4" w:rsidP="00EC4BA2">
      <w:pPr>
        <w:tabs>
          <w:tab w:val="left" w:pos="709"/>
        </w:tabs>
        <w:ind w:firstLine="709"/>
        <w:jc w:val="both"/>
        <w:rPr>
          <w:sz w:val="28"/>
          <w:szCs w:val="28"/>
        </w:rPr>
      </w:pPr>
    </w:p>
    <w:p w:rsidR="006119E4" w:rsidRPr="00201FC1" w:rsidRDefault="00647102" w:rsidP="00FF131B">
      <w:pPr>
        <w:jc w:val="both"/>
        <w:rPr>
          <w:sz w:val="26"/>
          <w:szCs w:val="26"/>
        </w:rPr>
      </w:pPr>
      <w:r w:rsidRPr="00647102">
        <w:rPr>
          <w:noProof/>
          <w:sz w:val="28"/>
          <w:szCs w:val="28"/>
        </w:rPr>
        <w:drawing>
          <wp:inline distT="0" distB="0" distL="0" distR="0">
            <wp:extent cx="5876925" cy="4067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119E4" w:rsidRPr="006119E4">
        <w:rPr>
          <w:sz w:val="28"/>
          <w:szCs w:val="28"/>
        </w:rPr>
        <w:t xml:space="preserve"> </w:t>
      </w:r>
    </w:p>
    <w:p w:rsidR="00AD32C8" w:rsidRPr="00201FC1" w:rsidRDefault="00AD32C8" w:rsidP="006119E4">
      <w:pPr>
        <w:ind w:firstLine="720"/>
        <w:jc w:val="both"/>
        <w:rPr>
          <w:sz w:val="26"/>
          <w:szCs w:val="26"/>
        </w:rPr>
      </w:pPr>
      <w:r w:rsidRPr="00201FC1">
        <w:rPr>
          <w:sz w:val="26"/>
          <w:szCs w:val="26"/>
        </w:rPr>
        <w:t xml:space="preserve">VSIA „Autotransporta direkcija”, izvērtējot saskaņošanai iesniegtos Zemgales un Vidzemes plānošanas reģiona grozījumus maršrutu tīklā, Vidzemes un Zemgales plānošanas reģioniem ir vairākkārtīgi norādījusi, ka plānošanas reģions nav veicis būtiskus pasākumus visa reģiona maršrutu tīkla pārskatīšanā, izvērtēšanā un optimizēšanā par 2013.gadu, kā arī nav veikta kompleksa rīcība zaudējumu mazināšanā. </w:t>
      </w:r>
    </w:p>
    <w:p w:rsidR="00F37F83" w:rsidRDefault="00226F42" w:rsidP="006119E4">
      <w:pPr>
        <w:ind w:firstLine="720"/>
        <w:jc w:val="both"/>
        <w:rPr>
          <w:sz w:val="26"/>
          <w:szCs w:val="26"/>
        </w:rPr>
      </w:pPr>
      <w:r w:rsidRPr="00201FC1">
        <w:rPr>
          <w:sz w:val="26"/>
          <w:szCs w:val="26"/>
        </w:rPr>
        <w:t xml:space="preserve">Ņemot vērā, ka šajos reģionos iepriekš netika veikti plānveida pasākumi maršrutu tīkla pārskatīšanai, tik straujš </w:t>
      </w:r>
      <w:r w:rsidR="00420726" w:rsidRPr="00201FC1">
        <w:rPr>
          <w:sz w:val="26"/>
          <w:szCs w:val="26"/>
        </w:rPr>
        <w:t xml:space="preserve">valsts budžeta </w:t>
      </w:r>
      <w:r w:rsidRPr="00201FC1">
        <w:rPr>
          <w:sz w:val="26"/>
          <w:szCs w:val="26"/>
        </w:rPr>
        <w:t>finansējuma samazinājums</w:t>
      </w:r>
      <w:r w:rsidR="00420726" w:rsidRPr="00201FC1">
        <w:rPr>
          <w:sz w:val="26"/>
          <w:szCs w:val="26"/>
        </w:rPr>
        <w:t xml:space="preserve"> 2012. un 2013.gadā</w:t>
      </w:r>
      <w:r w:rsidRPr="00201FC1">
        <w:rPr>
          <w:sz w:val="26"/>
          <w:szCs w:val="26"/>
        </w:rPr>
        <w:t xml:space="preserve"> ir radījis situāciju, kad faktiskie zaudējumi būtiski pārsniedz piešķirtās dotācijas apmēru. </w:t>
      </w:r>
    </w:p>
    <w:p w:rsidR="00D418C4" w:rsidRDefault="00D418C4" w:rsidP="006119E4">
      <w:pPr>
        <w:ind w:firstLine="720"/>
        <w:jc w:val="both"/>
        <w:rPr>
          <w:sz w:val="26"/>
          <w:szCs w:val="26"/>
        </w:rPr>
      </w:pPr>
    </w:p>
    <w:p w:rsidR="00D418C4" w:rsidRDefault="00D418C4" w:rsidP="006119E4">
      <w:pPr>
        <w:ind w:firstLine="720"/>
        <w:jc w:val="both"/>
        <w:rPr>
          <w:sz w:val="26"/>
          <w:szCs w:val="26"/>
        </w:rPr>
      </w:pPr>
    </w:p>
    <w:p w:rsidR="00D418C4" w:rsidRDefault="00D418C4" w:rsidP="006119E4">
      <w:pPr>
        <w:ind w:firstLine="720"/>
        <w:jc w:val="both"/>
        <w:rPr>
          <w:sz w:val="26"/>
          <w:szCs w:val="26"/>
        </w:rPr>
      </w:pPr>
    </w:p>
    <w:p w:rsidR="00D418C4" w:rsidRDefault="00D418C4" w:rsidP="006119E4">
      <w:pPr>
        <w:ind w:firstLine="720"/>
        <w:jc w:val="right"/>
        <w:rPr>
          <w:sz w:val="26"/>
          <w:szCs w:val="26"/>
        </w:rPr>
      </w:pPr>
    </w:p>
    <w:p w:rsidR="006119E4" w:rsidRPr="00201FC1" w:rsidRDefault="006119E4" w:rsidP="006119E4">
      <w:pPr>
        <w:ind w:firstLine="720"/>
        <w:jc w:val="right"/>
        <w:rPr>
          <w:sz w:val="26"/>
          <w:szCs w:val="26"/>
        </w:rPr>
      </w:pPr>
      <w:r w:rsidRPr="00201FC1">
        <w:rPr>
          <w:sz w:val="26"/>
          <w:szCs w:val="26"/>
        </w:rPr>
        <w:lastRenderedPageBreak/>
        <w:t>1.tabula</w:t>
      </w:r>
    </w:p>
    <w:p w:rsidR="00397A67" w:rsidRPr="00201FC1" w:rsidRDefault="006119E4">
      <w:pPr>
        <w:jc w:val="center"/>
        <w:rPr>
          <w:b/>
          <w:sz w:val="26"/>
          <w:szCs w:val="26"/>
        </w:rPr>
      </w:pPr>
      <w:r w:rsidRPr="00201FC1">
        <w:rPr>
          <w:b/>
          <w:sz w:val="26"/>
          <w:szCs w:val="26"/>
        </w:rPr>
        <w:t>Valsts budžeta dotācijas zaudējumu kompensēšanai (bāzes) sadalījums starp plānošanas reģioniem 2012.-2013.gadā, latos</w:t>
      </w:r>
    </w:p>
    <w:tbl>
      <w:tblPr>
        <w:tblW w:w="102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2038"/>
        <w:gridCol w:w="1540"/>
        <w:gridCol w:w="1540"/>
        <w:gridCol w:w="1540"/>
      </w:tblGrid>
      <w:tr w:rsidR="006119E4" w:rsidRPr="00B51415" w:rsidTr="006119E4">
        <w:trPr>
          <w:trHeight w:val="1290"/>
          <w:jc w:val="center"/>
        </w:trPr>
        <w:tc>
          <w:tcPr>
            <w:tcW w:w="3542" w:type="dxa"/>
            <w:shd w:val="clear" w:color="auto" w:fill="auto"/>
            <w:vAlign w:val="center"/>
            <w:hideMark/>
          </w:tcPr>
          <w:p w:rsidR="00397A67" w:rsidRDefault="006119E4">
            <w:pPr>
              <w:jc w:val="center"/>
              <w:rPr>
                <w:b/>
                <w:bCs/>
                <w:sz w:val="18"/>
                <w:szCs w:val="18"/>
              </w:rPr>
            </w:pPr>
            <w:r w:rsidRPr="00B51415">
              <w:rPr>
                <w:b/>
                <w:bCs/>
                <w:sz w:val="18"/>
                <w:szCs w:val="18"/>
              </w:rPr>
              <w:t>Plānošanas reģions</w:t>
            </w:r>
          </w:p>
        </w:tc>
        <w:tc>
          <w:tcPr>
            <w:tcW w:w="2038" w:type="dxa"/>
            <w:shd w:val="clear" w:color="auto" w:fill="auto"/>
            <w:vAlign w:val="center"/>
            <w:hideMark/>
          </w:tcPr>
          <w:p w:rsidR="006119E4" w:rsidRPr="00B51415" w:rsidRDefault="006119E4" w:rsidP="006119E4">
            <w:pPr>
              <w:ind w:firstLine="34"/>
              <w:jc w:val="center"/>
              <w:rPr>
                <w:b/>
                <w:bCs/>
                <w:sz w:val="18"/>
                <w:szCs w:val="18"/>
              </w:rPr>
            </w:pPr>
            <w:r w:rsidRPr="00B51415">
              <w:rPr>
                <w:b/>
                <w:bCs/>
                <w:sz w:val="18"/>
                <w:szCs w:val="18"/>
              </w:rPr>
              <w:t xml:space="preserve">Bāzes dotācija 2012.gadam atbilstoši MK </w:t>
            </w:r>
            <w:proofErr w:type="spellStart"/>
            <w:r w:rsidRPr="00B51415">
              <w:rPr>
                <w:b/>
                <w:bCs/>
                <w:sz w:val="18"/>
                <w:szCs w:val="18"/>
              </w:rPr>
              <w:t>noteik</w:t>
            </w:r>
            <w:proofErr w:type="spellEnd"/>
            <w:r w:rsidRPr="00B51415">
              <w:rPr>
                <w:b/>
                <w:bCs/>
                <w:sz w:val="18"/>
                <w:szCs w:val="18"/>
              </w:rPr>
              <w:t>. Nr.1028 sadalei</w:t>
            </w:r>
          </w:p>
        </w:tc>
        <w:tc>
          <w:tcPr>
            <w:tcW w:w="1540" w:type="dxa"/>
            <w:shd w:val="clear" w:color="auto" w:fill="auto"/>
            <w:vAlign w:val="center"/>
            <w:hideMark/>
          </w:tcPr>
          <w:p w:rsidR="006119E4" w:rsidRPr="00B51415" w:rsidRDefault="006119E4" w:rsidP="006119E4">
            <w:pPr>
              <w:jc w:val="center"/>
              <w:rPr>
                <w:b/>
                <w:bCs/>
                <w:sz w:val="18"/>
                <w:szCs w:val="18"/>
              </w:rPr>
            </w:pPr>
            <w:r w:rsidRPr="00B51415">
              <w:rPr>
                <w:b/>
                <w:bCs/>
                <w:sz w:val="18"/>
                <w:szCs w:val="18"/>
              </w:rPr>
              <w:t xml:space="preserve">samazinājums </w:t>
            </w:r>
            <w:r>
              <w:rPr>
                <w:b/>
                <w:bCs/>
                <w:sz w:val="18"/>
                <w:szCs w:val="18"/>
              </w:rPr>
              <w:t xml:space="preserve">/ palielinājums </w:t>
            </w:r>
            <w:r w:rsidRPr="00B51415">
              <w:rPr>
                <w:b/>
                <w:bCs/>
                <w:sz w:val="18"/>
                <w:szCs w:val="18"/>
              </w:rPr>
              <w:t>2012.gadā (pret 2011), %</w:t>
            </w:r>
          </w:p>
        </w:tc>
        <w:tc>
          <w:tcPr>
            <w:tcW w:w="1540" w:type="dxa"/>
            <w:vAlign w:val="center"/>
          </w:tcPr>
          <w:p w:rsidR="006119E4" w:rsidRPr="00B51415" w:rsidRDefault="006119E4" w:rsidP="006119E4">
            <w:pPr>
              <w:jc w:val="center"/>
              <w:rPr>
                <w:sz w:val="20"/>
                <w:szCs w:val="20"/>
              </w:rPr>
            </w:pPr>
            <w:r>
              <w:rPr>
                <w:b/>
                <w:bCs/>
                <w:sz w:val="18"/>
                <w:szCs w:val="18"/>
              </w:rPr>
              <w:t xml:space="preserve">Bāzes dotācija 2013.gadam atbilstoši MK </w:t>
            </w:r>
            <w:proofErr w:type="spellStart"/>
            <w:r>
              <w:rPr>
                <w:b/>
                <w:bCs/>
                <w:sz w:val="18"/>
                <w:szCs w:val="18"/>
              </w:rPr>
              <w:t>noteik</w:t>
            </w:r>
            <w:proofErr w:type="spellEnd"/>
            <w:r>
              <w:rPr>
                <w:b/>
                <w:bCs/>
                <w:sz w:val="18"/>
                <w:szCs w:val="18"/>
              </w:rPr>
              <w:t>. Nr.1028 sadalei</w:t>
            </w:r>
          </w:p>
        </w:tc>
        <w:tc>
          <w:tcPr>
            <w:tcW w:w="1540" w:type="dxa"/>
            <w:vAlign w:val="center"/>
          </w:tcPr>
          <w:p w:rsidR="006119E4" w:rsidRPr="00B51415" w:rsidRDefault="006119E4" w:rsidP="006119E4">
            <w:pPr>
              <w:ind w:firstLine="19"/>
              <w:jc w:val="center"/>
              <w:rPr>
                <w:sz w:val="20"/>
                <w:szCs w:val="20"/>
              </w:rPr>
            </w:pPr>
            <w:r>
              <w:rPr>
                <w:b/>
                <w:bCs/>
                <w:sz w:val="18"/>
                <w:szCs w:val="18"/>
              </w:rPr>
              <w:t>samazinājums / palielinājums 2013.gadā (pret 2012), %</w:t>
            </w:r>
          </w:p>
        </w:tc>
      </w:tr>
      <w:tr w:rsidR="006119E4" w:rsidRPr="00B51415" w:rsidTr="006119E4">
        <w:trPr>
          <w:trHeight w:val="215"/>
          <w:jc w:val="center"/>
        </w:trPr>
        <w:tc>
          <w:tcPr>
            <w:tcW w:w="3542" w:type="dxa"/>
            <w:shd w:val="clear" w:color="auto" w:fill="auto"/>
            <w:vAlign w:val="center"/>
            <w:hideMark/>
          </w:tcPr>
          <w:p w:rsidR="006119E4" w:rsidRPr="00B51415" w:rsidRDefault="006119E4" w:rsidP="006119E4">
            <w:r w:rsidRPr="00B51415">
              <w:rPr>
                <w:sz w:val="22"/>
                <w:szCs w:val="22"/>
              </w:rPr>
              <w:t>Kurzemes plānošanas reģions</w:t>
            </w:r>
          </w:p>
        </w:tc>
        <w:tc>
          <w:tcPr>
            <w:tcW w:w="2038" w:type="dxa"/>
            <w:shd w:val="clear" w:color="auto" w:fill="auto"/>
            <w:noWrap/>
            <w:vAlign w:val="center"/>
            <w:hideMark/>
          </w:tcPr>
          <w:p w:rsidR="006119E4" w:rsidRPr="00B51415" w:rsidRDefault="006119E4" w:rsidP="006119E4">
            <w:pPr>
              <w:ind w:firstLine="34"/>
              <w:jc w:val="center"/>
            </w:pPr>
            <w:r w:rsidRPr="00B51415">
              <w:rPr>
                <w:sz w:val="22"/>
                <w:szCs w:val="22"/>
              </w:rPr>
              <w:t>1 385 663</w:t>
            </w:r>
          </w:p>
        </w:tc>
        <w:tc>
          <w:tcPr>
            <w:tcW w:w="1540" w:type="dxa"/>
            <w:shd w:val="clear" w:color="auto" w:fill="auto"/>
            <w:noWrap/>
            <w:vAlign w:val="center"/>
            <w:hideMark/>
          </w:tcPr>
          <w:p w:rsidR="006119E4" w:rsidRPr="00B51415" w:rsidRDefault="006119E4" w:rsidP="006119E4">
            <w:pPr>
              <w:jc w:val="center"/>
            </w:pPr>
            <w:r>
              <w:rPr>
                <w:sz w:val="22"/>
                <w:szCs w:val="22"/>
              </w:rPr>
              <w:t>5.50%</w:t>
            </w:r>
          </w:p>
        </w:tc>
        <w:tc>
          <w:tcPr>
            <w:tcW w:w="0" w:type="auto"/>
            <w:vAlign w:val="center"/>
          </w:tcPr>
          <w:p w:rsidR="00BB6F15" w:rsidRDefault="006119E4">
            <w:pPr>
              <w:jc w:val="center"/>
              <w:rPr>
                <w:sz w:val="20"/>
                <w:szCs w:val="20"/>
              </w:rPr>
            </w:pPr>
            <w:r>
              <w:rPr>
                <w:sz w:val="22"/>
                <w:szCs w:val="22"/>
              </w:rPr>
              <w:t>1 394 321</w:t>
            </w:r>
          </w:p>
        </w:tc>
        <w:tc>
          <w:tcPr>
            <w:tcW w:w="0" w:type="auto"/>
            <w:vAlign w:val="center"/>
          </w:tcPr>
          <w:p w:rsidR="00BB6F15" w:rsidRDefault="006119E4">
            <w:pPr>
              <w:ind w:firstLine="19"/>
              <w:jc w:val="center"/>
              <w:rPr>
                <w:sz w:val="20"/>
                <w:szCs w:val="20"/>
              </w:rPr>
            </w:pPr>
            <w:r>
              <w:rPr>
                <w:sz w:val="22"/>
                <w:szCs w:val="22"/>
              </w:rPr>
              <w:t>0.62%</w:t>
            </w:r>
          </w:p>
        </w:tc>
      </w:tr>
      <w:tr w:rsidR="006119E4" w:rsidRPr="00B51415" w:rsidTr="006119E4">
        <w:trPr>
          <w:trHeight w:val="285"/>
          <w:jc w:val="center"/>
        </w:trPr>
        <w:tc>
          <w:tcPr>
            <w:tcW w:w="3542" w:type="dxa"/>
            <w:shd w:val="clear" w:color="auto" w:fill="auto"/>
            <w:vAlign w:val="center"/>
            <w:hideMark/>
          </w:tcPr>
          <w:p w:rsidR="006119E4" w:rsidRPr="00B51415" w:rsidRDefault="006119E4" w:rsidP="006119E4">
            <w:r w:rsidRPr="00B51415">
              <w:rPr>
                <w:sz w:val="22"/>
                <w:szCs w:val="22"/>
              </w:rPr>
              <w:t>Latgales plānošanas reģions</w:t>
            </w:r>
          </w:p>
        </w:tc>
        <w:tc>
          <w:tcPr>
            <w:tcW w:w="2038" w:type="dxa"/>
            <w:shd w:val="clear" w:color="auto" w:fill="auto"/>
            <w:noWrap/>
            <w:vAlign w:val="center"/>
            <w:hideMark/>
          </w:tcPr>
          <w:p w:rsidR="006119E4" w:rsidRPr="00B51415" w:rsidRDefault="006119E4" w:rsidP="006119E4">
            <w:pPr>
              <w:ind w:firstLine="34"/>
              <w:jc w:val="center"/>
            </w:pPr>
            <w:r w:rsidRPr="00B51415">
              <w:rPr>
                <w:sz w:val="22"/>
                <w:szCs w:val="22"/>
              </w:rPr>
              <w:t>2 066 740</w:t>
            </w:r>
          </w:p>
        </w:tc>
        <w:tc>
          <w:tcPr>
            <w:tcW w:w="1540" w:type="dxa"/>
            <w:shd w:val="clear" w:color="auto" w:fill="auto"/>
            <w:noWrap/>
            <w:vAlign w:val="center"/>
            <w:hideMark/>
          </w:tcPr>
          <w:p w:rsidR="006119E4" w:rsidRPr="00B51415" w:rsidRDefault="006119E4" w:rsidP="006119E4">
            <w:pPr>
              <w:jc w:val="center"/>
            </w:pPr>
            <w:r>
              <w:rPr>
                <w:sz w:val="22"/>
                <w:szCs w:val="22"/>
              </w:rPr>
              <w:t>1.83%</w:t>
            </w:r>
          </w:p>
        </w:tc>
        <w:tc>
          <w:tcPr>
            <w:tcW w:w="0" w:type="auto"/>
            <w:vAlign w:val="center"/>
          </w:tcPr>
          <w:p w:rsidR="00BB6F15" w:rsidRDefault="006119E4">
            <w:pPr>
              <w:jc w:val="center"/>
              <w:rPr>
                <w:sz w:val="20"/>
                <w:szCs w:val="20"/>
              </w:rPr>
            </w:pPr>
            <w:r>
              <w:rPr>
                <w:sz w:val="22"/>
                <w:szCs w:val="22"/>
              </w:rPr>
              <w:t>2 574 577</w:t>
            </w:r>
          </w:p>
        </w:tc>
        <w:tc>
          <w:tcPr>
            <w:tcW w:w="0" w:type="auto"/>
            <w:vAlign w:val="center"/>
          </w:tcPr>
          <w:p w:rsidR="00BB6F15" w:rsidRDefault="006119E4">
            <w:pPr>
              <w:ind w:firstLine="19"/>
              <w:jc w:val="center"/>
              <w:rPr>
                <w:sz w:val="20"/>
                <w:szCs w:val="20"/>
              </w:rPr>
            </w:pPr>
            <w:r>
              <w:rPr>
                <w:sz w:val="22"/>
                <w:szCs w:val="22"/>
              </w:rPr>
              <w:t>24.57%</w:t>
            </w:r>
          </w:p>
        </w:tc>
      </w:tr>
      <w:tr w:rsidR="006119E4" w:rsidRPr="00B51415" w:rsidTr="006119E4">
        <w:trPr>
          <w:trHeight w:val="300"/>
          <w:jc w:val="center"/>
        </w:trPr>
        <w:tc>
          <w:tcPr>
            <w:tcW w:w="3542" w:type="dxa"/>
            <w:shd w:val="clear" w:color="auto" w:fill="auto"/>
            <w:noWrap/>
            <w:vAlign w:val="bottom"/>
            <w:hideMark/>
          </w:tcPr>
          <w:p w:rsidR="006119E4" w:rsidRPr="00B51415" w:rsidRDefault="006119E4" w:rsidP="006119E4">
            <w:r w:rsidRPr="00B51415">
              <w:rPr>
                <w:sz w:val="22"/>
                <w:szCs w:val="22"/>
              </w:rPr>
              <w:t>Rīgas plānošanas reģions</w:t>
            </w:r>
          </w:p>
        </w:tc>
        <w:tc>
          <w:tcPr>
            <w:tcW w:w="2038" w:type="dxa"/>
            <w:shd w:val="clear" w:color="auto" w:fill="auto"/>
            <w:noWrap/>
            <w:vAlign w:val="center"/>
            <w:hideMark/>
          </w:tcPr>
          <w:p w:rsidR="006119E4" w:rsidRPr="00B51415" w:rsidRDefault="006119E4" w:rsidP="006119E4">
            <w:pPr>
              <w:ind w:firstLine="34"/>
              <w:jc w:val="center"/>
            </w:pPr>
            <w:r w:rsidRPr="00B51415">
              <w:rPr>
                <w:sz w:val="22"/>
                <w:szCs w:val="22"/>
              </w:rPr>
              <w:t>2 398 417</w:t>
            </w:r>
          </w:p>
        </w:tc>
        <w:tc>
          <w:tcPr>
            <w:tcW w:w="1540" w:type="dxa"/>
            <w:shd w:val="clear" w:color="auto" w:fill="auto"/>
            <w:noWrap/>
            <w:vAlign w:val="center"/>
            <w:hideMark/>
          </w:tcPr>
          <w:p w:rsidR="006119E4" w:rsidRPr="00B51415" w:rsidRDefault="006119E4" w:rsidP="006119E4">
            <w:pPr>
              <w:jc w:val="center"/>
            </w:pPr>
            <w:r>
              <w:rPr>
                <w:sz w:val="22"/>
                <w:szCs w:val="22"/>
              </w:rPr>
              <w:t>0.98%</w:t>
            </w:r>
          </w:p>
        </w:tc>
        <w:tc>
          <w:tcPr>
            <w:tcW w:w="0" w:type="auto"/>
            <w:vAlign w:val="center"/>
          </w:tcPr>
          <w:p w:rsidR="00BB6F15" w:rsidRDefault="006119E4">
            <w:pPr>
              <w:jc w:val="center"/>
              <w:rPr>
                <w:sz w:val="20"/>
                <w:szCs w:val="20"/>
              </w:rPr>
            </w:pPr>
            <w:r>
              <w:rPr>
                <w:sz w:val="22"/>
                <w:szCs w:val="22"/>
              </w:rPr>
              <w:t>2 300 826</w:t>
            </w:r>
          </w:p>
        </w:tc>
        <w:tc>
          <w:tcPr>
            <w:tcW w:w="0" w:type="auto"/>
            <w:vAlign w:val="center"/>
          </w:tcPr>
          <w:p w:rsidR="00BB6F15" w:rsidRDefault="006119E4">
            <w:pPr>
              <w:ind w:firstLine="19"/>
              <w:jc w:val="center"/>
              <w:rPr>
                <w:sz w:val="20"/>
                <w:szCs w:val="20"/>
              </w:rPr>
            </w:pPr>
            <w:r>
              <w:rPr>
                <w:sz w:val="22"/>
                <w:szCs w:val="22"/>
              </w:rPr>
              <w:t>-4.07%</w:t>
            </w:r>
          </w:p>
        </w:tc>
      </w:tr>
      <w:tr w:rsidR="006119E4" w:rsidRPr="00B51415" w:rsidTr="006119E4">
        <w:trPr>
          <w:trHeight w:val="300"/>
          <w:jc w:val="center"/>
        </w:trPr>
        <w:tc>
          <w:tcPr>
            <w:tcW w:w="3542" w:type="dxa"/>
            <w:shd w:val="clear" w:color="auto" w:fill="auto"/>
            <w:noWrap/>
            <w:vAlign w:val="bottom"/>
            <w:hideMark/>
          </w:tcPr>
          <w:p w:rsidR="006119E4" w:rsidRPr="00B51415" w:rsidRDefault="006119E4" w:rsidP="006119E4">
            <w:r w:rsidRPr="00B51415">
              <w:rPr>
                <w:sz w:val="22"/>
                <w:szCs w:val="22"/>
              </w:rPr>
              <w:t>Vidzemes plānošanas reģions</w:t>
            </w:r>
          </w:p>
        </w:tc>
        <w:tc>
          <w:tcPr>
            <w:tcW w:w="2038" w:type="dxa"/>
            <w:shd w:val="clear" w:color="auto" w:fill="auto"/>
            <w:noWrap/>
            <w:vAlign w:val="center"/>
            <w:hideMark/>
          </w:tcPr>
          <w:p w:rsidR="006119E4" w:rsidRPr="00B51415" w:rsidRDefault="006119E4" w:rsidP="006119E4">
            <w:pPr>
              <w:ind w:firstLine="34"/>
              <w:jc w:val="center"/>
            </w:pPr>
            <w:r w:rsidRPr="00B51415">
              <w:rPr>
                <w:sz w:val="22"/>
                <w:szCs w:val="22"/>
              </w:rPr>
              <w:t>1 677 244</w:t>
            </w:r>
          </w:p>
        </w:tc>
        <w:tc>
          <w:tcPr>
            <w:tcW w:w="1540" w:type="dxa"/>
            <w:shd w:val="clear" w:color="auto" w:fill="auto"/>
            <w:noWrap/>
            <w:vAlign w:val="center"/>
            <w:hideMark/>
          </w:tcPr>
          <w:p w:rsidR="006119E4" w:rsidRPr="00B51415" w:rsidRDefault="006119E4" w:rsidP="006119E4">
            <w:pPr>
              <w:jc w:val="center"/>
            </w:pPr>
            <w:r>
              <w:rPr>
                <w:sz w:val="22"/>
                <w:szCs w:val="22"/>
              </w:rPr>
              <w:t>-22.44%</w:t>
            </w:r>
          </w:p>
        </w:tc>
        <w:tc>
          <w:tcPr>
            <w:tcW w:w="0" w:type="auto"/>
            <w:vAlign w:val="center"/>
          </w:tcPr>
          <w:p w:rsidR="00BB6F15" w:rsidRDefault="006119E4">
            <w:pPr>
              <w:jc w:val="center"/>
              <w:rPr>
                <w:sz w:val="20"/>
                <w:szCs w:val="20"/>
              </w:rPr>
            </w:pPr>
            <w:r>
              <w:rPr>
                <w:sz w:val="22"/>
                <w:szCs w:val="22"/>
              </w:rPr>
              <w:t>1 546 589</w:t>
            </w:r>
          </w:p>
        </w:tc>
        <w:tc>
          <w:tcPr>
            <w:tcW w:w="0" w:type="auto"/>
            <w:vAlign w:val="center"/>
          </w:tcPr>
          <w:p w:rsidR="00BB6F15" w:rsidRDefault="006119E4">
            <w:pPr>
              <w:ind w:firstLine="19"/>
              <w:jc w:val="center"/>
              <w:rPr>
                <w:sz w:val="20"/>
                <w:szCs w:val="20"/>
              </w:rPr>
            </w:pPr>
            <w:r>
              <w:rPr>
                <w:sz w:val="22"/>
                <w:szCs w:val="22"/>
              </w:rPr>
              <w:t>-7.79%</w:t>
            </w:r>
          </w:p>
        </w:tc>
      </w:tr>
      <w:tr w:rsidR="006119E4" w:rsidRPr="00B51415" w:rsidTr="006119E4">
        <w:trPr>
          <w:trHeight w:val="300"/>
          <w:jc w:val="center"/>
        </w:trPr>
        <w:tc>
          <w:tcPr>
            <w:tcW w:w="3542" w:type="dxa"/>
            <w:shd w:val="clear" w:color="auto" w:fill="auto"/>
            <w:noWrap/>
            <w:vAlign w:val="bottom"/>
            <w:hideMark/>
          </w:tcPr>
          <w:p w:rsidR="006119E4" w:rsidRPr="00B51415" w:rsidRDefault="006119E4" w:rsidP="006119E4">
            <w:r w:rsidRPr="00B51415">
              <w:rPr>
                <w:sz w:val="22"/>
                <w:szCs w:val="22"/>
              </w:rPr>
              <w:t>Zemgales plānošanas reģions</w:t>
            </w:r>
          </w:p>
        </w:tc>
        <w:tc>
          <w:tcPr>
            <w:tcW w:w="2038" w:type="dxa"/>
            <w:shd w:val="clear" w:color="auto" w:fill="auto"/>
            <w:noWrap/>
            <w:vAlign w:val="center"/>
            <w:hideMark/>
          </w:tcPr>
          <w:p w:rsidR="006119E4" w:rsidRPr="00B51415" w:rsidRDefault="006119E4" w:rsidP="006119E4">
            <w:pPr>
              <w:ind w:firstLine="34"/>
              <w:jc w:val="center"/>
            </w:pPr>
            <w:r w:rsidRPr="00B51415">
              <w:rPr>
                <w:sz w:val="22"/>
                <w:szCs w:val="22"/>
              </w:rPr>
              <w:t>1 336 669</w:t>
            </w:r>
          </w:p>
        </w:tc>
        <w:tc>
          <w:tcPr>
            <w:tcW w:w="1540" w:type="dxa"/>
            <w:shd w:val="clear" w:color="auto" w:fill="auto"/>
            <w:noWrap/>
            <w:vAlign w:val="center"/>
            <w:hideMark/>
          </w:tcPr>
          <w:p w:rsidR="006119E4" w:rsidRPr="00B51415" w:rsidRDefault="006119E4" w:rsidP="006119E4">
            <w:pPr>
              <w:jc w:val="center"/>
            </w:pPr>
            <w:r>
              <w:rPr>
                <w:sz w:val="22"/>
                <w:szCs w:val="22"/>
              </w:rPr>
              <w:t>-25.08%</w:t>
            </w:r>
          </w:p>
        </w:tc>
        <w:tc>
          <w:tcPr>
            <w:tcW w:w="0" w:type="auto"/>
            <w:vAlign w:val="center"/>
          </w:tcPr>
          <w:p w:rsidR="00BB6F15" w:rsidRDefault="006119E4">
            <w:pPr>
              <w:jc w:val="center"/>
              <w:rPr>
                <w:sz w:val="20"/>
                <w:szCs w:val="20"/>
              </w:rPr>
            </w:pPr>
            <w:r>
              <w:rPr>
                <w:sz w:val="22"/>
                <w:szCs w:val="22"/>
              </w:rPr>
              <w:t>1 284 130</w:t>
            </w:r>
          </w:p>
        </w:tc>
        <w:tc>
          <w:tcPr>
            <w:tcW w:w="0" w:type="auto"/>
            <w:vAlign w:val="center"/>
          </w:tcPr>
          <w:p w:rsidR="00BB6F15" w:rsidRDefault="006119E4">
            <w:pPr>
              <w:ind w:firstLine="19"/>
              <w:jc w:val="center"/>
              <w:rPr>
                <w:sz w:val="20"/>
                <w:szCs w:val="20"/>
              </w:rPr>
            </w:pPr>
            <w:r>
              <w:rPr>
                <w:sz w:val="22"/>
                <w:szCs w:val="22"/>
              </w:rPr>
              <w:t>-3.93%</w:t>
            </w:r>
          </w:p>
        </w:tc>
      </w:tr>
      <w:tr w:rsidR="006119E4" w:rsidRPr="00B51415" w:rsidTr="006119E4">
        <w:trPr>
          <w:trHeight w:val="285"/>
          <w:jc w:val="center"/>
        </w:trPr>
        <w:tc>
          <w:tcPr>
            <w:tcW w:w="3542" w:type="dxa"/>
            <w:shd w:val="clear" w:color="auto" w:fill="auto"/>
            <w:noWrap/>
            <w:vAlign w:val="bottom"/>
            <w:hideMark/>
          </w:tcPr>
          <w:p w:rsidR="006119E4" w:rsidRPr="00B51415" w:rsidRDefault="006119E4" w:rsidP="006119E4">
            <w:pPr>
              <w:rPr>
                <w:b/>
                <w:bCs/>
              </w:rPr>
            </w:pPr>
            <w:r w:rsidRPr="00B51415">
              <w:rPr>
                <w:b/>
                <w:bCs/>
                <w:sz w:val="22"/>
                <w:szCs w:val="22"/>
              </w:rPr>
              <w:t>Kopā</w:t>
            </w:r>
          </w:p>
        </w:tc>
        <w:tc>
          <w:tcPr>
            <w:tcW w:w="2038" w:type="dxa"/>
            <w:shd w:val="clear" w:color="auto" w:fill="auto"/>
            <w:noWrap/>
            <w:vAlign w:val="center"/>
            <w:hideMark/>
          </w:tcPr>
          <w:p w:rsidR="006119E4" w:rsidRPr="00B51415" w:rsidRDefault="006119E4" w:rsidP="006119E4">
            <w:pPr>
              <w:ind w:firstLine="34"/>
              <w:jc w:val="center"/>
              <w:rPr>
                <w:b/>
                <w:bCs/>
              </w:rPr>
            </w:pPr>
            <w:r w:rsidRPr="00B51415">
              <w:rPr>
                <w:b/>
                <w:bCs/>
                <w:sz w:val="22"/>
                <w:szCs w:val="22"/>
              </w:rPr>
              <w:t>8 864 733</w:t>
            </w:r>
          </w:p>
        </w:tc>
        <w:tc>
          <w:tcPr>
            <w:tcW w:w="1540" w:type="dxa"/>
            <w:shd w:val="clear" w:color="auto" w:fill="auto"/>
            <w:noWrap/>
            <w:vAlign w:val="center"/>
            <w:hideMark/>
          </w:tcPr>
          <w:p w:rsidR="006119E4" w:rsidRPr="00B51415" w:rsidRDefault="006119E4" w:rsidP="006119E4">
            <w:pPr>
              <w:jc w:val="center"/>
              <w:rPr>
                <w:b/>
                <w:bCs/>
              </w:rPr>
            </w:pPr>
            <w:r>
              <w:rPr>
                <w:b/>
                <w:bCs/>
                <w:sz w:val="22"/>
                <w:szCs w:val="22"/>
              </w:rPr>
              <w:t>-8.28%</w:t>
            </w:r>
          </w:p>
        </w:tc>
        <w:tc>
          <w:tcPr>
            <w:tcW w:w="0" w:type="auto"/>
            <w:vAlign w:val="center"/>
          </w:tcPr>
          <w:p w:rsidR="00BB6F15" w:rsidRDefault="006119E4">
            <w:pPr>
              <w:jc w:val="center"/>
              <w:rPr>
                <w:sz w:val="20"/>
                <w:szCs w:val="20"/>
              </w:rPr>
            </w:pPr>
            <w:r>
              <w:rPr>
                <w:b/>
                <w:bCs/>
                <w:sz w:val="22"/>
                <w:szCs w:val="22"/>
              </w:rPr>
              <w:t>9 100 443</w:t>
            </w:r>
          </w:p>
        </w:tc>
        <w:tc>
          <w:tcPr>
            <w:tcW w:w="0" w:type="auto"/>
            <w:vAlign w:val="center"/>
          </w:tcPr>
          <w:p w:rsidR="00BB6F15" w:rsidRDefault="006119E4">
            <w:pPr>
              <w:ind w:firstLine="19"/>
              <w:jc w:val="center"/>
              <w:rPr>
                <w:sz w:val="20"/>
                <w:szCs w:val="20"/>
              </w:rPr>
            </w:pPr>
            <w:r>
              <w:rPr>
                <w:b/>
                <w:bCs/>
                <w:sz w:val="22"/>
                <w:szCs w:val="22"/>
              </w:rPr>
              <w:t>2.66%</w:t>
            </w:r>
          </w:p>
        </w:tc>
      </w:tr>
    </w:tbl>
    <w:p w:rsidR="00AA0A7D" w:rsidRDefault="00AA0A7D" w:rsidP="006119E4">
      <w:pPr>
        <w:tabs>
          <w:tab w:val="left" w:pos="709"/>
        </w:tabs>
        <w:jc w:val="both"/>
        <w:rPr>
          <w:sz w:val="28"/>
          <w:szCs w:val="28"/>
        </w:rPr>
      </w:pPr>
    </w:p>
    <w:p w:rsidR="006119E4" w:rsidRPr="00201FC1" w:rsidRDefault="006119E4" w:rsidP="006119E4">
      <w:pPr>
        <w:ind w:firstLine="720"/>
        <w:jc w:val="both"/>
        <w:rPr>
          <w:sz w:val="26"/>
          <w:szCs w:val="26"/>
        </w:rPr>
      </w:pPr>
      <w:r w:rsidRPr="00201FC1">
        <w:rPr>
          <w:sz w:val="26"/>
          <w:szCs w:val="26"/>
        </w:rPr>
        <w:t xml:space="preserve">Tādējādi kritiska situācija ir izveidojusies Zemgales un Vidzemes plānošanas reģionos, kur ievērojot finansējuma nepietiekamību, </w:t>
      </w:r>
      <w:r w:rsidR="00F37F83" w:rsidRPr="00201FC1">
        <w:rPr>
          <w:sz w:val="26"/>
          <w:szCs w:val="26"/>
        </w:rPr>
        <w:t xml:space="preserve">iespējama </w:t>
      </w:r>
      <w:r w:rsidRPr="00201FC1">
        <w:rPr>
          <w:sz w:val="26"/>
          <w:szCs w:val="26"/>
        </w:rPr>
        <w:t xml:space="preserve">sabiedriskā transporta pakalpojumu sniegšanas pārtraukšana, kā arī atsevišķu uzņēmumu maksātnespēja. Līdz ar to iedzīvotājiem netiks garantēti pieejami sabiedriskā transporta pakalpojumi un netiks nodrošināta iespēja apmeklēt izglītības un ārstniecības iestādes, valsts un pašvaldību institūcijas, kā arī darba vietas. </w:t>
      </w:r>
    </w:p>
    <w:p w:rsidR="00137007" w:rsidRPr="00201FC1" w:rsidRDefault="00137007">
      <w:pPr>
        <w:spacing w:after="200" w:line="276" w:lineRule="auto"/>
        <w:rPr>
          <w:sz w:val="26"/>
          <w:szCs w:val="26"/>
        </w:rPr>
      </w:pPr>
    </w:p>
    <w:p w:rsidR="00D108AA" w:rsidRPr="00201FC1" w:rsidRDefault="00B37BA8" w:rsidP="00EC4BA2">
      <w:pPr>
        <w:tabs>
          <w:tab w:val="left" w:pos="709"/>
        </w:tabs>
        <w:ind w:firstLine="709"/>
        <w:jc w:val="right"/>
        <w:rPr>
          <w:sz w:val="26"/>
          <w:szCs w:val="26"/>
        </w:rPr>
      </w:pPr>
      <w:r w:rsidRPr="00201FC1">
        <w:rPr>
          <w:sz w:val="26"/>
          <w:szCs w:val="26"/>
        </w:rPr>
        <w:t>2</w:t>
      </w:r>
      <w:r w:rsidR="00E60CD1" w:rsidRPr="00201FC1">
        <w:rPr>
          <w:sz w:val="26"/>
          <w:szCs w:val="26"/>
        </w:rPr>
        <w:t>.tabula</w:t>
      </w:r>
    </w:p>
    <w:p w:rsidR="00D108AA" w:rsidRPr="00201FC1" w:rsidRDefault="00D108AA" w:rsidP="00AD32C8">
      <w:pPr>
        <w:tabs>
          <w:tab w:val="left" w:pos="709"/>
        </w:tabs>
        <w:jc w:val="center"/>
        <w:rPr>
          <w:b/>
          <w:bCs/>
          <w:color w:val="000000"/>
          <w:sz w:val="26"/>
          <w:szCs w:val="26"/>
        </w:rPr>
      </w:pPr>
      <w:r w:rsidRPr="00201FC1">
        <w:rPr>
          <w:b/>
          <w:bCs/>
          <w:color w:val="000000"/>
          <w:sz w:val="26"/>
          <w:szCs w:val="26"/>
        </w:rPr>
        <w:t>Provizoriski plānošanas reģioniem kompensējamie zaudējumi</w:t>
      </w:r>
      <w:r w:rsidR="00137007" w:rsidRPr="00201FC1">
        <w:rPr>
          <w:b/>
          <w:bCs/>
          <w:color w:val="000000"/>
          <w:sz w:val="26"/>
          <w:szCs w:val="26"/>
        </w:rPr>
        <w:t xml:space="preserve"> (aprēķin</w:t>
      </w:r>
      <w:r w:rsidR="00AD32C8" w:rsidRPr="00201FC1">
        <w:rPr>
          <w:b/>
          <w:bCs/>
          <w:color w:val="000000"/>
          <w:sz w:val="26"/>
          <w:szCs w:val="26"/>
        </w:rPr>
        <w:t xml:space="preserve">s </w:t>
      </w:r>
      <w:r w:rsidR="00137007" w:rsidRPr="00201FC1">
        <w:rPr>
          <w:b/>
          <w:bCs/>
          <w:color w:val="000000"/>
          <w:sz w:val="26"/>
          <w:szCs w:val="26"/>
        </w:rPr>
        <w:t xml:space="preserve">veikts </w:t>
      </w:r>
      <w:r w:rsidR="00AD32C8" w:rsidRPr="00201FC1">
        <w:rPr>
          <w:b/>
          <w:bCs/>
          <w:color w:val="000000"/>
          <w:sz w:val="26"/>
          <w:szCs w:val="26"/>
        </w:rPr>
        <w:t>uz 31.10.2013.)</w:t>
      </w:r>
      <w:r w:rsidRPr="00201FC1">
        <w:rPr>
          <w:b/>
          <w:bCs/>
          <w:color w:val="000000"/>
          <w:sz w:val="26"/>
          <w:szCs w:val="26"/>
        </w:rPr>
        <w:t>, LVL</w:t>
      </w:r>
    </w:p>
    <w:tbl>
      <w:tblPr>
        <w:tblW w:w="9229" w:type="dxa"/>
        <w:tblInd w:w="93" w:type="dxa"/>
        <w:tblLook w:val="04A0" w:firstRow="1" w:lastRow="0" w:firstColumn="1" w:lastColumn="0" w:noHBand="0" w:noVBand="1"/>
      </w:tblPr>
      <w:tblGrid>
        <w:gridCol w:w="2992"/>
        <w:gridCol w:w="1701"/>
        <w:gridCol w:w="1559"/>
        <w:gridCol w:w="1560"/>
        <w:gridCol w:w="1417"/>
      </w:tblGrid>
      <w:tr w:rsidR="001F6E48" w:rsidRPr="001F6E48" w:rsidTr="001F6E48">
        <w:trPr>
          <w:trHeight w:val="129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48" w:rsidRPr="001F6E48" w:rsidRDefault="001F6E48" w:rsidP="001F6E48">
            <w:pPr>
              <w:jc w:val="center"/>
              <w:rPr>
                <w:b/>
                <w:bCs/>
                <w:sz w:val="18"/>
                <w:szCs w:val="18"/>
              </w:rPr>
            </w:pPr>
            <w:r w:rsidRPr="001F6E48">
              <w:rPr>
                <w:b/>
                <w:bCs/>
                <w:sz w:val="18"/>
                <w:szCs w:val="18"/>
              </w:rPr>
              <w:t>Plānošanas reģions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6E48" w:rsidRPr="001F6E48" w:rsidRDefault="001F6E48" w:rsidP="001F6E48">
            <w:pPr>
              <w:jc w:val="center"/>
              <w:rPr>
                <w:b/>
                <w:bCs/>
                <w:sz w:val="18"/>
                <w:szCs w:val="18"/>
              </w:rPr>
            </w:pPr>
            <w:r w:rsidRPr="001F6E48">
              <w:rPr>
                <w:b/>
                <w:bCs/>
                <w:sz w:val="18"/>
                <w:szCs w:val="18"/>
              </w:rPr>
              <w:t xml:space="preserve">Bāzes dotācija 2013.gadam atbilstoši MK </w:t>
            </w:r>
            <w:proofErr w:type="spellStart"/>
            <w:r w:rsidRPr="001F6E48">
              <w:rPr>
                <w:b/>
                <w:bCs/>
                <w:sz w:val="18"/>
                <w:szCs w:val="18"/>
              </w:rPr>
              <w:t>noteik</w:t>
            </w:r>
            <w:proofErr w:type="spellEnd"/>
            <w:r w:rsidRPr="001F6E48">
              <w:rPr>
                <w:b/>
                <w:bCs/>
                <w:sz w:val="18"/>
                <w:szCs w:val="18"/>
              </w:rPr>
              <w:t>. Nr.1028 sadalei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6E48" w:rsidRPr="001F6E48" w:rsidRDefault="001F6E48" w:rsidP="001F6E48">
            <w:pPr>
              <w:jc w:val="center"/>
              <w:rPr>
                <w:b/>
                <w:bCs/>
                <w:sz w:val="18"/>
                <w:szCs w:val="18"/>
              </w:rPr>
            </w:pPr>
            <w:r w:rsidRPr="001F6E48">
              <w:rPr>
                <w:b/>
                <w:bCs/>
                <w:sz w:val="18"/>
                <w:szCs w:val="18"/>
              </w:rPr>
              <w:t>Bāzes dotācija 2013.gadam par braukšanas maksas atvieglojumiem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6E48" w:rsidRPr="001F6E48" w:rsidRDefault="001F6E48" w:rsidP="001F6E48">
            <w:pPr>
              <w:jc w:val="center"/>
              <w:rPr>
                <w:b/>
                <w:bCs/>
                <w:sz w:val="18"/>
                <w:szCs w:val="18"/>
              </w:rPr>
            </w:pPr>
            <w:r w:rsidRPr="001F6E48">
              <w:rPr>
                <w:b/>
                <w:bCs/>
                <w:sz w:val="18"/>
                <w:szCs w:val="18"/>
              </w:rPr>
              <w:t>Prognozētie zaudējumi 2013.gadam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6E48" w:rsidRPr="001F6E48" w:rsidRDefault="001F6E48" w:rsidP="002B43E4">
            <w:pPr>
              <w:jc w:val="center"/>
              <w:rPr>
                <w:b/>
                <w:bCs/>
                <w:sz w:val="18"/>
                <w:szCs w:val="18"/>
              </w:rPr>
            </w:pPr>
            <w:r w:rsidRPr="001F6E48">
              <w:rPr>
                <w:b/>
                <w:bCs/>
                <w:sz w:val="18"/>
                <w:szCs w:val="18"/>
              </w:rPr>
              <w:t>Starpība starp</w:t>
            </w:r>
            <w:r w:rsidR="002B43E4">
              <w:rPr>
                <w:b/>
                <w:bCs/>
                <w:sz w:val="18"/>
                <w:szCs w:val="18"/>
              </w:rPr>
              <w:t xml:space="preserve"> prognozētajiem</w:t>
            </w:r>
            <w:r w:rsidRPr="001F6E48">
              <w:rPr>
                <w:b/>
                <w:bCs/>
                <w:sz w:val="18"/>
                <w:szCs w:val="18"/>
              </w:rPr>
              <w:t xml:space="preserve"> zaudējumiem un izmaksāto dotāciju</w:t>
            </w:r>
          </w:p>
        </w:tc>
      </w:tr>
      <w:tr w:rsidR="001F6E48" w:rsidRPr="001F6E48" w:rsidTr="001F6E48">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6E48" w:rsidRPr="001F6E48" w:rsidRDefault="001F6E48" w:rsidP="001F6E48">
            <w:r w:rsidRPr="001F6E48">
              <w:rPr>
                <w:sz w:val="22"/>
                <w:szCs w:val="22"/>
              </w:rPr>
              <w:t>Kurzemes plānošanas reģions</w:t>
            </w:r>
          </w:p>
        </w:tc>
        <w:tc>
          <w:tcPr>
            <w:tcW w:w="1701"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center"/>
            </w:pPr>
            <w:r w:rsidRPr="001F6E48">
              <w:rPr>
                <w:sz w:val="22"/>
                <w:szCs w:val="22"/>
              </w:rPr>
              <w:t>1 394 321</w:t>
            </w:r>
          </w:p>
        </w:tc>
        <w:tc>
          <w:tcPr>
            <w:tcW w:w="1559"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215 023</w:t>
            </w:r>
          </w:p>
        </w:tc>
        <w:tc>
          <w:tcPr>
            <w:tcW w:w="1560"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1 578 153</w:t>
            </w:r>
          </w:p>
        </w:tc>
        <w:tc>
          <w:tcPr>
            <w:tcW w:w="1417"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31 191</w:t>
            </w:r>
          </w:p>
        </w:tc>
      </w:tr>
      <w:tr w:rsidR="001F6E48" w:rsidRPr="001F6E48" w:rsidTr="001F6E48">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F6E48" w:rsidRPr="001F6E48" w:rsidRDefault="001F6E48" w:rsidP="001F6E48">
            <w:r w:rsidRPr="001F6E48">
              <w:rPr>
                <w:sz w:val="22"/>
                <w:szCs w:val="22"/>
              </w:rPr>
              <w:t>Latgales plānošanas reģions</w:t>
            </w:r>
          </w:p>
        </w:tc>
        <w:tc>
          <w:tcPr>
            <w:tcW w:w="1701"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center"/>
            </w:pPr>
            <w:r w:rsidRPr="001F6E48">
              <w:rPr>
                <w:sz w:val="22"/>
                <w:szCs w:val="22"/>
              </w:rPr>
              <w:t>2 574 577</w:t>
            </w:r>
          </w:p>
        </w:tc>
        <w:tc>
          <w:tcPr>
            <w:tcW w:w="1559"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327 732</w:t>
            </w:r>
          </w:p>
        </w:tc>
        <w:tc>
          <w:tcPr>
            <w:tcW w:w="1560"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2 935 958</w:t>
            </w:r>
          </w:p>
        </w:tc>
        <w:tc>
          <w:tcPr>
            <w:tcW w:w="1417"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-33 649</w:t>
            </w:r>
          </w:p>
        </w:tc>
      </w:tr>
      <w:tr w:rsidR="001F6E48" w:rsidRPr="001F6E48" w:rsidTr="001F6E48">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F6E48" w:rsidRPr="001F6E48" w:rsidRDefault="001F6E48" w:rsidP="001F6E48">
            <w:r w:rsidRPr="001F6E48">
              <w:rPr>
                <w:sz w:val="22"/>
                <w:szCs w:val="22"/>
              </w:rPr>
              <w:t>Rīgas plānošanas reģions</w:t>
            </w:r>
          </w:p>
        </w:tc>
        <w:tc>
          <w:tcPr>
            <w:tcW w:w="1701"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center"/>
            </w:pPr>
            <w:r w:rsidRPr="001F6E48">
              <w:rPr>
                <w:sz w:val="22"/>
                <w:szCs w:val="22"/>
              </w:rPr>
              <w:t>2 300 826</w:t>
            </w:r>
          </w:p>
        </w:tc>
        <w:tc>
          <w:tcPr>
            <w:tcW w:w="1559"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610 772</w:t>
            </w:r>
          </w:p>
        </w:tc>
        <w:tc>
          <w:tcPr>
            <w:tcW w:w="1560"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2 901 414</w:t>
            </w:r>
          </w:p>
        </w:tc>
        <w:tc>
          <w:tcPr>
            <w:tcW w:w="1417"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10 184</w:t>
            </w:r>
          </w:p>
        </w:tc>
      </w:tr>
      <w:tr w:rsidR="001F6E48" w:rsidRPr="001F6E48" w:rsidTr="001F6E48">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F6E48" w:rsidRPr="001F6E48" w:rsidRDefault="001F6E48" w:rsidP="001F6E48">
            <w:r w:rsidRPr="001F6E48">
              <w:rPr>
                <w:sz w:val="22"/>
                <w:szCs w:val="22"/>
              </w:rPr>
              <w:t>Vidzemes plānošanas reģions</w:t>
            </w:r>
          </w:p>
        </w:tc>
        <w:tc>
          <w:tcPr>
            <w:tcW w:w="1701"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center"/>
            </w:pPr>
            <w:r w:rsidRPr="001F6E48">
              <w:rPr>
                <w:sz w:val="22"/>
                <w:szCs w:val="22"/>
              </w:rPr>
              <w:t>1 546 589</w:t>
            </w:r>
          </w:p>
        </w:tc>
        <w:tc>
          <w:tcPr>
            <w:tcW w:w="1559"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329 282</w:t>
            </w:r>
          </w:p>
        </w:tc>
        <w:tc>
          <w:tcPr>
            <w:tcW w:w="1560"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2 856 814</w:t>
            </w:r>
          </w:p>
        </w:tc>
        <w:tc>
          <w:tcPr>
            <w:tcW w:w="1417"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-980 943</w:t>
            </w:r>
          </w:p>
        </w:tc>
      </w:tr>
      <w:tr w:rsidR="001F6E48" w:rsidRPr="001F6E48" w:rsidTr="001F6E48">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F6E48" w:rsidRPr="001F6E48" w:rsidRDefault="001F6E48" w:rsidP="001F6E48">
            <w:r w:rsidRPr="001F6E48">
              <w:rPr>
                <w:sz w:val="22"/>
                <w:szCs w:val="22"/>
              </w:rPr>
              <w:t>Zemgales plānošanas reģions</w:t>
            </w:r>
          </w:p>
        </w:tc>
        <w:tc>
          <w:tcPr>
            <w:tcW w:w="1701"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center"/>
            </w:pPr>
            <w:r w:rsidRPr="001F6E48">
              <w:rPr>
                <w:sz w:val="22"/>
                <w:szCs w:val="22"/>
              </w:rPr>
              <w:t>1 284 130</w:t>
            </w:r>
          </w:p>
        </w:tc>
        <w:tc>
          <w:tcPr>
            <w:tcW w:w="1559"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234 956</w:t>
            </w:r>
          </w:p>
        </w:tc>
        <w:tc>
          <w:tcPr>
            <w:tcW w:w="1560"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2 269 582</w:t>
            </w:r>
          </w:p>
        </w:tc>
        <w:tc>
          <w:tcPr>
            <w:tcW w:w="1417"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color w:val="000000"/>
              </w:rPr>
            </w:pPr>
            <w:r w:rsidRPr="001F6E48">
              <w:rPr>
                <w:color w:val="000000"/>
                <w:sz w:val="22"/>
                <w:szCs w:val="22"/>
              </w:rPr>
              <w:t>-750 496</w:t>
            </w:r>
          </w:p>
        </w:tc>
      </w:tr>
      <w:tr w:rsidR="001F6E48" w:rsidRPr="001F6E48" w:rsidTr="001F6E48">
        <w:trPr>
          <w:trHeight w:val="28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F6E48" w:rsidRPr="001F6E48" w:rsidRDefault="001F6E48" w:rsidP="001F6E48">
            <w:pPr>
              <w:rPr>
                <w:b/>
                <w:bCs/>
              </w:rPr>
            </w:pPr>
            <w:r w:rsidRPr="001F6E48">
              <w:rPr>
                <w:b/>
                <w:bCs/>
                <w:sz w:val="22"/>
                <w:szCs w:val="22"/>
              </w:rPr>
              <w:t>Kopā</w:t>
            </w:r>
          </w:p>
        </w:tc>
        <w:tc>
          <w:tcPr>
            <w:tcW w:w="1701"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center"/>
              <w:rPr>
                <w:b/>
                <w:bCs/>
              </w:rPr>
            </w:pPr>
            <w:r w:rsidRPr="001F6E48">
              <w:rPr>
                <w:b/>
                <w:bCs/>
                <w:sz w:val="22"/>
                <w:szCs w:val="22"/>
              </w:rPr>
              <w:t>9 100 443</w:t>
            </w:r>
          </w:p>
        </w:tc>
        <w:tc>
          <w:tcPr>
            <w:tcW w:w="1559"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b/>
                <w:bCs/>
                <w:color w:val="000000"/>
              </w:rPr>
            </w:pPr>
            <w:r w:rsidRPr="001F6E48">
              <w:rPr>
                <w:b/>
                <w:bCs/>
                <w:color w:val="000000"/>
                <w:sz w:val="22"/>
                <w:szCs w:val="22"/>
              </w:rPr>
              <w:t>1 717 765</w:t>
            </w:r>
          </w:p>
        </w:tc>
        <w:tc>
          <w:tcPr>
            <w:tcW w:w="1560"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b/>
                <w:bCs/>
                <w:color w:val="000000"/>
              </w:rPr>
            </w:pPr>
            <w:r w:rsidRPr="001F6E48">
              <w:rPr>
                <w:b/>
                <w:bCs/>
                <w:color w:val="000000"/>
                <w:sz w:val="22"/>
                <w:szCs w:val="22"/>
              </w:rPr>
              <w:t>12 541 921</w:t>
            </w:r>
          </w:p>
        </w:tc>
        <w:tc>
          <w:tcPr>
            <w:tcW w:w="1417" w:type="dxa"/>
            <w:tcBorders>
              <w:top w:val="nil"/>
              <w:left w:val="nil"/>
              <w:bottom w:val="single" w:sz="4" w:space="0" w:color="auto"/>
              <w:right w:val="single" w:sz="4" w:space="0" w:color="auto"/>
            </w:tcBorders>
            <w:shd w:val="clear" w:color="auto" w:fill="auto"/>
            <w:noWrap/>
            <w:vAlign w:val="bottom"/>
            <w:hideMark/>
          </w:tcPr>
          <w:p w:rsidR="001F6E48" w:rsidRPr="001F6E48" w:rsidRDefault="001F6E48" w:rsidP="001F6E48">
            <w:pPr>
              <w:jc w:val="right"/>
              <w:rPr>
                <w:b/>
                <w:bCs/>
                <w:color w:val="000000"/>
              </w:rPr>
            </w:pPr>
            <w:r w:rsidRPr="001F6E48">
              <w:rPr>
                <w:b/>
                <w:bCs/>
                <w:color w:val="000000"/>
                <w:sz w:val="22"/>
                <w:szCs w:val="22"/>
              </w:rPr>
              <w:t>-1 723 713</w:t>
            </w:r>
          </w:p>
        </w:tc>
      </w:tr>
    </w:tbl>
    <w:p w:rsidR="001F6E48" w:rsidRDefault="001F6E48" w:rsidP="00EC4BA2">
      <w:pPr>
        <w:tabs>
          <w:tab w:val="left" w:pos="709"/>
        </w:tabs>
        <w:ind w:hanging="142"/>
        <w:jc w:val="both"/>
        <w:rPr>
          <w:sz w:val="28"/>
          <w:szCs w:val="28"/>
        </w:rPr>
      </w:pPr>
    </w:p>
    <w:p w:rsidR="006B7396" w:rsidRPr="00201FC1" w:rsidRDefault="00D108AA" w:rsidP="00B51A14">
      <w:pPr>
        <w:ind w:firstLine="709"/>
        <w:jc w:val="both"/>
        <w:rPr>
          <w:sz w:val="26"/>
          <w:szCs w:val="26"/>
        </w:rPr>
      </w:pPr>
      <w:r w:rsidRPr="00201FC1">
        <w:rPr>
          <w:sz w:val="26"/>
          <w:szCs w:val="26"/>
        </w:rPr>
        <w:t xml:space="preserve">Lai </w:t>
      </w:r>
      <w:r w:rsidR="00226F42" w:rsidRPr="00201FC1">
        <w:rPr>
          <w:sz w:val="26"/>
          <w:szCs w:val="26"/>
        </w:rPr>
        <w:t>at</w:t>
      </w:r>
      <w:r w:rsidRPr="00201FC1">
        <w:rPr>
          <w:sz w:val="26"/>
          <w:szCs w:val="26"/>
        </w:rPr>
        <w:t xml:space="preserve">risinātu Zemgales un Vidzemes plānošanas reģionos izveidojušos situāciju, kad sakarā ar nepietiekamo finansējumu tiek apdraudēta sabiedriskā transporta pakalpojumu nodrošināšana minētajos reģionos, 2013.gada 11.septembrī sarunās </w:t>
      </w:r>
      <w:r w:rsidR="005B0770" w:rsidRPr="00201FC1">
        <w:rPr>
          <w:sz w:val="26"/>
          <w:szCs w:val="26"/>
        </w:rPr>
        <w:t>starp Satiksmes ministriju un</w:t>
      </w:r>
      <w:r w:rsidRPr="00201FC1">
        <w:rPr>
          <w:sz w:val="26"/>
          <w:szCs w:val="26"/>
        </w:rPr>
        <w:t xml:space="preserve"> Latvijas Autoostu un </w:t>
      </w:r>
      <w:r w:rsidR="005B0770" w:rsidRPr="00201FC1">
        <w:rPr>
          <w:sz w:val="26"/>
          <w:szCs w:val="26"/>
        </w:rPr>
        <w:t>Reģionālo Pārvadātāju asociāciju</w:t>
      </w:r>
      <w:r w:rsidRPr="00201FC1">
        <w:rPr>
          <w:sz w:val="26"/>
          <w:szCs w:val="26"/>
        </w:rPr>
        <w:t xml:space="preserve"> tika panākta vienošanās, ka tiks veikti virkne </w:t>
      </w:r>
      <w:r w:rsidR="00226F42" w:rsidRPr="00201FC1">
        <w:rPr>
          <w:sz w:val="26"/>
          <w:szCs w:val="26"/>
        </w:rPr>
        <w:t>pasākumu</w:t>
      </w:r>
      <w:r w:rsidR="009C4F1F" w:rsidRPr="00201FC1">
        <w:rPr>
          <w:sz w:val="26"/>
          <w:szCs w:val="26"/>
        </w:rPr>
        <w:t>, tostarp</w:t>
      </w:r>
      <w:r w:rsidR="0008086F" w:rsidRPr="00201FC1">
        <w:rPr>
          <w:sz w:val="26"/>
          <w:szCs w:val="26"/>
        </w:rPr>
        <w:t xml:space="preserve"> </w:t>
      </w:r>
      <w:r w:rsidR="006B7396" w:rsidRPr="00201FC1">
        <w:rPr>
          <w:sz w:val="26"/>
          <w:szCs w:val="26"/>
        </w:rPr>
        <w:t>Vidzemes un Zemgales plānošanas reģioniem tiks pārdalīts 2013.gada 4.ceturksnī paredzētais finansējums, oktobra maksājumā iekļaujot 2013.gada novembra un decembra mēnešiem paredzēto finansējumu attiecīgajam plānošanas reģionam</w:t>
      </w:r>
      <w:r w:rsidR="0008086F" w:rsidRPr="00201FC1">
        <w:rPr>
          <w:sz w:val="26"/>
          <w:szCs w:val="26"/>
        </w:rPr>
        <w:t>.</w:t>
      </w:r>
    </w:p>
    <w:p w:rsidR="00AA0A7D" w:rsidRPr="00201FC1" w:rsidRDefault="00374594" w:rsidP="00EC4BA2">
      <w:pPr>
        <w:ind w:firstLine="720"/>
        <w:jc w:val="both"/>
        <w:rPr>
          <w:sz w:val="26"/>
          <w:szCs w:val="26"/>
        </w:rPr>
      </w:pPr>
      <w:r w:rsidRPr="00201FC1">
        <w:rPr>
          <w:sz w:val="26"/>
          <w:szCs w:val="26"/>
        </w:rPr>
        <w:t xml:space="preserve">Veicot iepriekš minēto </w:t>
      </w:r>
      <w:r w:rsidR="002218EF" w:rsidRPr="00201FC1">
        <w:rPr>
          <w:sz w:val="26"/>
          <w:szCs w:val="26"/>
        </w:rPr>
        <w:t xml:space="preserve">vienošanās </w:t>
      </w:r>
      <w:r w:rsidRPr="00201FC1">
        <w:rPr>
          <w:sz w:val="26"/>
          <w:szCs w:val="26"/>
        </w:rPr>
        <w:t>izpildi,</w:t>
      </w:r>
      <w:r w:rsidR="00EC4BA2" w:rsidRPr="00201FC1">
        <w:rPr>
          <w:sz w:val="26"/>
          <w:szCs w:val="26"/>
        </w:rPr>
        <w:t xml:space="preserve"> </w:t>
      </w:r>
      <w:r w:rsidR="001A6540" w:rsidRPr="00201FC1">
        <w:rPr>
          <w:sz w:val="26"/>
          <w:szCs w:val="26"/>
        </w:rPr>
        <w:t>o</w:t>
      </w:r>
      <w:r w:rsidR="00D108AA" w:rsidRPr="00201FC1">
        <w:rPr>
          <w:sz w:val="26"/>
          <w:szCs w:val="26"/>
        </w:rPr>
        <w:t xml:space="preserve">ktobrī Vidzemes un Zemgales plānošanas reģioniem tika izmaksāts </w:t>
      </w:r>
      <w:r w:rsidR="005B0770" w:rsidRPr="00201FC1">
        <w:rPr>
          <w:sz w:val="26"/>
          <w:szCs w:val="26"/>
        </w:rPr>
        <w:t xml:space="preserve">dotācijas </w:t>
      </w:r>
      <w:r w:rsidR="00D108AA" w:rsidRPr="00201FC1">
        <w:rPr>
          <w:sz w:val="26"/>
          <w:szCs w:val="26"/>
        </w:rPr>
        <w:t xml:space="preserve">avansa maksājums, iekļaujot arī </w:t>
      </w:r>
      <w:r w:rsidR="00D108AA" w:rsidRPr="00201FC1">
        <w:rPr>
          <w:sz w:val="26"/>
          <w:szCs w:val="26"/>
        </w:rPr>
        <w:lastRenderedPageBreak/>
        <w:t xml:space="preserve">2013.gada novembra un decembra mēnešiem paredzēto finansējumu. Tādējādi uz doto brīdi Zemgales un Vidzemes plānošanas reģioniem </w:t>
      </w:r>
      <w:r w:rsidR="00E60CD1" w:rsidRPr="00201FC1">
        <w:rPr>
          <w:sz w:val="26"/>
          <w:szCs w:val="26"/>
          <w:u w:val="single"/>
        </w:rPr>
        <w:t>novembra un decembra mēnešos nav paredzēts finansējums sabiedriskā transporta pakalpojumu sniedzēju zaudējumu kompensēšanai</w:t>
      </w:r>
      <w:r w:rsidR="00B37BA8" w:rsidRPr="00201FC1">
        <w:rPr>
          <w:sz w:val="26"/>
          <w:szCs w:val="26"/>
        </w:rPr>
        <w:t xml:space="preserve">, kas </w:t>
      </w:r>
      <w:r w:rsidR="00226F42" w:rsidRPr="00201FC1">
        <w:rPr>
          <w:sz w:val="26"/>
          <w:szCs w:val="26"/>
        </w:rPr>
        <w:t>izraisīs</w:t>
      </w:r>
      <w:r w:rsidR="00B37BA8" w:rsidRPr="00201FC1">
        <w:rPr>
          <w:sz w:val="26"/>
          <w:szCs w:val="26"/>
        </w:rPr>
        <w:t xml:space="preserve"> sabiedriskā transporta pakalpojumu </w:t>
      </w:r>
      <w:r w:rsidR="001A41FB" w:rsidRPr="00201FC1">
        <w:rPr>
          <w:sz w:val="26"/>
          <w:szCs w:val="26"/>
        </w:rPr>
        <w:t>apstāšanos minētajos reģionos, jo jau pašlaik minēto reģionu pārvadātāji nespēj norēķināties ar piegādātājiem par degvielas piegādi, kā arī nevar veikt algas izmaksu par padarīto darbu darbiniekiem</w:t>
      </w:r>
      <w:r w:rsidR="00D108AA" w:rsidRPr="00201FC1">
        <w:rPr>
          <w:sz w:val="26"/>
          <w:szCs w:val="26"/>
        </w:rPr>
        <w:t>.</w:t>
      </w:r>
    </w:p>
    <w:p w:rsidR="009D16E2" w:rsidRPr="00201FC1" w:rsidRDefault="009D16E2" w:rsidP="00EC4BA2">
      <w:pPr>
        <w:ind w:firstLine="720"/>
        <w:jc w:val="both"/>
        <w:rPr>
          <w:sz w:val="26"/>
          <w:szCs w:val="26"/>
        </w:rPr>
      </w:pPr>
    </w:p>
    <w:p w:rsidR="00297E91" w:rsidRPr="00201FC1" w:rsidRDefault="00297E91" w:rsidP="00D418C4">
      <w:pPr>
        <w:spacing w:after="200" w:line="276" w:lineRule="auto"/>
        <w:jc w:val="right"/>
        <w:rPr>
          <w:sz w:val="26"/>
          <w:szCs w:val="26"/>
        </w:rPr>
      </w:pPr>
      <w:r w:rsidRPr="00201FC1">
        <w:rPr>
          <w:sz w:val="26"/>
          <w:szCs w:val="26"/>
        </w:rPr>
        <w:t>2.attēls</w:t>
      </w:r>
    </w:p>
    <w:p w:rsidR="009D16E2" w:rsidRPr="00201FC1" w:rsidRDefault="009D16E2" w:rsidP="009D16E2">
      <w:pPr>
        <w:jc w:val="center"/>
        <w:rPr>
          <w:b/>
          <w:sz w:val="26"/>
          <w:szCs w:val="26"/>
        </w:rPr>
      </w:pPr>
      <w:r w:rsidRPr="00201FC1">
        <w:rPr>
          <w:b/>
          <w:sz w:val="26"/>
          <w:szCs w:val="26"/>
        </w:rPr>
        <w:t>Zemgales un Vidzemes plānošanas reģionu izmaksātās valsts b</w:t>
      </w:r>
      <w:bookmarkStart w:id="0" w:name="_GoBack"/>
      <w:bookmarkEnd w:id="0"/>
      <w:r w:rsidRPr="00201FC1">
        <w:rPr>
          <w:b/>
          <w:sz w:val="26"/>
          <w:szCs w:val="26"/>
        </w:rPr>
        <w:t>udžeta dotācijas un zaudējumu attiecība, latos</w:t>
      </w:r>
    </w:p>
    <w:p w:rsidR="009D16E2" w:rsidRPr="009D16E2" w:rsidRDefault="009D16E2" w:rsidP="009D16E2">
      <w:pPr>
        <w:jc w:val="both"/>
        <w:rPr>
          <w:sz w:val="28"/>
          <w:szCs w:val="28"/>
        </w:rPr>
      </w:pPr>
      <w:r w:rsidRPr="009D16E2">
        <w:rPr>
          <w:noProof/>
          <w:sz w:val="28"/>
          <w:szCs w:val="28"/>
        </w:rPr>
        <w:drawing>
          <wp:inline distT="0" distB="0" distL="0" distR="0">
            <wp:extent cx="5486400" cy="231013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16E2" w:rsidRDefault="009D16E2" w:rsidP="00EC4BA2">
      <w:pPr>
        <w:ind w:firstLine="720"/>
        <w:jc w:val="both"/>
        <w:rPr>
          <w:sz w:val="28"/>
          <w:szCs w:val="28"/>
        </w:rPr>
      </w:pPr>
    </w:p>
    <w:p w:rsidR="009D16E2" w:rsidRPr="00201FC1" w:rsidRDefault="009D16E2" w:rsidP="00EC4BA2">
      <w:pPr>
        <w:ind w:firstLine="720"/>
        <w:jc w:val="both"/>
        <w:rPr>
          <w:sz w:val="26"/>
          <w:szCs w:val="26"/>
        </w:rPr>
      </w:pPr>
      <w:r w:rsidRPr="00201FC1">
        <w:rPr>
          <w:sz w:val="26"/>
          <w:szCs w:val="26"/>
        </w:rPr>
        <w:t xml:space="preserve">Atzīmējams ir arī tas, ka </w:t>
      </w:r>
      <w:r w:rsidR="00297E91" w:rsidRPr="00201FC1">
        <w:rPr>
          <w:sz w:val="26"/>
          <w:szCs w:val="26"/>
        </w:rPr>
        <w:t xml:space="preserve">Zemgales un Vidzemes plānošanas reģioniem par pirmajiem četriem mēnešiem tika kompensēti tikai 50% no faktiskajiem zaudējumiem, kas jau minētajā periodā izraisīja finansiālas grūtības sabiedriskā transporta pakalpojumu sniedzējiem, </w:t>
      </w:r>
      <w:r w:rsidR="002218EF" w:rsidRPr="00201FC1">
        <w:rPr>
          <w:sz w:val="26"/>
          <w:szCs w:val="26"/>
        </w:rPr>
        <w:t>tāpēc</w:t>
      </w:r>
      <w:r w:rsidR="00297E91" w:rsidRPr="00201FC1">
        <w:rPr>
          <w:sz w:val="26"/>
          <w:szCs w:val="26"/>
        </w:rPr>
        <w:t xml:space="preserve"> </w:t>
      </w:r>
      <w:r w:rsidRPr="00201FC1">
        <w:rPr>
          <w:sz w:val="26"/>
          <w:szCs w:val="26"/>
        </w:rPr>
        <w:t xml:space="preserve">2013.gada maijā, lai nodrošinātu sabiedriskā transporta pakalpojumu sniegšanu, plānošanas reģioniem no 4.ceturkšņa tika pārdalīts (pārcelts) finansējums. Tādējādi 2013.gada 4.ceturksnī atlikušais avansa maksājums nodrošināja </w:t>
      </w:r>
      <w:r w:rsidR="003D4B5A" w:rsidRPr="00201FC1">
        <w:rPr>
          <w:sz w:val="26"/>
          <w:szCs w:val="26"/>
        </w:rPr>
        <w:t xml:space="preserve">finansējumu </w:t>
      </w:r>
      <w:r w:rsidRPr="00201FC1">
        <w:rPr>
          <w:sz w:val="26"/>
          <w:szCs w:val="26"/>
        </w:rPr>
        <w:t xml:space="preserve">tikai </w:t>
      </w:r>
      <w:r w:rsidR="002218EF" w:rsidRPr="00201FC1">
        <w:rPr>
          <w:sz w:val="26"/>
          <w:szCs w:val="26"/>
        </w:rPr>
        <w:t>oktobra</w:t>
      </w:r>
      <w:r w:rsidRPr="00201FC1">
        <w:rPr>
          <w:sz w:val="26"/>
          <w:szCs w:val="26"/>
        </w:rPr>
        <w:t xml:space="preserve"> mēne</w:t>
      </w:r>
      <w:r w:rsidR="003D4B5A" w:rsidRPr="00201FC1">
        <w:rPr>
          <w:sz w:val="26"/>
          <w:szCs w:val="26"/>
        </w:rPr>
        <w:t>sim</w:t>
      </w:r>
      <w:r w:rsidRPr="00201FC1">
        <w:rPr>
          <w:sz w:val="26"/>
          <w:szCs w:val="26"/>
        </w:rPr>
        <w:t xml:space="preserve">. </w:t>
      </w:r>
    </w:p>
    <w:p w:rsidR="00201FC1" w:rsidRPr="00201FC1" w:rsidRDefault="00201FC1" w:rsidP="006B7396">
      <w:pPr>
        <w:ind w:firstLine="720"/>
        <w:jc w:val="both"/>
        <w:rPr>
          <w:b/>
          <w:sz w:val="26"/>
          <w:szCs w:val="26"/>
          <w:u w:val="single"/>
        </w:rPr>
      </w:pPr>
    </w:p>
    <w:p w:rsidR="00070517" w:rsidRPr="00201FC1" w:rsidRDefault="00E60CD1" w:rsidP="006B7396">
      <w:pPr>
        <w:ind w:firstLine="720"/>
        <w:jc w:val="both"/>
        <w:rPr>
          <w:b/>
          <w:sz w:val="26"/>
          <w:szCs w:val="26"/>
          <w:u w:val="single"/>
        </w:rPr>
      </w:pPr>
      <w:r w:rsidRPr="00201FC1">
        <w:rPr>
          <w:b/>
          <w:sz w:val="26"/>
          <w:szCs w:val="26"/>
          <w:u w:val="single"/>
        </w:rPr>
        <w:t>Situācijas risinājums.</w:t>
      </w:r>
    </w:p>
    <w:p w:rsidR="00070517" w:rsidRPr="00201FC1" w:rsidRDefault="00070517" w:rsidP="006B7396">
      <w:pPr>
        <w:ind w:firstLine="720"/>
        <w:jc w:val="both"/>
        <w:rPr>
          <w:sz w:val="26"/>
          <w:szCs w:val="26"/>
        </w:rPr>
      </w:pPr>
    </w:p>
    <w:p w:rsidR="001A41FB" w:rsidRPr="00201FC1" w:rsidRDefault="001A41FB" w:rsidP="001A41FB">
      <w:pPr>
        <w:pStyle w:val="tv213"/>
        <w:spacing w:before="0" w:beforeAutospacing="0" w:after="0" w:afterAutospacing="0"/>
        <w:ind w:firstLine="720"/>
        <w:jc w:val="both"/>
        <w:rPr>
          <w:sz w:val="26"/>
          <w:szCs w:val="26"/>
        </w:rPr>
      </w:pPr>
      <w:r w:rsidRPr="00201FC1">
        <w:rPr>
          <w:sz w:val="26"/>
          <w:szCs w:val="26"/>
        </w:rPr>
        <w:t xml:space="preserve">Pašlaik Saeimā ir iesniegts izskatīšanai (plānots izskatīt 2.lasījumā 2013.gada </w:t>
      </w:r>
      <w:r w:rsidR="00F72BA1" w:rsidRPr="00201FC1">
        <w:rPr>
          <w:sz w:val="26"/>
          <w:szCs w:val="26"/>
        </w:rPr>
        <w:t>7.novembrī</w:t>
      </w:r>
      <w:r w:rsidRPr="00201FC1">
        <w:rPr>
          <w:sz w:val="26"/>
          <w:szCs w:val="26"/>
        </w:rPr>
        <w:t>) likumprojekts „Grozījumi Sabiedriskā transporta pakalpojumu likumā</w:t>
      </w:r>
      <w:r w:rsidR="002218EF" w:rsidRPr="00201FC1">
        <w:rPr>
          <w:sz w:val="26"/>
          <w:szCs w:val="26"/>
        </w:rPr>
        <w:t>”</w:t>
      </w:r>
      <w:r w:rsidRPr="00201FC1">
        <w:rPr>
          <w:sz w:val="26"/>
          <w:szCs w:val="26"/>
        </w:rPr>
        <w:t>, kas paredz centralizēt sabiedriskā transporta pakalpojumu pārzināšanas un organizēšanas funkciju reģionālo starppilsētu nozīmes maršrutu tīkla, reģionālo vietējās nozīmes maršrutu tīkla un visu dzelzceļa maršrutu pārzināšanas un organizēšanas funkciju nododot Sabiedriskā transporta padomei</w:t>
      </w:r>
      <w:r w:rsidR="003D4B5A" w:rsidRPr="00201FC1">
        <w:rPr>
          <w:sz w:val="26"/>
          <w:szCs w:val="26"/>
        </w:rPr>
        <w:t xml:space="preserve"> un</w:t>
      </w:r>
      <w:r w:rsidRPr="00201FC1">
        <w:rPr>
          <w:sz w:val="26"/>
          <w:szCs w:val="26"/>
        </w:rPr>
        <w:t xml:space="preserve"> izveidojot vienotu reģionālās nozīmes maršrutu tīklu. Vienota maršrutu tīkla pārzināšana ļaus izveidot </w:t>
      </w:r>
      <w:r w:rsidR="003D4B5A" w:rsidRPr="00201FC1">
        <w:rPr>
          <w:sz w:val="26"/>
          <w:szCs w:val="26"/>
        </w:rPr>
        <w:t xml:space="preserve">savstarpēji koordinētu </w:t>
      </w:r>
      <w:r w:rsidRPr="00201FC1">
        <w:rPr>
          <w:sz w:val="26"/>
          <w:szCs w:val="26"/>
        </w:rPr>
        <w:t xml:space="preserve">un izmaksu efektīvu reģionālās nozīmes maršrutu tīklu. Tiks nodrošināta pārvadājumu apjoma sabalansēšana ar valsts budžetā pieejamo finansējumu, </w:t>
      </w:r>
      <w:r w:rsidR="003D4B5A" w:rsidRPr="00201FC1">
        <w:rPr>
          <w:sz w:val="26"/>
          <w:szCs w:val="26"/>
        </w:rPr>
        <w:t xml:space="preserve">padarītas efektīvākas </w:t>
      </w:r>
      <w:r w:rsidRPr="00201FC1">
        <w:rPr>
          <w:sz w:val="26"/>
          <w:szCs w:val="26"/>
        </w:rPr>
        <w:t>administratīvās procedūras un ieviesta vienota pieeja pakalpojumu plānošanas, pasūtīšanas, līgumu slēgšanas un valsts budžeta līdzekļu izlietošanas uzraudzības procesiem.</w:t>
      </w:r>
    </w:p>
    <w:p w:rsidR="00F72BA1" w:rsidRPr="00201FC1" w:rsidRDefault="00B34D74" w:rsidP="00F72BA1">
      <w:pPr>
        <w:ind w:firstLine="720"/>
        <w:jc w:val="both"/>
        <w:rPr>
          <w:sz w:val="26"/>
          <w:szCs w:val="26"/>
        </w:rPr>
      </w:pPr>
      <w:r w:rsidRPr="00201FC1">
        <w:rPr>
          <w:sz w:val="26"/>
          <w:szCs w:val="26"/>
        </w:rPr>
        <w:lastRenderedPageBreak/>
        <w:t>Ievērojot to, ka Vidzemes un Zemgales plānošanas reģionos ir izveidojusies ārkārtas situācija,</w:t>
      </w:r>
      <w:r w:rsidR="003D4B5A" w:rsidRPr="00201FC1">
        <w:rPr>
          <w:sz w:val="26"/>
          <w:szCs w:val="26"/>
        </w:rPr>
        <w:t xml:space="preserve"> kas bez papildus finansējuma neizbēgami izraisīs </w:t>
      </w:r>
      <w:r w:rsidRPr="00201FC1">
        <w:rPr>
          <w:sz w:val="26"/>
          <w:szCs w:val="26"/>
        </w:rPr>
        <w:t xml:space="preserve"> </w:t>
      </w:r>
      <w:r w:rsidR="00F72BA1" w:rsidRPr="00201FC1">
        <w:rPr>
          <w:sz w:val="26"/>
          <w:szCs w:val="26"/>
        </w:rPr>
        <w:t>sabiedriskā transporta pakalpojumu apstāšanos minētajos reģionos</w:t>
      </w:r>
      <w:r w:rsidRPr="00201FC1">
        <w:rPr>
          <w:sz w:val="26"/>
          <w:szCs w:val="26"/>
        </w:rPr>
        <w:t xml:space="preserve">, </w:t>
      </w:r>
      <w:r w:rsidR="003D4B5A" w:rsidRPr="00201FC1">
        <w:rPr>
          <w:sz w:val="26"/>
          <w:szCs w:val="26"/>
        </w:rPr>
        <w:t>ir</w:t>
      </w:r>
      <w:r w:rsidRPr="00201FC1">
        <w:rPr>
          <w:sz w:val="26"/>
          <w:szCs w:val="26"/>
        </w:rPr>
        <w:t xml:space="preserve"> nepieciešams </w:t>
      </w:r>
      <w:r w:rsidR="003D4B5A" w:rsidRPr="00201FC1">
        <w:rPr>
          <w:sz w:val="26"/>
          <w:szCs w:val="26"/>
        </w:rPr>
        <w:t>nodrošināt</w:t>
      </w:r>
      <w:r w:rsidRPr="00201FC1">
        <w:rPr>
          <w:sz w:val="26"/>
          <w:szCs w:val="26"/>
        </w:rPr>
        <w:t xml:space="preserve"> vismaz 2013.gada novembra un decembra pārvadājum</w:t>
      </w:r>
      <w:r w:rsidR="003D4B5A" w:rsidRPr="00201FC1">
        <w:rPr>
          <w:sz w:val="26"/>
          <w:szCs w:val="26"/>
        </w:rPr>
        <w:t>us</w:t>
      </w:r>
      <w:r w:rsidR="00F72BA1" w:rsidRPr="00201FC1">
        <w:rPr>
          <w:sz w:val="26"/>
          <w:szCs w:val="26"/>
        </w:rPr>
        <w:t xml:space="preserve">. </w:t>
      </w:r>
      <w:r w:rsidRPr="00201FC1">
        <w:rPr>
          <w:sz w:val="26"/>
          <w:szCs w:val="26"/>
        </w:rPr>
        <w:t>Saskaņā ar Autotransporta direkcijas aprēķiniem</w:t>
      </w:r>
      <w:r w:rsidR="005C3434" w:rsidRPr="00201FC1">
        <w:rPr>
          <w:sz w:val="26"/>
          <w:szCs w:val="26"/>
        </w:rPr>
        <w:t>, lai segtu Zemgales un Vidzemes plānošanas reģionos vidējos zaudējumus divos mēnešos ir</w:t>
      </w:r>
      <w:r w:rsidR="003D4B5A" w:rsidRPr="00201FC1">
        <w:rPr>
          <w:sz w:val="26"/>
          <w:szCs w:val="26"/>
        </w:rPr>
        <w:t xml:space="preserve"> nepieciešami</w:t>
      </w:r>
      <w:r w:rsidR="005C3434" w:rsidRPr="00201FC1">
        <w:rPr>
          <w:sz w:val="26"/>
          <w:szCs w:val="26"/>
        </w:rPr>
        <w:t xml:space="preserve"> 760 360 </w:t>
      </w:r>
      <w:r w:rsidR="003D4B5A" w:rsidRPr="00201FC1">
        <w:rPr>
          <w:sz w:val="26"/>
          <w:szCs w:val="26"/>
        </w:rPr>
        <w:t>LVL</w:t>
      </w:r>
      <w:r w:rsidR="005C3434" w:rsidRPr="00201FC1">
        <w:rPr>
          <w:sz w:val="26"/>
          <w:szCs w:val="26"/>
        </w:rPr>
        <w:t>.</w:t>
      </w:r>
    </w:p>
    <w:p w:rsidR="001851D1" w:rsidRPr="00201FC1" w:rsidRDefault="005C3434" w:rsidP="00F72BA1">
      <w:pPr>
        <w:ind w:firstLine="720"/>
        <w:jc w:val="both"/>
        <w:rPr>
          <w:sz w:val="26"/>
          <w:szCs w:val="26"/>
        </w:rPr>
      </w:pPr>
      <w:r w:rsidRPr="00201FC1">
        <w:rPr>
          <w:sz w:val="26"/>
          <w:szCs w:val="26"/>
        </w:rPr>
        <w:t xml:space="preserve">Savukārt jautājums par </w:t>
      </w:r>
      <w:r w:rsidR="003D4B5A" w:rsidRPr="00201FC1">
        <w:rPr>
          <w:sz w:val="26"/>
          <w:szCs w:val="26"/>
        </w:rPr>
        <w:t>2013.gada zaudējumu segšanu ir risināms</w:t>
      </w:r>
      <w:r w:rsidR="001851D1" w:rsidRPr="00201FC1">
        <w:rPr>
          <w:sz w:val="26"/>
          <w:szCs w:val="26"/>
        </w:rPr>
        <w:t xml:space="preserve"> </w:t>
      </w:r>
      <w:r w:rsidR="00297E91" w:rsidRPr="00201FC1">
        <w:rPr>
          <w:sz w:val="26"/>
          <w:szCs w:val="26"/>
        </w:rPr>
        <w:t xml:space="preserve">vienotā </w:t>
      </w:r>
      <w:r w:rsidR="001851D1" w:rsidRPr="00201FC1">
        <w:rPr>
          <w:sz w:val="26"/>
          <w:szCs w:val="26"/>
        </w:rPr>
        <w:t>maršrutu tīkla plānošana</w:t>
      </w:r>
      <w:r w:rsidR="003D4B5A" w:rsidRPr="00201FC1">
        <w:rPr>
          <w:sz w:val="26"/>
          <w:szCs w:val="26"/>
        </w:rPr>
        <w:t>s procesa ietvaros</w:t>
      </w:r>
      <w:r w:rsidR="001851D1" w:rsidRPr="00201FC1">
        <w:rPr>
          <w:sz w:val="26"/>
          <w:szCs w:val="26"/>
        </w:rPr>
        <w:t xml:space="preserve">, lemjot </w:t>
      </w:r>
      <w:r w:rsidR="007C70BF" w:rsidRPr="00201FC1">
        <w:rPr>
          <w:sz w:val="26"/>
          <w:szCs w:val="26"/>
        </w:rPr>
        <w:t>jautājumus par nepieciešamo finansējumu faktisko zaudējumu kompensēšanai un citus</w:t>
      </w:r>
      <w:r w:rsidR="001851D1" w:rsidRPr="00201FC1">
        <w:rPr>
          <w:sz w:val="26"/>
          <w:szCs w:val="26"/>
        </w:rPr>
        <w:t xml:space="preserve"> jautājumus Sabiedriskā transporta padomē</w:t>
      </w:r>
      <w:r w:rsidR="007C70BF" w:rsidRPr="00201FC1">
        <w:rPr>
          <w:sz w:val="26"/>
          <w:szCs w:val="26"/>
        </w:rPr>
        <w:t xml:space="preserve"> jau sākot ar 2014.gadu</w:t>
      </w:r>
      <w:r w:rsidR="001851D1" w:rsidRPr="00201FC1">
        <w:rPr>
          <w:sz w:val="26"/>
          <w:szCs w:val="26"/>
        </w:rPr>
        <w:t>.</w:t>
      </w:r>
    </w:p>
    <w:p w:rsidR="005C3434" w:rsidRPr="00201FC1" w:rsidRDefault="001851D1" w:rsidP="00F72BA1">
      <w:pPr>
        <w:ind w:firstLine="720"/>
        <w:jc w:val="both"/>
        <w:rPr>
          <w:sz w:val="26"/>
          <w:szCs w:val="26"/>
        </w:rPr>
      </w:pPr>
      <w:r w:rsidRPr="00201FC1">
        <w:rPr>
          <w:sz w:val="26"/>
          <w:szCs w:val="26"/>
        </w:rPr>
        <w:t>Vienlaikus ar vienot</w:t>
      </w:r>
      <w:r w:rsidR="003D4B5A" w:rsidRPr="00201FC1">
        <w:rPr>
          <w:sz w:val="26"/>
          <w:szCs w:val="26"/>
        </w:rPr>
        <w:t>ās</w:t>
      </w:r>
      <w:r w:rsidRPr="00201FC1">
        <w:rPr>
          <w:sz w:val="26"/>
          <w:szCs w:val="26"/>
        </w:rPr>
        <w:t xml:space="preserve"> maršrutu tīkla plānošan</w:t>
      </w:r>
      <w:r w:rsidR="003D4B5A" w:rsidRPr="00201FC1">
        <w:rPr>
          <w:sz w:val="26"/>
          <w:szCs w:val="26"/>
        </w:rPr>
        <w:t>as ieviešanu</w:t>
      </w:r>
      <w:r w:rsidRPr="00201FC1">
        <w:rPr>
          <w:sz w:val="26"/>
          <w:szCs w:val="26"/>
        </w:rPr>
        <w:t xml:space="preserve"> tiks atcelti arī M</w:t>
      </w:r>
      <w:r w:rsidR="003D4B5A" w:rsidRPr="00201FC1">
        <w:rPr>
          <w:sz w:val="26"/>
          <w:szCs w:val="26"/>
        </w:rPr>
        <w:t>K</w:t>
      </w:r>
      <w:r w:rsidRPr="00201FC1">
        <w:rPr>
          <w:sz w:val="26"/>
          <w:szCs w:val="26"/>
        </w:rPr>
        <w:t xml:space="preserve"> noteikumi Nr.1028, tādējādi </w:t>
      </w:r>
      <w:r w:rsidR="003D4B5A" w:rsidRPr="00201FC1">
        <w:rPr>
          <w:sz w:val="26"/>
          <w:szCs w:val="26"/>
        </w:rPr>
        <w:t xml:space="preserve">atceļot </w:t>
      </w:r>
      <w:r w:rsidRPr="00201FC1">
        <w:rPr>
          <w:sz w:val="26"/>
          <w:szCs w:val="26"/>
        </w:rPr>
        <w:t>valsts budžeta finansējuma sadales kārtības principus starp plānošanas reģioniem.</w:t>
      </w:r>
    </w:p>
    <w:p w:rsidR="00070517" w:rsidRPr="00201FC1" w:rsidRDefault="00070517" w:rsidP="006B7396">
      <w:pPr>
        <w:ind w:firstLine="720"/>
        <w:jc w:val="both"/>
        <w:rPr>
          <w:sz w:val="26"/>
          <w:szCs w:val="26"/>
        </w:rPr>
      </w:pPr>
    </w:p>
    <w:p w:rsidR="00374594" w:rsidRPr="00201FC1" w:rsidRDefault="006B7396" w:rsidP="006B7396">
      <w:pPr>
        <w:ind w:firstLine="720"/>
        <w:jc w:val="both"/>
        <w:rPr>
          <w:sz w:val="26"/>
          <w:szCs w:val="26"/>
        </w:rPr>
      </w:pPr>
      <w:r w:rsidRPr="00201FC1">
        <w:rPr>
          <w:sz w:val="26"/>
          <w:szCs w:val="26"/>
        </w:rPr>
        <w:t>Ņemot vērā izveidojošo</w:t>
      </w:r>
      <w:r w:rsidR="003D4B5A" w:rsidRPr="00201FC1">
        <w:rPr>
          <w:sz w:val="26"/>
          <w:szCs w:val="26"/>
        </w:rPr>
        <w:t>s</w:t>
      </w:r>
      <w:r w:rsidRPr="00201FC1">
        <w:rPr>
          <w:sz w:val="26"/>
          <w:szCs w:val="26"/>
        </w:rPr>
        <w:t xml:space="preserve"> situāciju</w:t>
      </w:r>
      <w:r w:rsidR="00374594" w:rsidRPr="00201FC1">
        <w:rPr>
          <w:sz w:val="26"/>
          <w:szCs w:val="26"/>
        </w:rPr>
        <w:t xml:space="preserve"> un veiktos pasākumus</w:t>
      </w:r>
      <w:r w:rsidR="009A1636" w:rsidRPr="00201FC1">
        <w:rPr>
          <w:sz w:val="26"/>
          <w:szCs w:val="26"/>
        </w:rPr>
        <w:t xml:space="preserve">, lai nodrošinātu pārvadājumu </w:t>
      </w:r>
      <w:r w:rsidR="003D168D" w:rsidRPr="00201FC1">
        <w:rPr>
          <w:sz w:val="26"/>
          <w:szCs w:val="26"/>
        </w:rPr>
        <w:t>nepārtrauktību</w:t>
      </w:r>
      <w:r w:rsidR="00620606" w:rsidRPr="00201FC1">
        <w:rPr>
          <w:sz w:val="26"/>
          <w:szCs w:val="26"/>
        </w:rPr>
        <w:t xml:space="preserve"> un sasniegtu Sabiedriskā transporta pakalpojumu likuma 2.pantā noteikto mērķi „nodrošināt iedzīvotājiem pieejamus sabiedriskā transporta pakalpojumus”,</w:t>
      </w:r>
      <w:r w:rsidR="003D168D" w:rsidRPr="00201FC1">
        <w:rPr>
          <w:sz w:val="26"/>
          <w:szCs w:val="26"/>
        </w:rPr>
        <w:t xml:space="preserve"> </w:t>
      </w:r>
      <w:r w:rsidR="007C70BF" w:rsidRPr="00201FC1">
        <w:rPr>
          <w:sz w:val="26"/>
          <w:szCs w:val="26"/>
        </w:rPr>
        <w:t xml:space="preserve">2013.gada novembrī un decembrī </w:t>
      </w:r>
      <w:r w:rsidR="003D168D" w:rsidRPr="00201FC1">
        <w:rPr>
          <w:sz w:val="26"/>
          <w:szCs w:val="26"/>
        </w:rPr>
        <w:t>līdz vienotās maršrutu tīkla plānošanas ieviešanai</w:t>
      </w:r>
      <w:r w:rsidR="003D4B5A" w:rsidRPr="00201FC1">
        <w:rPr>
          <w:sz w:val="26"/>
          <w:szCs w:val="26"/>
        </w:rPr>
        <w:t>,</w:t>
      </w:r>
      <w:r w:rsidR="003D168D" w:rsidRPr="00201FC1">
        <w:rPr>
          <w:sz w:val="26"/>
          <w:szCs w:val="26"/>
        </w:rPr>
        <w:t xml:space="preserve"> sākot ar 2014.gadu,</w:t>
      </w:r>
      <w:r w:rsidRPr="00201FC1">
        <w:rPr>
          <w:sz w:val="26"/>
          <w:szCs w:val="26"/>
        </w:rPr>
        <w:t xml:space="preserve"> </w:t>
      </w:r>
      <w:r w:rsidRPr="00201FC1">
        <w:rPr>
          <w:sz w:val="26"/>
          <w:szCs w:val="26"/>
          <w:u w:val="single"/>
        </w:rPr>
        <w:t xml:space="preserve">Satiksmes ministrija </w:t>
      </w:r>
      <w:r w:rsidR="00620606" w:rsidRPr="00201FC1">
        <w:rPr>
          <w:sz w:val="26"/>
          <w:szCs w:val="26"/>
          <w:u w:val="single"/>
        </w:rPr>
        <w:t xml:space="preserve">lūdz </w:t>
      </w:r>
      <w:r w:rsidRPr="00201FC1">
        <w:rPr>
          <w:sz w:val="26"/>
          <w:szCs w:val="26"/>
          <w:u w:val="single"/>
        </w:rPr>
        <w:t>no</w:t>
      </w:r>
      <w:r w:rsidRPr="00201FC1">
        <w:rPr>
          <w:rFonts w:eastAsia="Calibri"/>
          <w:sz w:val="26"/>
          <w:szCs w:val="26"/>
          <w:u w:val="single"/>
        </w:rPr>
        <w:t xml:space="preserve"> </w:t>
      </w:r>
      <w:r w:rsidR="003D168D" w:rsidRPr="00201FC1">
        <w:rPr>
          <w:rFonts w:eastAsia="Calibri"/>
          <w:sz w:val="26"/>
          <w:szCs w:val="26"/>
          <w:u w:val="single"/>
        </w:rPr>
        <w:t xml:space="preserve">2013.gada </w:t>
      </w:r>
      <w:r w:rsidRPr="00201FC1">
        <w:rPr>
          <w:rFonts w:eastAsia="Calibri"/>
          <w:sz w:val="26"/>
          <w:szCs w:val="26"/>
          <w:u w:val="single"/>
        </w:rPr>
        <w:t xml:space="preserve">valsts budžeta programmas 02.00.00 "Līdzekļi neparedzētiem gadījumiem" piešķirt </w:t>
      </w:r>
      <w:r w:rsidR="00E60CD1" w:rsidRPr="00201FC1">
        <w:rPr>
          <w:rFonts w:eastAsia="Calibri"/>
          <w:b/>
          <w:sz w:val="26"/>
          <w:szCs w:val="26"/>
          <w:u w:val="single"/>
        </w:rPr>
        <w:t>760 360</w:t>
      </w:r>
      <w:r w:rsidR="00B37BA8" w:rsidRPr="00201FC1">
        <w:rPr>
          <w:b/>
          <w:bCs/>
          <w:sz w:val="26"/>
          <w:szCs w:val="26"/>
          <w:u w:val="single"/>
        </w:rPr>
        <w:t> </w:t>
      </w:r>
      <w:r w:rsidRPr="00201FC1">
        <w:rPr>
          <w:b/>
          <w:bCs/>
          <w:sz w:val="26"/>
          <w:szCs w:val="26"/>
          <w:u w:val="single"/>
        </w:rPr>
        <w:t xml:space="preserve"> </w:t>
      </w:r>
      <w:r w:rsidR="002218EF" w:rsidRPr="00201FC1">
        <w:rPr>
          <w:rFonts w:eastAsia="Calibri"/>
          <w:b/>
          <w:sz w:val="26"/>
          <w:szCs w:val="26"/>
          <w:u w:val="single"/>
        </w:rPr>
        <w:t>latus</w:t>
      </w:r>
      <w:r w:rsidRPr="00201FC1">
        <w:rPr>
          <w:rFonts w:eastAsia="Calibri"/>
          <w:sz w:val="26"/>
          <w:szCs w:val="26"/>
          <w:u w:val="single"/>
        </w:rPr>
        <w:t xml:space="preserve">, </w:t>
      </w:r>
      <w:r w:rsidRPr="00201FC1">
        <w:rPr>
          <w:rFonts w:eastAsia="Calibri"/>
          <w:sz w:val="26"/>
          <w:szCs w:val="26"/>
        </w:rPr>
        <w:t xml:space="preserve">lai </w:t>
      </w:r>
      <w:r w:rsidR="002218EF" w:rsidRPr="00201FC1">
        <w:rPr>
          <w:color w:val="000000"/>
          <w:sz w:val="26"/>
          <w:szCs w:val="26"/>
        </w:rPr>
        <w:t>nodrošinātu līdzekļu piešķiršanu plānošanas reģioniem sabiedriskā transporta pakalpojumu nepārtrauktība</w:t>
      </w:r>
      <w:r w:rsidR="00AF3F36">
        <w:rPr>
          <w:color w:val="000000"/>
          <w:sz w:val="26"/>
          <w:szCs w:val="26"/>
        </w:rPr>
        <w:t>i</w:t>
      </w:r>
      <w:r w:rsidR="002218EF" w:rsidRPr="00201FC1">
        <w:rPr>
          <w:color w:val="000000"/>
          <w:sz w:val="26"/>
          <w:szCs w:val="26"/>
        </w:rPr>
        <w:t xml:space="preserve"> reģionālajos vietējās nozīmes maršrutu tīkla maršrutos </w:t>
      </w:r>
      <w:r w:rsidR="002218EF" w:rsidRPr="00201FC1">
        <w:rPr>
          <w:sz w:val="26"/>
          <w:szCs w:val="26"/>
        </w:rPr>
        <w:t xml:space="preserve">2013.gada novembrī un decembrī – Vidzemes plānošanas reģionam – </w:t>
      </w:r>
      <w:r w:rsidR="002218EF" w:rsidRPr="00201FC1">
        <w:rPr>
          <w:b/>
          <w:sz w:val="26"/>
          <w:szCs w:val="26"/>
        </w:rPr>
        <w:t>421 255 latus</w:t>
      </w:r>
      <w:r w:rsidR="002218EF" w:rsidRPr="00201FC1">
        <w:rPr>
          <w:sz w:val="26"/>
          <w:szCs w:val="26"/>
        </w:rPr>
        <w:t xml:space="preserve"> un Zemgales plānošanas reģionam – </w:t>
      </w:r>
      <w:r w:rsidR="002218EF" w:rsidRPr="00201FC1">
        <w:rPr>
          <w:b/>
          <w:sz w:val="26"/>
          <w:szCs w:val="26"/>
        </w:rPr>
        <w:t>339 105 latus</w:t>
      </w:r>
      <w:r w:rsidR="002218EF" w:rsidRPr="00201FC1">
        <w:rPr>
          <w:sz w:val="26"/>
          <w:szCs w:val="26"/>
        </w:rPr>
        <w:t>.</w:t>
      </w:r>
    </w:p>
    <w:p w:rsidR="00374594" w:rsidRPr="00201FC1" w:rsidRDefault="00374594" w:rsidP="004957E5">
      <w:pPr>
        <w:ind w:firstLine="709"/>
        <w:jc w:val="both"/>
        <w:rPr>
          <w:sz w:val="26"/>
          <w:szCs w:val="26"/>
        </w:rPr>
      </w:pPr>
    </w:p>
    <w:p w:rsidR="002218EF" w:rsidRPr="00201FC1" w:rsidRDefault="002218EF" w:rsidP="004957E5">
      <w:pPr>
        <w:ind w:firstLine="709"/>
        <w:jc w:val="both"/>
        <w:rPr>
          <w:sz w:val="26"/>
          <w:szCs w:val="26"/>
        </w:rPr>
      </w:pPr>
    </w:p>
    <w:p w:rsidR="008C57B6" w:rsidRPr="00201FC1" w:rsidRDefault="004957E5" w:rsidP="004957E5">
      <w:pPr>
        <w:ind w:firstLine="709"/>
        <w:jc w:val="both"/>
        <w:rPr>
          <w:sz w:val="26"/>
          <w:szCs w:val="26"/>
        </w:rPr>
      </w:pPr>
      <w:r w:rsidRPr="00201FC1">
        <w:rPr>
          <w:sz w:val="26"/>
          <w:szCs w:val="26"/>
        </w:rPr>
        <w:t>Satiksmes ministrs</w:t>
      </w:r>
      <w:r w:rsidRPr="00201FC1">
        <w:rPr>
          <w:sz w:val="26"/>
          <w:szCs w:val="26"/>
        </w:rPr>
        <w:tab/>
      </w:r>
      <w:r w:rsidRPr="00201FC1">
        <w:rPr>
          <w:sz w:val="26"/>
          <w:szCs w:val="26"/>
        </w:rPr>
        <w:tab/>
      </w:r>
      <w:r w:rsidRPr="00201FC1">
        <w:rPr>
          <w:sz w:val="26"/>
          <w:szCs w:val="26"/>
        </w:rPr>
        <w:tab/>
      </w:r>
      <w:r w:rsidRPr="00201FC1">
        <w:rPr>
          <w:sz w:val="26"/>
          <w:szCs w:val="26"/>
        </w:rPr>
        <w:tab/>
      </w:r>
      <w:r w:rsidRPr="00201FC1">
        <w:rPr>
          <w:sz w:val="26"/>
          <w:szCs w:val="26"/>
        </w:rPr>
        <w:tab/>
      </w:r>
      <w:r w:rsidRPr="00201FC1">
        <w:rPr>
          <w:sz w:val="26"/>
          <w:szCs w:val="26"/>
        </w:rPr>
        <w:tab/>
      </w:r>
      <w:r w:rsidRPr="00201FC1">
        <w:rPr>
          <w:sz w:val="26"/>
          <w:szCs w:val="26"/>
        </w:rPr>
        <w:tab/>
      </w:r>
      <w:r w:rsidR="008C57B6" w:rsidRPr="00201FC1">
        <w:rPr>
          <w:sz w:val="26"/>
          <w:szCs w:val="26"/>
        </w:rPr>
        <w:t>A.Matīss</w:t>
      </w:r>
    </w:p>
    <w:p w:rsidR="008C57B6" w:rsidRPr="00201FC1" w:rsidRDefault="008C57B6" w:rsidP="004957E5">
      <w:pPr>
        <w:ind w:firstLine="709"/>
        <w:jc w:val="both"/>
        <w:rPr>
          <w:sz w:val="26"/>
          <w:szCs w:val="26"/>
        </w:rPr>
      </w:pPr>
    </w:p>
    <w:p w:rsidR="00374594" w:rsidRPr="00201FC1" w:rsidRDefault="00374594" w:rsidP="004957E5">
      <w:pPr>
        <w:ind w:firstLine="709"/>
        <w:jc w:val="both"/>
        <w:rPr>
          <w:sz w:val="26"/>
          <w:szCs w:val="26"/>
        </w:rPr>
      </w:pPr>
    </w:p>
    <w:p w:rsidR="008C57B6" w:rsidRPr="00201FC1" w:rsidRDefault="004957E5" w:rsidP="004957E5">
      <w:pPr>
        <w:pStyle w:val="ListParagraph"/>
        <w:ind w:left="0" w:firstLine="709"/>
        <w:jc w:val="both"/>
        <w:rPr>
          <w:sz w:val="26"/>
          <w:szCs w:val="26"/>
        </w:rPr>
      </w:pPr>
      <w:r w:rsidRPr="00201FC1">
        <w:rPr>
          <w:sz w:val="26"/>
          <w:szCs w:val="26"/>
        </w:rPr>
        <w:t>Vīza: valsts sekretārs</w:t>
      </w:r>
      <w:r w:rsidR="008C57B6" w:rsidRPr="00201FC1">
        <w:rPr>
          <w:sz w:val="26"/>
          <w:szCs w:val="26"/>
        </w:rPr>
        <w:tab/>
      </w:r>
      <w:r w:rsidR="008C57B6" w:rsidRPr="00201FC1">
        <w:rPr>
          <w:sz w:val="26"/>
          <w:szCs w:val="26"/>
        </w:rPr>
        <w:tab/>
      </w:r>
      <w:r w:rsidR="008C57B6" w:rsidRPr="00201FC1">
        <w:rPr>
          <w:sz w:val="26"/>
          <w:szCs w:val="26"/>
        </w:rPr>
        <w:tab/>
      </w:r>
      <w:r w:rsidR="008C57B6" w:rsidRPr="00201FC1">
        <w:rPr>
          <w:sz w:val="26"/>
          <w:szCs w:val="26"/>
        </w:rPr>
        <w:tab/>
      </w:r>
      <w:r w:rsidRPr="00201FC1">
        <w:rPr>
          <w:sz w:val="26"/>
          <w:szCs w:val="26"/>
        </w:rPr>
        <w:tab/>
      </w:r>
      <w:r w:rsidRPr="00201FC1">
        <w:rPr>
          <w:sz w:val="26"/>
          <w:szCs w:val="26"/>
        </w:rPr>
        <w:tab/>
        <w:t>K.Ozoliņš</w:t>
      </w:r>
    </w:p>
    <w:p w:rsidR="008C57B6" w:rsidRDefault="008C57B6"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Pr="003A6D13" w:rsidRDefault="004957E5" w:rsidP="008C57B6">
      <w:pPr>
        <w:jc w:val="both"/>
        <w:rPr>
          <w:sz w:val="28"/>
          <w:szCs w:val="28"/>
        </w:rPr>
      </w:pPr>
    </w:p>
    <w:p w:rsidR="008C57B6" w:rsidRPr="003666BB" w:rsidRDefault="000B4BA1" w:rsidP="008C57B6">
      <w:pPr>
        <w:jc w:val="both"/>
        <w:rPr>
          <w:sz w:val="20"/>
          <w:szCs w:val="20"/>
        </w:rPr>
      </w:pPr>
      <w:r>
        <w:rPr>
          <w:sz w:val="20"/>
          <w:szCs w:val="20"/>
        </w:rPr>
        <w:t>31</w:t>
      </w:r>
      <w:r w:rsidR="00374594">
        <w:rPr>
          <w:sz w:val="20"/>
          <w:szCs w:val="20"/>
        </w:rPr>
        <w:t>.10.2013.</w:t>
      </w:r>
    </w:p>
    <w:p w:rsidR="008C57B6" w:rsidRDefault="00AF3F36" w:rsidP="008C57B6">
      <w:pPr>
        <w:jc w:val="both"/>
        <w:rPr>
          <w:sz w:val="20"/>
          <w:szCs w:val="20"/>
        </w:rPr>
      </w:pPr>
      <w:r>
        <w:rPr>
          <w:sz w:val="20"/>
          <w:szCs w:val="20"/>
        </w:rPr>
        <w:t>1322</w:t>
      </w:r>
    </w:p>
    <w:p w:rsidR="008C57B6" w:rsidRDefault="00DE635D" w:rsidP="008C57B6">
      <w:pPr>
        <w:jc w:val="both"/>
        <w:rPr>
          <w:sz w:val="20"/>
          <w:szCs w:val="20"/>
        </w:rPr>
      </w:pPr>
      <w:r>
        <w:rPr>
          <w:sz w:val="20"/>
          <w:szCs w:val="20"/>
        </w:rPr>
        <w:t>K.Grīviņa 67686486</w:t>
      </w:r>
    </w:p>
    <w:p w:rsidR="00DE635D" w:rsidRDefault="00DE635D" w:rsidP="008C57B6">
      <w:pPr>
        <w:jc w:val="both"/>
        <w:rPr>
          <w:sz w:val="20"/>
          <w:szCs w:val="20"/>
        </w:rPr>
      </w:pPr>
      <w:r>
        <w:rPr>
          <w:sz w:val="20"/>
          <w:szCs w:val="20"/>
        </w:rPr>
        <w:t>Kristine.grivina@atd.lv</w:t>
      </w:r>
    </w:p>
    <w:p w:rsidR="00030C45" w:rsidRDefault="00030C45"/>
    <w:sectPr w:rsidR="00030C45" w:rsidSect="00F473D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09" w:rsidRDefault="00435A09" w:rsidP="0087369F">
      <w:r>
        <w:separator/>
      </w:r>
    </w:p>
  </w:endnote>
  <w:endnote w:type="continuationSeparator" w:id="0">
    <w:p w:rsidR="00435A09" w:rsidRDefault="00435A09"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07" w:rsidRPr="001F6E48" w:rsidRDefault="00137007" w:rsidP="001F6E48">
    <w:pPr>
      <w:jc w:val="both"/>
      <w:rPr>
        <w:sz w:val="22"/>
        <w:szCs w:val="22"/>
      </w:rPr>
    </w:pPr>
    <w:r w:rsidRPr="00773B0C">
      <w:rPr>
        <w:sz w:val="22"/>
        <w:szCs w:val="22"/>
      </w:rPr>
      <w:t>SAMZino_</w:t>
    </w:r>
    <w:r>
      <w:rPr>
        <w:sz w:val="22"/>
        <w:szCs w:val="22"/>
      </w:rPr>
      <w:t>301013</w:t>
    </w:r>
    <w:r w:rsidRPr="00773B0C">
      <w:rPr>
        <w:sz w:val="22"/>
        <w:szCs w:val="22"/>
      </w:rPr>
      <w:t>_</w:t>
    </w:r>
    <w:r>
      <w:rPr>
        <w:sz w:val="22"/>
        <w:szCs w:val="22"/>
      </w:rPr>
      <w:t>situacPR;</w:t>
    </w:r>
    <w:r w:rsidRPr="00773B0C">
      <w:rPr>
        <w:sz w:val="22"/>
        <w:szCs w:val="22"/>
      </w:rPr>
      <w:t xml:space="preserve"> Informatīvais ziņojums</w:t>
    </w:r>
    <w:r>
      <w:rPr>
        <w:sz w:val="22"/>
        <w:szCs w:val="22"/>
      </w:rPr>
      <w:t xml:space="preserve"> </w:t>
    </w:r>
    <w:r w:rsidRPr="00773B0C">
      <w:rPr>
        <w:sz w:val="22"/>
        <w:szCs w:val="22"/>
      </w:rPr>
      <w:t>„Par situāciju sabiedriskā transporta pakalpojumu sniegšan</w:t>
    </w:r>
    <w:r>
      <w:rPr>
        <w:sz w:val="22"/>
        <w:szCs w:val="22"/>
      </w:rPr>
      <w:t>ā reģionālajos vietējas nozīmes maršrutos</w:t>
    </w:r>
    <w:r w:rsidRPr="00773B0C">
      <w:rPr>
        <w:sz w:val="22"/>
        <w:szCs w:val="22"/>
      </w:rPr>
      <w:t xml:space="preserve"> 2013.gadā”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07" w:rsidRPr="001F6E48" w:rsidRDefault="00137007" w:rsidP="001F6E48">
    <w:pPr>
      <w:jc w:val="both"/>
      <w:rPr>
        <w:sz w:val="22"/>
        <w:szCs w:val="22"/>
      </w:rPr>
    </w:pPr>
    <w:r w:rsidRPr="00773B0C">
      <w:rPr>
        <w:sz w:val="22"/>
        <w:szCs w:val="22"/>
      </w:rPr>
      <w:t>SAMZino_</w:t>
    </w:r>
    <w:r>
      <w:rPr>
        <w:sz w:val="22"/>
        <w:szCs w:val="22"/>
      </w:rPr>
      <w:t>301013</w:t>
    </w:r>
    <w:r w:rsidRPr="00773B0C">
      <w:rPr>
        <w:sz w:val="22"/>
        <w:szCs w:val="22"/>
      </w:rPr>
      <w:t>_</w:t>
    </w:r>
    <w:r>
      <w:rPr>
        <w:sz w:val="22"/>
        <w:szCs w:val="22"/>
      </w:rPr>
      <w:t>situacPR;</w:t>
    </w:r>
    <w:r w:rsidRPr="00773B0C">
      <w:rPr>
        <w:sz w:val="22"/>
        <w:szCs w:val="22"/>
      </w:rPr>
      <w:t xml:space="preserve"> Informatīvais ziņojums</w:t>
    </w:r>
    <w:r>
      <w:rPr>
        <w:sz w:val="22"/>
        <w:szCs w:val="22"/>
      </w:rPr>
      <w:t xml:space="preserve"> </w:t>
    </w:r>
    <w:r w:rsidRPr="00773B0C">
      <w:rPr>
        <w:sz w:val="22"/>
        <w:szCs w:val="22"/>
      </w:rPr>
      <w:t>„Par situāciju sabiedriskā transporta pakalpojumu sniegšan</w:t>
    </w:r>
    <w:r>
      <w:rPr>
        <w:sz w:val="22"/>
        <w:szCs w:val="22"/>
      </w:rPr>
      <w:t>ā reģionālajos vietējas nozīmes maršrutos</w:t>
    </w:r>
    <w:r w:rsidRPr="00773B0C">
      <w:rPr>
        <w:sz w:val="22"/>
        <w:szCs w:val="22"/>
      </w:rPr>
      <w:t xml:space="preserve"> 2013.gadā”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09" w:rsidRDefault="00435A09" w:rsidP="0087369F">
      <w:r>
        <w:separator/>
      </w:r>
    </w:p>
  </w:footnote>
  <w:footnote w:type="continuationSeparator" w:id="0">
    <w:p w:rsidR="00435A09" w:rsidRDefault="00435A09" w:rsidP="0087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1791"/>
      <w:docPartObj>
        <w:docPartGallery w:val="Page Numbers (Top of Page)"/>
        <w:docPartUnique/>
      </w:docPartObj>
    </w:sdtPr>
    <w:sdtEndPr>
      <w:rPr>
        <w:noProof/>
      </w:rPr>
    </w:sdtEndPr>
    <w:sdtContent>
      <w:p w:rsidR="00137007" w:rsidRDefault="00620606">
        <w:pPr>
          <w:pStyle w:val="Header"/>
          <w:jc w:val="center"/>
        </w:pPr>
        <w:r>
          <w:fldChar w:fldCharType="begin"/>
        </w:r>
        <w:r>
          <w:instrText xml:space="preserve"> PAGE   \* MERGEFORMAT </w:instrText>
        </w:r>
        <w:r>
          <w:fldChar w:fldCharType="separate"/>
        </w:r>
        <w:r w:rsidR="00D418C4">
          <w:rPr>
            <w:noProof/>
          </w:rPr>
          <w:t>4</w:t>
        </w:r>
        <w:r>
          <w:rPr>
            <w:noProof/>
          </w:rPr>
          <w:fldChar w:fldCharType="end"/>
        </w:r>
      </w:p>
    </w:sdtContent>
  </w:sdt>
  <w:p w:rsidR="00137007" w:rsidRDefault="00137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3">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
    <w:nsid w:val="509C427A"/>
    <w:multiLevelType w:val="hybridMultilevel"/>
    <w:tmpl w:val="27F4258C"/>
    <w:lvl w:ilvl="0" w:tplc="1ED4157A">
      <w:start w:val="20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6"/>
    <w:rsid w:val="00030C45"/>
    <w:rsid w:val="000359E6"/>
    <w:rsid w:val="00036A43"/>
    <w:rsid w:val="00070517"/>
    <w:rsid w:val="0008086F"/>
    <w:rsid w:val="000B4BA1"/>
    <w:rsid w:val="000C0860"/>
    <w:rsid w:val="000C4D00"/>
    <w:rsid w:val="000F4B61"/>
    <w:rsid w:val="00102EC0"/>
    <w:rsid w:val="00104F5B"/>
    <w:rsid w:val="00137007"/>
    <w:rsid w:val="001440CB"/>
    <w:rsid w:val="00170A04"/>
    <w:rsid w:val="00171AFF"/>
    <w:rsid w:val="001851D1"/>
    <w:rsid w:val="001A41FB"/>
    <w:rsid w:val="001A6540"/>
    <w:rsid w:val="001B6688"/>
    <w:rsid w:val="001C0B61"/>
    <w:rsid w:val="001C6E5E"/>
    <w:rsid w:val="001F6E48"/>
    <w:rsid w:val="00201FC1"/>
    <w:rsid w:val="002218EF"/>
    <w:rsid w:val="00223847"/>
    <w:rsid w:val="00226F42"/>
    <w:rsid w:val="00254ED2"/>
    <w:rsid w:val="00264C44"/>
    <w:rsid w:val="00297E91"/>
    <w:rsid w:val="002A6E7E"/>
    <w:rsid w:val="002B43E4"/>
    <w:rsid w:val="002C7BF0"/>
    <w:rsid w:val="00344748"/>
    <w:rsid w:val="00360002"/>
    <w:rsid w:val="00374594"/>
    <w:rsid w:val="00377423"/>
    <w:rsid w:val="00397A67"/>
    <w:rsid w:val="003D168D"/>
    <w:rsid w:val="003D170A"/>
    <w:rsid w:val="003D4B5A"/>
    <w:rsid w:val="00407120"/>
    <w:rsid w:val="00415A60"/>
    <w:rsid w:val="00420726"/>
    <w:rsid w:val="00435A09"/>
    <w:rsid w:val="004441BF"/>
    <w:rsid w:val="00445819"/>
    <w:rsid w:val="004957E5"/>
    <w:rsid w:val="004B2FFF"/>
    <w:rsid w:val="004F0903"/>
    <w:rsid w:val="004F0DF6"/>
    <w:rsid w:val="00507622"/>
    <w:rsid w:val="0052312F"/>
    <w:rsid w:val="005506ED"/>
    <w:rsid w:val="00561B47"/>
    <w:rsid w:val="00585B63"/>
    <w:rsid w:val="005B0770"/>
    <w:rsid w:val="005C3434"/>
    <w:rsid w:val="005C4069"/>
    <w:rsid w:val="005C76AC"/>
    <w:rsid w:val="005E5758"/>
    <w:rsid w:val="006119E4"/>
    <w:rsid w:val="00620606"/>
    <w:rsid w:val="006333AA"/>
    <w:rsid w:val="00647102"/>
    <w:rsid w:val="00650298"/>
    <w:rsid w:val="00660BD6"/>
    <w:rsid w:val="006B2D66"/>
    <w:rsid w:val="006B7396"/>
    <w:rsid w:val="00711DAA"/>
    <w:rsid w:val="00734CAA"/>
    <w:rsid w:val="00762078"/>
    <w:rsid w:val="00773B0C"/>
    <w:rsid w:val="007C70BF"/>
    <w:rsid w:val="007E4D55"/>
    <w:rsid w:val="00800E95"/>
    <w:rsid w:val="00813F44"/>
    <w:rsid w:val="0084643D"/>
    <w:rsid w:val="0087369F"/>
    <w:rsid w:val="00876CEB"/>
    <w:rsid w:val="008A384F"/>
    <w:rsid w:val="008B140D"/>
    <w:rsid w:val="008B3841"/>
    <w:rsid w:val="008B5E4A"/>
    <w:rsid w:val="008C57B6"/>
    <w:rsid w:val="008F1835"/>
    <w:rsid w:val="009177A7"/>
    <w:rsid w:val="009222CA"/>
    <w:rsid w:val="00924AD9"/>
    <w:rsid w:val="00944B3A"/>
    <w:rsid w:val="0094598D"/>
    <w:rsid w:val="00971FF0"/>
    <w:rsid w:val="009741A6"/>
    <w:rsid w:val="009A1636"/>
    <w:rsid w:val="009A316D"/>
    <w:rsid w:val="009C007D"/>
    <w:rsid w:val="009C4F1F"/>
    <w:rsid w:val="009D16E2"/>
    <w:rsid w:val="00A019FB"/>
    <w:rsid w:val="00A2791A"/>
    <w:rsid w:val="00A6661D"/>
    <w:rsid w:val="00AA0A7D"/>
    <w:rsid w:val="00AD32C8"/>
    <w:rsid w:val="00AF3F36"/>
    <w:rsid w:val="00B07241"/>
    <w:rsid w:val="00B121A8"/>
    <w:rsid w:val="00B2346E"/>
    <w:rsid w:val="00B34D74"/>
    <w:rsid w:val="00B37BA8"/>
    <w:rsid w:val="00B51415"/>
    <w:rsid w:val="00B51A14"/>
    <w:rsid w:val="00B67AE9"/>
    <w:rsid w:val="00BA7B08"/>
    <w:rsid w:val="00BB6F15"/>
    <w:rsid w:val="00BC153F"/>
    <w:rsid w:val="00BC5AC0"/>
    <w:rsid w:val="00C00972"/>
    <w:rsid w:val="00C80B65"/>
    <w:rsid w:val="00C92970"/>
    <w:rsid w:val="00CF7FD3"/>
    <w:rsid w:val="00D10537"/>
    <w:rsid w:val="00D108AA"/>
    <w:rsid w:val="00D14E87"/>
    <w:rsid w:val="00D418C4"/>
    <w:rsid w:val="00D4649C"/>
    <w:rsid w:val="00D619CF"/>
    <w:rsid w:val="00D80752"/>
    <w:rsid w:val="00D952F7"/>
    <w:rsid w:val="00DA1B09"/>
    <w:rsid w:val="00DC1828"/>
    <w:rsid w:val="00DE243D"/>
    <w:rsid w:val="00DE33F0"/>
    <w:rsid w:val="00DE635D"/>
    <w:rsid w:val="00DF6DF2"/>
    <w:rsid w:val="00E32F43"/>
    <w:rsid w:val="00E60CD1"/>
    <w:rsid w:val="00E71CF8"/>
    <w:rsid w:val="00E96FB9"/>
    <w:rsid w:val="00EB1DB4"/>
    <w:rsid w:val="00EB3C1F"/>
    <w:rsid w:val="00EC054B"/>
    <w:rsid w:val="00EC1E60"/>
    <w:rsid w:val="00EC4BA2"/>
    <w:rsid w:val="00EE0371"/>
    <w:rsid w:val="00EE4A4D"/>
    <w:rsid w:val="00EE53D0"/>
    <w:rsid w:val="00F37F83"/>
    <w:rsid w:val="00F473D0"/>
    <w:rsid w:val="00F72BA1"/>
    <w:rsid w:val="00FB17BE"/>
    <w:rsid w:val="00FB2FFE"/>
    <w:rsid w:val="00FB61DB"/>
    <w:rsid w:val="00FF1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3262">
      <w:bodyDiv w:val="1"/>
      <w:marLeft w:val="0"/>
      <w:marRight w:val="0"/>
      <w:marTop w:val="0"/>
      <w:marBottom w:val="0"/>
      <w:divBdr>
        <w:top w:val="none" w:sz="0" w:space="0" w:color="auto"/>
        <w:left w:val="none" w:sz="0" w:space="0" w:color="auto"/>
        <w:bottom w:val="none" w:sz="0" w:space="0" w:color="auto"/>
        <w:right w:val="none" w:sz="0" w:space="0" w:color="auto"/>
      </w:divBdr>
    </w:div>
    <w:div w:id="407118448">
      <w:bodyDiv w:val="1"/>
      <w:marLeft w:val="0"/>
      <w:marRight w:val="0"/>
      <w:marTop w:val="0"/>
      <w:marBottom w:val="0"/>
      <w:divBdr>
        <w:top w:val="none" w:sz="0" w:space="0" w:color="auto"/>
        <w:left w:val="none" w:sz="0" w:space="0" w:color="auto"/>
        <w:bottom w:val="none" w:sz="0" w:space="0" w:color="auto"/>
        <w:right w:val="none" w:sz="0" w:space="0" w:color="auto"/>
      </w:divBdr>
    </w:div>
    <w:div w:id="441606871">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1236284503">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698117716">
      <w:bodyDiv w:val="1"/>
      <w:marLeft w:val="0"/>
      <w:marRight w:val="0"/>
      <w:marTop w:val="0"/>
      <w:marBottom w:val="0"/>
      <w:divBdr>
        <w:top w:val="none" w:sz="0" w:space="0" w:color="auto"/>
        <w:left w:val="none" w:sz="0" w:space="0" w:color="auto"/>
        <w:bottom w:val="none" w:sz="0" w:space="0" w:color="auto"/>
        <w:right w:val="none" w:sz="0" w:space="0" w:color="auto"/>
      </w:divBdr>
    </w:div>
    <w:div w:id="1980183463">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VFILES\KristineGrivina\Inform_zinojumi\Info_zino_1,4Milj\Planosanas_regioni_2012_2013_d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FILES\KristineGrivina\Inform_zinojumi\Info_zino_1,4Milj\Planosanas_regioni_2012_2013_d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grafiskie_attēli!$A$15</c:f>
              <c:strCache>
                <c:ptCount val="1"/>
                <c:pt idx="0">
                  <c:v>bāzes dotācija </c:v>
                </c:pt>
              </c:strCache>
            </c:strRef>
          </c:tx>
          <c:spPr>
            <a:solidFill>
              <a:srgbClr val="92D050"/>
            </a:solidFill>
            <a:ln>
              <a:solidFill>
                <a:srgbClr val="92D050"/>
              </a:solidFill>
            </a:ln>
            <a:scene3d>
              <a:camera prst="orthographicFront"/>
              <a:lightRig rig="threePt" dir="t"/>
            </a:scene3d>
            <a:sp3d>
              <a:bevelT/>
              <a:contourClr>
                <a:srgbClr val="000000"/>
              </a:contourClr>
            </a:sp3d>
          </c:spPr>
          <c:invertIfNegative val="0"/>
          <c:cat>
            <c:numRef>
              <c:f>grafiskie_attēli!$B$14:$C$14</c:f>
              <c:numCache>
                <c:formatCode>General</c:formatCode>
                <c:ptCount val="2"/>
                <c:pt idx="0">
                  <c:v>2012</c:v>
                </c:pt>
                <c:pt idx="1">
                  <c:v>2013</c:v>
                </c:pt>
              </c:numCache>
            </c:numRef>
          </c:cat>
          <c:val>
            <c:numRef>
              <c:f>grafiskie_attēli!$B$15:$C$15</c:f>
              <c:numCache>
                <c:formatCode>#,##0.00</c:formatCode>
                <c:ptCount val="2"/>
                <c:pt idx="0">
                  <c:v>8.8647330000000029</c:v>
                </c:pt>
                <c:pt idx="1">
                  <c:v>9.1004430000000003</c:v>
                </c:pt>
              </c:numCache>
            </c:numRef>
          </c:val>
        </c:ser>
        <c:ser>
          <c:idx val="1"/>
          <c:order val="1"/>
          <c:tx>
            <c:strRef>
              <c:f>grafiskie_attēli!$A$16</c:f>
              <c:strCache>
                <c:ptCount val="1"/>
                <c:pt idx="0">
                  <c:v>bāzes dotācija braukšanas maksas atvieglojumiem</c:v>
                </c:pt>
              </c:strCache>
            </c:strRef>
          </c:tx>
          <c:spPr>
            <a:solidFill>
              <a:srgbClr val="33CC33"/>
            </a:solidFill>
            <a:ln>
              <a:solidFill>
                <a:srgbClr val="33CC33"/>
              </a:solidFill>
            </a:ln>
            <a:scene3d>
              <a:camera prst="orthographicFront"/>
              <a:lightRig rig="threePt" dir="t"/>
            </a:scene3d>
            <a:sp3d>
              <a:bevelT/>
              <a:contourClr>
                <a:srgbClr val="000000"/>
              </a:contourClr>
            </a:sp3d>
          </c:spPr>
          <c:invertIfNegative val="0"/>
          <c:cat>
            <c:numRef>
              <c:f>grafiskie_attēli!$B$14:$C$14</c:f>
              <c:numCache>
                <c:formatCode>General</c:formatCode>
                <c:ptCount val="2"/>
                <c:pt idx="0">
                  <c:v>2012</c:v>
                </c:pt>
                <c:pt idx="1">
                  <c:v>2013</c:v>
                </c:pt>
              </c:numCache>
            </c:numRef>
          </c:cat>
          <c:val>
            <c:numRef>
              <c:f>grafiskie_attēli!$B$16:$C$16</c:f>
              <c:numCache>
                <c:formatCode>#,##0.00</c:formatCode>
                <c:ptCount val="2"/>
                <c:pt idx="0">
                  <c:v>1.689562</c:v>
                </c:pt>
                <c:pt idx="1">
                  <c:v>1.717765</c:v>
                </c:pt>
              </c:numCache>
            </c:numRef>
          </c:val>
        </c:ser>
        <c:ser>
          <c:idx val="2"/>
          <c:order val="2"/>
          <c:tx>
            <c:strRef>
              <c:f>grafiskie_attēli!$A$17</c:f>
              <c:strCache>
                <c:ptCount val="1"/>
                <c:pt idx="0">
                  <c:v>papildus dotācija neizpildītie pasākumi</c:v>
                </c:pt>
              </c:strCache>
            </c:strRef>
          </c:tx>
          <c:spPr>
            <a:solidFill>
              <a:srgbClr val="FFC000"/>
            </a:solidFill>
            <a:ln>
              <a:solidFill>
                <a:srgbClr val="FFC000"/>
              </a:solidFill>
            </a:ln>
            <a:scene3d>
              <a:camera prst="orthographicFront"/>
              <a:lightRig rig="threePt" dir="t"/>
            </a:scene3d>
            <a:sp3d>
              <a:bevelT/>
              <a:contourClr>
                <a:srgbClr val="000000"/>
              </a:contourClr>
            </a:sp3d>
          </c:spPr>
          <c:invertIfNegative val="0"/>
          <c:cat>
            <c:numRef>
              <c:f>grafiskie_attēli!$B$14:$C$14</c:f>
              <c:numCache>
                <c:formatCode>General</c:formatCode>
                <c:ptCount val="2"/>
                <c:pt idx="0">
                  <c:v>2012</c:v>
                </c:pt>
                <c:pt idx="1">
                  <c:v>2013</c:v>
                </c:pt>
              </c:numCache>
            </c:numRef>
          </c:cat>
          <c:val>
            <c:numRef>
              <c:f>grafiskie_attēli!$B$17:$C$17</c:f>
              <c:numCache>
                <c:formatCode>#,##0.00</c:formatCode>
                <c:ptCount val="2"/>
                <c:pt idx="0">
                  <c:v>1.6061000000000001</c:v>
                </c:pt>
                <c:pt idx="1">
                  <c:v>0</c:v>
                </c:pt>
              </c:numCache>
            </c:numRef>
          </c:val>
        </c:ser>
        <c:ser>
          <c:idx val="3"/>
          <c:order val="3"/>
          <c:tx>
            <c:strRef>
              <c:f>grafiskie_attēli!$A$18</c:f>
              <c:strCache>
                <c:ptCount val="1"/>
                <c:pt idx="0">
                  <c:v>dotācija iepriekšējā gada nesegto zaudēj. kompensēšanai</c:v>
                </c:pt>
              </c:strCache>
            </c:strRef>
          </c:tx>
          <c:spPr>
            <a:solidFill>
              <a:schemeClr val="accent6">
                <a:lumMod val="75000"/>
              </a:schemeClr>
            </a:solidFill>
            <a:ln>
              <a:solidFill>
                <a:schemeClr val="accent6">
                  <a:lumMod val="75000"/>
                </a:schemeClr>
              </a:solidFill>
            </a:ln>
            <a:scene3d>
              <a:camera prst="orthographicFront"/>
              <a:lightRig rig="threePt" dir="t"/>
            </a:scene3d>
            <a:sp3d>
              <a:bevelT/>
              <a:contourClr>
                <a:srgbClr val="000000"/>
              </a:contourClr>
            </a:sp3d>
          </c:spPr>
          <c:invertIfNegative val="0"/>
          <c:cat>
            <c:numRef>
              <c:f>grafiskie_attēli!$B$14:$C$14</c:f>
              <c:numCache>
                <c:formatCode>General</c:formatCode>
                <c:ptCount val="2"/>
                <c:pt idx="0">
                  <c:v>2012</c:v>
                </c:pt>
                <c:pt idx="1">
                  <c:v>2013</c:v>
                </c:pt>
              </c:numCache>
            </c:numRef>
          </c:cat>
          <c:val>
            <c:numRef>
              <c:f>grafiskie_attēli!$B$18:$C$18</c:f>
              <c:numCache>
                <c:formatCode>#,##0.00</c:formatCode>
                <c:ptCount val="2"/>
                <c:pt idx="0">
                  <c:v>0.78422700000000001</c:v>
                </c:pt>
                <c:pt idx="1">
                  <c:v>0.80359000000000003</c:v>
                </c:pt>
              </c:numCache>
            </c:numRef>
          </c:val>
        </c:ser>
        <c:ser>
          <c:idx val="4"/>
          <c:order val="4"/>
          <c:tx>
            <c:strRef>
              <c:f>grafiskie_attēli!$A$19</c:f>
              <c:strCache>
                <c:ptCount val="1"/>
                <c:pt idx="0">
                  <c:v>nesegtie zaudējumi</c:v>
                </c:pt>
              </c:strCache>
            </c:strRef>
          </c:tx>
          <c:spPr>
            <a:solidFill>
              <a:srgbClr val="C00000"/>
            </a:solidFill>
            <a:ln>
              <a:solidFill>
                <a:srgbClr val="C00000"/>
              </a:solidFill>
            </a:ln>
            <a:scene3d>
              <a:camera prst="orthographicFront"/>
              <a:lightRig rig="threePt" dir="t"/>
            </a:scene3d>
            <a:sp3d>
              <a:bevelT/>
              <a:contourClr>
                <a:srgbClr val="000000"/>
              </a:contourClr>
            </a:sp3d>
          </c:spPr>
          <c:invertIfNegative val="0"/>
          <c:cat>
            <c:numRef>
              <c:f>grafiskie_attēli!$B$14:$C$14</c:f>
              <c:numCache>
                <c:formatCode>General</c:formatCode>
                <c:ptCount val="2"/>
                <c:pt idx="0">
                  <c:v>2012</c:v>
                </c:pt>
                <c:pt idx="1">
                  <c:v>2013</c:v>
                </c:pt>
              </c:numCache>
            </c:numRef>
          </c:cat>
          <c:val>
            <c:numRef>
              <c:f>grafiskie_attēli!$B$19:$C$19</c:f>
              <c:numCache>
                <c:formatCode>#,##0.00</c:formatCode>
                <c:ptCount val="2"/>
                <c:pt idx="0">
                  <c:v>0.7981827300000004</c:v>
                </c:pt>
                <c:pt idx="1">
                  <c:v>1.7650880000000002</c:v>
                </c:pt>
              </c:numCache>
            </c:numRef>
          </c:val>
        </c:ser>
        <c:dLbls>
          <c:showLegendKey val="0"/>
          <c:showVal val="0"/>
          <c:showCatName val="0"/>
          <c:showSerName val="0"/>
          <c:showPercent val="0"/>
          <c:showBubbleSize val="0"/>
        </c:dLbls>
        <c:gapWidth val="95"/>
        <c:gapDepth val="95"/>
        <c:shape val="box"/>
        <c:axId val="73068544"/>
        <c:axId val="73070080"/>
        <c:axId val="0"/>
      </c:bar3DChart>
      <c:catAx>
        <c:axId val="73068544"/>
        <c:scaling>
          <c:orientation val="minMax"/>
        </c:scaling>
        <c:delete val="0"/>
        <c:axPos val="b"/>
        <c:numFmt formatCode="General" sourceLinked="1"/>
        <c:majorTickMark val="none"/>
        <c:minorTickMark val="none"/>
        <c:tickLblPos val="nextTo"/>
        <c:crossAx val="73070080"/>
        <c:crosses val="autoZero"/>
        <c:auto val="1"/>
        <c:lblAlgn val="ctr"/>
        <c:lblOffset val="100"/>
        <c:noMultiLvlLbl val="0"/>
      </c:catAx>
      <c:valAx>
        <c:axId val="73070080"/>
        <c:scaling>
          <c:orientation val="minMax"/>
        </c:scaling>
        <c:delete val="0"/>
        <c:axPos val="l"/>
        <c:majorGridlines/>
        <c:numFmt formatCode="#,##0.00" sourceLinked="1"/>
        <c:majorTickMark val="none"/>
        <c:minorTickMark val="none"/>
        <c:tickLblPos val="nextTo"/>
        <c:txPr>
          <a:bodyPr/>
          <a:lstStyle/>
          <a:p>
            <a:pPr>
              <a:defRPr>
                <a:latin typeface="Times New Roman" pitchFamily="18" charset="0"/>
                <a:cs typeface="Times New Roman" pitchFamily="18" charset="0"/>
              </a:defRPr>
            </a:pPr>
            <a:endParaRPr lang="lv-LV"/>
          </a:p>
        </c:txPr>
        <c:crossAx val="7306854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lv-LV"/>
          </a:p>
        </c:txPr>
      </c:dTable>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ceturkšņi!$B$4</c:f>
              <c:strCache>
                <c:ptCount val="1"/>
                <c:pt idx="0">
                  <c:v>1.ceturkšņa faktiskie zaudējumi</c:v>
                </c:pt>
              </c:strCache>
            </c:strRef>
          </c:tx>
          <c:spPr>
            <a:solidFill>
              <a:srgbClr val="FFC000"/>
            </a:solidFill>
            <a:ln>
              <a:solidFill>
                <a:srgbClr val="FFC000"/>
              </a:solidFill>
            </a:ln>
          </c:spPr>
          <c:invertIfNegative val="0"/>
          <c:cat>
            <c:strRef>
              <c:f>ceturkšņi!$A$5:$A$6</c:f>
              <c:strCache>
                <c:ptCount val="2"/>
                <c:pt idx="0">
                  <c:v>Vidzemes plānošanas reģions</c:v>
                </c:pt>
                <c:pt idx="1">
                  <c:v>Zemgales plānošanas reģions</c:v>
                </c:pt>
              </c:strCache>
            </c:strRef>
          </c:cat>
          <c:val>
            <c:numRef>
              <c:f>ceturkšņi!$B$5:$B$6</c:f>
              <c:numCache>
                <c:formatCode>#,##0</c:formatCode>
                <c:ptCount val="2"/>
                <c:pt idx="0">
                  <c:v>739412</c:v>
                </c:pt>
                <c:pt idx="1">
                  <c:v>584782</c:v>
                </c:pt>
              </c:numCache>
            </c:numRef>
          </c:val>
        </c:ser>
        <c:ser>
          <c:idx val="1"/>
          <c:order val="1"/>
          <c:tx>
            <c:strRef>
              <c:f>ceturkšņi!$C$4</c:f>
              <c:strCache>
                <c:ptCount val="1"/>
                <c:pt idx="0">
                  <c:v>Izmaksātais avansa maksājums</c:v>
                </c:pt>
              </c:strCache>
            </c:strRef>
          </c:tx>
          <c:spPr>
            <a:solidFill>
              <a:srgbClr val="C00000"/>
            </a:solidFill>
            <a:ln>
              <a:solidFill>
                <a:srgbClr val="C00000"/>
              </a:solidFill>
            </a:ln>
          </c:spPr>
          <c:invertIfNegative val="0"/>
          <c:cat>
            <c:strRef>
              <c:f>ceturkšņi!$A$5:$A$6</c:f>
              <c:strCache>
                <c:ptCount val="2"/>
                <c:pt idx="0">
                  <c:v>Vidzemes plānošanas reģions</c:v>
                </c:pt>
                <c:pt idx="1">
                  <c:v>Zemgales plānošanas reģions</c:v>
                </c:pt>
              </c:strCache>
            </c:strRef>
          </c:cat>
          <c:val>
            <c:numRef>
              <c:f>ceturkšņi!$C$5:$C$6</c:f>
              <c:numCache>
                <c:formatCode>#,##0</c:formatCode>
                <c:ptCount val="2"/>
                <c:pt idx="0">
                  <c:v>386646</c:v>
                </c:pt>
                <c:pt idx="1">
                  <c:v>321033</c:v>
                </c:pt>
              </c:numCache>
            </c:numRef>
          </c:val>
        </c:ser>
        <c:ser>
          <c:idx val="2"/>
          <c:order val="2"/>
          <c:tx>
            <c:strRef>
              <c:f>ceturkšņi!$D$4</c:f>
              <c:strCache>
                <c:ptCount val="1"/>
                <c:pt idx="0">
                  <c:v>2.ceturkšņa faktiskie zaudējumi</c:v>
                </c:pt>
              </c:strCache>
            </c:strRef>
          </c:tx>
          <c:spPr>
            <a:solidFill>
              <a:srgbClr val="FFC000"/>
            </a:solidFill>
            <a:ln>
              <a:solidFill>
                <a:srgbClr val="FFC000"/>
              </a:solidFill>
            </a:ln>
          </c:spPr>
          <c:invertIfNegative val="0"/>
          <c:cat>
            <c:strRef>
              <c:f>ceturkšņi!$A$5:$A$6</c:f>
              <c:strCache>
                <c:ptCount val="2"/>
                <c:pt idx="0">
                  <c:v>Vidzemes plānošanas reģions</c:v>
                </c:pt>
                <c:pt idx="1">
                  <c:v>Zemgales plānošanas reģions</c:v>
                </c:pt>
              </c:strCache>
            </c:strRef>
          </c:cat>
          <c:val>
            <c:numRef>
              <c:f>ceturkšņi!$D$5:$D$6</c:f>
              <c:numCache>
                <c:formatCode>#,##0</c:formatCode>
                <c:ptCount val="2"/>
                <c:pt idx="0">
                  <c:v>686174</c:v>
                </c:pt>
                <c:pt idx="1">
                  <c:v>512594</c:v>
                </c:pt>
              </c:numCache>
            </c:numRef>
          </c:val>
        </c:ser>
        <c:ser>
          <c:idx val="3"/>
          <c:order val="3"/>
          <c:tx>
            <c:strRef>
              <c:f>ceturkšņi!$E$4</c:f>
              <c:strCache>
                <c:ptCount val="1"/>
                <c:pt idx="0">
                  <c:v>Aprīlis</c:v>
                </c:pt>
              </c:strCache>
            </c:strRef>
          </c:tx>
          <c:invertIfNegative val="0"/>
          <c:cat>
            <c:strRef>
              <c:f>ceturkšņi!$A$5:$A$6</c:f>
              <c:strCache>
                <c:ptCount val="2"/>
                <c:pt idx="0">
                  <c:v>Vidzemes plānošanas reģions</c:v>
                </c:pt>
                <c:pt idx="1">
                  <c:v>Zemgales plānošanas reģions</c:v>
                </c:pt>
              </c:strCache>
            </c:strRef>
          </c:cat>
          <c:val>
            <c:numRef>
              <c:f>ceturkšņi!$E$5:$E$6</c:f>
            </c:numRef>
          </c:val>
        </c:ser>
        <c:ser>
          <c:idx val="4"/>
          <c:order val="4"/>
          <c:tx>
            <c:strRef>
              <c:f>ceturkšņi!$F$4</c:f>
              <c:strCache>
                <c:ptCount val="1"/>
                <c:pt idx="0">
                  <c:v>Maijs</c:v>
                </c:pt>
              </c:strCache>
            </c:strRef>
          </c:tx>
          <c:invertIfNegative val="0"/>
          <c:cat>
            <c:strRef>
              <c:f>ceturkšņi!$A$5:$A$6</c:f>
              <c:strCache>
                <c:ptCount val="2"/>
                <c:pt idx="0">
                  <c:v>Vidzemes plānošanas reģions</c:v>
                </c:pt>
                <c:pt idx="1">
                  <c:v>Zemgales plānošanas reģions</c:v>
                </c:pt>
              </c:strCache>
            </c:strRef>
          </c:cat>
          <c:val>
            <c:numRef>
              <c:f>ceturkšņi!$F$5:$F$6</c:f>
            </c:numRef>
          </c:val>
        </c:ser>
        <c:ser>
          <c:idx val="5"/>
          <c:order val="5"/>
          <c:tx>
            <c:strRef>
              <c:f>ceturkšņi!$G$4</c:f>
              <c:strCache>
                <c:ptCount val="1"/>
                <c:pt idx="0">
                  <c:v>Jūnijs</c:v>
                </c:pt>
              </c:strCache>
            </c:strRef>
          </c:tx>
          <c:invertIfNegative val="0"/>
          <c:cat>
            <c:strRef>
              <c:f>ceturkšņi!$A$5:$A$6</c:f>
              <c:strCache>
                <c:ptCount val="2"/>
                <c:pt idx="0">
                  <c:v>Vidzemes plānošanas reģions</c:v>
                </c:pt>
                <c:pt idx="1">
                  <c:v>Zemgales plānošanas reģions</c:v>
                </c:pt>
              </c:strCache>
            </c:strRef>
          </c:cat>
          <c:val>
            <c:numRef>
              <c:f>ceturkšņi!$G$5:$G$6</c:f>
            </c:numRef>
          </c:val>
        </c:ser>
        <c:ser>
          <c:idx val="6"/>
          <c:order val="6"/>
          <c:tx>
            <c:strRef>
              <c:f>ceturkšņi!$H$4</c:f>
              <c:strCache>
                <c:ptCount val="1"/>
                <c:pt idx="0">
                  <c:v>Izmaksātais avansa maksājums</c:v>
                </c:pt>
              </c:strCache>
            </c:strRef>
          </c:tx>
          <c:spPr>
            <a:solidFill>
              <a:srgbClr val="C00000"/>
            </a:solidFill>
            <a:ln>
              <a:solidFill>
                <a:srgbClr val="C00000"/>
              </a:solidFill>
            </a:ln>
          </c:spPr>
          <c:invertIfNegative val="0"/>
          <c:cat>
            <c:strRef>
              <c:f>ceturkšņi!$A$5:$A$6</c:f>
              <c:strCache>
                <c:ptCount val="2"/>
                <c:pt idx="0">
                  <c:v>Vidzemes plānošanas reģions</c:v>
                </c:pt>
                <c:pt idx="1">
                  <c:v>Zemgales plānošanas reģions</c:v>
                </c:pt>
              </c:strCache>
            </c:strRef>
          </c:cat>
          <c:val>
            <c:numRef>
              <c:f>ceturkšņi!$H$5:$H$6</c:f>
              <c:numCache>
                <c:formatCode>#,##0</c:formatCode>
                <c:ptCount val="2"/>
                <c:pt idx="0">
                  <c:v>644002</c:v>
                </c:pt>
                <c:pt idx="1">
                  <c:v>524235</c:v>
                </c:pt>
              </c:numCache>
            </c:numRef>
          </c:val>
        </c:ser>
        <c:ser>
          <c:idx val="7"/>
          <c:order val="7"/>
          <c:tx>
            <c:strRef>
              <c:f>ceturkšņi!$I$4</c:f>
              <c:strCache>
                <c:ptCount val="1"/>
                <c:pt idx="0">
                  <c:v>3.ceturkšņa plānotie zaudējumi</c:v>
                </c:pt>
              </c:strCache>
            </c:strRef>
          </c:tx>
          <c:spPr>
            <a:solidFill>
              <a:srgbClr val="FFC000"/>
            </a:solidFill>
            <a:ln>
              <a:solidFill>
                <a:srgbClr val="FFC000"/>
              </a:solidFill>
            </a:ln>
          </c:spPr>
          <c:invertIfNegative val="0"/>
          <c:cat>
            <c:strRef>
              <c:f>ceturkšņi!$A$5:$A$6</c:f>
              <c:strCache>
                <c:ptCount val="2"/>
                <c:pt idx="0">
                  <c:v>Vidzemes plānošanas reģions</c:v>
                </c:pt>
                <c:pt idx="1">
                  <c:v>Zemgales plānošanas reģions</c:v>
                </c:pt>
              </c:strCache>
            </c:strRef>
          </c:cat>
          <c:val>
            <c:numRef>
              <c:f>ceturkšņi!$I$5:$I$6</c:f>
              <c:numCache>
                <c:formatCode>#,##0</c:formatCode>
                <c:ptCount val="2"/>
                <c:pt idx="0">
                  <c:v>681537.14285714319</c:v>
                </c:pt>
                <c:pt idx="1">
                  <c:v>558193.3333333336</c:v>
                </c:pt>
              </c:numCache>
            </c:numRef>
          </c:val>
        </c:ser>
        <c:ser>
          <c:idx val="8"/>
          <c:order val="8"/>
          <c:tx>
            <c:strRef>
              <c:f>ceturkšņi!$J$4</c:f>
              <c:strCache>
                <c:ptCount val="1"/>
                <c:pt idx="0">
                  <c:v>Izmaksātais avansa maksājums</c:v>
                </c:pt>
              </c:strCache>
            </c:strRef>
          </c:tx>
          <c:spPr>
            <a:solidFill>
              <a:srgbClr val="C00000"/>
            </a:solidFill>
            <a:ln>
              <a:solidFill>
                <a:srgbClr val="C00000"/>
              </a:solidFill>
            </a:ln>
          </c:spPr>
          <c:invertIfNegative val="0"/>
          <c:cat>
            <c:strRef>
              <c:f>ceturkšņi!$A$5:$A$6</c:f>
              <c:strCache>
                <c:ptCount val="2"/>
                <c:pt idx="0">
                  <c:v>Vidzemes plānošanas reģions</c:v>
                </c:pt>
                <c:pt idx="1">
                  <c:v>Zemgales plānošanas reģions</c:v>
                </c:pt>
              </c:strCache>
            </c:strRef>
          </c:cat>
          <c:val>
            <c:numRef>
              <c:f>ceturkšņi!$J$5:$J$6</c:f>
              <c:numCache>
                <c:formatCode>#,##0</c:formatCode>
                <c:ptCount val="2"/>
                <c:pt idx="0">
                  <c:v>386646</c:v>
                </c:pt>
                <c:pt idx="1">
                  <c:v>321033</c:v>
                </c:pt>
              </c:numCache>
            </c:numRef>
          </c:val>
        </c:ser>
        <c:ser>
          <c:idx val="9"/>
          <c:order val="9"/>
          <c:tx>
            <c:strRef>
              <c:f>ceturkšņi!$K$4</c:f>
              <c:strCache>
                <c:ptCount val="1"/>
                <c:pt idx="0">
                  <c:v>4.ceturkšņa plānotie zaudējumi</c:v>
                </c:pt>
              </c:strCache>
            </c:strRef>
          </c:tx>
          <c:spPr>
            <a:solidFill>
              <a:srgbClr val="FFC000"/>
            </a:solidFill>
            <a:ln>
              <a:solidFill>
                <a:srgbClr val="FFC000"/>
              </a:solidFill>
            </a:ln>
          </c:spPr>
          <c:invertIfNegative val="0"/>
          <c:cat>
            <c:strRef>
              <c:f>ceturkšņi!$A$5:$A$6</c:f>
              <c:strCache>
                <c:ptCount val="2"/>
                <c:pt idx="0">
                  <c:v>Vidzemes plānošanas reģions</c:v>
                </c:pt>
                <c:pt idx="1">
                  <c:v>Zemgales plānošanas reģions</c:v>
                </c:pt>
              </c:strCache>
            </c:strRef>
          </c:cat>
          <c:val>
            <c:numRef>
              <c:f>ceturkšņi!$K$5:$K$6</c:f>
              <c:numCache>
                <c:formatCode>#,##0</c:formatCode>
                <c:ptCount val="2"/>
                <c:pt idx="0">
                  <c:v>749690.85714285716</c:v>
                </c:pt>
                <c:pt idx="1">
                  <c:v>614012.66666666709</c:v>
                </c:pt>
              </c:numCache>
            </c:numRef>
          </c:val>
        </c:ser>
        <c:ser>
          <c:idx val="10"/>
          <c:order val="10"/>
          <c:tx>
            <c:strRef>
              <c:f>ceturkšņi!$L$4</c:f>
              <c:strCache>
                <c:ptCount val="1"/>
                <c:pt idx="0">
                  <c:v>Oktobris</c:v>
                </c:pt>
              </c:strCache>
            </c:strRef>
          </c:tx>
          <c:invertIfNegative val="0"/>
          <c:cat>
            <c:strRef>
              <c:f>ceturkšņi!$A$5:$A$6</c:f>
              <c:strCache>
                <c:ptCount val="2"/>
                <c:pt idx="0">
                  <c:v>Vidzemes plānošanas reģions</c:v>
                </c:pt>
                <c:pt idx="1">
                  <c:v>Zemgales plānošanas reģions</c:v>
                </c:pt>
              </c:strCache>
            </c:strRef>
          </c:cat>
          <c:val>
            <c:numRef>
              <c:f>ceturkšņi!$L$5:$L$6</c:f>
            </c:numRef>
          </c:val>
        </c:ser>
        <c:ser>
          <c:idx val="11"/>
          <c:order val="11"/>
          <c:tx>
            <c:strRef>
              <c:f>ceturkšņi!$M$4</c:f>
              <c:strCache>
                <c:ptCount val="1"/>
                <c:pt idx="0">
                  <c:v>Novembris</c:v>
                </c:pt>
              </c:strCache>
            </c:strRef>
          </c:tx>
          <c:invertIfNegative val="0"/>
          <c:cat>
            <c:strRef>
              <c:f>ceturkšņi!$A$5:$A$6</c:f>
              <c:strCache>
                <c:ptCount val="2"/>
                <c:pt idx="0">
                  <c:v>Vidzemes plānošanas reģions</c:v>
                </c:pt>
                <c:pt idx="1">
                  <c:v>Zemgales plānošanas reģions</c:v>
                </c:pt>
              </c:strCache>
            </c:strRef>
          </c:cat>
          <c:val>
            <c:numRef>
              <c:f>ceturkšņi!$M$5:$M$6</c:f>
            </c:numRef>
          </c:val>
        </c:ser>
        <c:ser>
          <c:idx val="12"/>
          <c:order val="12"/>
          <c:tx>
            <c:strRef>
              <c:f>ceturkšņi!$N$4</c:f>
              <c:strCache>
                <c:ptCount val="1"/>
                <c:pt idx="0">
                  <c:v>Decembris</c:v>
                </c:pt>
              </c:strCache>
            </c:strRef>
          </c:tx>
          <c:invertIfNegative val="0"/>
          <c:cat>
            <c:strRef>
              <c:f>ceturkšņi!$A$5:$A$6</c:f>
              <c:strCache>
                <c:ptCount val="2"/>
                <c:pt idx="0">
                  <c:v>Vidzemes plānošanas reģions</c:v>
                </c:pt>
                <c:pt idx="1">
                  <c:v>Zemgales plānošanas reģions</c:v>
                </c:pt>
              </c:strCache>
            </c:strRef>
          </c:cat>
          <c:val>
            <c:numRef>
              <c:f>ceturkšņi!$N$5:$N$6</c:f>
            </c:numRef>
          </c:val>
        </c:ser>
        <c:ser>
          <c:idx val="13"/>
          <c:order val="13"/>
          <c:tx>
            <c:strRef>
              <c:f>ceturkšņi!$O$4</c:f>
              <c:strCache>
                <c:ptCount val="1"/>
                <c:pt idx="0">
                  <c:v>Izmaksātais avansa maksājums</c:v>
                </c:pt>
              </c:strCache>
            </c:strRef>
          </c:tx>
          <c:spPr>
            <a:solidFill>
              <a:srgbClr val="C00000"/>
            </a:solidFill>
            <a:ln>
              <a:solidFill>
                <a:srgbClr val="C00000"/>
              </a:solidFill>
            </a:ln>
          </c:spPr>
          <c:invertIfNegative val="0"/>
          <c:cat>
            <c:strRef>
              <c:f>ceturkšņi!$A$5:$A$6</c:f>
              <c:strCache>
                <c:ptCount val="2"/>
                <c:pt idx="0">
                  <c:v>Vidzemes plānošanas reģions</c:v>
                </c:pt>
                <c:pt idx="1">
                  <c:v>Zemgales plānošanas reģions</c:v>
                </c:pt>
              </c:strCache>
            </c:strRef>
          </c:cat>
          <c:val>
            <c:numRef>
              <c:f>ceturkšņi!$O$5:$O$6</c:f>
              <c:numCache>
                <c:formatCode>#,##0</c:formatCode>
                <c:ptCount val="2"/>
                <c:pt idx="0">
                  <c:v>129295</c:v>
                </c:pt>
                <c:pt idx="1">
                  <c:v>117829</c:v>
                </c:pt>
              </c:numCache>
            </c:numRef>
          </c:val>
        </c:ser>
        <c:dLbls>
          <c:showLegendKey val="0"/>
          <c:showVal val="0"/>
          <c:showCatName val="0"/>
          <c:showSerName val="0"/>
          <c:showPercent val="0"/>
          <c:showBubbleSize val="0"/>
        </c:dLbls>
        <c:gapWidth val="150"/>
        <c:axId val="73327360"/>
        <c:axId val="73328896"/>
      </c:barChart>
      <c:catAx>
        <c:axId val="7332736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lv-LV"/>
          </a:p>
        </c:txPr>
        <c:crossAx val="73328896"/>
        <c:crosses val="autoZero"/>
        <c:auto val="1"/>
        <c:lblAlgn val="ctr"/>
        <c:lblOffset val="100"/>
        <c:noMultiLvlLbl val="0"/>
      </c:catAx>
      <c:valAx>
        <c:axId val="73328896"/>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73327360"/>
        <c:crosses val="autoZero"/>
        <c:crossBetween val="between"/>
      </c:valAx>
    </c:plotArea>
    <c:legend>
      <c:legendPos val="r"/>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E1FF3-159A-4E92-A6F1-1ADCAB8F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1332</Words>
  <Characters>9672</Characters>
  <Application>Microsoft Office Word</Application>
  <DocSecurity>0</DocSecurity>
  <Lines>276</Lines>
  <Paragraphs>118</Paragraphs>
  <ScaleCrop>false</ScaleCrop>
  <HeadingPairs>
    <vt:vector size="2" baseType="variant">
      <vt:variant>
        <vt:lpstr>Title</vt:lpstr>
      </vt:variant>
      <vt:variant>
        <vt:i4>1</vt:i4>
      </vt:variant>
    </vt:vector>
  </HeadingPairs>
  <TitlesOfParts>
    <vt:vector size="1" baseType="lpstr">
      <vt:lpstr>Par situāciju sabiedriskā transporta pakalpojumu sniegšanas nozarē 2013.gadā</vt:lpstr>
    </vt:vector>
  </TitlesOfParts>
  <Company>Satiksmes ministrija</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situāciju sabiedriskā transporta pakalpojumu sniegšanas nozarē 2013.gadā</dc:title>
  <dc:subject>Informatīvais ziņojums</dc:subject>
  <dc:creator>Iveta Girucka</dc:creator>
  <dc:description>e-pasts:iveta.girucka@sam.gov.lv_x000d_
tel:67028381</dc:description>
  <cp:lastModifiedBy>Iveta Girucka</cp:lastModifiedBy>
  <cp:revision>11</cp:revision>
  <cp:lastPrinted>2013-11-04T06:42:00Z</cp:lastPrinted>
  <dcterms:created xsi:type="dcterms:W3CDTF">2013-11-01T09:34:00Z</dcterms:created>
  <dcterms:modified xsi:type="dcterms:W3CDTF">2013-11-04T06:43:00Z</dcterms:modified>
</cp:coreProperties>
</file>