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C1" w:rsidRDefault="00B97AC1" w:rsidP="00B97AC1">
      <w:pPr>
        <w:ind w:right="-51"/>
        <w:jc w:val="center"/>
        <w:rPr>
          <w:b/>
          <w:sz w:val="28"/>
          <w:szCs w:val="28"/>
        </w:rPr>
      </w:pPr>
      <w:bookmarkStart w:id="0" w:name="_GoBack"/>
      <w:bookmarkEnd w:id="0"/>
    </w:p>
    <w:p w:rsidR="00B97AC1" w:rsidRPr="00B97AC1" w:rsidRDefault="00B97AC1" w:rsidP="00B97AC1">
      <w:pPr>
        <w:suppressAutoHyphens/>
        <w:spacing w:after="240"/>
        <w:jc w:val="center"/>
        <w:rPr>
          <w:b/>
          <w:bCs/>
          <w:sz w:val="28"/>
          <w:szCs w:val="28"/>
          <w:lang w:eastAsia="zh-CN"/>
        </w:rPr>
      </w:pPr>
      <w:bookmarkStart w:id="1" w:name="OLE_LINK2"/>
      <w:bookmarkStart w:id="2" w:name="OLE_LINK1"/>
      <w:r w:rsidRPr="00B97AC1">
        <w:rPr>
          <w:b/>
          <w:sz w:val="28"/>
          <w:szCs w:val="28"/>
          <w:lang w:eastAsia="en-US"/>
        </w:rPr>
        <w:t xml:space="preserve">Ministru kabineta rīkojuma projekta „ </w:t>
      </w:r>
      <w:r w:rsidRPr="00B97AC1">
        <w:rPr>
          <w:b/>
          <w:bCs/>
          <w:sz w:val="28"/>
          <w:szCs w:val="28"/>
          <w:lang w:eastAsia="zh-CN"/>
        </w:rPr>
        <w:t>Par valsts sabiedrības ar ierobežotu atbildību „</w:t>
      </w:r>
      <w:proofErr w:type="spellStart"/>
      <w:r w:rsidRPr="00B97AC1">
        <w:rPr>
          <w:b/>
          <w:bCs/>
          <w:sz w:val="28"/>
          <w:szCs w:val="28"/>
          <w:lang w:eastAsia="zh-CN"/>
        </w:rPr>
        <w:t>Namzinis</w:t>
      </w:r>
      <w:proofErr w:type="spellEnd"/>
      <w:r w:rsidRPr="00B97AC1">
        <w:rPr>
          <w:b/>
          <w:bCs/>
          <w:sz w:val="28"/>
          <w:szCs w:val="28"/>
          <w:lang w:eastAsia="zh-CN"/>
        </w:rPr>
        <w:t xml:space="preserve">” darbības izbeigšanu” </w:t>
      </w:r>
      <w:r w:rsidRPr="00B97AC1">
        <w:rPr>
          <w:b/>
          <w:sz w:val="28"/>
          <w:szCs w:val="28"/>
          <w:lang w:eastAsia="en-US"/>
        </w:rPr>
        <w:t>sākotnējās ietekmes novērtējuma ziņojums (anotācija)</w:t>
      </w:r>
      <w:bookmarkEnd w:id="1"/>
      <w:bookmarkEnd w:id="2"/>
    </w:p>
    <w:p w:rsidR="00B97AC1" w:rsidRPr="000733BE" w:rsidRDefault="00B97AC1" w:rsidP="00B97AC1">
      <w:pPr>
        <w:ind w:right="-51"/>
        <w:jc w:val="both"/>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7"/>
        <w:gridCol w:w="1863"/>
        <w:gridCol w:w="7068"/>
      </w:tblGrid>
      <w:tr w:rsidR="00B97AC1" w:rsidRPr="00E17EF2" w:rsidTr="00C35BAE">
        <w:tc>
          <w:tcPr>
            <w:tcW w:w="5000" w:type="pct"/>
            <w:gridSpan w:val="3"/>
            <w:tcBorders>
              <w:top w:val="single" w:sz="4" w:space="0" w:color="auto"/>
              <w:left w:val="single" w:sz="4" w:space="0" w:color="auto"/>
              <w:bottom w:val="outset" w:sz="6" w:space="0" w:color="000000"/>
              <w:right w:val="single" w:sz="4" w:space="0" w:color="auto"/>
            </w:tcBorders>
            <w:vAlign w:val="center"/>
          </w:tcPr>
          <w:p w:rsidR="00B97AC1" w:rsidRPr="00BB03E2" w:rsidRDefault="00B97AC1" w:rsidP="00C35BAE">
            <w:pPr>
              <w:jc w:val="both"/>
              <w:rPr>
                <w:b/>
                <w:bCs/>
              </w:rPr>
            </w:pPr>
            <w:r w:rsidRPr="00BB03E2">
              <w:rPr>
                <w:b/>
                <w:bCs/>
              </w:rPr>
              <w:t>I. Tiesību akta projekta izstrādes nepieciešamība</w:t>
            </w:r>
          </w:p>
        </w:tc>
      </w:tr>
      <w:tr w:rsidR="00B97AC1" w:rsidRPr="00E17EF2" w:rsidTr="00C35BAE">
        <w:tc>
          <w:tcPr>
            <w:tcW w:w="192" w:type="pct"/>
            <w:tcBorders>
              <w:top w:val="outset" w:sz="6" w:space="0" w:color="000000"/>
              <w:left w:val="outset" w:sz="6" w:space="0" w:color="000000"/>
              <w:bottom w:val="outset" w:sz="6" w:space="0" w:color="000000"/>
              <w:right w:val="outset" w:sz="6" w:space="0" w:color="000000"/>
            </w:tcBorders>
          </w:tcPr>
          <w:p w:rsidR="00B97AC1" w:rsidRPr="00E17EF2" w:rsidRDefault="00B97AC1" w:rsidP="00C35BAE">
            <w:pPr>
              <w:jc w:val="both"/>
            </w:pPr>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B97AC1" w:rsidRPr="00E17EF2" w:rsidRDefault="00B97AC1" w:rsidP="00C35BAE">
            <w:pPr>
              <w:jc w:val="both"/>
            </w:pPr>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B97AC1" w:rsidRDefault="00B97AC1" w:rsidP="00B97AC1">
            <w:pPr>
              <w:ind w:firstLine="720"/>
              <w:jc w:val="both"/>
            </w:pPr>
            <w:r>
              <w:t>Valsts sabiedrības ar ierobežotu atbildību „</w:t>
            </w:r>
            <w:proofErr w:type="spellStart"/>
            <w:r>
              <w:t>Namzinis</w:t>
            </w:r>
            <w:proofErr w:type="spellEnd"/>
            <w:r>
              <w:t xml:space="preserve">” (turpmāk tekstā – Sabiedrība), kurā Satiksmes ministrija ir 100% valsts kapitāla daļu turētāja, ārkārtas dalībnieku sapulce 2012.gada 9.novembrī nolēma atzīt par lietderīgu Sabiedrības darbības izbeigšanu, to likvidējot. </w:t>
            </w:r>
          </w:p>
          <w:p w:rsidR="00B97AC1" w:rsidRPr="00E17EF2" w:rsidRDefault="00B97AC1" w:rsidP="00B97AC1">
            <w:pPr>
              <w:ind w:firstLine="720"/>
              <w:jc w:val="both"/>
            </w:pPr>
            <w:r>
              <w:t xml:space="preserve">Saskaņā ar likuma „Par valsts un pašvaldību kapitāla daļām un kapitālsabiedrībām” 49.panta otro daļu lēmumu par Sabiedrības darbības izbeigšanu valsts vārdā pieņem Ministru kabinets.  </w:t>
            </w:r>
          </w:p>
        </w:tc>
      </w:tr>
      <w:tr w:rsidR="00B97AC1" w:rsidRPr="00D81001" w:rsidTr="00C35BAE">
        <w:tc>
          <w:tcPr>
            <w:tcW w:w="192"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1A09BF">
              <w:t>2.</w:t>
            </w:r>
          </w:p>
        </w:tc>
        <w:tc>
          <w:tcPr>
            <w:tcW w:w="1003" w:type="pct"/>
            <w:tcBorders>
              <w:top w:val="outset" w:sz="6" w:space="0" w:color="000000"/>
              <w:left w:val="outset" w:sz="6" w:space="0" w:color="000000"/>
              <w:bottom w:val="outset" w:sz="6" w:space="0" w:color="000000"/>
              <w:right w:val="outset" w:sz="6" w:space="0" w:color="000000"/>
            </w:tcBorders>
          </w:tcPr>
          <w:p w:rsidR="00B97AC1" w:rsidRPr="0062008E" w:rsidRDefault="00B97AC1" w:rsidP="00C35BAE">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B97AC1" w:rsidRPr="00D81001" w:rsidRDefault="00B97AC1" w:rsidP="00C35BAE">
            <w:pPr>
              <w:jc w:val="both"/>
              <w:rPr>
                <w:highlight w:val="yellow"/>
              </w:rPr>
            </w:pPr>
          </w:p>
        </w:tc>
        <w:tc>
          <w:tcPr>
            <w:tcW w:w="3805" w:type="pct"/>
            <w:tcBorders>
              <w:top w:val="outset" w:sz="6" w:space="0" w:color="000000"/>
              <w:left w:val="outset" w:sz="6" w:space="0" w:color="000000"/>
              <w:bottom w:val="outset" w:sz="6" w:space="0" w:color="000000"/>
              <w:right w:val="outset" w:sz="6" w:space="0" w:color="000000"/>
            </w:tcBorders>
          </w:tcPr>
          <w:p w:rsidR="00B97AC1" w:rsidRDefault="00B97AC1" w:rsidP="00B97AC1">
            <w:pPr>
              <w:jc w:val="both"/>
            </w:pPr>
            <w:r>
              <w:t xml:space="preserve">Sabiedrība tika nodibināta 1993.gadā. Sabiedrības darbības veids saistīts ar Satiksmes ministrijas valdījumā nodoto vai līgumattiecību ceļā iegūto nekustamo īpašumu apsaimniekošanu un iznomāšanu trīs objektos Rīgā: </w:t>
            </w:r>
            <w:proofErr w:type="spellStart"/>
            <w:r>
              <w:t>Gogoļa</w:t>
            </w:r>
            <w:proofErr w:type="spellEnd"/>
            <w:r>
              <w:t xml:space="preserve"> ielā 3 daļu, kurā atrodas Satiksmes ministrija, Brīvības ielā 58 un Vaļņu ielā 30, kā arī Satiksmes ministrijas saimnieciski - tehnisko funkciju nodrošināšanu.</w:t>
            </w:r>
          </w:p>
          <w:p w:rsidR="00B97AC1" w:rsidRDefault="00B97AC1" w:rsidP="00B97AC1">
            <w:pPr>
              <w:jc w:val="both"/>
            </w:pPr>
            <w:r>
              <w:t xml:space="preserve">Līdz šim Sabiedrība finansiāli nodrošināja savu darbību, izmantojot līdzekļus, kas tika iegūti par nomas maksu no nekustamajiem īpašumiem Rīgā, Vaļņu ielā 30 un Brīvības ielā 58.  Ieņēmumi no nekustamajiem īpašumiem 2011.gadā bija 191 603 </w:t>
            </w:r>
            <w:proofErr w:type="spellStart"/>
            <w:r>
              <w:t>euro</w:t>
            </w:r>
            <w:proofErr w:type="spellEnd"/>
            <w:r>
              <w:t xml:space="preserve"> un 2012.gadā 333 357 </w:t>
            </w:r>
            <w:proofErr w:type="spellStart"/>
            <w:r>
              <w:t>euro</w:t>
            </w:r>
            <w:proofErr w:type="spellEnd"/>
            <w:r>
              <w:t>.</w:t>
            </w:r>
          </w:p>
          <w:p w:rsidR="00B97AC1" w:rsidRDefault="00B97AC1" w:rsidP="00B97AC1">
            <w:pPr>
              <w:jc w:val="both"/>
            </w:pPr>
            <w:r>
              <w:t xml:space="preserve">Izvērtējot Sabiedrības situāciju kopumā, secināms, ka kaut arī Sabiedrībai uz doto brīdi nav maksātnespējas pazīmes Maksātnespējas likuma kontekstā, Sabiedrības darbības un finanšu rādītāji ir nestabili, par ko liecina 2011.gada un 2012.gada zaudējumi, attiecīgi 122 557 LVL un 25 535 LVL (174 383 </w:t>
            </w:r>
            <w:proofErr w:type="spellStart"/>
            <w:r>
              <w:t>euro</w:t>
            </w:r>
            <w:proofErr w:type="spellEnd"/>
            <w:r>
              <w:t xml:space="preserve"> un 36 333 </w:t>
            </w:r>
            <w:proofErr w:type="spellStart"/>
            <w:r>
              <w:t>euro</w:t>
            </w:r>
            <w:proofErr w:type="spellEnd"/>
            <w:r>
              <w:t xml:space="preserve">), kā arī nekustamā īpašuma nodokļa, par trešajām personām iznomātajām nekustamo īpašumu daļām (telpām, telpu grupām), parāds Satiksmes ministrijai 46 886,10 </w:t>
            </w:r>
            <w:proofErr w:type="spellStart"/>
            <w:r>
              <w:t>euro</w:t>
            </w:r>
            <w:proofErr w:type="spellEnd"/>
            <w:r>
              <w:t xml:space="preserve"> apmērā, par laika periodu līdz 2013.gada 31.decembrim.</w:t>
            </w:r>
          </w:p>
          <w:p w:rsidR="00B97AC1" w:rsidRDefault="00B97AC1" w:rsidP="00B97AC1">
            <w:pPr>
              <w:jc w:val="both"/>
            </w:pPr>
            <w:r>
              <w:t xml:space="preserve">Ņemot vērā augstāk minēto, kā arī to, ka VAS „Latvijas dzelzceļš” aizņem lielāko daļu no ēkas </w:t>
            </w:r>
            <w:proofErr w:type="spellStart"/>
            <w:r>
              <w:t>Gogoļa</w:t>
            </w:r>
            <w:proofErr w:type="spellEnd"/>
            <w:r>
              <w:t xml:space="preserve"> ielā 3 un Satiksmes ministrijas lietojumā esošās ēkas daļai un ēkas daļai ko aizņem VAS „Latvijas dzelzceļš” ir kopīgas komunikācijas, lai nodrošinātu minētās ēkas efektīvu, vienotu un nepārtrauktu apsaimniekošanu, būtu lietderīgi un pamatoti uzticēt visa nekustamā īpašuma apsaimniekošanu VAS „Latvijas dzelzceļš”, Sabiedrības pastāvēšana nav lietderīga un tā ir likvidējama. Uz doto brīdi vienīgais Sabiedrības kreditors ir Satiksmes ministrija par kopējo summu 46 886,10 </w:t>
            </w:r>
            <w:proofErr w:type="spellStart"/>
            <w:r>
              <w:t>euro</w:t>
            </w:r>
            <w:proofErr w:type="spellEnd"/>
            <w:r>
              <w:t>.</w:t>
            </w:r>
          </w:p>
          <w:p w:rsidR="00B97AC1" w:rsidRDefault="00B97AC1" w:rsidP="00B97AC1">
            <w:pPr>
              <w:jc w:val="both"/>
            </w:pPr>
            <w:r>
              <w:t>Saskaņā ar Ministru kabineta 2006.gada 9.maija rīkojumu Nr.319 „Par Valsts nekustamā īpašuma vienotas pārvaldīšanas un apsaimniekošanas koncepciju” Finanšu ministrijai sadarbībā ar ministrijām un valsts institūcijām, kuru pārvaldīšanā atrodas neliels nekustamo īpašumu skaits, uzdots izvērtēt valdītāja maiņas ietekmi uz konkrēto institūciju naudas plūsmu un valsts budžetu, rast risinājumu neiegūto līdzekļu kompensēšanai un pēc rastā risinājuma realizācijas nodot nekustamos īpašumus Finanšu ministrijas valdījumā, valsts akciju sabiedrības “Valsts nekustamie īpašumi” (turpmāk tekstā – VNI) pārvaldīšanā.</w:t>
            </w:r>
          </w:p>
          <w:p w:rsidR="00B97AC1" w:rsidRDefault="00B97AC1" w:rsidP="00B97AC1">
            <w:pPr>
              <w:jc w:val="both"/>
            </w:pPr>
            <w:r>
              <w:lastRenderedPageBreak/>
              <w:t xml:space="preserve">Satiksmes ministrijas budžetā nav paredzēti līdzekļi nekustamā īpašuma Rīgā,  </w:t>
            </w:r>
            <w:proofErr w:type="spellStart"/>
            <w:r>
              <w:t>Gogoļa</w:t>
            </w:r>
            <w:proofErr w:type="spellEnd"/>
            <w:r>
              <w:t xml:space="preserve"> ielā 3 daļas, ko aizņem Satiksmes ministrija, uzturēšanai un apsaimniekošanai, kā arī Satiksmes ministrijas saimnieciski-tehnisko funkciju nodrošināšanai (apgaismošana, sanitāro līdzekļu iegāde, uzkopšana, apsaimniekošana, </w:t>
            </w:r>
            <w:proofErr w:type="spellStart"/>
            <w:r>
              <w:t>u.c</w:t>
            </w:r>
            <w:proofErr w:type="spellEnd"/>
            <w:r>
              <w:t xml:space="preserve">), jo līdz šim to veica Sabiedrība, izmantojot līdzekļus, kas tika iekasēti par nomas maksu no nekustamajiem īpašumiem Rīgā, Vaļņu ielā 30 un Brīvības ielā 58. </w:t>
            </w:r>
          </w:p>
          <w:p w:rsidR="00B97AC1" w:rsidRDefault="00B97AC1" w:rsidP="00B97AC1">
            <w:pPr>
              <w:jc w:val="both"/>
            </w:pPr>
            <w:r>
              <w:t xml:space="preserve">Sabiedrības ienākumi no nekustamo īpašumu  (ēku) iznomāšanas 2014.gadā tiek plānoti 413 356 </w:t>
            </w:r>
            <w:proofErr w:type="spellStart"/>
            <w:r>
              <w:t>euro</w:t>
            </w:r>
            <w:proofErr w:type="spellEnd"/>
            <w:r>
              <w:t xml:space="preserve"> apmērā , no kuriem tiek segti šādi izdevumi:</w:t>
            </w:r>
          </w:p>
          <w:p w:rsidR="00B97AC1" w:rsidRDefault="00B97AC1" w:rsidP="00B97AC1">
            <w:pPr>
              <w:jc w:val="both"/>
            </w:pPr>
            <w:r>
              <w:t xml:space="preserve">- par </w:t>
            </w:r>
            <w:proofErr w:type="spellStart"/>
            <w:r>
              <w:t>Gogoļa</w:t>
            </w:r>
            <w:proofErr w:type="spellEnd"/>
            <w:r>
              <w:t xml:space="preserve"> ielas 3 ēkas daļas, kuru izmanto Satiksmes ministrija, apsaimniekošanu 183 645 </w:t>
            </w:r>
            <w:proofErr w:type="spellStart"/>
            <w:r>
              <w:t>euro</w:t>
            </w:r>
            <w:proofErr w:type="spellEnd"/>
            <w:r>
              <w:t xml:space="preserve"> apmērā; </w:t>
            </w:r>
          </w:p>
          <w:p w:rsidR="00B97AC1" w:rsidRDefault="00B97AC1" w:rsidP="00B97AC1">
            <w:pPr>
              <w:jc w:val="both"/>
            </w:pPr>
            <w:r>
              <w:t xml:space="preserve">- par Vaļņu ielas 30 ēkas apsaimniekošanu 116 291 </w:t>
            </w:r>
            <w:proofErr w:type="spellStart"/>
            <w:r>
              <w:t>euro</w:t>
            </w:r>
            <w:proofErr w:type="spellEnd"/>
            <w:r>
              <w:t xml:space="preserve"> apmērā;</w:t>
            </w:r>
          </w:p>
          <w:p w:rsidR="00B97AC1" w:rsidRDefault="00B97AC1" w:rsidP="00B97AC1">
            <w:pPr>
              <w:jc w:val="both"/>
            </w:pPr>
            <w:r>
              <w:t xml:space="preserve">- par Brīvības ielas 58 ēkas apsaimniekošanu 80 386 </w:t>
            </w:r>
            <w:proofErr w:type="spellStart"/>
            <w:r>
              <w:t>euro</w:t>
            </w:r>
            <w:proofErr w:type="spellEnd"/>
            <w:r>
              <w:t xml:space="preserve"> apmērā.</w:t>
            </w:r>
          </w:p>
          <w:p w:rsidR="00B97AC1" w:rsidRDefault="00B97AC1" w:rsidP="00B97AC1">
            <w:pPr>
              <w:jc w:val="both"/>
            </w:pPr>
            <w:r>
              <w:t xml:space="preserve">Savukārt, Satiksmes ministrijas ienākumi no </w:t>
            </w:r>
            <w:proofErr w:type="spellStart"/>
            <w:r>
              <w:t>Gogoļa</w:t>
            </w:r>
            <w:proofErr w:type="spellEnd"/>
            <w:r>
              <w:t xml:space="preserve"> ielas 3 ēkas iznomāšanas ir 602 557 </w:t>
            </w:r>
            <w:proofErr w:type="spellStart"/>
            <w:r>
              <w:t>euro</w:t>
            </w:r>
            <w:proofErr w:type="spellEnd"/>
            <w:r>
              <w:t xml:space="preserve"> gadā, kur minētā summa tiek novirzīta daļai ar ministrijas darbības nodrošināšanu saistītu izdevumu segšanai, jo Satiksmes ministrija nesaņem valsts budžeta  dotāciju savu ikdienas izdevumu segšanai. Ja nekustamie īpašumi </w:t>
            </w:r>
            <w:proofErr w:type="spellStart"/>
            <w:r>
              <w:t>Gogoļa</w:t>
            </w:r>
            <w:proofErr w:type="spellEnd"/>
            <w:r>
              <w:t xml:space="preserve"> ielā 3 un Brīvības ielā 58 tiks nodoti VNI, Satiksmes ministrijai būs nepieciešami 786 202 </w:t>
            </w:r>
            <w:proofErr w:type="spellStart"/>
            <w:r>
              <w:t>euro</w:t>
            </w:r>
            <w:proofErr w:type="spellEnd"/>
            <w:r>
              <w:t xml:space="preserve"> (</w:t>
            </w:r>
            <w:proofErr w:type="spellStart"/>
            <w:r>
              <w:t>t.sk</w:t>
            </w:r>
            <w:proofErr w:type="spellEnd"/>
            <w:r>
              <w:t xml:space="preserve">. 495 946 </w:t>
            </w:r>
            <w:proofErr w:type="spellStart"/>
            <w:r>
              <w:t>euro</w:t>
            </w:r>
            <w:proofErr w:type="spellEnd"/>
            <w:r>
              <w:t xml:space="preserve"> no Latvijas Dzelzceļš telpu nomas maksas, 106 611 </w:t>
            </w:r>
            <w:proofErr w:type="spellStart"/>
            <w:r>
              <w:t>euro</w:t>
            </w:r>
            <w:proofErr w:type="spellEnd"/>
            <w:r>
              <w:t xml:space="preserve"> no Latvijas Valsts ceļi nomas maksas un 183 645 </w:t>
            </w:r>
            <w:proofErr w:type="spellStart"/>
            <w:r>
              <w:t>euro</w:t>
            </w:r>
            <w:proofErr w:type="spellEnd"/>
            <w:r>
              <w:t xml:space="preserve"> no Sabiedrības ieguldījuma ēkas uzturēšanā)  no valsts budžeta dotācijas ēkas ikdienas uzturēšanai, neieskaitot izdevumus par telpu nomu no VNI.</w:t>
            </w:r>
          </w:p>
          <w:p w:rsidR="00B97AC1" w:rsidRDefault="00B97AC1" w:rsidP="00B97AC1">
            <w:pPr>
              <w:jc w:val="both"/>
            </w:pPr>
            <w:r>
              <w:t xml:space="preserve">Tā kā šobrīd Satiksmes ministrijas budžetā nav līdzekļu nekustamo īpašumu apsaimniekošanai un Satiksmes ministrijas saimnieciski - tehnisko funkciju nodrošināšanai, tad līdz brīdim, kamēr Satiksmes ministrijai netiek piešķirti nepieciešamie līdzekļi, nekustamie īpašumi Rīgā, Brīvības ielā 58 un </w:t>
            </w:r>
            <w:proofErr w:type="spellStart"/>
            <w:r>
              <w:t>Gogoļa</w:t>
            </w:r>
            <w:proofErr w:type="spellEnd"/>
            <w:r>
              <w:t xml:space="preserve"> ielā 3 ir nododami apsaimniekošanā valsts akciju sabiedrībai „Latvijas dzelzceļš” (turpmāk – VAS „Latvijas dzelzceļš”. </w:t>
            </w:r>
          </w:p>
          <w:p w:rsidR="00B97AC1" w:rsidRPr="00DF2813" w:rsidRDefault="00B97AC1" w:rsidP="00B97AC1">
            <w:pPr>
              <w:jc w:val="both"/>
              <w:rPr>
                <w:highlight w:val="yellow"/>
              </w:rPr>
            </w:pPr>
            <w:r>
              <w:t xml:space="preserve">Ņemot vērā to, ka VAS „Latvijas dzelzceļš” ir atbilstoša struktūrvienība „Nekustamo īpašumu direkcija”, kuras rīcībā ir kvalificēti speciālisti ar atbilstošu pieredzi nekustamo īpašumu apsaimniekošanā, VAS „Latvijas dzelzceļš” varēs nodrošināt nomas maksas par nekustamā īpašuma Brīvības ielā 58, Rīga iekasēšanas nepārtrauktību un minētā īpašuma efektīvu apsaimniekošanu. Savukārt izvērtējot situāciju ar nekustamo īpašumu </w:t>
            </w:r>
            <w:proofErr w:type="spellStart"/>
            <w:r>
              <w:t>Gogoļa</w:t>
            </w:r>
            <w:proofErr w:type="spellEnd"/>
            <w:r>
              <w:t xml:space="preserve"> ielā 3, Rīga, secināms, ka VAS „Latvijas dzelzceļš” aizņem lielāko daļu no ēkas </w:t>
            </w:r>
            <w:proofErr w:type="spellStart"/>
            <w:r>
              <w:t>Gogoļa</w:t>
            </w:r>
            <w:proofErr w:type="spellEnd"/>
            <w:r>
              <w:t xml:space="preserve"> ielā 3 un Satiksmes ministrijas lietojumā esošās ēkas daļai un ēkas daļai ko aizņem VAS „Latvijas dzelzceļš” ir kopīgas komunikācijas, lai nodrošinātu minētās ēkas efektīvu, vienotu un nepārtrauktu apsaimniekošanu, būtu lietderīgi un pamatoti uzticēt visa nekustamā īpašuma apsaimniekošanu VAS „Latvijas dzelzceļš”.</w:t>
            </w:r>
          </w:p>
        </w:tc>
      </w:tr>
      <w:tr w:rsidR="00B97AC1" w:rsidRPr="00D81001" w:rsidTr="00C35BAE">
        <w:tc>
          <w:tcPr>
            <w:tcW w:w="192"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9F52BA">
              <w:lastRenderedPageBreak/>
              <w:t>3.</w:t>
            </w:r>
          </w:p>
        </w:tc>
        <w:tc>
          <w:tcPr>
            <w:tcW w:w="1003"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62008E">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B97AC1">
              <w:t>Satiksmes ministrija un valsts sabiedrība ar ierobežotu atbildību „</w:t>
            </w:r>
            <w:proofErr w:type="spellStart"/>
            <w:r w:rsidRPr="00B97AC1">
              <w:t>Namzinis</w:t>
            </w:r>
            <w:proofErr w:type="spellEnd"/>
            <w:r w:rsidRPr="00B97AC1">
              <w:t>”.</w:t>
            </w:r>
          </w:p>
        </w:tc>
      </w:tr>
      <w:tr w:rsidR="00B97AC1" w:rsidRPr="00D81001" w:rsidTr="00C35BAE">
        <w:tc>
          <w:tcPr>
            <w:tcW w:w="192"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F6BB7">
              <w:t>4.</w:t>
            </w:r>
          </w:p>
        </w:tc>
        <w:tc>
          <w:tcPr>
            <w:tcW w:w="1003"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2008E">
              <w:t>Cita informācija</w:t>
            </w:r>
          </w:p>
        </w:tc>
        <w:tc>
          <w:tcPr>
            <w:tcW w:w="3805"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47B8D">
              <w:rPr>
                <w:bCs/>
                <w:color w:val="000000"/>
              </w:rPr>
              <w:t>Nav.</w:t>
            </w:r>
          </w:p>
        </w:tc>
      </w:tr>
    </w:tbl>
    <w:p w:rsidR="00B97AC1" w:rsidRPr="00D81001" w:rsidRDefault="00B97AC1" w:rsidP="00B97AC1">
      <w:pPr>
        <w:spacing w:before="120" w:after="120"/>
        <w:jc w:val="both"/>
        <w:outlineLvl w:val="0"/>
        <w:rPr>
          <w:highlight w:val="yello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B97AC1" w:rsidRPr="00D81001" w:rsidTr="00C35BAE">
        <w:tc>
          <w:tcPr>
            <w:tcW w:w="9288" w:type="dxa"/>
            <w:gridSpan w:val="3"/>
          </w:tcPr>
          <w:p w:rsidR="00B97AC1" w:rsidRPr="00D81001" w:rsidRDefault="00B97AC1" w:rsidP="00C35BAE">
            <w:pPr>
              <w:jc w:val="both"/>
              <w:outlineLvl w:val="0"/>
              <w:rPr>
                <w:color w:val="000000"/>
                <w:highlight w:val="yellow"/>
              </w:rPr>
            </w:pPr>
            <w:r w:rsidRPr="00647B8D">
              <w:rPr>
                <w:b/>
                <w:color w:val="000000"/>
                <w:lang w:eastAsia="en-US"/>
              </w:rPr>
              <w:lastRenderedPageBreak/>
              <w:t>VII. Tiesību akta projekta izpildes nodrošināšana un tās ietekme uz institūcijām</w:t>
            </w:r>
          </w:p>
        </w:tc>
      </w:tr>
      <w:tr w:rsidR="00B97AC1" w:rsidRPr="00D81001" w:rsidTr="00C35BAE">
        <w:tc>
          <w:tcPr>
            <w:tcW w:w="516" w:type="dxa"/>
          </w:tcPr>
          <w:p w:rsidR="00B97AC1" w:rsidRPr="00647B8D" w:rsidRDefault="00B97AC1" w:rsidP="00C35BAE">
            <w:pPr>
              <w:jc w:val="both"/>
              <w:outlineLvl w:val="0"/>
              <w:rPr>
                <w:color w:val="000000"/>
                <w:lang w:eastAsia="en-US"/>
              </w:rPr>
            </w:pPr>
            <w:r w:rsidRPr="00647B8D">
              <w:rPr>
                <w:color w:val="000000"/>
                <w:lang w:eastAsia="en-US"/>
              </w:rPr>
              <w:t>1.</w:t>
            </w:r>
          </w:p>
        </w:tc>
        <w:tc>
          <w:tcPr>
            <w:tcW w:w="3096" w:type="dxa"/>
          </w:tcPr>
          <w:p w:rsidR="00B97AC1" w:rsidRPr="00647B8D" w:rsidRDefault="00B97AC1" w:rsidP="00C35BAE">
            <w:pPr>
              <w:jc w:val="both"/>
              <w:outlineLvl w:val="0"/>
              <w:rPr>
                <w:color w:val="000000"/>
                <w:lang w:eastAsia="en-US"/>
              </w:rPr>
            </w:pPr>
            <w:r w:rsidRPr="00647B8D">
              <w:rPr>
                <w:color w:val="000000"/>
                <w:lang w:eastAsia="en-US"/>
              </w:rPr>
              <w:t>Projekta izpildē iesaistītās institūcijas</w:t>
            </w:r>
          </w:p>
        </w:tc>
        <w:tc>
          <w:tcPr>
            <w:tcW w:w="5676" w:type="dxa"/>
          </w:tcPr>
          <w:p w:rsidR="00B97AC1" w:rsidRPr="00647B8D" w:rsidRDefault="00B97AC1" w:rsidP="00B97AC1">
            <w:pPr>
              <w:jc w:val="both"/>
              <w:outlineLvl w:val="0"/>
            </w:pPr>
            <w:r w:rsidRPr="00647B8D">
              <w:rPr>
                <w:color w:val="000000"/>
              </w:rPr>
              <w:t xml:space="preserve">Rīkojuma izpildi nodrošinās </w:t>
            </w:r>
            <w:r>
              <w:rPr>
                <w:color w:val="000000"/>
              </w:rPr>
              <w:t xml:space="preserve">Satiksmes ministrija, </w:t>
            </w:r>
            <w:r w:rsidRPr="00B97AC1">
              <w:rPr>
                <w:color w:val="000000"/>
              </w:rPr>
              <w:t xml:space="preserve">valsts sabiedrība ar </w:t>
            </w:r>
            <w:r>
              <w:rPr>
                <w:color w:val="000000"/>
              </w:rPr>
              <w:t>ierobežotu atbildību „</w:t>
            </w:r>
            <w:proofErr w:type="spellStart"/>
            <w:r>
              <w:rPr>
                <w:color w:val="000000"/>
              </w:rPr>
              <w:t>Namzinis</w:t>
            </w:r>
            <w:proofErr w:type="spellEnd"/>
            <w:r>
              <w:rPr>
                <w:color w:val="000000"/>
              </w:rPr>
              <w:t>”.</w:t>
            </w:r>
          </w:p>
        </w:tc>
      </w:tr>
      <w:tr w:rsidR="00B97AC1" w:rsidRPr="00D81001" w:rsidTr="00C35BAE">
        <w:tc>
          <w:tcPr>
            <w:tcW w:w="516" w:type="dxa"/>
          </w:tcPr>
          <w:p w:rsidR="00B97AC1" w:rsidRPr="00647B8D" w:rsidRDefault="00B97AC1" w:rsidP="00C35BAE">
            <w:pPr>
              <w:jc w:val="both"/>
              <w:outlineLvl w:val="0"/>
              <w:rPr>
                <w:color w:val="000000"/>
                <w:lang w:eastAsia="en-US"/>
              </w:rPr>
            </w:pPr>
            <w:r w:rsidRPr="00647B8D">
              <w:rPr>
                <w:color w:val="000000"/>
                <w:lang w:eastAsia="en-US"/>
              </w:rPr>
              <w:t>2.</w:t>
            </w:r>
          </w:p>
        </w:tc>
        <w:tc>
          <w:tcPr>
            <w:tcW w:w="3096" w:type="dxa"/>
          </w:tcPr>
          <w:p w:rsidR="00B97AC1" w:rsidRDefault="00B97AC1" w:rsidP="00C35BAE">
            <w:pPr>
              <w:spacing w:before="100" w:beforeAutospacing="1" w:after="100" w:afterAutospacing="1"/>
              <w:jc w:val="both"/>
            </w:pPr>
            <w:r w:rsidRPr="0062008E">
              <w:t>Projekta izpildes ietekme uz pārvaldes funkcijām</w:t>
            </w:r>
            <w:r>
              <w:t xml:space="preserve"> un institucionālo struktūru.</w:t>
            </w:r>
          </w:p>
          <w:p w:rsidR="00B97AC1" w:rsidRPr="00647B8D" w:rsidRDefault="00B97AC1" w:rsidP="00C35BAE">
            <w:pPr>
              <w:jc w:val="both"/>
              <w:outlineLvl w:val="0"/>
              <w:rPr>
                <w:color w:val="000000"/>
                <w:lang w:eastAsia="en-US"/>
              </w:rPr>
            </w:pPr>
            <w:r>
              <w:t>Jaunu institūciju izveide, esošo institūciju likvidācija vai reorganizācija, to ietekme uz institūcijas cilvēkresursiem</w:t>
            </w:r>
          </w:p>
        </w:tc>
        <w:tc>
          <w:tcPr>
            <w:tcW w:w="5676" w:type="dxa"/>
          </w:tcPr>
          <w:p w:rsidR="00B97AC1" w:rsidRPr="00D81001" w:rsidRDefault="00B97AC1" w:rsidP="00C35BAE">
            <w:pPr>
              <w:jc w:val="both"/>
              <w:outlineLvl w:val="0"/>
              <w:rPr>
                <w:color w:val="000000"/>
                <w:highlight w:val="yellow"/>
                <w:lang w:eastAsia="en-US"/>
              </w:rPr>
            </w:pPr>
            <w:r w:rsidRPr="00647B8D">
              <w:rPr>
                <w:color w:val="000000"/>
                <w:lang w:eastAsia="en-US"/>
              </w:rPr>
              <w:t>Projekts šo jomu neskar.</w:t>
            </w:r>
          </w:p>
        </w:tc>
      </w:tr>
      <w:tr w:rsidR="00B97AC1" w:rsidRPr="00D81001" w:rsidTr="00C35BAE">
        <w:tc>
          <w:tcPr>
            <w:tcW w:w="516" w:type="dxa"/>
          </w:tcPr>
          <w:p w:rsidR="00B97AC1" w:rsidRPr="00647B8D" w:rsidRDefault="00B97AC1" w:rsidP="00C35BAE">
            <w:pPr>
              <w:jc w:val="both"/>
              <w:outlineLvl w:val="0"/>
              <w:rPr>
                <w:color w:val="000000"/>
                <w:lang w:eastAsia="en-US"/>
              </w:rPr>
            </w:pPr>
            <w:r>
              <w:rPr>
                <w:color w:val="000000"/>
                <w:lang w:eastAsia="en-US"/>
              </w:rPr>
              <w:t>3</w:t>
            </w:r>
            <w:r w:rsidRPr="00647B8D">
              <w:rPr>
                <w:color w:val="000000"/>
                <w:lang w:eastAsia="en-US"/>
              </w:rPr>
              <w:t>.</w:t>
            </w:r>
          </w:p>
        </w:tc>
        <w:tc>
          <w:tcPr>
            <w:tcW w:w="3096" w:type="dxa"/>
          </w:tcPr>
          <w:p w:rsidR="00B97AC1" w:rsidRPr="00647B8D" w:rsidRDefault="00B97AC1" w:rsidP="00C35BAE">
            <w:pPr>
              <w:jc w:val="both"/>
              <w:outlineLvl w:val="0"/>
              <w:rPr>
                <w:color w:val="000000"/>
                <w:lang w:eastAsia="en-US"/>
              </w:rPr>
            </w:pPr>
            <w:r w:rsidRPr="00647B8D">
              <w:rPr>
                <w:color w:val="000000"/>
                <w:lang w:eastAsia="en-US"/>
              </w:rPr>
              <w:t>Cita informācija.</w:t>
            </w:r>
          </w:p>
        </w:tc>
        <w:tc>
          <w:tcPr>
            <w:tcW w:w="5676" w:type="dxa"/>
          </w:tcPr>
          <w:p w:rsidR="00B97AC1" w:rsidRPr="00393E51" w:rsidRDefault="00B97AC1" w:rsidP="00C35BAE">
            <w:pPr>
              <w:jc w:val="both"/>
              <w:rPr>
                <w:color w:val="000000"/>
              </w:rPr>
            </w:pPr>
            <w:r>
              <w:t>Nav</w:t>
            </w:r>
            <w:r w:rsidRPr="00393E51">
              <w:rPr>
                <w:color w:val="000000"/>
              </w:rPr>
              <w:t>.</w:t>
            </w:r>
          </w:p>
          <w:p w:rsidR="00B97AC1" w:rsidRPr="00647B8D" w:rsidRDefault="00B97AC1" w:rsidP="00C35BAE">
            <w:pPr>
              <w:jc w:val="both"/>
              <w:outlineLvl w:val="0"/>
              <w:rPr>
                <w:color w:val="000000"/>
                <w:lang w:eastAsia="en-US"/>
              </w:rPr>
            </w:pPr>
          </w:p>
        </w:tc>
      </w:tr>
    </w:tbl>
    <w:p w:rsidR="00B97AC1" w:rsidRPr="00D81001" w:rsidRDefault="00B97AC1" w:rsidP="00B97AC1">
      <w:pPr>
        <w:pStyle w:val="naisf"/>
        <w:spacing w:before="0" w:after="0"/>
        <w:ind w:firstLine="684"/>
        <w:rPr>
          <w:sz w:val="28"/>
          <w:szCs w:val="28"/>
          <w:highlight w:val="yellow"/>
        </w:rPr>
      </w:pPr>
    </w:p>
    <w:p w:rsidR="00B97AC1" w:rsidRDefault="00B97AC1" w:rsidP="00B97AC1">
      <w:pPr>
        <w:pStyle w:val="naisf"/>
        <w:spacing w:before="0" w:after="0"/>
        <w:ind w:firstLine="684"/>
        <w:rPr>
          <w:color w:val="000000"/>
          <w:sz w:val="28"/>
          <w:szCs w:val="28"/>
          <w:lang w:eastAsia="en-US"/>
        </w:rPr>
      </w:pPr>
    </w:p>
    <w:p w:rsidR="00B97AC1" w:rsidRPr="00227E5B" w:rsidRDefault="00B97AC1" w:rsidP="00B97AC1">
      <w:pPr>
        <w:pStyle w:val="naisf"/>
        <w:spacing w:before="0" w:after="0"/>
        <w:ind w:firstLine="684"/>
        <w:rPr>
          <w:sz w:val="28"/>
          <w:szCs w:val="28"/>
        </w:rPr>
      </w:pPr>
      <w:r w:rsidRPr="00772726">
        <w:rPr>
          <w:color w:val="000000"/>
          <w:sz w:val="28"/>
          <w:szCs w:val="28"/>
          <w:lang w:eastAsia="en-US"/>
        </w:rPr>
        <w:t>Anotācijas II, III, IV, V un VI sadaļa – rīkojuma projekts šīs jomas neskar.</w:t>
      </w:r>
    </w:p>
    <w:p w:rsidR="00B97AC1" w:rsidRDefault="00B97AC1" w:rsidP="00B97AC1">
      <w:pPr>
        <w:pStyle w:val="naisf"/>
        <w:spacing w:before="0" w:after="0"/>
        <w:ind w:firstLine="684"/>
        <w:rPr>
          <w:sz w:val="28"/>
          <w:szCs w:val="28"/>
        </w:rPr>
      </w:pPr>
    </w:p>
    <w:p w:rsidR="00B97AC1" w:rsidRDefault="00B97AC1" w:rsidP="00B97AC1">
      <w:pPr>
        <w:pStyle w:val="naisf"/>
        <w:spacing w:before="0" w:after="0"/>
        <w:ind w:firstLine="684"/>
        <w:rPr>
          <w:sz w:val="28"/>
          <w:szCs w:val="28"/>
        </w:rPr>
      </w:pPr>
    </w:p>
    <w:p w:rsidR="00B97AC1" w:rsidRDefault="00B97AC1" w:rsidP="00B97AC1">
      <w:pPr>
        <w:pStyle w:val="naisf"/>
        <w:spacing w:before="0" w:after="0"/>
        <w:ind w:firstLine="684"/>
        <w:rPr>
          <w:sz w:val="28"/>
          <w:szCs w:val="28"/>
        </w:rPr>
      </w:pPr>
    </w:p>
    <w:p w:rsidR="00B97AC1" w:rsidRDefault="00B97AC1" w:rsidP="00B97AC1">
      <w:pPr>
        <w:pStyle w:val="naisf"/>
        <w:spacing w:before="0" w:after="0"/>
        <w:ind w:firstLine="684"/>
        <w:rPr>
          <w:sz w:val="16"/>
          <w:szCs w:val="16"/>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A.Matīss</w:t>
      </w:r>
    </w:p>
    <w:p w:rsidR="00B97AC1" w:rsidRDefault="00B97AC1" w:rsidP="00B97AC1">
      <w:pPr>
        <w:jc w:val="both"/>
        <w:rPr>
          <w:sz w:val="28"/>
          <w:szCs w:val="28"/>
        </w:rPr>
      </w:pPr>
    </w:p>
    <w:p w:rsidR="00B97AC1" w:rsidRPr="002F5EB0" w:rsidRDefault="00B97AC1" w:rsidP="00B97AC1">
      <w:pPr>
        <w:ind w:firstLine="684"/>
        <w:jc w:val="both"/>
        <w:rPr>
          <w:sz w:val="28"/>
          <w:szCs w:val="28"/>
        </w:rPr>
      </w:pPr>
      <w:r w:rsidRPr="005E14DE">
        <w:rPr>
          <w:sz w:val="28"/>
          <w:szCs w:val="28"/>
        </w:rPr>
        <w:t>Vizē: Valsts sekretār</w:t>
      </w:r>
      <w:r>
        <w:rPr>
          <w:sz w:val="28"/>
          <w:szCs w:val="28"/>
        </w:rPr>
        <w:t>s</w:t>
      </w:r>
      <w:r>
        <w:rPr>
          <w:sz w:val="28"/>
          <w:szCs w:val="28"/>
        </w:rPr>
        <w:tab/>
      </w:r>
      <w:r>
        <w:rPr>
          <w:sz w:val="28"/>
          <w:szCs w:val="28"/>
        </w:rPr>
        <w:tab/>
      </w:r>
      <w:r>
        <w:rPr>
          <w:sz w:val="28"/>
          <w:szCs w:val="28"/>
        </w:rPr>
        <w:tab/>
      </w:r>
      <w:r>
        <w:rPr>
          <w:sz w:val="28"/>
          <w:szCs w:val="28"/>
        </w:rPr>
        <w:tab/>
      </w:r>
      <w:r>
        <w:rPr>
          <w:sz w:val="28"/>
          <w:szCs w:val="28"/>
        </w:rPr>
        <w:tab/>
        <w:t>K.Ozoliņš</w:t>
      </w:r>
      <w:r>
        <w:rPr>
          <w:sz w:val="28"/>
          <w:szCs w:val="28"/>
        </w:rPr>
        <w:tab/>
      </w:r>
      <w:r>
        <w:rPr>
          <w:sz w:val="28"/>
          <w:szCs w:val="28"/>
        </w:rPr>
        <w:tab/>
      </w:r>
      <w:r>
        <w:rPr>
          <w:sz w:val="28"/>
          <w:szCs w:val="28"/>
        </w:rPr>
        <w:tab/>
      </w:r>
      <w:r>
        <w:rPr>
          <w:sz w:val="28"/>
          <w:szCs w:val="28"/>
        </w:rPr>
        <w:tab/>
      </w: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Default="00B97AC1" w:rsidP="00B97AC1">
      <w:pPr>
        <w:jc w:val="both"/>
      </w:pPr>
    </w:p>
    <w:p w:rsidR="00B97AC1" w:rsidRPr="00B97AC1" w:rsidRDefault="00B97AC1" w:rsidP="00B97AC1">
      <w:pPr>
        <w:rPr>
          <w:bCs/>
          <w:sz w:val="22"/>
          <w:szCs w:val="22"/>
        </w:rPr>
      </w:pPr>
      <w:r w:rsidRPr="00B97AC1">
        <w:rPr>
          <w:bCs/>
          <w:sz w:val="22"/>
          <w:szCs w:val="22"/>
        </w:rPr>
        <w:t>07.02.2014. 11:31</w:t>
      </w:r>
    </w:p>
    <w:p w:rsidR="00B97AC1" w:rsidRPr="00B97AC1" w:rsidRDefault="00B97AC1" w:rsidP="00B97AC1">
      <w:pPr>
        <w:rPr>
          <w:bCs/>
          <w:sz w:val="22"/>
          <w:szCs w:val="22"/>
        </w:rPr>
      </w:pPr>
      <w:r w:rsidRPr="00B97AC1">
        <w:rPr>
          <w:bCs/>
          <w:sz w:val="22"/>
          <w:szCs w:val="22"/>
        </w:rPr>
        <w:t>894</w:t>
      </w:r>
    </w:p>
    <w:p w:rsidR="00B97AC1" w:rsidRPr="00B97AC1" w:rsidRDefault="00B97AC1" w:rsidP="00B97AC1">
      <w:pPr>
        <w:rPr>
          <w:bCs/>
          <w:sz w:val="22"/>
          <w:szCs w:val="22"/>
        </w:rPr>
      </w:pPr>
      <w:r w:rsidRPr="00B97AC1">
        <w:rPr>
          <w:bCs/>
          <w:sz w:val="22"/>
          <w:szCs w:val="22"/>
        </w:rPr>
        <w:t xml:space="preserve">A.Driksna </w:t>
      </w:r>
    </w:p>
    <w:p w:rsidR="00B97AC1" w:rsidRPr="00B97AC1" w:rsidRDefault="00B97AC1" w:rsidP="00B97AC1">
      <w:pPr>
        <w:rPr>
          <w:sz w:val="22"/>
          <w:szCs w:val="22"/>
          <w:lang w:val="en-US"/>
        </w:rPr>
      </w:pPr>
      <w:r w:rsidRPr="00B97AC1">
        <w:rPr>
          <w:bCs/>
          <w:sz w:val="22"/>
          <w:szCs w:val="22"/>
        </w:rPr>
        <w:t>67028020, agnis.driksna@sam.gov.lv</w:t>
      </w:r>
    </w:p>
    <w:p w:rsidR="00E71044" w:rsidRPr="00B97AC1" w:rsidRDefault="00E71044">
      <w:pPr>
        <w:rPr>
          <w:lang w:val="en-US"/>
        </w:rPr>
      </w:pPr>
    </w:p>
    <w:sectPr w:rsidR="00E71044" w:rsidRPr="00B97AC1" w:rsidSect="00063EC0">
      <w:headerReference w:type="even" r:id="rId7"/>
      <w:headerReference w:type="default" r:id="rId8"/>
      <w:footerReference w:type="default" r:id="rId9"/>
      <w:footerReference w:type="first" r:id="rId10"/>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84" w:rsidRDefault="00494284" w:rsidP="00B97AC1">
      <w:r>
        <w:separator/>
      </w:r>
    </w:p>
  </w:endnote>
  <w:endnote w:type="continuationSeparator" w:id="0">
    <w:p w:rsidR="00494284" w:rsidRDefault="00494284" w:rsidP="00B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Pr="00350772" w:rsidRDefault="00B97AC1" w:rsidP="00350772">
    <w:pPr>
      <w:pStyle w:val="Footer"/>
      <w:rPr>
        <w:szCs w:val="20"/>
      </w:rPr>
    </w:pPr>
    <w:r w:rsidRPr="00B97AC1">
      <w:rPr>
        <w:sz w:val="20"/>
        <w:szCs w:val="20"/>
      </w:rPr>
      <w:t>SAManot_070214_Namzinis; Ministru kabineta rīkojuma projekta „ Par valsts sabiedrības ar ierobežotu atbildību „</w:t>
    </w:r>
    <w:proofErr w:type="spellStart"/>
    <w:r w:rsidRPr="00B97AC1">
      <w:rPr>
        <w:sz w:val="20"/>
        <w:szCs w:val="20"/>
      </w:rPr>
      <w:t>Namzinis</w:t>
    </w:r>
    <w:proofErr w:type="spellEnd"/>
    <w:r w:rsidRPr="00B97AC1">
      <w:rPr>
        <w:sz w:val="20"/>
        <w:szCs w:val="20"/>
      </w:rPr>
      <w:t>” darbības izbeigšanu”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0" w:rsidRPr="00D42F11" w:rsidRDefault="00B97AC1" w:rsidP="002F5EB0">
    <w:pPr>
      <w:tabs>
        <w:tab w:val="left" w:pos="8222"/>
      </w:tabs>
      <w:ind w:right="-51"/>
      <w:jc w:val="both"/>
      <w:rPr>
        <w:sz w:val="20"/>
        <w:szCs w:val="20"/>
      </w:rPr>
    </w:pPr>
    <w:r w:rsidRPr="00B97AC1">
      <w:rPr>
        <w:sz w:val="20"/>
        <w:szCs w:val="20"/>
      </w:rPr>
      <w:t>SAManot_070214_Namzinis</w:t>
    </w:r>
    <w:r w:rsidRPr="00D42F11">
      <w:rPr>
        <w:sz w:val="20"/>
        <w:szCs w:val="20"/>
      </w:rPr>
      <w:t xml:space="preserve">; </w:t>
    </w:r>
    <w:r w:rsidRPr="00B97AC1">
      <w:rPr>
        <w:sz w:val="20"/>
        <w:szCs w:val="20"/>
      </w:rPr>
      <w:t>Ministru kabineta rīkojuma projekta „ Par valsts sabiedrības ar ierobežotu atbildību „</w:t>
    </w:r>
    <w:proofErr w:type="spellStart"/>
    <w:r w:rsidRPr="00B97AC1">
      <w:rPr>
        <w:sz w:val="20"/>
        <w:szCs w:val="20"/>
      </w:rPr>
      <w:t>Namzinis</w:t>
    </w:r>
    <w:proofErr w:type="spellEnd"/>
    <w:r w:rsidRPr="00B97AC1">
      <w:rPr>
        <w:sz w:val="20"/>
        <w:szCs w:val="20"/>
      </w:rPr>
      <w:t>” darbības izbeigšanu” sākotnējās ietekmes novērtējuma ziņojums (anotācija)</w:t>
    </w:r>
  </w:p>
  <w:p w:rsidR="00A15670" w:rsidRPr="002F5EB0" w:rsidRDefault="00494284" w:rsidP="002F5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84" w:rsidRDefault="00494284" w:rsidP="00B97AC1">
      <w:r>
        <w:separator/>
      </w:r>
    </w:p>
  </w:footnote>
  <w:footnote w:type="continuationSeparator" w:id="0">
    <w:p w:rsidR="00494284" w:rsidRDefault="00494284" w:rsidP="00B9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Default="00B97AC1" w:rsidP="00063E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670" w:rsidRDefault="00494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Pr="00FA71C0" w:rsidRDefault="00B97AC1" w:rsidP="00063EC0">
    <w:pPr>
      <w:pStyle w:val="Header"/>
      <w:framePr w:wrap="around" w:vAnchor="text" w:hAnchor="margin" w:xAlign="center" w:y="1"/>
      <w:rPr>
        <w:rStyle w:val="PageNumber"/>
        <w:sz w:val="20"/>
        <w:szCs w:val="20"/>
      </w:rPr>
    </w:pPr>
    <w:r w:rsidRPr="00FA71C0">
      <w:rPr>
        <w:rStyle w:val="PageNumber"/>
        <w:sz w:val="20"/>
        <w:szCs w:val="20"/>
      </w:rPr>
      <w:fldChar w:fldCharType="begin"/>
    </w:r>
    <w:r w:rsidRPr="00FA71C0">
      <w:rPr>
        <w:rStyle w:val="PageNumber"/>
        <w:sz w:val="20"/>
        <w:szCs w:val="20"/>
      </w:rPr>
      <w:instrText xml:space="preserve">PAGE  </w:instrText>
    </w:r>
    <w:r w:rsidRPr="00FA71C0">
      <w:rPr>
        <w:rStyle w:val="PageNumber"/>
        <w:sz w:val="20"/>
        <w:szCs w:val="20"/>
      </w:rPr>
      <w:fldChar w:fldCharType="separate"/>
    </w:r>
    <w:r w:rsidR="00A955A1">
      <w:rPr>
        <w:rStyle w:val="PageNumber"/>
        <w:noProof/>
        <w:sz w:val="20"/>
        <w:szCs w:val="20"/>
      </w:rPr>
      <w:t>3</w:t>
    </w:r>
    <w:r w:rsidRPr="00FA71C0">
      <w:rPr>
        <w:rStyle w:val="PageNumber"/>
        <w:sz w:val="20"/>
        <w:szCs w:val="20"/>
      </w:rPr>
      <w:fldChar w:fldCharType="end"/>
    </w:r>
  </w:p>
  <w:p w:rsidR="00A15670" w:rsidRDefault="00494284" w:rsidP="00063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C1"/>
    <w:rsid w:val="00494284"/>
    <w:rsid w:val="00A955A1"/>
    <w:rsid w:val="00B97AC1"/>
    <w:rsid w:val="00E71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C1"/>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AC1"/>
    <w:pPr>
      <w:tabs>
        <w:tab w:val="center" w:pos="4153"/>
        <w:tab w:val="right" w:pos="8306"/>
      </w:tabs>
    </w:pPr>
  </w:style>
  <w:style w:type="character" w:customStyle="1" w:styleId="HeaderChar">
    <w:name w:val="Header Char"/>
    <w:basedOn w:val="DefaultParagraphFont"/>
    <w:link w:val="Header"/>
    <w:rsid w:val="00B97AC1"/>
    <w:rPr>
      <w:rFonts w:eastAsia="Times New Roman" w:cs="Times New Roman"/>
      <w:sz w:val="24"/>
      <w:szCs w:val="24"/>
      <w:lang w:eastAsia="lv-LV"/>
    </w:rPr>
  </w:style>
  <w:style w:type="paragraph" w:styleId="Footer">
    <w:name w:val="footer"/>
    <w:basedOn w:val="Normal"/>
    <w:link w:val="FooterChar"/>
    <w:rsid w:val="00B97AC1"/>
    <w:pPr>
      <w:tabs>
        <w:tab w:val="center" w:pos="4153"/>
        <w:tab w:val="right" w:pos="8306"/>
      </w:tabs>
    </w:pPr>
  </w:style>
  <w:style w:type="character" w:customStyle="1" w:styleId="FooterChar">
    <w:name w:val="Footer Char"/>
    <w:basedOn w:val="DefaultParagraphFont"/>
    <w:link w:val="Footer"/>
    <w:rsid w:val="00B97AC1"/>
    <w:rPr>
      <w:rFonts w:eastAsia="Times New Roman" w:cs="Times New Roman"/>
      <w:sz w:val="24"/>
      <w:szCs w:val="24"/>
      <w:lang w:eastAsia="lv-LV"/>
    </w:rPr>
  </w:style>
  <w:style w:type="character" w:styleId="PageNumber">
    <w:name w:val="page number"/>
    <w:basedOn w:val="DefaultParagraphFont"/>
    <w:rsid w:val="00B97AC1"/>
  </w:style>
  <w:style w:type="paragraph" w:customStyle="1" w:styleId="naisf">
    <w:name w:val="naisf"/>
    <w:basedOn w:val="Normal"/>
    <w:rsid w:val="00B97AC1"/>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C1"/>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AC1"/>
    <w:pPr>
      <w:tabs>
        <w:tab w:val="center" w:pos="4153"/>
        <w:tab w:val="right" w:pos="8306"/>
      </w:tabs>
    </w:pPr>
  </w:style>
  <w:style w:type="character" w:customStyle="1" w:styleId="HeaderChar">
    <w:name w:val="Header Char"/>
    <w:basedOn w:val="DefaultParagraphFont"/>
    <w:link w:val="Header"/>
    <w:rsid w:val="00B97AC1"/>
    <w:rPr>
      <w:rFonts w:eastAsia="Times New Roman" w:cs="Times New Roman"/>
      <w:sz w:val="24"/>
      <w:szCs w:val="24"/>
      <w:lang w:eastAsia="lv-LV"/>
    </w:rPr>
  </w:style>
  <w:style w:type="paragraph" w:styleId="Footer">
    <w:name w:val="footer"/>
    <w:basedOn w:val="Normal"/>
    <w:link w:val="FooterChar"/>
    <w:rsid w:val="00B97AC1"/>
    <w:pPr>
      <w:tabs>
        <w:tab w:val="center" w:pos="4153"/>
        <w:tab w:val="right" w:pos="8306"/>
      </w:tabs>
    </w:pPr>
  </w:style>
  <w:style w:type="character" w:customStyle="1" w:styleId="FooterChar">
    <w:name w:val="Footer Char"/>
    <w:basedOn w:val="DefaultParagraphFont"/>
    <w:link w:val="Footer"/>
    <w:rsid w:val="00B97AC1"/>
    <w:rPr>
      <w:rFonts w:eastAsia="Times New Roman" w:cs="Times New Roman"/>
      <w:sz w:val="24"/>
      <w:szCs w:val="24"/>
      <w:lang w:eastAsia="lv-LV"/>
    </w:rPr>
  </w:style>
  <w:style w:type="character" w:styleId="PageNumber">
    <w:name w:val="page number"/>
    <w:basedOn w:val="DefaultParagraphFont"/>
    <w:rsid w:val="00B97AC1"/>
  </w:style>
  <w:style w:type="paragraph" w:customStyle="1" w:styleId="naisf">
    <w:name w:val="naisf"/>
    <w:basedOn w:val="Normal"/>
    <w:rsid w:val="00B97AC1"/>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4382</Words>
  <Characters>2499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„Namzinis” darbības izbeigšanu</dc:title>
  <dc:creator>Agnis Driksna</dc:creator>
  <cp:lastModifiedBy>Baiba Šterna</cp:lastModifiedBy>
  <cp:revision>2</cp:revision>
  <dcterms:created xsi:type="dcterms:W3CDTF">2014-02-10T14:43:00Z</dcterms:created>
  <dcterms:modified xsi:type="dcterms:W3CDTF">2014-02-20T14:49:00Z</dcterms:modified>
</cp:coreProperties>
</file>