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31" w:rsidRPr="00BE0615" w:rsidRDefault="004E6B31" w:rsidP="0082475D">
      <w:pPr>
        <w:pStyle w:val="BodyText"/>
        <w:jc w:val="center"/>
        <w:rPr>
          <w:b/>
          <w:sz w:val="28"/>
          <w:szCs w:val="28"/>
        </w:rPr>
      </w:pPr>
      <w:r w:rsidRPr="00BE0615">
        <w:rPr>
          <w:b/>
          <w:sz w:val="28"/>
          <w:szCs w:val="28"/>
        </w:rPr>
        <w:t xml:space="preserve">Ministru kabineta rīkojuma projekta „Par valstij dividendēs izmaksājamo akciju sabiedrības „Pasažieru vilciens” peļņas daļu” sākotnējās ietekmes novērtējuma </w:t>
      </w:r>
      <w:smartTag w:uri="schemas-tilde-lv/tildestengine" w:element="veidnes">
        <w:smartTagPr>
          <w:attr w:name="id" w:val="-1"/>
          <w:attr w:name="baseform" w:val="ziņojums"/>
          <w:attr w:name="text" w:val="ziņojums"/>
        </w:smartTagPr>
        <w:r w:rsidRPr="00BE0615">
          <w:rPr>
            <w:b/>
            <w:sz w:val="28"/>
            <w:szCs w:val="28"/>
          </w:rPr>
          <w:t>ziņojums</w:t>
        </w:r>
      </w:smartTag>
      <w:r w:rsidRPr="00BE0615">
        <w:rPr>
          <w:b/>
          <w:sz w:val="28"/>
          <w:szCs w:val="28"/>
        </w:rPr>
        <w:t xml:space="preserve"> (anotācija)</w:t>
      </w:r>
    </w:p>
    <w:p w:rsidR="004E6B31" w:rsidRPr="0082475D" w:rsidRDefault="004E6B31" w:rsidP="0082475D">
      <w:pPr>
        <w:pStyle w:val="BodyText"/>
        <w:jc w:val="center"/>
      </w:pPr>
    </w:p>
    <w:tbl>
      <w:tblPr>
        <w:tblW w:w="94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
        <w:gridCol w:w="425"/>
        <w:gridCol w:w="2036"/>
        <w:gridCol w:w="242"/>
        <w:gridCol w:w="1185"/>
        <w:gridCol w:w="1388"/>
        <w:gridCol w:w="1318"/>
        <w:gridCol w:w="1319"/>
        <w:gridCol w:w="1380"/>
        <w:gridCol w:w="55"/>
      </w:tblGrid>
      <w:tr w:rsidR="004E6B31" w:rsidRPr="00334529" w:rsidTr="00FD2E31">
        <w:trPr>
          <w:gridAfter w:val="1"/>
          <w:wAfter w:w="55" w:type="dxa"/>
        </w:trPr>
        <w:tc>
          <w:tcPr>
            <w:tcW w:w="9375" w:type="dxa"/>
            <w:gridSpan w:val="9"/>
          </w:tcPr>
          <w:p w:rsidR="004E6B31" w:rsidRPr="00334529" w:rsidRDefault="004E6B31" w:rsidP="0081764E">
            <w:pPr>
              <w:jc w:val="center"/>
              <w:rPr>
                <w:b/>
                <w:sz w:val="26"/>
                <w:szCs w:val="26"/>
              </w:rPr>
            </w:pPr>
            <w:r w:rsidRPr="00334529">
              <w:rPr>
                <w:b/>
                <w:sz w:val="26"/>
                <w:szCs w:val="26"/>
              </w:rPr>
              <w:t>I. Tiesību akta projekta izstrādes nepieciešamība</w:t>
            </w:r>
          </w:p>
        </w:tc>
      </w:tr>
      <w:tr w:rsidR="004E6B31" w:rsidRPr="00334529" w:rsidTr="00FD2E31">
        <w:trPr>
          <w:gridAfter w:val="1"/>
          <w:wAfter w:w="55" w:type="dxa"/>
        </w:trPr>
        <w:tc>
          <w:tcPr>
            <w:tcW w:w="507" w:type="dxa"/>
            <w:gridSpan w:val="2"/>
          </w:tcPr>
          <w:p w:rsidR="004E6B31" w:rsidRPr="00334529" w:rsidRDefault="004E6B31" w:rsidP="0081764E">
            <w:pPr>
              <w:jc w:val="center"/>
              <w:rPr>
                <w:sz w:val="26"/>
                <w:szCs w:val="26"/>
              </w:rPr>
            </w:pPr>
            <w:r w:rsidRPr="00334529">
              <w:rPr>
                <w:sz w:val="26"/>
                <w:szCs w:val="26"/>
              </w:rPr>
              <w:t xml:space="preserve">1. </w:t>
            </w:r>
          </w:p>
        </w:tc>
        <w:tc>
          <w:tcPr>
            <w:tcW w:w="2278" w:type="dxa"/>
            <w:gridSpan w:val="2"/>
          </w:tcPr>
          <w:p w:rsidR="004E6B31" w:rsidRPr="00334529" w:rsidRDefault="004E6B31" w:rsidP="0081764E">
            <w:pPr>
              <w:jc w:val="center"/>
              <w:rPr>
                <w:sz w:val="26"/>
                <w:szCs w:val="26"/>
              </w:rPr>
            </w:pPr>
            <w:r w:rsidRPr="00334529">
              <w:rPr>
                <w:sz w:val="26"/>
                <w:szCs w:val="26"/>
              </w:rPr>
              <w:t>Pamatojums</w:t>
            </w:r>
          </w:p>
        </w:tc>
        <w:tc>
          <w:tcPr>
            <w:tcW w:w="6590" w:type="dxa"/>
            <w:gridSpan w:val="5"/>
          </w:tcPr>
          <w:p w:rsidR="004E6B31" w:rsidRDefault="004E6B31" w:rsidP="00C81690">
            <w:pPr>
              <w:pStyle w:val="BodyText"/>
              <w:ind w:firstLine="720"/>
              <w:jc w:val="both"/>
              <w:rPr>
                <w:sz w:val="26"/>
                <w:szCs w:val="26"/>
              </w:rPr>
            </w:pPr>
          </w:p>
          <w:p w:rsidR="004E6B31" w:rsidRDefault="004E6B31" w:rsidP="00C81690">
            <w:pPr>
              <w:pStyle w:val="BodyText"/>
              <w:ind w:firstLine="720"/>
              <w:jc w:val="both"/>
              <w:rPr>
                <w:sz w:val="26"/>
                <w:szCs w:val="26"/>
              </w:rPr>
            </w:pPr>
            <w:r w:rsidRPr="00334529">
              <w:rPr>
                <w:sz w:val="26"/>
                <w:szCs w:val="26"/>
              </w:rPr>
              <w:t>Likuma „Par valsts un pašvaldību kapitāla daļām un kapitālsabiedrībām” 3.panta trešā daļa un Ministru kabineta 2009.gada 15.decembra noteikumu Nr.1471 „Kārtība, kādā tiek noteikta un ieskaitīta valsts budžetā izmaksājamā peļņas daļa par valsts kapitāla izmantošanu” (turpmāk – MK</w:t>
            </w:r>
            <w:r>
              <w:rPr>
                <w:sz w:val="26"/>
                <w:szCs w:val="26"/>
              </w:rPr>
              <w:t xml:space="preserve"> noteikumi Nr.1</w:t>
            </w:r>
            <w:r w:rsidRPr="00334529">
              <w:rPr>
                <w:sz w:val="26"/>
                <w:szCs w:val="26"/>
              </w:rPr>
              <w:t>471) 5.punkts, kas paredz, ka Ministru kabinets var noteikt atšķirīgu dividendēs izmaksājamo peļņas daļu.</w:t>
            </w:r>
          </w:p>
          <w:p w:rsidR="004E6B31" w:rsidRDefault="004E6B31" w:rsidP="00C81690">
            <w:pPr>
              <w:pStyle w:val="BodyText"/>
              <w:ind w:firstLine="720"/>
              <w:jc w:val="both"/>
              <w:rPr>
                <w:sz w:val="26"/>
                <w:szCs w:val="26"/>
              </w:rPr>
            </w:pPr>
            <w:r w:rsidRPr="00334529">
              <w:rPr>
                <w:sz w:val="26"/>
                <w:szCs w:val="26"/>
              </w:rPr>
              <w:t>AS „</w:t>
            </w:r>
            <w:r>
              <w:rPr>
                <w:sz w:val="26"/>
                <w:szCs w:val="26"/>
              </w:rPr>
              <w:t>Pasažieru vilciens</w:t>
            </w:r>
            <w:r w:rsidRPr="00334529">
              <w:rPr>
                <w:sz w:val="26"/>
                <w:szCs w:val="26"/>
              </w:rPr>
              <w:t xml:space="preserve">” galvenais mērķis ir nodrošināt </w:t>
            </w:r>
            <w:r>
              <w:rPr>
                <w:sz w:val="26"/>
                <w:szCs w:val="26"/>
              </w:rPr>
              <w:t xml:space="preserve">sabiedriskos pasažieru pārvadājumus pa dzelzceļu saskaņā ar </w:t>
            </w:r>
            <w:r w:rsidRPr="00AF2B55">
              <w:rPr>
                <w:sz w:val="26"/>
                <w:szCs w:val="26"/>
              </w:rPr>
              <w:t>2008.gada 19.decembr</w:t>
            </w:r>
            <w:r>
              <w:rPr>
                <w:sz w:val="26"/>
                <w:szCs w:val="26"/>
              </w:rPr>
              <w:t>a</w:t>
            </w:r>
            <w:r w:rsidRPr="00AF2B55">
              <w:rPr>
                <w:sz w:val="26"/>
                <w:szCs w:val="26"/>
              </w:rPr>
              <w:t xml:space="preserve"> līgumu </w:t>
            </w:r>
            <w:r>
              <w:rPr>
                <w:sz w:val="26"/>
                <w:szCs w:val="26"/>
              </w:rPr>
              <w:t>„</w:t>
            </w:r>
            <w:r w:rsidRPr="00AF2B55">
              <w:rPr>
                <w:sz w:val="26"/>
                <w:szCs w:val="26"/>
              </w:rPr>
              <w:t>Par sabiedriskā transporta pakalpojumu sniegšanu reģionālos starppilsētu nozīmes maršrutos pa dzelzceļu</w:t>
            </w:r>
            <w:r>
              <w:rPr>
                <w:sz w:val="26"/>
                <w:szCs w:val="26"/>
              </w:rPr>
              <w:t>”, kurš ir spēkā līdz 2024.gada 31.decembrim.</w:t>
            </w:r>
            <w:r w:rsidRPr="00334529">
              <w:rPr>
                <w:sz w:val="26"/>
                <w:szCs w:val="26"/>
              </w:rPr>
              <w:t xml:space="preserve"> </w:t>
            </w:r>
            <w:r>
              <w:rPr>
                <w:sz w:val="26"/>
                <w:szCs w:val="26"/>
              </w:rPr>
              <w:t>Arī valsts stratēģijas pamatdokumentos (</w:t>
            </w:r>
            <w:r w:rsidRPr="00E72F25">
              <w:rPr>
                <w:sz w:val="26"/>
                <w:szCs w:val="26"/>
              </w:rPr>
              <w:t>2006.gada 4.jūlijā ar MK noteikumiem Nr.564 apstiprināt</w:t>
            </w:r>
            <w:r>
              <w:rPr>
                <w:sz w:val="26"/>
                <w:szCs w:val="26"/>
              </w:rPr>
              <w:t>ais</w:t>
            </w:r>
            <w:r w:rsidRPr="00E72F25">
              <w:rPr>
                <w:sz w:val="26"/>
                <w:szCs w:val="26"/>
              </w:rPr>
              <w:t xml:space="preserve"> </w:t>
            </w:r>
            <w:r w:rsidRPr="00E72F25">
              <w:rPr>
                <w:b/>
                <w:sz w:val="26"/>
                <w:szCs w:val="26"/>
              </w:rPr>
              <w:t>Latvijas nacionālais attīstības plāns 2007-2013</w:t>
            </w:r>
            <w:r>
              <w:rPr>
                <w:sz w:val="26"/>
                <w:szCs w:val="26"/>
              </w:rPr>
              <w:t xml:space="preserve"> un </w:t>
            </w:r>
            <w:r w:rsidRPr="00E72F25">
              <w:rPr>
                <w:b/>
                <w:sz w:val="26"/>
                <w:szCs w:val="26"/>
              </w:rPr>
              <w:t>Transporta attīstības pamatnostādnes 2007.-2013.gadam</w:t>
            </w:r>
            <w:r w:rsidRPr="00E72F25">
              <w:rPr>
                <w:sz w:val="26"/>
                <w:szCs w:val="26"/>
              </w:rPr>
              <w:t>, kuras apstiprinātas ar Ministru kabineta 2006.gada 12.jūlija rīkojumu Nr.518</w:t>
            </w:r>
            <w:r>
              <w:rPr>
                <w:sz w:val="26"/>
                <w:szCs w:val="26"/>
              </w:rPr>
              <w:t xml:space="preserve">) pasažieru pārvadājumiem pa dzelzceļu atvēlēta galvenā loma, nosakot to par sabiedrisko pasažieru pārvadājumu „mugurkaulu”. </w:t>
            </w:r>
          </w:p>
          <w:p w:rsidR="004E6B31" w:rsidRPr="00334529" w:rsidRDefault="004E6B31" w:rsidP="00C81690">
            <w:pPr>
              <w:pStyle w:val="BodyText"/>
              <w:ind w:firstLine="720"/>
              <w:jc w:val="both"/>
              <w:rPr>
                <w:sz w:val="26"/>
                <w:szCs w:val="26"/>
              </w:rPr>
            </w:pPr>
          </w:p>
        </w:tc>
      </w:tr>
      <w:tr w:rsidR="004E6B31" w:rsidRPr="00334529" w:rsidTr="00FD2E31">
        <w:trPr>
          <w:gridAfter w:val="1"/>
          <w:wAfter w:w="55" w:type="dxa"/>
        </w:trPr>
        <w:tc>
          <w:tcPr>
            <w:tcW w:w="507" w:type="dxa"/>
            <w:gridSpan w:val="2"/>
          </w:tcPr>
          <w:p w:rsidR="004E6B31" w:rsidRPr="00334529" w:rsidRDefault="004E6B31" w:rsidP="0081764E">
            <w:pPr>
              <w:jc w:val="center"/>
              <w:rPr>
                <w:sz w:val="26"/>
                <w:szCs w:val="26"/>
              </w:rPr>
            </w:pPr>
            <w:r w:rsidRPr="00334529">
              <w:rPr>
                <w:sz w:val="26"/>
                <w:szCs w:val="26"/>
              </w:rPr>
              <w:t xml:space="preserve">2. </w:t>
            </w:r>
          </w:p>
        </w:tc>
        <w:tc>
          <w:tcPr>
            <w:tcW w:w="2278" w:type="dxa"/>
            <w:gridSpan w:val="2"/>
          </w:tcPr>
          <w:p w:rsidR="004E6B31" w:rsidRPr="00334529" w:rsidRDefault="004E6B31" w:rsidP="0081764E">
            <w:pPr>
              <w:jc w:val="center"/>
              <w:rPr>
                <w:sz w:val="26"/>
                <w:szCs w:val="26"/>
              </w:rPr>
            </w:pPr>
            <w:r w:rsidRPr="00334529">
              <w:rPr>
                <w:sz w:val="26"/>
                <w:szCs w:val="26"/>
              </w:rPr>
              <w:t>Pašreizējā situācija un problēmas</w:t>
            </w:r>
          </w:p>
        </w:tc>
        <w:tc>
          <w:tcPr>
            <w:tcW w:w="6590" w:type="dxa"/>
            <w:gridSpan w:val="5"/>
          </w:tcPr>
          <w:p w:rsidR="004E6B31" w:rsidRDefault="004E6B31" w:rsidP="00D808BC">
            <w:pPr>
              <w:ind w:firstLine="586"/>
              <w:jc w:val="both"/>
              <w:rPr>
                <w:sz w:val="26"/>
                <w:szCs w:val="26"/>
              </w:rPr>
            </w:pPr>
          </w:p>
          <w:p w:rsidR="004E6B31" w:rsidRDefault="004E6B31" w:rsidP="00D808BC">
            <w:pPr>
              <w:ind w:firstLine="586"/>
              <w:jc w:val="both"/>
              <w:rPr>
                <w:sz w:val="26"/>
                <w:szCs w:val="26"/>
              </w:rPr>
            </w:pPr>
            <w:r w:rsidRPr="00334529">
              <w:rPr>
                <w:sz w:val="26"/>
                <w:szCs w:val="26"/>
              </w:rPr>
              <w:t> </w:t>
            </w:r>
            <w:r>
              <w:rPr>
                <w:sz w:val="26"/>
                <w:szCs w:val="26"/>
              </w:rPr>
              <w:t>2008.gadu uzņēmums noslēdz ar pelņu 1125441 Ls apmērā un 2009.gadā valsts budžetā tika pārskaitītas dividendes 900 353 Ls apmērā. 2009.gadu uzņēmums noslēdz ar zaudējumiem 414 251 Ls apmērā, savukārt 2010.gads tika noslēgts ar peļņu 46 995 Ls apmērā.</w:t>
            </w:r>
          </w:p>
          <w:p w:rsidR="004E6B31" w:rsidRDefault="004E6B31" w:rsidP="00AF2B55">
            <w:pPr>
              <w:ind w:firstLine="586"/>
              <w:jc w:val="both"/>
              <w:rPr>
                <w:sz w:val="26"/>
                <w:szCs w:val="26"/>
              </w:rPr>
            </w:pPr>
            <w:r>
              <w:rPr>
                <w:sz w:val="26"/>
                <w:szCs w:val="26"/>
              </w:rPr>
              <w:t>AS „Pasažieru vilciens ik gadu vairāk nekā 3 milj. LVL pārskaita nodokļos (galvenokārt iedzīvotāju ienākuma nodokli un VSAOI)</w:t>
            </w:r>
          </w:p>
          <w:p w:rsidR="004E6B31" w:rsidRDefault="004E6B31" w:rsidP="00AF2B55">
            <w:pPr>
              <w:ind w:firstLine="586"/>
              <w:jc w:val="both"/>
              <w:rPr>
                <w:sz w:val="26"/>
                <w:szCs w:val="26"/>
              </w:rPr>
            </w:pPr>
            <w:r>
              <w:rPr>
                <w:sz w:val="26"/>
                <w:szCs w:val="26"/>
              </w:rPr>
              <w:t xml:space="preserve">Neskatoties uz būtisku valsts pasūtījumu apjoma samazinājumu pēdējos gados, a/s „Pasažieru vilciens” ir lielākais </w:t>
            </w:r>
            <w:proofErr w:type="spellStart"/>
            <w:r>
              <w:rPr>
                <w:sz w:val="26"/>
                <w:szCs w:val="26"/>
              </w:rPr>
              <w:t>starpreģionālo</w:t>
            </w:r>
            <w:proofErr w:type="spellEnd"/>
            <w:r>
              <w:rPr>
                <w:sz w:val="26"/>
                <w:szCs w:val="26"/>
              </w:rPr>
              <w:t xml:space="preserve"> pasažieru pārvadājumu sniedzējs Latvijas Republikā. 2008.gadā tika pārvadāti 26.3 miljoni pasažieru, 2009.g. – 21.2 milj., bet pērn – 20.5 milj. </w:t>
            </w:r>
            <w:r>
              <w:rPr>
                <w:sz w:val="26"/>
                <w:szCs w:val="26"/>
              </w:rPr>
              <w:lastRenderedPageBreak/>
              <w:t>pasažieru. Pasažieru kritums galvenokārt izskaidrojams ar vispārējo ekonomisko krīzi, tomēr jāatzīmē ka 2011.gadā situācija ir nostabilizējusies un pasažieru pārvadājumu apjomi ir 2010.gada līmenī.</w:t>
            </w:r>
          </w:p>
          <w:p w:rsidR="004E6B31" w:rsidRPr="00BE0615" w:rsidRDefault="004E6B31" w:rsidP="00C81690">
            <w:pPr>
              <w:ind w:firstLine="586"/>
              <w:jc w:val="both"/>
              <w:rPr>
                <w:sz w:val="26"/>
                <w:szCs w:val="26"/>
              </w:rPr>
            </w:pPr>
            <w:r>
              <w:rPr>
                <w:sz w:val="26"/>
                <w:szCs w:val="26"/>
              </w:rPr>
              <w:t xml:space="preserve">Lai arī turpmāk nodrošinātu kvalitatīvus pasažieru pārvadājumus, ik gadus nepieciešamas būtiskas investīcijas ritošajā sastāvā. 2008.gdā veiktas investīcijas ritošajā sastāvā 4.2 milj. Ls </w:t>
            </w:r>
            <w:r w:rsidRPr="00BE0615">
              <w:rPr>
                <w:sz w:val="26"/>
                <w:szCs w:val="26"/>
              </w:rPr>
              <w:t>apmērā, 2009. – 3.7 milj. Ls un 2010.gadā nepilnu 5 milj. Ls apmērā. Investīcijas tika veiktas gan no pašu brīvās naudas plūsmas, gan piesaistot finansējumu no SEB bankas 5 milj. Ls apmērā. 201</w:t>
            </w:r>
            <w:r>
              <w:rPr>
                <w:sz w:val="26"/>
                <w:szCs w:val="26"/>
              </w:rPr>
              <w:t>1</w:t>
            </w:r>
            <w:r w:rsidRPr="00BE0615">
              <w:rPr>
                <w:sz w:val="26"/>
                <w:szCs w:val="26"/>
              </w:rPr>
              <w:t>.gada investīciju programma paredz 12 dīzeļvilcienu un 17 elektrovilcienu vagonu kapitālos remontus par kopējo summu 1.4 milj. Ls, kā arī 2011.gadā jāuzsāk atmaksāt ilgtermiņa aizdevums SEB bankai, ik gadu atmaksājot 1.25 milj. Ls.</w:t>
            </w:r>
          </w:p>
          <w:p w:rsidR="004E6B31" w:rsidRDefault="004E6B31" w:rsidP="00C81690">
            <w:pPr>
              <w:ind w:firstLine="586"/>
              <w:jc w:val="both"/>
              <w:rPr>
                <w:sz w:val="26"/>
                <w:szCs w:val="26"/>
              </w:rPr>
            </w:pPr>
            <w:r w:rsidRPr="00BE0615">
              <w:rPr>
                <w:sz w:val="26"/>
                <w:szCs w:val="26"/>
              </w:rPr>
              <w:t>Lai novērstu draudus kapitālsabiedrības ilgtspējīgai attīstībai un konkurētspējas saglabāšanai</w:t>
            </w:r>
            <w:r w:rsidRPr="00334529">
              <w:rPr>
                <w:sz w:val="26"/>
                <w:szCs w:val="26"/>
              </w:rPr>
              <w:t xml:space="preserve">, piemērojot Ministru kabineta noteikumos Nr.1471 5.punktā paredzēto kārtību, kā arī ņemot vērā Ministru kabineta </w:t>
            </w:r>
            <w:r w:rsidRPr="00334529">
              <w:rPr>
                <w:color w:val="000000"/>
                <w:sz w:val="26"/>
                <w:szCs w:val="26"/>
              </w:rPr>
              <w:t>2009.gada 15.decembra sēdes protokola Nr.88 104.§ 2.punktā nolemto,</w:t>
            </w:r>
            <w:r w:rsidRPr="00334529">
              <w:rPr>
                <w:sz w:val="26"/>
                <w:szCs w:val="26"/>
              </w:rPr>
              <w:t xml:space="preserve"> ir nepieciešams pieņemt Ministru kabineta lēmumu par atšķirīgu AS „</w:t>
            </w:r>
            <w:r>
              <w:rPr>
                <w:sz w:val="26"/>
                <w:szCs w:val="26"/>
              </w:rPr>
              <w:t>Pasažieru vilciens</w:t>
            </w:r>
            <w:r w:rsidRPr="00334529">
              <w:rPr>
                <w:sz w:val="26"/>
                <w:szCs w:val="26"/>
              </w:rPr>
              <w:t xml:space="preserve">” dividendēs izmaksājamo minimālo peļņas daļu. </w:t>
            </w:r>
          </w:p>
          <w:p w:rsidR="004E6B31" w:rsidRPr="00334529" w:rsidRDefault="004E6B31" w:rsidP="00C81690">
            <w:pPr>
              <w:ind w:firstLine="586"/>
              <w:jc w:val="both"/>
              <w:rPr>
                <w:sz w:val="26"/>
                <w:szCs w:val="26"/>
              </w:rPr>
            </w:pPr>
          </w:p>
        </w:tc>
      </w:tr>
      <w:tr w:rsidR="004E6B31" w:rsidRPr="00334529" w:rsidTr="00FD2E31">
        <w:trPr>
          <w:gridAfter w:val="1"/>
          <w:wAfter w:w="55" w:type="dxa"/>
        </w:trPr>
        <w:tc>
          <w:tcPr>
            <w:tcW w:w="507" w:type="dxa"/>
            <w:gridSpan w:val="2"/>
          </w:tcPr>
          <w:p w:rsidR="004E6B31" w:rsidRPr="00334529" w:rsidRDefault="004E6B31" w:rsidP="0081764E">
            <w:pPr>
              <w:jc w:val="center"/>
              <w:rPr>
                <w:sz w:val="26"/>
                <w:szCs w:val="26"/>
              </w:rPr>
            </w:pPr>
            <w:r w:rsidRPr="00334529">
              <w:rPr>
                <w:sz w:val="26"/>
                <w:szCs w:val="26"/>
              </w:rPr>
              <w:lastRenderedPageBreak/>
              <w:t xml:space="preserve">3. </w:t>
            </w:r>
          </w:p>
        </w:tc>
        <w:tc>
          <w:tcPr>
            <w:tcW w:w="2278" w:type="dxa"/>
            <w:gridSpan w:val="2"/>
          </w:tcPr>
          <w:p w:rsidR="004E6B31" w:rsidRPr="00334529" w:rsidRDefault="004E6B31" w:rsidP="0081764E">
            <w:pPr>
              <w:jc w:val="center"/>
              <w:rPr>
                <w:sz w:val="26"/>
                <w:szCs w:val="26"/>
              </w:rPr>
            </w:pPr>
            <w:r w:rsidRPr="00334529">
              <w:rPr>
                <w:sz w:val="26"/>
                <w:szCs w:val="26"/>
              </w:rPr>
              <w:t>Saistītie politikas ietekmes novērtējumi un pētījumi</w:t>
            </w:r>
          </w:p>
        </w:tc>
        <w:tc>
          <w:tcPr>
            <w:tcW w:w="6590" w:type="dxa"/>
            <w:gridSpan w:val="5"/>
          </w:tcPr>
          <w:p w:rsidR="004E6B31" w:rsidRPr="00334529" w:rsidRDefault="004E6B31" w:rsidP="0081764E">
            <w:pPr>
              <w:spacing w:before="75" w:after="75"/>
              <w:rPr>
                <w:sz w:val="26"/>
                <w:szCs w:val="26"/>
              </w:rPr>
            </w:pPr>
            <w:r w:rsidRPr="00334529">
              <w:rPr>
                <w:sz w:val="26"/>
                <w:szCs w:val="26"/>
              </w:rPr>
              <w:t>Nav attiecināms</w:t>
            </w:r>
          </w:p>
        </w:tc>
      </w:tr>
      <w:tr w:rsidR="004E6B31" w:rsidRPr="00334529" w:rsidTr="00FD2E31">
        <w:trPr>
          <w:gridAfter w:val="1"/>
          <w:wAfter w:w="55" w:type="dxa"/>
        </w:trPr>
        <w:tc>
          <w:tcPr>
            <w:tcW w:w="507" w:type="dxa"/>
            <w:gridSpan w:val="2"/>
          </w:tcPr>
          <w:p w:rsidR="004E6B31" w:rsidRPr="00334529" w:rsidRDefault="004E6B31" w:rsidP="0081764E">
            <w:pPr>
              <w:jc w:val="center"/>
              <w:rPr>
                <w:sz w:val="26"/>
                <w:szCs w:val="26"/>
              </w:rPr>
            </w:pPr>
            <w:r w:rsidRPr="00334529">
              <w:rPr>
                <w:sz w:val="26"/>
                <w:szCs w:val="26"/>
              </w:rPr>
              <w:t xml:space="preserve">4. </w:t>
            </w:r>
          </w:p>
        </w:tc>
        <w:tc>
          <w:tcPr>
            <w:tcW w:w="2278" w:type="dxa"/>
            <w:gridSpan w:val="2"/>
          </w:tcPr>
          <w:p w:rsidR="004E6B31" w:rsidRPr="00334529" w:rsidRDefault="004E6B31" w:rsidP="0081764E">
            <w:pPr>
              <w:jc w:val="center"/>
              <w:rPr>
                <w:sz w:val="26"/>
                <w:szCs w:val="26"/>
              </w:rPr>
            </w:pPr>
            <w:r w:rsidRPr="00334529">
              <w:rPr>
                <w:sz w:val="26"/>
                <w:szCs w:val="26"/>
              </w:rPr>
              <w:t>Tiesiskā regulējuma mērķis un būtība</w:t>
            </w:r>
          </w:p>
        </w:tc>
        <w:tc>
          <w:tcPr>
            <w:tcW w:w="6590" w:type="dxa"/>
            <w:gridSpan w:val="5"/>
          </w:tcPr>
          <w:p w:rsidR="004E6B31" w:rsidRDefault="004E6B31" w:rsidP="00C81690">
            <w:pPr>
              <w:spacing w:before="75" w:after="75"/>
              <w:jc w:val="both"/>
              <w:rPr>
                <w:sz w:val="26"/>
                <w:szCs w:val="26"/>
              </w:rPr>
            </w:pPr>
          </w:p>
          <w:p w:rsidR="004E6B31" w:rsidRDefault="004E6B31" w:rsidP="00C81690">
            <w:pPr>
              <w:spacing w:before="75" w:after="75"/>
              <w:jc w:val="both"/>
              <w:rPr>
                <w:sz w:val="26"/>
                <w:szCs w:val="26"/>
              </w:rPr>
            </w:pPr>
            <w:r w:rsidRPr="00334529">
              <w:rPr>
                <w:sz w:val="26"/>
                <w:szCs w:val="26"/>
              </w:rPr>
              <w:t>Lai nodrošinātu AS „</w:t>
            </w:r>
            <w:r>
              <w:rPr>
                <w:sz w:val="26"/>
                <w:szCs w:val="26"/>
              </w:rPr>
              <w:t>Pasažieru vilciens</w:t>
            </w:r>
            <w:r w:rsidRPr="00334529">
              <w:rPr>
                <w:sz w:val="26"/>
                <w:szCs w:val="26"/>
              </w:rPr>
              <w:t xml:space="preserve">” ilgtspējīgu attīstību, tai skaitā </w:t>
            </w:r>
            <w:r>
              <w:rPr>
                <w:sz w:val="26"/>
                <w:szCs w:val="26"/>
              </w:rPr>
              <w:t>izmantojamā ritošā sastāva un pasažieru pārvadājumu kvalitātes uzlabošanu</w:t>
            </w:r>
            <w:r w:rsidRPr="00334529">
              <w:rPr>
                <w:sz w:val="26"/>
                <w:szCs w:val="26"/>
              </w:rPr>
              <w:t xml:space="preserve">, maksimāli izmantojot pašu finanšu resursus, nodrošinātu </w:t>
            </w:r>
            <w:r>
              <w:rPr>
                <w:sz w:val="26"/>
                <w:szCs w:val="26"/>
              </w:rPr>
              <w:t xml:space="preserve">attīstībai nepieciešamo </w:t>
            </w:r>
            <w:r w:rsidRPr="00334529">
              <w:rPr>
                <w:sz w:val="26"/>
                <w:szCs w:val="26"/>
              </w:rPr>
              <w:t>investīciju realizāciju, sagatavotais Ministru kabineta rīkojuma projekts paredz atbrīvot AS „</w:t>
            </w:r>
            <w:r>
              <w:rPr>
                <w:sz w:val="26"/>
                <w:szCs w:val="26"/>
              </w:rPr>
              <w:t>Pasažieru vilciens</w:t>
            </w:r>
            <w:r w:rsidRPr="00334529">
              <w:rPr>
                <w:sz w:val="26"/>
                <w:szCs w:val="26"/>
              </w:rPr>
              <w:t>” no dividenžu izmaksas par valsts kapitāla izmantošanu 2010.gadā.</w:t>
            </w:r>
          </w:p>
          <w:p w:rsidR="004E6B31" w:rsidRPr="00334529" w:rsidRDefault="004E6B31" w:rsidP="00C81690">
            <w:pPr>
              <w:spacing w:before="75" w:after="75"/>
              <w:jc w:val="both"/>
              <w:rPr>
                <w:sz w:val="26"/>
                <w:szCs w:val="26"/>
              </w:rPr>
            </w:pPr>
          </w:p>
        </w:tc>
      </w:tr>
      <w:tr w:rsidR="004E6B31" w:rsidRPr="00334529" w:rsidTr="00FD2E31">
        <w:trPr>
          <w:gridAfter w:val="1"/>
          <w:wAfter w:w="55" w:type="dxa"/>
        </w:trPr>
        <w:tc>
          <w:tcPr>
            <w:tcW w:w="507" w:type="dxa"/>
            <w:gridSpan w:val="2"/>
          </w:tcPr>
          <w:p w:rsidR="004E6B31" w:rsidRPr="00334529" w:rsidRDefault="004E6B31" w:rsidP="0081764E">
            <w:pPr>
              <w:jc w:val="center"/>
              <w:rPr>
                <w:sz w:val="26"/>
                <w:szCs w:val="26"/>
              </w:rPr>
            </w:pPr>
            <w:r w:rsidRPr="00334529">
              <w:rPr>
                <w:sz w:val="26"/>
                <w:szCs w:val="26"/>
              </w:rPr>
              <w:t xml:space="preserve">5. </w:t>
            </w:r>
          </w:p>
        </w:tc>
        <w:tc>
          <w:tcPr>
            <w:tcW w:w="2278" w:type="dxa"/>
            <w:gridSpan w:val="2"/>
          </w:tcPr>
          <w:p w:rsidR="004E6B31" w:rsidRPr="00334529" w:rsidRDefault="004E6B31" w:rsidP="0081764E">
            <w:pPr>
              <w:jc w:val="center"/>
              <w:rPr>
                <w:sz w:val="26"/>
                <w:szCs w:val="26"/>
              </w:rPr>
            </w:pPr>
            <w:r w:rsidRPr="00334529">
              <w:rPr>
                <w:sz w:val="26"/>
                <w:szCs w:val="26"/>
              </w:rPr>
              <w:t>Projekta izstrādē iesaistītās institūcijas</w:t>
            </w:r>
          </w:p>
        </w:tc>
        <w:tc>
          <w:tcPr>
            <w:tcW w:w="6590" w:type="dxa"/>
            <w:gridSpan w:val="5"/>
          </w:tcPr>
          <w:p w:rsidR="004E6B31" w:rsidRPr="00334529" w:rsidRDefault="004E6B31" w:rsidP="0081764E">
            <w:pPr>
              <w:spacing w:before="75" w:after="75"/>
              <w:rPr>
                <w:sz w:val="26"/>
                <w:szCs w:val="26"/>
              </w:rPr>
            </w:pPr>
            <w:r w:rsidRPr="00334529">
              <w:rPr>
                <w:sz w:val="26"/>
                <w:szCs w:val="26"/>
              </w:rPr>
              <w:t> LR Satiksmes ministrija</w:t>
            </w:r>
          </w:p>
          <w:p w:rsidR="004E6B31" w:rsidRDefault="004E6B31" w:rsidP="00C81690">
            <w:pPr>
              <w:spacing w:before="75" w:after="75"/>
              <w:rPr>
                <w:sz w:val="26"/>
                <w:szCs w:val="26"/>
              </w:rPr>
            </w:pPr>
            <w:r w:rsidRPr="00334529">
              <w:rPr>
                <w:sz w:val="26"/>
                <w:szCs w:val="26"/>
              </w:rPr>
              <w:t>AS „</w:t>
            </w:r>
            <w:r>
              <w:rPr>
                <w:sz w:val="26"/>
                <w:szCs w:val="26"/>
              </w:rPr>
              <w:t>Pasažieru vilciens</w:t>
            </w:r>
            <w:r w:rsidRPr="00334529">
              <w:rPr>
                <w:sz w:val="26"/>
                <w:szCs w:val="26"/>
              </w:rPr>
              <w:t>”</w:t>
            </w:r>
          </w:p>
          <w:p w:rsidR="004E6B31" w:rsidRPr="00334529" w:rsidRDefault="004E6B31" w:rsidP="00C81690">
            <w:pPr>
              <w:spacing w:before="75" w:after="75"/>
              <w:rPr>
                <w:sz w:val="26"/>
                <w:szCs w:val="26"/>
              </w:rPr>
            </w:pPr>
          </w:p>
        </w:tc>
      </w:tr>
      <w:tr w:rsidR="004E6B31" w:rsidRPr="00334529" w:rsidTr="00FD2E31">
        <w:trPr>
          <w:gridAfter w:val="1"/>
          <w:wAfter w:w="55" w:type="dxa"/>
        </w:trPr>
        <w:tc>
          <w:tcPr>
            <w:tcW w:w="507" w:type="dxa"/>
            <w:gridSpan w:val="2"/>
          </w:tcPr>
          <w:p w:rsidR="004E6B31" w:rsidRPr="00334529" w:rsidRDefault="004E6B31" w:rsidP="0081764E">
            <w:pPr>
              <w:jc w:val="center"/>
              <w:rPr>
                <w:sz w:val="26"/>
                <w:szCs w:val="26"/>
              </w:rPr>
            </w:pPr>
            <w:r w:rsidRPr="00334529">
              <w:rPr>
                <w:sz w:val="26"/>
                <w:szCs w:val="26"/>
              </w:rPr>
              <w:t xml:space="preserve">6. </w:t>
            </w:r>
          </w:p>
        </w:tc>
        <w:tc>
          <w:tcPr>
            <w:tcW w:w="2278" w:type="dxa"/>
            <w:gridSpan w:val="2"/>
          </w:tcPr>
          <w:p w:rsidR="004E6B31" w:rsidRPr="00334529" w:rsidRDefault="004E6B31" w:rsidP="0081764E">
            <w:pPr>
              <w:jc w:val="center"/>
              <w:rPr>
                <w:sz w:val="26"/>
                <w:szCs w:val="26"/>
              </w:rPr>
            </w:pPr>
            <w:r w:rsidRPr="00334529">
              <w:rPr>
                <w:sz w:val="26"/>
                <w:szCs w:val="26"/>
              </w:rPr>
              <w:t xml:space="preserve">Iemesli, kādēļ </w:t>
            </w:r>
            <w:r w:rsidRPr="00334529">
              <w:rPr>
                <w:sz w:val="26"/>
                <w:szCs w:val="26"/>
              </w:rPr>
              <w:lastRenderedPageBreak/>
              <w:t>netika nodrošināta sabiedrības līdzdalība</w:t>
            </w:r>
          </w:p>
        </w:tc>
        <w:tc>
          <w:tcPr>
            <w:tcW w:w="6590" w:type="dxa"/>
            <w:gridSpan w:val="5"/>
          </w:tcPr>
          <w:p w:rsidR="004E6B31" w:rsidRPr="00334529" w:rsidRDefault="004E6B31" w:rsidP="00BE0615">
            <w:pPr>
              <w:spacing w:before="75" w:after="75"/>
              <w:rPr>
                <w:sz w:val="26"/>
                <w:szCs w:val="26"/>
              </w:rPr>
            </w:pPr>
            <w:r w:rsidRPr="00334529">
              <w:rPr>
                <w:sz w:val="26"/>
                <w:szCs w:val="26"/>
              </w:rPr>
              <w:lastRenderedPageBreak/>
              <w:t xml:space="preserve">Sabiedrības līdzdalība netika nodrošināta, jo tiesību akta </w:t>
            </w:r>
            <w:r w:rsidRPr="00334529">
              <w:rPr>
                <w:sz w:val="26"/>
                <w:szCs w:val="26"/>
              </w:rPr>
              <w:lastRenderedPageBreak/>
              <w:t>projekts neskar ar valsts pārvaldi realizējamo funkciju izpildi.</w:t>
            </w:r>
          </w:p>
        </w:tc>
      </w:tr>
      <w:tr w:rsidR="004E6B31" w:rsidRPr="00334529" w:rsidTr="00FD2E31">
        <w:trPr>
          <w:gridAfter w:val="1"/>
          <w:wAfter w:w="55" w:type="dxa"/>
        </w:trPr>
        <w:tc>
          <w:tcPr>
            <w:tcW w:w="507" w:type="dxa"/>
            <w:gridSpan w:val="2"/>
          </w:tcPr>
          <w:p w:rsidR="004E6B31" w:rsidRPr="00334529" w:rsidRDefault="004E6B31" w:rsidP="0081764E">
            <w:pPr>
              <w:jc w:val="center"/>
              <w:rPr>
                <w:sz w:val="26"/>
                <w:szCs w:val="26"/>
              </w:rPr>
            </w:pPr>
            <w:r w:rsidRPr="00334529">
              <w:rPr>
                <w:sz w:val="26"/>
                <w:szCs w:val="26"/>
              </w:rPr>
              <w:lastRenderedPageBreak/>
              <w:t xml:space="preserve">7. </w:t>
            </w:r>
          </w:p>
        </w:tc>
        <w:tc>
          <w:tcPr>
            <w:tcW w:w="2278" w:type="dxa"/>
            <w:gridSpan w:val="2"/>
          </w:tcPr>
          <w:p w:rsidR="004E6B31" w:rsidRPr="00334529" w:rsidRDefault="004E6B31" w:rsidP="0081764E">
            <w:pPr>
              <w:jc w:val="center"/>
              <w:rPr>
                <w:sz w:val="26"/>
                <w:szCs w:val="26"/>
              </w:rPr>
            </w:pPr>
            <w:r w:rsidRPr="00334529">
              <w:rPr>
                <w:sz w:val="26"/>
                <w:szCs w:val="26"/>
              </w:rPr>
              <w:t>Cita informācija</w:t>
            </w:r>
          </w:p>
        </w:tc>
        <w:tc>
          <w:tcPr>
            <w:tcW w:w="6590" w:type="dxa"/>
            <w:gridSpan w:val="5"/>
          </w:tcPr>
          <w:p w:rsidR="004E6B31" w:rsidRPr="00334529" w:rsidRDefault="004E6B31" w:rsidP="0081764E">
            <w:pPr>
              <w:spacing w:before="75" w:after="75"/>
              <w:rPr>
                <w:sz w:val="26"/>
                <w:szCs w:val="26"/>
              </w:rPr>
            </w:pPr>
            <w:r w:rsidRPr="00334529">
              <w:rPr>
                <w:sz w:val="26"/>
                <w:szCs w:val="26"/>
              </w:rPr>
              <w:t>Nav.</w:t>
            </w:r>
          </w:p>
        </w:tc>
      </w:tr>
      <w:tr w:rsidR="004E6B31" w:rsidRPr="00450D69" w:rsidTr="00FD2E31">
        <w:tblPrEx>
          <w:jc w:val="center"/>
        </w:tblPrEx>
        <w:trPr>
          <w:gridBefore w:val="1"/>
          <w:wBefore w:w="82" w:type="dxa"/>
          <w:trHeight w:val="652"/>
          <w:jc w:val="center"/>
        </w:trPr>
        <w:tc>
          <w:tcPr>
            <w:tcW w:w="9348" w:type="dxa"/>
            <w:gridSpan w:val="9"/>
          </w:tcPr>
          <w:p w:rsidR="004E6B31" w:rsidRPr="00450D69" w:rsidRDefault="004E6B31" w:rsidP="00FD2E31">
            <w:pPr>
              <w:pStyle w:val="naisnod"/>
              <w:spacing w:before="0" w:after="0"/>
              <w:ind w:left="206"/>
              <w:rPr>
                <w:i/>
              </w:rPr>
            </w:pPr>
            <w:r w:rsidRPr="00450D69">
              <w:rPr>
                <w:b w:val="0"/>
                <w:bCs w:val="0"/>
              </w:rPr>
              <w:br w:type="page"/>
            </w:r>
            <w:r w:rsidRPr="00450D69">
              <w:t>III. Tiesību akta projekta ietekme uz valsts budžetu un pašvaldību budžetiem</w:t>
            </w:r>
          </w:p>
        </w:tc>
      </w:tr>
      <w:tr w:rsidR="004E6B31" w:rsidRPr="00450D69" w:rsidTr="00FD2E31">
        <w:tblPrEx>
          <w:jc w:val="center"/>
        </w:tblPrEx>
        <w:trPr>
          <w:gridBefore w:val="1"/>
          <w:wBefore w:w="82" w:type="dxa"/>
          <w:jc w:val="center"/>
        </w:trPr>
        <w:tc>
          <w:tcPr>
            <w:tcW w:w="2461" w:type="dxa"/>
            <w:gridSpan w:val="2"/>
            <w:vMerge w:val="restart"/>
            <w:vAlign w:val="center"/>
          </w:tcPr>
          <w:p w:rsidR="004E6B31" w:rsidRPr="00450D69" w:rsidRDefault="004E6B31" w:rsidP="00D20AEA">
            <w:pPr>
              <w:pStyle w:val="naisf"/>
              <w:spacing w:before="0" w:after="0"/>
              <w:ind w:firstLine="0"/>
              <w:jc w:val="center"/>
              <w:rPr>
                <w:b/>
              </w:rPr>
            </w:pPr>
            <w:r w:rsidRPr="00450D69">
              <w:rPr>
                <w:b/>
              </w:rPr>
              <w:t>Rādītāji</w:t>
            </w:r>
          </w:p>
        </w:tc>
        <w:tc>
          <w:tcPr>
            <w:tcW w:w="2815" w:type="dxa"/>
            <w:gridSpan w:val="3"/>
            <w:vMerge w:val="restart"/>
            <w:vAlign w:val="center"/>
          </w:tcPr>
          <w:p w:rsidR="004E6B31" w:rsidRPr="00450D69" w:rsidRDefault="004E6B31" w:rsidP="00D20AEA">
            <w:pPr>
              <w:pStyle w:val="naisf"/>
              <w:spacing w:before="0" w:after="0"/>
              <w:ind w:firstLine="0"/>
              <w:jc w:val="center"/>
              <w:rPr>
                <w:b/>
              </w:rPr>
            </w:pPr>
            <w:r w:rsidRPr="00450D69">
              <w:rPr>
                <w:b/>
              </w:rPr>
              <w:t>n-tais gads</w:t>
            </w:r>
          </w:p>
        </w:tc>
        <w:tc>
          <w:tcPr>
            <w:tcW w:w="4072" w:type="dxa"/>
            <w:gridSpan w:val="4"/>
            <w:vAlign w:val="center"/>
          </w:tcPr>
          <w:p w:rsidR="004E6B31" w:rsidRPr="00450D69" w:rsidRDefault="004E6B31" w:rsidP="00D20AEA">
            <w:pPr>
              <w:pStyle w:val="naisf"/>
              <w:spacing w:before="0" w:after="0"/>
              <w:ind w:firstLine="0"/>
              <w:jc w:val="center"/>
              <w:rPr>
                <w:b/>
                <w:i/>
              </w:rPr>
            </w:pPr>
            <w:r w:rsidRPr="00450D69">
              <w:t xml:space="preserve">Turpmākie trīs gadi </w:t>
            </w:r>
            <w:r w:rsidRPr="00B75492">
              <w:t>(tūkst</w:t>
            </w:r>
            <w:smartTag w:uri="schemas-tilde-lv/tildestengine" w:element="currency2">
              <w:smartTagPr>
                <w:attr w:name="currency_text" w:val="latu"/>
                <w:attr w:name="currency_value" w:val="."/>
                <w:attr w:name="currency_key" w:val="LVL"/>
                <w:attr w:name="currency_id" w:val="48"/>
              </w:smartTagPr>
              <w:r w:rsidRPr="00B75492">
                <w:t>. latu</w:t>
              </w:r>
            </w:smartTag>
            <w:r w:rsidRPr="00B75492">
              <w:t>)</w:t>
            </w:r>
          </w:p>
        </w:tc>
      </w:tr>
      <w:tr w:rsidR="004E6B31" w:rsidRPr="00450D69" w:rsidTr="00FD2E31">
        <w:tblPrEx>
          <w:jc w:val="center"/>
        </w:tblPrEx>
        <w:trPr>
          <w:gridBefore w:val="1"/>
          <w:wBefore w:w="82" w:type="dxa"/>
          <w:jc w:val="center"/>
        </w:trPr>
        <w:tc>
          <w:tcPr>
            <w:tcW w:w="2461" w:type="dxa"/>
            <w:gridSpan w:val="2"/>
            <w:vMerge/>
            <w:vAlign w:val="center"/>
          </w:tcPr>
          <w:p w:rsidR="004E6B31" w:rsidRPr="00450D69" w:rsidRDefault="004E6B31" w:rsidP="00D20AEA">
            <w:pPr>
              <w:rPr>
                <w:b/>
              </w:rPr>
            </w:pPr>
          </w:p>
        </w:tc>
        <w:tc>
          <w:tcPr>
            <w:tcW w:w="2815" w:type="dxa"/>
            <w:gridSpan w:val="3"/>
            <w:vMerge/>
            <w:vAlign w:val="center"/>
          </w:tcPr>
          <w:p w:rsidR="004E6B31" w:rsidRPr="00450D69" w:rsidRDefault="004E6B31" w:rsidP="00D20AEA">
            <w:pPr>
              <w:rPr>
                <w:b/>
              </w:rPr>
            </w:pPr>
          </w:p>
        </w:tc>
        <w:tc>
          <w:tcPr>
            <w:tcW w:w="1318" w:type="dxa"/>
            <w:vAlign w:val="center"/>
          </w:tcPr>
          <w:p w:rsidR="004E6B31" w:rsidRPr="00450D69" w:rsidRDefault="004E6B31" w:rsidP="00D20AEA">
            <w:pPr>
              <w:pStyle w:val="naisf"/>
              <w:spacing w:before="0" w:after="0"/>
              <w:ind w:firstLine="0"/>
              <w:jc w:val="center"/>
              <w:rPr>
                <w:b/>
                <w:i/>
              </w:rPr>
            </w:pPr>
            <w:r w:rsidRPr="00450D69">
              <w:rPr>
                <w:b/>
                <w:bCs/>
              </w:rPr>
              <w:t>n+1</w:t>
            </w:r>
          </w:p>
        </w:tc>
        <w:tc>
          <w:tcPr>
            <w:tcW w:w="1319" w:type="dxa"/>
            <w:vAlign w:val="center"/>
          </w:tcPr>
          <w:p w:rsidR="004E6B31" w:rsidRPr="00450D69" w:rsidRDefault="004E6B31" w:rsidP="00D20AEA">
            <w:pPr>
              <w:pStyle w:val="naisf"/>
              <w:spacing w:before="0" w:after="0"/>
              <w:ind w:firstLine="0"/>
              <w:jc w:val="center"/>
              <w:rPr>
                <w:b/>
                <w:i/>
              </w:rPr>
            </w:pPr>
            <w:r w:rsidRPr="00450D69">
              <w:rPr>
                <w:b/>
                <w:bCs/>
              </w:rPr>
              <w:t>n+2</w:t>
            </w:r>
          </w:p>
        </w:tc>
        <w:tc>
          <w:tcPr>
            <w:tcW w:w="1435" w:type="dxa"/>
            <w:gridSpan w:val="2"/>
            <w:vAlign w:val="center"/>
          </w:tcPr>
          <w:p w:rsidR="004E6B31" w:rsidRPr="00450D69" w:rsidRDefault="004E6B31" w:rsidP="00D20AEA">
            <w:pPr>
              <w:pStyle w:val="naisf"/>
              <w:spacing w:before="0" w:after="0"/>
              <w:ind w:firstLine="0"/>
              <w:jc w:val="center"/>
              <w:rPr>
                <w:b/>
                <w:i/>
              </w:rPr>
            </w:pPr>
            <w:r w:rsidRPr="00450D69">
              <w:rPr>
                <w:b/>
                <w:bCs/>
              </w:rPr>
              <w:t>n+3</w:t>
            </w:r>
          </w:p>
        </w:tc>
      </w:tr>
      <w:tr w:rsidR="004E6B31" w:rsidRPr="00450D69" w:rsidTr="00FD2E31">
        <w:tblPrEx>
          <w:jc w:val="center"/>
        </w:tblPrEx>
        <w:trPr>
          <w:gridBefore w:val="1"/>
          <w:wBefore w:w="82" w:type="dxa"/>
          <w:jc w:val="center"/>
        </w:trPr>
        <w:tc>
          <w:tcPr>
            <w:tcW w:w="2461" w:type="dxa"/>
            <w:gridSpan w:val="2"/>
            <w:vMerge/>
            <w:vAlign w:val="center"/>
          </w:tcPr>
          <w:p w:rsidR="004E6B31" w:rsidRPr="00450D69" w:rsidRDefault="004E6B31" w:rsidP="00D20AEA">
            <w:pPr>
              <w:rPr>
                <w:b/>
              </w:rPr>
            </w:pPr>
          </w:p>
        </w:tc>
        <w:tc>
          <w:tcPr>
            <w:tcW w:w="1427" w:type="dxa"/>
            <w:gridSpan w:val="2"/>
            <w:vAlign w:val="center"/>
          </w:tcPr>
          <w:p w:rsidR="004E6B31" w:rsidRPr="00450D69" w:rsidRDefault="004E6B31" w:rsidP="00D20AEA">
            <w:pPr>
              <w:pStyle w:val="naisf"/>
              <w:spacing w:before="0" w:after="0"/>
              <w:ind w:firstLine="0"/>
              <w:jc w:val="center"/>
              <w:rPr>
                <w:b/>
                <w:i/>
              </w:rPr>
            </w:pPr>
            <w:r w:rsidRPr="00450D69">
              <w:t>Saskaņā ar valsts budžetu kārtējam gadam</w:t>
            </w:r>
          </w:p>
        </w:tc>
        <w:tc>
          <w:tcPr>
            <w:tcW w:w="1388" w:type="dxa"/>
            <w:vAlign w:val="center"/>
          </w:tcPr>
          <w:p w:rsidR="004E6B31" w:rsidRPr="00450D69" w:rsidRDefault="004E6B31" w:rsidP="00D20AEA">
            <w:pPr>
              <w:pStyle w:val="naisf"/>
              <w:spacing w:before="0" w:after="0"/>
              <w:ind w:firstLine="0"/>
              <w:jc w:val="center"/>
              <w:rPr>
                <w:b/>
                <w:i/>
              </w:rPr>
            </w:pPr>
            <w:r w:rsidRPr="00450D69">
              <w:t>Izmaiņas kārtējā gadā, salīdzinot ar budžetu kārtējam gadam</w:t>
            </w:r>
          </w:p>
        </w:tc>
        <w:tc>
          <w:tcPr>
            <w:tcW w:w="1318" w:type="dxa"/>
            <w:vAlign w:val="center"/>
          </w:tcPr>
          <w:p w:rsidR="004E6B31" w:rsidRPr="00450D69" w:rsidRDefault="004E6B31" w:rsidP="00D20AEA">
            <w:pPr>
              <w:pStyle w:val="naisf"/>
              <w:spacing w:before="0" w:after="0"/>
              <w:ind w:firstLine="0"/>
              <w:jc w:val="center"/>
              <w:rPr>
                <w:b/>
                <w:i/>
              </w:rPr>
            </w:pPr>
            <w:r w:rsidRPr="00450D69">
              <w:t>Izmaiņas, salīdzinot ar kārtējo (n) gadu</w:t>
            </w:r>
          </w:p>
        </w:tc>
        <w:tc>
          <w:tcPr>
            <w:tcW w:w="1319" w:type="dxa"/>
            <w:vAlign w:val="center"/>
          </w:tcPr>
          <w:p w:rsidR="004E6B31" w:rsidRPr="00450D69" w:rsidRDefault="004E6B31" w:rsidP="00D20AEA">
            <w:pPr>
              <w:pStyle w:val="naisf"/>
              <w:spacing w:before="0" w:after="0"/>
              <w:ind w:firstLine="0"/>
              <w:jc w:val="center"/>
              <w:rPr>
                <w:b/>
                <w:i/>
              </w:rPr>
            </w:pPr>
            <w:r w:rsidRPr="00450D69">
              <w:t>Izmaiņas, salīdzinot ar kārtējo (n) gadu</w:t>
            </w:r>
          </w:p>
        </w:tc>
        <w:tc>
          <w:tcPr>
            <w:tcW w:w="1435" w:type="dxa"/>
            <w:gridSpan w:val="2"/>
            <w:vAlign w:val="center"/>
          </w:tcPr>
          <w:p w:rsidR="004E6B31" w:rsidRPr="00450D69" w:rsidRDefault="004E6B31" w:rsidP="00D20AEA">
            <w:pPr>
              <w:pStyle w:val="naisf"/>
              <w:spacing w:before="0" w:after="0"/>
              <w:ind w:firstLine="0"/>
              <w:jc w:val="center"/>
              <w:rPr>
                <w:b/>
                <w:i/>
              </w:rPr>
            </w:pPr>
            <w:r w:rsidRPr="00450D69">
              <w:t>Izmaiņas, salīdzinot ar kārtējo (n) gadu</w:t>
            </w:r>
          </w:p>
        </w:tc>
      </w:tr>
      <w:tr w:rsidR="004E6B31" w:rsidRPr="00450D69" w:rsidTr="00FD2E31">
        <w:tblPrEx>
          <w:jc w:val="center"/>
        </w:tblPrEx>
        <w:trPr>
          <w:gridBefore w:val="1"/>
          <w:wBefore w:w="82" w:type="dxa"/>
          <w:jc w:val="center"/>
        </w:trPr>
        <w:tc>
          <w:tcPr>
            <w:tcW w:w="2461" w:type="dxa"/>
            <w:gridSpan w:val="2"/>
            <w:vAlign w:val="center"/>
          </w:tcPr>
          <w:p w:rsidR="004E6B31" w:rsidRPr="00450D69" w:rsidRDefault="004E6B31" w:rsidP="00D20AEA">
            <w:pPr>
              <w:pStyle w:val="naisf"/>
              <w:spacing w:before="0" w:after="0"/>
              <w:ind w:firstLine="0"/>
              <w:jc w:val="center"/>
              <w:rPr>
                <w:bCs/>
              </w:rPr>
            </w:pPr>
            <w:r w:rsidRPr="00450D69">
              <w:rPr>
                <w:bCs/>
              </w:rPr>
              <w:t>1</w:t>
            </w:r>
          </w:p>
        </w:tc>
        <w:tc>
          <w:tcPr>
            <w:tcW w:w="1427" w:type="dxa"/>
            <w:gridSpan w:val="2"/>
            <w:vAlign w:val="center"/>
          </w:tcPr>
          <w:p w:rsidR="004E6B31" w:rsidRPr="00450D69" w:rsidRDefault="004E6B31" w:rsidP="00D20AEA">
            <w:pPr>
              <w:pStyle w:val="naisf"/>
              <w:spacing w:before="0" w:after="0"/>
              <w:ind w:firstLine="0"/>
              <w:jc w:val="center"/>
              <w:rPr>
                <w:bCs/>
              </w:rPr>
            </w:pPr>
            <w:r w:rsidRPr="00450D69">
              <w:rPr>
                <w:bCs/>
              </w:rPr>
              <w:t>2</w:t>
            </w:r>
          </w:p>
        </w:tc>
        <w:tc>
          <w:tcPr>
            <w:tcW w:w="1388" w:type="dxa"/>
            <w:vAlign w:val="center"/>
          </w:tcPr>
          <w:p w:rsidR="004E6B31" w:rsidRPr="00450D69" w:rsidRDefault="004E6B31" w:rsidP="00D20AEA">
            <w:pPr>
              <w:pStyle w:val="naisf"/>
              <w:spacing w:before="0" w:after="0"/>
              <w:ind w:firstLine="0"/>
              <w:jc w:val="center"/>
              <w:rPr>
                <w:bCs/>
              </w:rPr>
            </w:pPr>
            <w:r w:rsidRPr="00450D69">
              <w:rPr>
                <w:bCs/>
              </w:rPr>
              <w:t>3</w:t>
            </w:r>
          </w:p>
        </w:tc>
        <w:tc>
          <w:tcPr>
            <w:tcW w:w="1318" w:type="dxa"/>
            <w:vAlign w:val="center"/>
          </w:tcPr>
          <w:p w:rsidR="004E6B31" w:rsidRPr="00450D69" w:rsidRDefault="004E6B31" w:rsidP="00D20AEA">
            <w:pPr>
              <w:pStyle w:val="naisf"/>
              <w:spacing w:before="0" w:after="0"/>
              <w:ind w:firstLine="0"/>
              <w:jc w:val="center"/>
              <w:rPr>
                <w:bCs/>
              </w:rPr>
            </w:pPr>
            <w:r w:rsidRPr="00450D69">
              <w:rPr>
                <w:bCs/>
              </w:rPr>
              <w:t>4</w:t>
            </w:r>
          </w:p>
        </w:tc>
        <w:tc>
          <w:tcPr>
            <w:tcW w:w="1319" w:type="dxa"/>
            <w:vAlign w:val="center"/>
          </w:tcPr>
          <w:p w:rsidR="004E6B31" w:rsidRPr="00450D69" w:rsidRDefault="004E6B31" w:rsidP="00D20AEA">
            <w:pPr>
              <w:pStyle w:val="naisf"/>
              <w:spacing w:before="0" w:after="0"/>
              <w:ind w:firstLine="0"/>
              <w:jc w:val="center"/>
              <w:rPr>
                <w:bCs/>
              </w:rPr>
            </w:pPr>
            <w:r w:rsidRPr="00450D69">
              <w:rPr>
                <w:bCs/>
              </w:rPr>
              <w:t>5</w:t>
            </w:r>
          </w:p>
        </w:tc>
        <w:tc>
          <w:tcPr>
            <w:tcW w:w="1435" w:type="dxa"/>
            <w:gridSpan w:val="2"/>
            <w:vAlign w:val="center"/>
          </w:tcPr>
          <w:p w:rsidR="004E6B31" w:rsidRPr="00450D69" w:rsidRDefault="004E6B31" w:rsidP="00D20AEA">
            <w:pPr>
              <w:pStyle w:val="naisf"/>
              <w:spacing w:before="0" w:after="0"/>
              <w:ind w:firstLine="0"/>
              <w:jc w:val="center"/>
              <w:rPr>
                <w:bCs/>
              </w:rPr>
            </w:pPr>
            <w:r w:rsidRPr="00450D69">
              <w:rPr>
                <w:bCs/>
              </w:rPr>
              <w:t>6</w:t>
            </w:r>
          </w:p>
        </w:tc>
      </w:tr>
      <w:tr w:rsidR="004E6B31" w:rsidRPr="0017221B" w:rsidTr="00FD2E31">
        <w:tblPrEx>
          <w:jc w:val="center"/>
        </w:tblPrEx>
        <w:trPr>
          <w:gridBefore w:val="1"/>
          <w:wBefore w:w="82" w:type="dxa"/>
          <w:jc w:val="center"/>
        </w:trPr>
        <w:tc>
          <w:tcPr>
            <w:tcW w:w="2461" w:type="dxa"/>
            <w:gridSpan w:val="2"/>
          </w:tcPr>
          <w:p w:rsidR="004E6B31" w:rsidRPr="00450D69" w:rsidRDefault="004E6B31" w:rsidP="00D20AEA">
            <w:pPr>
              <w:pStyle w:val="naisf"/>
              <w:spacing w:before="0" w:after="0"/>
              <w:ind w:firstLine="0"/>
              <w:rPr>
                <w:i/>
              </w:rPr>
            </w:pPr>
            <w:r w:rsidRPr="00450D69">
              <w:t>1. Budžeta ieņēmumi:</w:t>
            </w:r>
          </w:p>
        </w:tc>
        <w:tc>
          <w:tcPr>
            <w:tcW w:w="1427" w:type="dxa"/>
            <w:gridSpan w:val="2"/>
          </w:tcPr>
          <w:p w:rsidR="004E6B31" w:rsidRPr="00450D69" w:rsidRDefault="004E6B31" w:rsidP="00D20AEA">
            <w:pPr>
              <w:pStyle w:val="naisf"/>
              <w:spacing w:before="0" w:after="0"/>
              <w:ind w:firstLine="0"/>
            </w:pPr>
            <w:r w:rsidRPr="00450D69">
              <w:t>129</w:t>
            </w:r>
            <w:r>
              <w:t> </w:t>
            </w:r>
            <w:r w:rsidRPr="00450D69">
              <w:t>193</w:t>
            </w:r>
            <w:r>
              <w:t>,</w:t>
            </w:r>
            <w:r w:rsidRPr="00450D69">
              <w:t>4</w:t>
            </w:r>
          </w:p>
        </w:tc>
        <w:tc>
          <w:tcPr>
            <w:tcW w:w="1388" w:type="dxa"/>
          </w:tcPr>
          <w:p w:rsidR="004E6B31" w:rsidRPr="00450D69" w:rsidRDefault="004E6B31" w:rsidP="00D20AEA">
            <w:pPr>
              <w:pStyle w:val="naisf"/>
              <w:spacing w:before="0" w:after="0"/>
              <w:ind w:firstLine="0"/>
            </w:pPr>
            <w:r w:rsidRPr="00450D69">
              <w:t>-</w:t>
            </w:r>
            <w:r>
              <w:t>42 296,00</w:t>
            </w:r>
          </w:p>
        </w:tc>
        <w:tc>
          <w:tcPr>
            <w:tcW w:w="1318" w:type="dxa"/>
          </w:tcPr>
          <w:p w:rsidR="004E6B31" w:rsidRPr="0017221B" w:rsidRDefault="004E6B31" w:rsidP="00D20AEA">
            <w:pPr>
              <w:pStyle w:val="naisf"/>
              <w:spacing w:before="0" w:after="0"/>
              <w:ind w:firstLine="0"/>
            </w:pPr>
            <w:r w:rsidRPr="0017221B">
              <w:t>0</w:t>
            </w:r>
          </w:p>
        </w:tc>
        <w:tc>
          <w:tcPr>
            <w:tcW w:w="1319" w:type="dxa"/>
          </w:tcPr>
          <w:p w:rsidR="004E6B31" w:rsidRPr="0017221B" w:rsidRDefault="004E6B31" w:rsidP="00D20AEA">
            <w:pPr>
              <w:pStyle w:val="naisf"/>
              <w:spacing w:before="0" w:after="0"/>
              <w:ind w:firstLine="0"/>
            </w:pPr>
            <w:r w:rsidRPr="0017221B">
              <w:t>0</w:t>
            </w:r>
          </w:p>
        </w:tc>
        <w:tc>
          <w:tcPr>
            <w:tcW w:w="1435" w:type="dxa"/>
            <w:gridSpan w:val="2"/>
          </w:tcPr>
          <w:p w:rsidR="004E6B31" w:rsidRPr="0017221B" w:rsidRDefault="004E6B31" w:rsidP="00D20AEA">
            <w:pPr>
              <w:pStyle w:val="naisf"/>
              <w:spacing w:before="0" w:after="0"/>
              <w:ind w:firstLine="0"/>
            </w:pPr>
            <w:r w:rsidRPr="0017221B">
              <w:t>0</w:t>
            </w:r>
          </w:p>
        </w:tc>
      </w:tr>
      <w:tr w:rsidR="004E6B31" w:rsidRPr="0017221B" w:rsidTr="00FD2E31">
        <w:tblPrEx>
          <w:jc w:val="center"/>
        </w:tblPrEx>
        <w:trPr>
          <w:gridBefore w:val="1"/>
          <w:wBefore w:w="82" w:type="dxa"/>
          <w:jc w:val="center"/>
        </w:trPr>
        <w:tc>
          <w:tcPr>
            <w:tcW w:w="2461" w:type="dxa"/>
            <w:gridSpan w:val="2"/>
          </w:tcPr>
          <w:p w:rsidR="004E6B31" w:rsidRPr="00450D69" w:rsidRDefault="004E6B31" w:rsidP="00D20AEA">
            <w:pPr>
              <w:pStyle w:val="naisf"/>
              <w:spacing w:before="0" w:after="0"/>
              <w:ind w:firstLine="0"/>
              <w:rPr>
                <w:i/>
              </w:rPr>
            </w:pPr>
            <w:r w:rsidRPr="00450D69">
              <w:t>1.1. valsts pamatbudžets, tai skaitā ieņēmumi no maksas pakalpo-</w:t>
            </w:r>
            <w:proofErr w:type="spellStart"/>
            <w:r w:rsidRPr="00450D69">
              <w:t>jumiem</w:t>
            </w:r>
            <w:proofErr w:type="spellEnd"/>
            <w:r w:rsidRPr="00450D69">
              <w:t xml:space="preserve"> un citi pašu ieņēmumi</w:t>
            </w:r>
          </w:p>
        </w:tc>
        <w:tc>
          <w:tcPr>
            <w:tcW w:w="1427" w:type="dxa"/>
            <w:gridSpan w:val="2"/>
          </w:tcPr>
          <w:p w:rsidR="004E6B31" w:rsidRPr="00450D69" w:rsidRDefault="004E6B31" w:rsidP="00D20AEA">
            <w:pPr>
              <w:pStyle w:val="naisf"/>
              <w:spacing w:before="0" w:after="0"/>
              <w:ind w:firstLine="0"/>
            </w:pPr>
            <w:r>
              <w:t>129 193,4</w:t>
            </w:r>
          </w:p>
        </w:tc>
        <w:tc>
          <w:tcPr>
            <w:tcW w:w="1388" w:type="dxa"/>
          </w:tcPr>
          <w:p w:rsidR="004E6B31" w:rsidRPr="00450D69" w:rsidRDefault="004E6B31" w:rsidP="00D20AEA">
            <w:pPr>
              <w:pStyle w:val="naisf"/>
              <w:spacing w:before="0" w:after="0"/>
              <w:ind w:firstLine="0"/>
            </w:pPr>
            <w:r w:rsidRPr="00450D69">
              <w:t>-</w:t>
            </w:r>
            <w:r>
              <w:t>42 296,00</w:t>
            </w:r>
          </w:p>
        </w:tc>
        <w:tc>
          <w:tcPr>
            <w:tcW w:w="1318" w:type="dxa"/>
          </w:tcPr>
          <w:p w:rsidR="004E6B31" w:rsidRPr="0017221B" w:rsidRDefault="004E6B31" w:rsidP="00D20AEA">
            <w:pPr>
              <w:pStyle w:val="naisf"/>
              <w:spacing w:before="0" w:after="0"/>
              <w:ind w:firstLine="0"/>
            </w:pPr>
            <w:r w:rsidRPr="0017221B">
              <w:t>0</w:t>
            </w:r>
          </w:p>
        </w:tc>
        <w:tc>
          <w:tcPr>
            <w:tcW w:w="1319" w:type="dxa"/>
          </w:tcPr>
          <w:p w:rsidR="004E6B31" w:rsidRPr="0017221B" w:rsidRDefault="004E6B31" w:rsidP="00D20AEA">
            <w:pPr>
              <w:pStyle w:val="naisf"/>
              <w:spacing w:before="0" w:after="0"/>
              <w:ind w:firstLine="0"/>
            </w:pPr>
            <w:r w:rsidRPr="0017221B">
              <w:t>0</w:t>
            </w:r>
          </w:p>
        </w:tc>
        <w:tc>
          <w:tcPr>
            <w:tcW w:w="1435" w:type="dxa"/>
            <w:gridSpan w:val="2"/>
          </w:tcPr>
          <w:p w:rsidR="004E6B31" w:rsidRPr="0017221B" w:rsidRDefault="004E6B31" w:rsidP="00D20AEA">
            <w:pPr>
              <w:pStyle w:val="naisf"/>
              <w:spacing w:before="0" w:after="0"/>
              <w:ind w:firstLine="0"/>
            </w:pPr>
            <w:r w:rsidRPr="0017221B">
              <w:t>0</w:t>
            </w:r>
          </w:p>
        </w:tc>
      </w:tr>
      <w:tr w:rsidR="004E6B31" w:rsidRPr="00C75709" w:rsidTr="00FD2E31">
        <w:tblPrEx>
          <w:jc w:val="center"/>
        </w:tblPrEx>
        <w:trPr>
          <w:gridBefore w:val="1"/>
          <w:wBefore w:w="82" w:type="dxa"/>
          <w:jc w:val="center"/>
        </w:trPr>
        <w:tc>
          <w:tcPr>
            <w:tcW w:w="2461" w:type="dxa"/>
            <w:gridSpan w:val="2"/>
          </w:tcPr>
          <w:p w:rsidR="004E6B31" w:rsidRPr="00450D69" w:rsidRDefault="004E6B31" w:rsidP="00D20AEA">
            <w:pPr>
              <w:pStyle w:val="naisf"/>
              <w:spacing w:before="0" w:after="0"/>
              <w:ind w:firstLine="0"/>
              <w:rPr>
                <w:i/>
              </w:rPr>
            </w:pPr>
            <w:r w:rsidRPr="00450D69">
              <w:t>1.2. valsts speciālais budžets</w:t>
            </w:r>
          </w:p>
        </w:tc>
        <w:tc>
          <w:tcPr>
            <w:tcW w:w="1427" w:type="dxa"/>
            <w:gridSpan w:val="2"/>
          </w:tcPr>
          <w:p w:rsidR="004E6B31" w:rsidRPr="00C75709" w:rsidRDefault="004E6B31" w:rsidP="00D20AEA">
            <w:pPr>
              <w:pStyle w:val="naisf"/>
              <w:spacing w:before="0" w:after="0"/>
              <w:ind w:firstLine="0"/>
              <w:jc w:val="center"/>
            </w:pPr>
            <w:r w:rsidRPr="00C75709">
              <w:t>0</w:t>
            </w:r>
          </w:p>
        </w:tc>
        <w:tc>
          <w:tcPr>
            <w:tcW w:w="1388" w:type="dxa"/>
          </w:tcPr>
          <w:p w:rsidR="004E6B31" w:rsidRPr="006F00B0" w:rsidRDefault="004E6B31" w:rsidP="00D20AEA">
            <w:pPr>
              <w:pStyle w:val="naisf"/>
              <w:spacing w:before="0" w:after="0"/>
              <w:ind w:firstLine="0"/>
              <w:jc w:val="center"/>
            </w:pPr>
            <w:r w:rsidRPr="006F00B0">
              <w:t>0</w:t>
            </w:r>
          </w:p>
        </w:tc>
        <w:tc>
          <w:tcPr>
            <w:tcW w:w="1318" w:type="dxa"/>
          </w:tcPr>
          <w:p w:rsidR="004E6B31" w:rsidRPr="00C75709" w:rsidRDefault="004E6B31" w:rsidP="00D20AEA">
            <w:pPr>
              <w:pStyle w:val="naisf"/>
              <w:spacing w:before="0" w:after="0"/>
              <w:ind w:firstLine="0"/>
              <w:jc w:val="center"/>
            </w:pPr>
            <w:r w:rsidRPr="00C75709">
              <w:t>0</w:t>
            </w:r>
          </w:p>
        </w:tc>
        <w:tc>
          <w:tcPr>
            <w:tcW w:w="1319" w:type="dxa"/>
          </w:tcPr>
          <w:p w:rsidR="004E6B31" w:rsidRPr="00C75709" w:rsidRDefault="004E6B31" w:rsidP="00D20AEA">
            <w:pPr>
              <w:pStyle w:val="naisf"/>
              <w:spacing w:before="0" w:after="0"/>
              <w:ind w:firstLine="0"/>
              <w:jc w:val="center"/>
            </w:pPr>
            <w:r w:rsidRPr="00C75709">
              <w:t>0</w:t>
            </w:r>
          </w:p>
        </w:tc>
        <w:tc>
          <w:tcPr>
            <w:tcW w:w="1435" w:type="dxa"/>
            <w:gridSpan w:val="2"/>
          </w:tcPr>
          <w:p w:rsidR="004E6B31" w:rsidRPr="00C75709" w:rsidRDefault="004E6B31" w:rsidP="00D20AEA">
            <w:pPr>
              <w:pStyle w:val="naisf"/>
              <w:spacing w:before="0" w:after="0"/>
              <w:ind w:firstLine="0"/>
              <w:jc w:val="center"/>
            </w:pPr>
            <w:r w:rsidRPr="00C75709">
              <w:t>0</w:t>
            </w:r>
          </w:p>
        </w:tc>
      </w:tr>
      <w:tr w:rsidR="004E6B31" w:rsidRPr="00C75709" w:rsidTr="00FD2E31">
        <w:tblPrEx>
          <w:jc w:val="center"/>
        </w:tblPrEx>
        <w:trPr>
          <w:gridBefore w:val="1"/>
          <w:wBefore w:w="82" w:type="dxa"/>
          <w:jc w:val="center"/>
        </w:trPr>
        <w:tc>
          <w:tcPr>
            <w:tcW w:w="2461" w:type="dxa"/>
            <w:gridSpan w:val="2"/>
          </w:tcPr>
          <w:p w:rsidR="004E6B31" w:rsidRPr="00450D69" w:rsidRDefault="004E6B31" w:rsidP="00D20AEA">
            <w:pPr>
              <w:pStyle w:val="naisf"/>
              <w:spacing w:before="0" w:after="0"/>
              <w:ind w:firstLine="0"/>
              <w:rPr>
                <w:i/>
              </w:rPr>
            </w:pPr>
            <w:r w:rsidRPr="00450D69">
              <w:t>1.3. pašvaldību budžets</w:t>
            </w:r>
          </w:p>
        </w:tc>
        <w:tc>
          <w:tcPr>
            <w:tcW w:w="1427" w:type="dxa"/>
            <w:gridSpan w:val="2"/>
          </w:tcPr>
          <w:p w:rsidR="004E6B31" w:rsidRPr="00C75709" w:rsidRDefault="004E6B31" w:rsidP="00D20AEA">
            <w:pPr>
              <w:pStyle w:val="naisf"/>
              <w:spacing w:before="0" w:after="0"/>
              <w:ind w:firstLine="0"/>
              <w:jc w:val="center"/>
            </w:pPr>
            <w:r w:rsidRPr="00C75709">
              <w:t>0</w:t>
            </w:r>
          </w:p>
        </w:tc>
        <w:tc>
          <w:tcPr>
            <w:tcW w:w="1388" w:type="dxa"/>
          </w:tcPr>
          <w:p w:rsidR="004E6B31" w:rsidRPr="006F00B0" w:rsidRDefault="004E6B31" w:rsidP="00D20AEA">
            <w:pPr>
              <w:pStyle w:val="naisf"/>
              <w:spacing w:before="0" w:after="0"/>
              <w:ind w:firstLine="0"/>
              <w:jc w:val="center"/>
            </w:pPr>
            <w:r w:rsidRPr="006F00B0">
              <w:t>0</w:t>
            </w:r>
          </w:p>
        </w:tc>
        <w:tc>
          <w:tcPr>
            <w:tcW w:w="1318" w:type="dxa"/>
          </w:tcPr>
          <w:p w:rsidR="004E6B31" w:rsidRPr="00C75709" w:rsidRDefault="004E6B31" w:rsidP="00D20AEA">
            <w:pPr>
              <w:pStyle w:val="naisf"/>
              <w:spacing w:before="0" w:after="0"/>
              <w:ind w:firstLine="0"/>
              <w:jc w:val="center"/>
            </w:pPr>
            <w:r w:rsidRPr="00C75709">
              <w:t>0</w:t>
            </w:r>
          </w:p>
        </w:tc>
        <w:tc>
          <w:tcPr>
            <w:tcW w:w="1319" w:type="dxa"/>
          </w:tcPr>
          <w:p w:rsidR="004E6B31" w:rsidRPr="00C75709" w:rsidRDefault="004E6B31" w:rsidP="00D20AEA">
            <w:pPr>
              <w:pStyle w:val="naisf"/>
              <w:spacing w:before="0" w:after="0"/>
              <w:ind w:firstLine="0"/>
              <w:jc w:val="center"/>
            </w:pPr>
            <w:r w:rsidRPr="00C75709">
              <w:t>0</w:t>
            </w:r>
          </w:p>
        </w:tc>
        <w:tc>
          <w:tcPr>
            <w:tcW w:w="1435" w:type="dxa"/>
            <w:gridSpan w:val="2"/>
          </w:tcPr>
          <w:p w:rsidR="004E6B31" w:rsidRPr="00C75709" w:rsidRDefault="004E6B31" w:rsidP="00D20AEA">
            <w:pPr>
              <w:pStyle w:val="naisf"/>
              <w:spacing w:before="0" w:after="0"/>
              <w:ind w:firstLine="0"/>
              <w:jc w:val="center"/>
            </w:pPr>
            <w:r w:rsidRPr="00C75709">
              <w:t>0</w:t>
            </w:r>
          </w:p>
        </w:tc>
      </w:tr>
      <w:tr w:rsidR="004E6B31" w:rsidRPr="00C7570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t>2. Budžeta izdevumi:</w:t>
            </w:r>
          </w:p>
        </w:tc>
        <w:tc>
          <w:tcPr>
            <w:tcW w:w="1427" w:type="dxa"/>
            <w:gridSpan w:val="2"/>
          </w:tcPr>
          <w:p w:rsidR="004E6B31" w:rsidRPr="00C75709" w:rsidRDefault="004E6B31" w:rsidP="00D20AEA">
            <w:pPr>
              <w:pStyle w:val="naisf"/>
              <w:spacing w:before="0" w:after="0"/>
              <w:ind w:firstLine="0"/>
              <w:jc w:val="center"/>
            </w:pPr>
            <w:r w:rsidRPr="00C75709">
              <w:t>0</w:t>
            </w:r>
          </w:p>
        </w:tc>
        <w:tc>
          <w:tcPr>
            <w:tcW w:w="1388" w:type="dxa"/>
          </w:tcPr>
          <w:p w:rsidR="004E6B31" w:rsidRPr="006F00B0" w:rsidRDefault="004E6B31" w:rsidP="00D20AEA">
            <w:pPr>
              <w:pStyle w:val="naisf"/>
              <w:spacing w:before="0" w:after="0"/>
              <w:ind w:firstLine="0"/>
              <w:jc w:val="center"/>
            </w:pPr>
            <w:r w:rsidRPr="006F00B0">
              <w:t>0</w:t>
            </w:r>
          </w:p>
        </w:tc>
        <w:tc>
          <w:tcPr>
            <w:tcW w:w="1318" w:type="dxa"/>
          </w:tcPr>
          <w:p w:rsidR="004E6B31" w:rsidRPr="00C75709" w:rsidRDefault="004E6B31" w:rsidP="00D20AEA">
            <w:pPr>
              <w:pStyle w:val="naisf"/>
              <w:spacing w:before="0" w:after="0"/>
              <w:ind w:firstLine="0"/>
              <w:jc w:val="center"/>
            </w:pPr>
            <w:r w:rsidRPr="00C75709">
              <w:t>0</w:t>
            </w:r>
          </w:p>
        </w:tc>
        <w:tc>
          <w:tcPr>
            <w:tcW w:w="1319" w:type="dxa"/>
          </w:tcPr>
          <w:p w:rsidR="004E6B31" w:rsidRPr="00C75709" w:rsidRDefault="004E6B31" w:rsidP="00D20AEA">
            <w:pPr>
              <w:pStyle w:val="naisf"/>
              <w:spacing w:before="0" w:after="0"/>
              <w:ind w:firstLine="0"/>
              <w:jc w:val="center"/>
            </w:pPr>
            <w:r w:rsidRPr="00C75709">
              <w:t>0</w:t>
            </w:r>
          </w:p>
        </w:tc>
        <w:tc>
          <w:tcPr>
            <w:tcW w:w="1435" w:type="dxa"/>
            <w:gridSpan w:val="2"/>
          </w:tcPr>
          <w:p w:rsidR="004E6B31" w:rsidRPr="00C75709" w:rsidRDefault="004E6B31" w:rsidP="00D20AEA">
            <w:pPr>
              <w:pStyle w:val="naisf"/>
              <w:spacing w:before="0" w:after="0"/>
              <w:ind w:firstLine="0"/>
              <w:jc w:val="center"/>
            </w:pPr>
            <w:r w:rsidRPr="00C75709">
              <w:t>0</w:t>
            </w:r>
          </w:p>
        </w:tc>
      </w:tr>
      <w:tr w:rsidR="004E6B31" w:rsidRPr="00C7570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t>2.1. valsts pamatbudžets</w:t>
            </w:r>
          </w:p>
        </w:tc>
        <w:tc>
          <w:tcPr>
            <w:tcW w:w="1427" w:type="dxa"/>
            <w:gridSpan w:val="2"/>
          </w:tcPr>
          <w:p w:rsidR="004E6B31" w:rsidRPr="00C75709" w:rsidRDefault="004E6B31" w:rsidP="00D20AEA">
            <w:pPr>
              <w:pStyle w:val="naisf"/>
              <w:spacing w:before="0" w:after="0"/>
              <w:ind w:firstLine="0"/>
              <w:jc w:val="center"/>
            </w:pPr>
            <w:r w:rsidRPr="00C75709">
              <w:t>0</w:t>
            </w:r>
          </w:p>
        </w:tc>
        <w:tc>
          <w:tcPr>
            <w:tcW w:w="1388" w:type="dxa"/>
          </w:tcPr>
          <w:p w:rsidR="004E6B31" w:rsidRPr="006F00B0" w:rsidRDefault="004E6B31" w:rsidP="00D20AEA">
            <w:pPr>
              <w:pStyle w:val="naisf"/>
              <w:spacing w:before="0" w:after="0"/>
              <w:ind w:firstLine="0"/>
              <w:jc w:val="center"/>
            </w:pPr>
            <w:r w:rsidRPr="006F00B0">
              <w:t>0</w:t>
            </w:r>
          </w:p>
        </w:tc>
        <w:tc>
          <w:tcPr>
            <w:tcW w:w="1318" w:type="dxa"/>
          </w:tcPr>
          <w:p w:rsidR="004E6B31" w:rsidRPr="00C75709" w:rsidRDefault="004E6B31" w:rsidP="00D20AEA">
            <w:pPr>
              <w:pStyle w:val="naisf"/>
              <w:spacing w:before="0" w:after="0"/>
              <w:ind w:firstLine="0"/>
              <w:jc w:val="center"/>
            </w:pPr>
            <w:r w:rsidRPr="00C75709">
              <w:t>0</w:t>
            </w:r>
          </w:p>
        </w:tc>
        <w:tc>
          <w:tcPr>
            <w:tcW w:w="1319" w:type="dxa"/>
          </w:tcPr>
          <w:p w:rsidR="004E6B31" w:rsidRPr="00C75709" w:rsidRDefault="004E6B31" w:rsidP="00D20AEA">
            <w:pPr>
              <w:pStyle w:val="naisf"/>
              <w:spacing w:before="0" w:after="0"/>
              <w:ind w:firstLine="0"/>
              <w:jc w:val="center"/>
            </w:pPr>
            <w:r w:rsidRPr="00C75709">
              <w:t>0</w:t>
            </w:r>
          </w:p>
        </w:tc>
        <w:tc>
          <w:tcPr>
            <w:tcW w:w="1435" w:type="dxa"/>
            <w:gridSpan w:val="2"/>
          </w:tcPr>
          <w:p w:rsidR="004E6B31" w:rsidRPr="00C75709" w:rsidRDefault="004E6B31" w:rsidP="00D20AEA">
            <w:pPr>
              <w:pStyle w:val="naisf"/>
              <w:spacing w:before="0" w:after="0"/>
              <w:ind w:firstLine="0"/>
              <w:jc w:val="center"/>
            </w:pPr>
            <w:r w:rsidRPr="00C75709">
              <w:t>0</w:t>
            </w:r>
          </w:p>
        </w:tc>
      </w:tr>
      <w:tr w:rsidR="004E6B31" w:rsidRPr="00C7570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t>2.2. valsts speciālais budžets</w:t>
            </w:r>
          </w:p>
        </w:tc>
        <w:tc>
          <w:tcPr>
            <w:tcW w:w="1427" w:type="dxa"/>
            <w:gridSpan w:val="2"/>
          </w:tcPr>
          <w:p w:rsidR="004E6B31" w:rsidRPr="00C75709" w:rsidRDefault="004E6B31" w:rsidP="00D20AEA">
            <w:pPr>
              <w:pStyle w:val="naisf"/>
              <w:spacing w:before="0" w:after="0"/>
              <w:ind w:firstLine="0"/>
              <w:jc w:val="center"/>
            </w:pPr>
            <w:r w:rsidRPr="00C75709">
              <w:t>0</w:t>
            </w:r>
          </w:p>
        </w:tc>
        <w:tc>
          <w:tcPr>
            <w:tcW w:w="1388" w:type="dxa"/>
          </w:tcPr>
          <w:p w:rsidR="004E6B31" w:rsidRPr="006F00B0" w:rsidRDefault="004E6B31" w:rsidP="00D20AEA">
            <w:pPr>
              <w:pStyle w:val="naisf"/>
              <w:spacing w:before="0" w:after="0"/>
              <w:ind w:firstLine="0"/>
              <w:jc w:val="center"/>
            </w:pPr>
            <w:r w:rsidRPr="006F00B0">
              <w:t>0</w:t>
            </w:r>
          </w:p>
        </w:tc>
        <w:tc>
          <w:tcPr>
            <w:tcW w:w="1318" w:type="dxa"/>
          </w:tcPr>
          <w:p w:rsidR="004E6B31" w:rsidRPr="00C75709" w:rsidRDefault="004E6B31" w:rsidP="00D20AEA">
            <w:pPr>
              <w:pStyle w:val="naisf"/>
              <w:spacing w:before="0" w:after="0"/>
              <w:ind w:firstLine="0"/>
              <w:jc w:val="center"/>
            </w:pPr>
            <w:r w:rsidRPr="00C75709">
              <w:t>0</w:t>
            </w:r>
          </w:p>
        </w:tc>
        <w:tc>
          <w:tcPr>
            <w:tcW w:w="1319" w:type="dxa"/>
          </w:tcPr>
          <w:p w:rsidR="004E6B31" w:rsidRPr="00C75709" w:rsidRDefault="004E6B31" w:rsidP="00D20AEA">
            <w:pPr>
              <w:pStyle w:val="naisf"/>
              <w:spacing w:before="0" w:after="0"/>
              <w:ind w:firstLine="0"/>
              <w:jc w:val="center"/>
            </w:pPr>
            <w:r w:rsidRPr="00C75709">
              <w:t>0</w:t>
            </w:r>
          </w:p>
        </w:tc>
        <w:tc>
          <w:tcPr>
            <w:tcW w:w="1435" w:type="dxa"/>
            <w:gridSpan w:val="2"/>
          </w:tcPr>
          <w:p w:rsidR="004E6B31" w:rsidRPr="00C75709" w:rsidRDefault="004E6B31" w:rsidP="00D20AEA">
            <w:pPr>
              <w:pStyle w:val="naisf"/>
              <w:spacing w:before="0" w:after="0"/>
              <w:ind w:firstLine="0"/>
              <w:jc w:val="center"/>
            </w:pPr>
            <w:r w:rsidRPr="00C75709">
              <w:t>0</w:t>
            </w:r>
          </w:p>
        </w:tc>
      </w:tr>
      <w:tr w:rsidR="004E6B31" w:rsidRPr="00C7570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t xml:space="preserve">2.3. pašvaldību budžets </w:t>
            </w:r>
          </w:p>
        </w:tc>
        <w:tc>
          <w:tcPr>
            <w:tcW w:w="1427" w:type="dxa"/>
            <w:gridSpan w:val="2"/>
          </w:tcPr>
          <w:p w:rsidR="004E6B31" w:rsidRPr="00C75709" w:rsidRDefault="004E6B31" w:rsidP="00D20AEA">
            <w:pPr>
              <w:pStyle w:val="naisf"/>
              <w:spacing w:before="0" w:after="0"/>
              <w:ind w:firstLine="0"/>
              <w:jc w:val="center"/>
            </w:pPr>
            <w:r w:rsidRPr="00C75709">
              <w:t>0</w:t>
            </w:r>
          </w:p>
        </w:tc>
        <w:tc>
          <w:tcPr>
            <w:tcW w:w="1388" w:type="dxa"/>
          </w:tcPr>
          <w:p w:rsidR="004E6B31" w:rsidRPr="006F00B0" w:rsidRDefault="004E6B31" w:rsidP="00D20AEA">
            <w:pPr>
              <w:pStyle w:val="naisf"/>
              <w:spacing w:before="0" w:after="0"/>
              <w:ind w:firstLine="0"/>
              <w:jc w:val="center"/>
            </w:pPr>
            <w:r w:rsidRPr="006F00B0">
              <w:t>0</w:t>
            </w:r>
          </w:p>
        </w:tc>
        <w:tc>
          <w:tcPr>
            <w:tcW w:w="1318" w:type="dxa"/>
          </w:tcPr>
          <w:p w:rsidR="004E6B31" w:rsidRPr="00C75709" w:rsidRDefault="004E6B31" w:rsidP="00D20AEA">
            <w:pPr>
              <w:pStyle w:val="naisf"/>
              <w:spacing w:before="0" w:after="0"/>
              <w:ind w:firstLine="0"/>
              <w:jc w:val="center"/>
            </w:pPr>
            <w:r w:rsidRPr="00C75709">
              <w:t>0</w:t>
            </w:r>
          </w:p>
        </w:tc>
        <w:tc>
          <w:tcPr>
            <w:tcW w:w="1319" w:type="dxa"/>
          </w:tcPr>
          <w:p w:rsidR="004E6B31" w:rsidRPr="00C75709" w:rsidRDefault="004E6B31" w:rsidP="00D20AEA">
            <w:pPr>
              <w:pStyle w:val="naisf"/>
              <w:spacing w:before="0" w:after="0"/>
              <w:ind w:firstLine="0"/>
              <w:jc w:val="center"/>
            </w:pPr>
            <w:r w:rsidRPr="00C75709">
              <w:t>0</w:t>
            </w:r>
          </w:p>
        </w:tc>
        <w:tc>
          <w:tcPr>
            <w:tcW w:w="1435" w:type="dxa"/>
            <w:gridSpan w:val="2"/>
          </w:tcPr>
          <w:p w:rsidR="004E6B31" w:rsidRPr="00C75709" w:rsidRDefault="004E6B31" w:rsidP="00D20AEA">
            <w:pPr>
              <w:pStyle w:val="naisf"/>
              <w:spacing w:before="0" w:after="0"/>
              <w:ind w:firstLine="0"/>
              <w:jc w:val="center"/>
            </w:pPr>
            <w:r w:rsidRPr="00C75709">
              <w:t>0</w:t>
            </w:r>
          </w:p>
        </w:tc>
      </w:tr>
      <w:tr w:rsidR="004E6B31" w:rsidRPr="00450D6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t>3. Finansiālā ietekme:</w:t>
            </w:r>
          </w:p>
        </w:tc>
        <w:tc>
          <w:tcPr>
            <w:tcW w:w="1427" w:type="dxa"/>
            <w:gridSpan w:val="2"/>
            <w:vAlign w:val="center"/>
          </w:tcPr>
          <w:p w:rsidR="004E6B31" w:rsidRPr="00450D69" w:rsidRDefault="004E6B31" w:rsidP="00D20AEA">
            <w:pPr>
              <w:pStyle w:val="naisf"/>
              <w:spacing w:before="0" w:after="0"/>
              <w:ind w:firstLine="0"/>
              <w:jc w:val="center"/>
            </w:pPr>
          </w:p>
        </w:tc>
        <w:tc>
          <w:tcPr>
            <w:tcW w:w="1388" w:type="dxa"/>
          </w:tcPr>
          <w:p w:rsidR="004E6B31" w:rsidRPr="00450D69" w:rsidRDefault="004E6B31" w:rsidP="00D20AEA">
            <w:pPr>
              <w:pStyle w:val="naisf"/>
              <w:spacing w:before="0" w:after="0"/>
              <w:ind w:firstLine="0"/>
            </w:pPr>
            <w:r w:rsidRPr="00450D69">
              <w:t>-</w:t>
            </w:r>
            <w:r>
              <w:t>42 296,00</w:t>
            </w:r>
          </w:p>
        </w:tc>
        <w:tc>
          <w:tcPr>
            <w:tcW w:w="1318" w:type="dxa"/>
          </w:tcPr>
          <w:p w:rsidR="004E6B31" w:rsidRPr="00450D69" w:rsidRDefault="004E6B31" w:rsidP="00D20AEA">
            <w:pPr>
              <w:pStyle w:val="naisf"/>
              <w:spacing w:before="0" w:after="0"/>
              <w:ind w:firstLine="0"/>
              <w:rPr>
                <w:b/>
                <w:i/>
              </w:rPr>
            </w:pPr>
          </w:p>
        </w:tc>
        <w:tc>
          <w:tcPr>
            <w:tcW w:w="1319" w:type="dxa"/>
          </w:tcPr>
          <w:p w:rsidR="004E6B31" w:rsidRPr="00450D69" w:rsidRDefault="004E6B31" w:rsidP="00D20AEA">
            <w:pPr>
              <w:pStyle w:val="naisf"/>
              <w:spacing w:before="0" w:after="0"/>
              <w:ind w:firstLine="0"/>
              <w:rPr>
                <w:b/>
                <w:i/>
              </w:rPr>
            </w:pPr>
          </w:p>
        </w:tc>
        <w:tc>
          <w:tcPr>
            <w:tcW w:w="1435" w:type="dxa"/>
            <w:gridSpan w:val="2"/>
          </w:tcPr>
          <w:p w:rsidR="004E6B31" w:rsidRPr="00450D69" w:rsidRDefault="004E6B31" w:rsidP="00D20AEA">
            <w:pPr>
              <w:pStyle w:val="naisf"/>
              <w:spacing w:before="0" w:after="0"/>
              <w:ind w:firstLine="0"/>
              <w:rPr>
                <w:b/>
                <w:i/>
              </w:rPr>
            </w:pPr>
          </w:p>
        </w:tc>
      </w:tr>
      <w:tr w:rsidR="004E6B31" w:rsidRPr="00450D6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t>3.1. valsts pamatbudžets</w:t>
            </w:r>
          </w:p>
        </w:tc>
        <w:tc>
          <w:tcPr>
            <w:tcW w:w="1427" w:type="dxa"/>
            <w:gridSpan w:val="2"/>
          </w:tcPr>
          <w:p w:rsidR="004E6B31" w:rsidRPr="00450D69" w:rsidRDefault="004E6B31" w:rsidP="00D20AEA">
            <w:pPr>
              <w:pStyle w:val="naisf"/>
              <w:spacing w:before="0" w:after="0"/>
              <w:ind w:firstLine="0"/>
            </w:pPr>
          </w:p>
        </w:tc>
        <w:tc>
          <w:tcPr>
            <w:tcW w:w="1388" w:type="dxa"/>
          </w:tcPr>
          <w:p w:rsidR="004E6B31" w:rsidRPr="00450D69" w:rsidRDefault="004E6B31" w:rsidP="00D20AEA">
            <w:pPr>
              <w:pStyle w:val="naisf"/>
              <w:spacing w:before="0" w:after="0"/>
              <w:ind w:firstLine="0"/>
            </w:pPr>
            <w:r w:rsidRPr="00450D69">
              <w:t>-</w:t>
            </w:r>
            <w:r>
              <w:t>42 296,00</w:t>
            </w:r>
          </w:p>
        </w:tc>
        <w:tc>
          <w:tcPr>
            <w:tcW w:w="1318" w:type="dxa"/>
          </w:tcPr>
          <w:p w:rsidR="004E6B31" w:rsidRPr="00450D69" w:rsidRDefault="004E6B31" w:rsidP="00D20AEA">
            <w:pPr>
              <w:pStyle w:val="naisf"/>
              <w:spacing w:before="0" w:after="0"/>
              <w:ind w:firstLine="0"/>
              <w:rPr>
                <w:b/>
                <w:i/>
              </w:rPr>
            </w:pPr>
          </w:p>
        </w:tc>
        <w:tc>
          <w:tcPr>
            <w:tcW w:w="1319" w:type="dxa"/>
          </w:tcPr>
          <w:p w:rsidR="004E6B31" w:rsidRPr="00450D69" w:rsidRDefault="004E6B31" w:rsidP="00D20AEA">
            <w:pPr>
              <w:pStyle w:val="naisf"/>
              <w:spacing w:before="0" w:after="0"/>
              <w:ind w:firstLine="0"/>
              <w:rPr>
                <w:b/>
                <w:i/>
              </w:rPr>
            </w:pPr>
          </w:p>
        </w:tc>
        <w:tc>
          <w:tcPr>
            <w:tcW w:w="1435" w:type="dxa"/>
            <w:gridSpan w:val="2"/>
          </w:tcPr>
          <w:p w:rsidR="004E6B31" w:rsidRPr="00450D69" w:rsidRDefault="004E6B31" w:rsidP="00D20AEA">
            <w:pPr>
              <w:pStyle w:val="naisf"/>
              <w:spacing w:before="0" w:after="0"/>
              <w:ind w:firstLine="0"/>
              <w:rPr>
                <w:b/>
                <w:i/>
              </w:rPr>
            </w:pPr>
          </w:p>
        </w:tc>
      </w:tr>
      <w:tr w:rsidR="004E6B31" w:rsidRPr="00450D6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t>3.2. speciālais budžets</w:t>
            </w:r>
          </w:p>
        </w:tc>
        <w:tc>
          <w:tcPr>
            <w:tcW w:w="1427" w:type="dxa"/>
            <w:gridSpan w:val="2"/>
          </w:tcPr>
          <w:p w:rsidR="004E6B31" w:rsidRPr="00450D69" w:rsidRDefault="004E6B31" w:rsidP="00D20AEA">
            <w:pPr>
              <w:pStyle w:val="naisf"/>
              <w:spacing w:before="0" w:after="0"/>
              <w:ind w:firstLine="0"/>
              <w:rPr>
                <w:i/>
              </w:rPr>
            </w:pPr>
          </w:p>
        </w:tc>
        <w:tc>
          <w:tcPr>
            <w:tcW w:w="1388" w:type="dxa"/>
          </w:tcPr>
          <w:p w:rsidR="004E6B31" w:rsidRPr="00450D69" w:rsidRDefault="004E6B31" w:rsidP="00D20AEA">
            <w:pPr>
              <w:pStyle w:val="naisf"/>
              <w:spacing w:before="0" w:after="0"/>
              <w:ind w:firstLine="0"/>
              <w:rPr>
                <w:b/>
                <w:i/>
              </w:rPr>
            </w:pPr>
          </w:p>
        </w:tc>
        <w:tc>
          <w:tcPr>
            <w:tcW w:w="1318" w:type="dxa"/>
          </w:tcPr>
          <w:p w:rsidR="004E6B31" w:rsidRPr="00450D69" w:rsidRDefault="004E6B31" w:rsidP="00D20AEA">
            <w:pPr>
              <w:pStyle w:val="naisf"/>
              <w:spacing w:before="0" w:after="0"/>
              <w:ind w:firstLine="0"/>
              <w:rPr>
                <w:b/>
                <w:i/>
              </w:rPr>
            </w:pPr>
          </w:p>
        </w:tc>
        <w:tc>
          <w:tcPr>
            <w:tcW w:w="1319" w:type="dxa"/>
          </w:tcPr>
          <w:p w:rsidR="004E6B31" w:rsidRPr="00450D69" w:rsidRDefault="004E6B31" w:rsidP="00D20AEA">
            <w:pPr>
              <w:pStyle w:val="naisf"/>
              <w:spacing w:before="0" w:after="0"/>
              <w:ind w:firstLine="0"/>
              <w:rPr>
                <w:b/>
                <w:i/>
              </w:rPr>
            </w:pPr>
          </w:p>
        </w:tc>
        <w:tc>
          <w:tcPr>
            <w:tcW w:w="1435" w:type="dxa"/>
            <w:gridSpan w:val="2"/>
          </w:tcPr>
          <w:p w:rsidR="004E6B31" w:rsidRPr="00450D69" w:rsidRDefault="004E6B31" w:rsidP="00D20AEA">
            <w:pPr>
              <w:pStyle w:val="naisf"/>
              <w:spacing w:before="0" w:after="0"/>
              <w:ind w:firstLine="0"/>
              <w:rPr>
                <w:b/>
                <w:i/>
              </w:rPr>
            </w:pPr>
          </w:p>
        </w:tc>
      </w:tr>
      <w:tr w:rsidR="004E6B31" w:rsidRPr="00450D6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t xml:space="preserve">3.3. pašvaldību budžets </w:t>
            </w:r>
          </w:p>
        </w:tc>
        <w:tc>
          <w:tcPr>
            <w:tcW w:w="1427" w:type="dxa"/>
            <w:gridSpan w:val="2"/>
          </w:tcPr>
          <w:p w:rsidR="004E6B31" w:rsidRPr="00450D69" w:rsidRDefault="004E6B31" w:rsidP="00D20AEA">
            <w:pPr>
              <w:pStyle w:val="naisf"/>
              <w:spacing w:before="0" w:after="0"/>
              <w:ind w:firstLine="0"/>
              <w:rPr>
                <w:i/>
              </w:rPr>
            </w:pPr>
          </w:p>
        </w:tc>
        <w:tc>
          <w:tcPr>
            <w:tcW w:w="1388" w:type="dxa"/>
          </w:tcPr>
          <w:p w:rsidR="004E6B31" w:rsidRPr="00450D69" w:rsidRDefault="004E6B31" w:rsidP="00D20AEA">
            <w:pPr>
              <w:pStyle w:val="naisf"/>
              <w:spacing w:before="0" w:after="0"/>
              <w:ind w:firstLine="0"/>
              <w:rPr>
                <w:b/>
                <w:i/>
              </w:rPr>
            </w:pPr>
          </w:p>
        </w:tc>
        <w:tc>
          <w:tcPr>
            <w:tcW w:w="1318" w:type="dxa"/>
          </w:tcPr>
          <w:p w:rsidR="004E6B31" w:rsidRPr="00450D69" w:rsidRDefault="004E6B31" w:rsidP="00D20AEA">
            <w:pPr>
              <w:pStyle w:val="naisf"/>
              <w:spacing w:before="0" w:after="0"/>
              <w:ind w:firstLine="0"/>
              <w:rPr>
                <w:b/>
                <w:i/>
              </w:rPr>
            </w:pPr>
          </w:p>
        </w:tc>
        <w:tc>
          <w:tcPr>
            <w:tcW w:w="1319" w:type="dxa"/>
          </w:tcPr>
          <w:p w:rsidR="004E6B31" w:rsidRPr="00450D69" w:rsidRDefault="004E6B31" w:rsidP="00D20AEA">
            <w:pPr>
              <w:pStyle w:val="naisf"/>
              <w:spacing w:before="0" w:after="0"/>
              <w:ind w:firstLine="0"/>
              <w:rPr>
                <w:b/>
                <w:i/>
              </w:rPr>
            </w:pPr>
          </w:p>
        </w:tc>
        <w:tc>
          <w:tcPr>
            <w:tcW w:w="1435" w:type="dxa"/>
            <w:gridSpan w:val="2"/>
          </w:tcPr>
          <w:p w:rsidR="004E6B31" w:rsidRPr="00450D69" w:rsidRDefault="004E6B31" w:rsidP="00D20AEA">
            <w:pPr>
              <w:pStyle w:val="naisf"/>
              <w:spacing w:before="0" w:after="0"/>
              <w:ind w:firstLine="0"/>
              <w:rPr>
                <w:b/>
                <w:i/>
              </w:rPr>
            </w:pPr>
          </w:p>
        </w:tc>
      </w:tr>
      <w:tr w:rsidR="004E6B31" w:rsidRPr="00450D69" w:rsidTr="00FD2E31">
        <w:tblPrEx>
          <w:jc w:val="center"/>
        </w:tblPrEx>
        <w:trPr>
          <w:gridBefore w:val="1"/>
          <w:wBefore w:w="82" w:type="dxa"/>
          <w:jc w:val="center"/>
        </w:trPr>
        <w:tc>
          <w:tcPr>
            <w:tcW w:w="2461" w:type="dxa"/>
            <w:gridSpan w:val="2"/>
            <w:vMerge w:val="restart"/>
          </w:tcPr>
          <w:p w:rsidR="004E6B31" w:rsidRPr="00450D69" w:rsidRDefault="004E6B31" w:rsidP="00D20AEA">
            <w:pPr>
              <w:jc w:val="both"/>
            </w:pPr>
            <w:r w:rsidRPr="00450D69">
              <w:t>4. Finanšu līdzekļi papildu izde</w:t>
            </w:r>
            <w:r w:rsidRPr="00450D69">
              <w:softHyphen/>
              <w:t xml:space="preserve">vumu finansēšanai (kompensējošu izdevumu samazinājumu norāda </w:t>
            </w:r>
            <w:r w:rsidRPr="00450D69">
              <w:lastRenderedPageBreak/>
              <w:t>ar "+" zīmi)</w:t>
            </w:r>
          </w:p>
        </w:tc>
        <w:tc>
          <w:tcPr>
            <w:tcW w:w="1427" w:type="dxa"/>
            <w:gridSpan w:val="2"/>
            <w:vMerge w:val="restart"/>
          </w:tcPr>
          <w:p w:rsidR="004E6B31" w:rsidRPr="00450D69" w:rsidRDefault="004E6B31" w:rsidP="00D20AEA">
            <w:pPr>
              <w:pStyle w:val="naisf"/>
              <w:spacing w:before="0" w:after="0"/>
              <w:ind w:firstLine="0"/>
              <w:jc w:val="center"/>
              <w:rPr>
                <w:i/>
              </w:rPr>
            </w:pPr>
            <w:r w:rsidRPr="00450D69">
              <w:lastRenderedPageBreak/>
              <w:t>X</w:t>
            </w:r>
          </w:p>
        </w:tc>
        <w:tc>
          <w:tcPr>
            <w:tcW w:w="1388" w:type="dxa"/>
          </w:tcPr>
          <w:p w:rsidR="004E6B31" w:rsidRPr="00450D69" w:rsidRDefault="004E6B31" w:rsidP="00D20AEA">
            <w:pPr>
              <w:pStyle w:val="naisf"/>
              <w:spacing w:before="0" w:after="0"/>
              <w:ind w:firstLine="0"/>
              <w:jc w:val="left"/>
              <w:rPr>
                <w:b/>
                <w:i/>
              </w:rPr>
            </w:pPr>
          </w:p>
        </w:tc>
        <w:tc>
          <w:tcPr>
            <w:tcW w:w="1318" w:type="dxa"/>
          </w:tcPr>
          <w:p w:rsidR="004E6B31" w:rsidRPr="00450D69" w:rsidRDefault="004E6B31" w:rsidP="00D20AEA">
            <w:pPr>
              <w:pStyle w:val="naisf"/>
              <w:spacing w:before="0" w:after="0"/>
              <w:ind w:firstLine="0"/>
              <w:jc w:val="left"/>
              <w:rPr>
                <w:b/>
                <w:i/>
              </w:rPr>
            </w:pPr>
          </w:p>
        </w:tc>
        <w:tc>
          <w:tcPr>
            <w:tcW w:w="1319" w:type="dxa"/>
          </w:tcPr>
          <w:p w:rsidR="004E6B31" w:rsidRPr="00450D69" w:rsidRDefault="004E6B31" w:rsidP="00D20AEA">
            <w:pPr>
              <w:pStyle w:val="naisf"/>
              <w:spacing w:before="0" w:after="0"/>
              <w:ind w:firstLine="0"/>
              <w:jc w:val="left"/>
              <w:rPr>
                <w:b/>
                <w:i/>
              </w:rPr>
            </w:pPr>
          </w:p>
        </w:tc>
        <w:tc>
          <w:tcPr>
            <w:tcW w:w="1435" w:type="dxa"/>
            <w:gridSpan w:val="2"/>
          </w:tcPr>
          <w:p w:rsidR="004E6B31" w:rsidRPr="00450D69" w:rsidRDefault="004E6B31" w:rsidP="00D20AEA">
            <w:pPr>
              <w:pStyle w:val="naisf"/>
              <w:spacing w:before="0" w:after="0"/>
              <w:ind w:firstLine="0"/>
              <w:jc w:val="left"/>
              <w:rPr>
                <w:b/>
                <w:i/>
              </w:rPr>
            </w:pPr>
          </w:p>
        </w:tc>
      </w:tr>
      <w:tr w:rsidR="004E6B31" w:rsidRPr="00450D69" w:rsidTr="00FD2E31">
        <w:tblPrEx>
          <w:jc w:val="center"/>
        </w:tblPrEx>
        <w:trPr>
          <w:gridBefore w:val="1"/>
          <w:wBefore w:w="82" w:type="dxa"/>
          <w:jc w:val="center"/>
        </w:trPr>
        <w:tc>
          <w:tcPr>
            <w:tcW w:w="2461" w:type="dxa"/>
            <w:gridSpan w:val="2"/>
            <w:vMerge/>
            <w:vAlign w:val="center"/>
          </w:tcPr>
          <w:p w:rsidR="004E6B31" w:rsidRPr="00450D69" w:rsidRDefault="004E6B31" w:rsidP="00D20AEA"/>
        </w:tc>
        <w:tc>
          <w:tcPr>
            <w:tcW w:w="1427" w:type="dxa"/>
            <w:gridSpan w:val="2"/>
            <w:vMerge/>
            <w:vAlign w:val="center"/>
          </w:tcPr>
          <w:p w:rsidR="004E6B31" w:rsidRPr="00450D69" w:rsidRDefault="004E6B31" w:rsidP="00D20AEA">
            <w:pPr>
              <w:rPr>
                <w:i/>
              </w:rPr>
            </w:pPr>
          </w:p>
        </w:tc>
        <w:tc>
          <w:tcPr>
            <w:tcW w:w="1388" w:type="dxa"/>
          </w:tcPr>
          <w:p w:rsidR="004E6B31" w:rsidRPr="00450D69" w:rsidRDefault="004E6B31" w:rsidP="00D20AEA">
            <w:pPr>
              <w:pStyle w:val="naisf"/>
              <w:spacing w:before="0" w:after="0"/>
              <w:ind w:firstLine="0"/>
              <w:jc w:val="left"/>
              <w:rPr>
                <w:b/>
                <w:i/>
              </w:rPr>
            </w:pPr>
          </w:p>
        </w:tc>
        <w:tc>
          <w:tcPr>
            <w:tcW w:w="1318" w:type="dxa"/>
          </w:tcPr>
          <w:p w:rsidR="004E6B31" w:rsidRPr="00450D69" w:rsidRDefault="004E6B31" w:rsidP="00D20AEA">
            <w:pPr>
              <w:pStyle w:val="naisf"/>
              <w:spacing w:before="0" w:after="0"/>
              <w:ind w:firstLine="0"/>
              <w:jc w:val="left"/>
              <w:rPr>
                <w:b/>
                <w:i/>
              </w:rPr>
            </w:pPr>
          </w:p>
        </w:tc>
        <w:tc>
          <w:tcPr>
            <w:tcW w:w="1319" w:type="dxa"/>
          </w:tcPr>
          <w:p w:rsidR="004E6B31" w:rsidRPr="00450D69" w:rsidRDefault="004E6B31" w:rsidP="00D20AEA">
            <w:pPr>
              <w:pStyle w:val="naisf"/>
              <w:spacing w:before="0" w:after="0"/>
              <w:ind w:firstLine="0"/>
              <w:jc w:val="left"/>
              <w:rPr>
                <w:b/>
                <w:i/>
              </w:rPr>
            </w:pPr>
          </w:p>
        </w:tc>
        <w:tc>
          <w:tcPr>
            <w:tcW w:w="1435" w:type="dxa"/>
            <w:gridSpan w:val="2"/>
          </w:tcPr>
          <w:p w:rsidR="004E6B31" w:rsidRPr="00450D69" w:rsidRDefault="004E6B31" w:rsidP="00D20AEA">
            <w:pPr>
              <w:pStyle w:val="naisf"/>
              <w:spacing w:before="0" w:after="0"/>
              <w:ind w:firstLine="0"/>
              <w:jc w:val="left"/>
              <w:rPr>
                <w:b/>
                <w:i/>
              </w:rPr>
            </w:pPr>
          </w:p>
        </w:tc>
      </w:tr>
      <w:tr w:rsidR="004E6B31" w:rsidRPr="00450D69" w:rsidTr="00FD2E31">
        <w:tblPrEx>
          <w:jc w:val="center"/>
        </w:tblPrEx>
        <w:trPr>
          <w:gridBefore w:val="1"/>
          <w:wBefore w:w="82" w:type="dxa"/>
          <w:jc w:val="center"/>
        </w:trPr>
        <w:tc>
          <w:tcPr>
            <w:tcW w:w="2461" w:type="dxa"/>
            <w:gridSpan w:val="2"/>
            <w:vMerge/>
            <w:vAlign w:val="center"/>
          </w:tcPr>
          <w:p w:rsidR="004E6B31" w:rsidRPr="00450D69" w:rsidRDefault="004E6B31" w:rsidP="00D20AEA"/>
        </w:tc>
        <w:tc>
          <w:tcPr>
            <w:tcW w:w="1427" w:type="dxa"/>
            <w:gridSpan w:val="2"/>
            <w:vMerge/>
            <w:vAlign w:val="center"/>
          </w:tcPr>
          <w:p w:rsidR="004E6B31" w:rsidRPr="00450D69" w:rsidRDefault="004E6B31" w:rsidP="00D20AEA">
            <w:pPr>
              <w:rPr>
                <w:i/>
              </w:rPr>
            </w:pPr>
          </w:p>
        </w:tc>
        <w:tc>
          <w:tcPr>
            <w:tcW w:w="1388" w:type="dxa"/>
          </w:tcPr>
          <w:p w:rsidR="004E6B31" w:rsidRPr="00450D69" w:rsidRDefault="004E6B31" w:rsidP="00D20AEA">
            <w:pPr>
              <w:pStyle w:val="naisf"/>
              <w:spacing w:before="0" w:after="0"/>
              <w:ind w:firstLine="0"/>
              <w:jc w:val="left"/>
              <w:rPr>
                <w:b/>
                <w:i/>
              </w:rPr>
            </w:pPr>
          </w:p>
        </w:tc>
        <w:tc>
          <w:tcPr>
            <w:tcW w:w="1318" w:type="dxa"/>
          </w:tcPr>
          <w:p w:rsidR="004E6B31" w:rsidRPr="00450D69" w:rsidRDefault="004E6B31" w:rsidP="00D20AEA">
            <w:pPr>
              <w:pStyle w:val="naisf"/>
              <w:spacing w:before="0" w:after="0"/>
              <w:ind w:firstLine="0"/>
              <w:jc w:val="left"/>
              <w:rPr>
                <w:b/>
                <w:i/>
              </w:rPr>
            </w:pPr>
          </w:p>
        </w:tc>
        <w:tc>
          <w:tcPr>
            <w:tcW w:w="1319" w:type="dxa"/>
          </w:tcPr>
          <w:p w:rsidR="004E6B31" w:rsidRPr="00450D69" w:rsidRDefault="004E6B31" w:rsidP="00D20AEA">
            <w:pPr>
              <w:pStyle w:val="naisf"/>
              <w:spacing w:before="0" w:after="0"/>
              <w:ind w:firstLine="0"/>
              <w:jc w:val="left"/>
              <w:rPr>
                <w:b/>
                <w:i/>
              </w:rPr>
            </w:pPr>
          </w:p>
        </w:tc>
        <w:tc>
          <w:tcPr>
            <w:tcW w:w="1435" w:type="dxa"/>
            <w:gridSpan w:val="2"/>
          </w:tcPr>
          <w:p w:rsidR="004E6B31" w:rsidRPr="00450D69" w:rsidRDefault="004E6B31" w:rsidP="00D20AEA">
            <w:pPr>
              <w:pStyle w:val="naisf"/>
              <w:spacing w:before="0" w:after="0"/>
              <w:ind w:firstLine="0"/>
              <w:jc w:val="left"/>
              <w:rPr>
                <w:b/>
                <w:i/>
              </w:rPr>
            </w:pPr>
          </w:p>
        </w:tc>
      </w:tr>
      <w:tr w:rsidR="004E6B31" w:rsidRPr="00450D6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lastRenderedPageBreak/>
              <w:t>5. Precizēta finansiālā ietekme:</w:t>
            </w:r>
          </w:p>
        </w:tc>
        <w:tc>
          <w:tcPr>
            <w:tcW w:w="1427" w:type="dxa"/>
            <w:gridSpan w:val="2"/>
            <w:vMerge w:val="restart"/>
          </w:tcPr>
          <w:p w:rsidR="004E6B31" w:rsidRPr="00450D69" w:rsidRDefault="004E6B31" w:rsidP="00D20AEA">
            <w:pPr>
              <w:pStyle w:val="naisf"/>
              <w:spacing w:before="0" w:after="0"/>
              <w:ind w:firstLine="0"/>
              <w:jc w:val="center"/>
              <w:rPr>
                <w:i/>
              </w:rPr>
            </w:pPr>
            <w:r w:rsidRPr="00450D69">
              <w:t>X</w:t>
            </w:r>
          </w:p>
        </w:tc>
        <w:tc>
          <w:tcPr>
            <w:tcW w:w="1388" w:type="dxa"/>
          </w:tcPr>
          <w:p w:rsidR="004E6B31" w:rsidRPr="00450D69" w:rsidRDefault="004E6B31" w:rsidP="00D20AEA">
            <w:pPr>
              <w:pStyle w:val="naisf"/>
              <w:spacing w:before="0" w:after="0"/>
              <w:ind w:firstLine="0"/>
              <w:rPr>
                <w:b/>
                <w:i/>
              </w:rPr>
            </w:pPr>
          </w:p>
        </w:tc>
        <w:tc>
          <w:tcPr>
            <w:tcW w:w="1318" w:type="dxa"/>
          </w:tcPr>
          <w:p w:rsidR="004E6B31" w:rsidRPr="00450D69" w:rsidRDefault="004E6B31" w:rsidP="00D20AEA">
            <w:pPr>
              <w:pStyle w:val="naisf"/>
              <w:spacing w:before="0" w:after="0"/>
              <w:ind w:firstLine="0"/>
              <w:rPr>
                <w:b/>
                <w:i/>
              </w:rPr>
            </w:pPr>
          </w:p>
        </w:tc>
        <w:tc>
          <w:tcPr>
            <w:tcW w:w="1319" w:type="dxa"/>
          </w:tcPr>
          <w:p w:rsidR="004E6B31" w:rsidRPr="00450D69" w:rsidRDefault="004E6B31" w:rsidP="00D20AEA">
            <w:pPr>
              <w:pStyle w:val="naisf"/>
              <w:spacing w:before="0" w:after="0"/>
              <w:ind w:firstLine="0"/>
              <w:rPr>
                <w:b/>
                <w:i/>
              </w:rPr>
            </w:pPr>
          </w:p>
        </w:tc>
        <w:tc>
          <w:tcPr>
            <w:tcW w:w="1435" w:type="dxa"/>
            <w:gridSpan w:val="2"/>
          </w:tcPr>
          <w:p w:rsidR="004E6B31" w:rsidRPr="00450D69" w:rsidRDefault="004E6B31" w:rsidP="00D20AEA">
            <w:pPr>
              <w:pStyle w:val="naisf"/>
              <w:spacing w:before="0" w:after="0"/>
              <w:ind w:firstLine="0"/>
              <w:rPr>
                <w:b/>
                <w:i/>
              </w:rPr>
            </w:pPr>
          </w:p>
        </w:tc>
      </w:tr>
      <w:tr w:rsidR="004E6B31" w:rsidRPr="00450D6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t>5.1. valsts pamatbudžets</w:t>
            </w:r>
          </w:p>
        </w:tc>
        <w:tc>
          <w:tcPr>
            <w:tcW w:w="1427" w:type="dxa"/>
            <w:gridSpan w:val="2"/>
            <w:vMerge/>
            <w:vAlign w:val="center"/>
          </w:tcPr>
          <w:p w:rsidR="004E6B31" w:rsidRPr="00450D69" w:rsidRDefault="004E6B31" w:rsidP="00D20AEA">
            <w:pPr>
              <w:rPr>
                <w:i/>
              </w:rPr>
            </w:pPr>
          </w:p>
        </w:tc>
        <w:tc>
          <w:tcPr>
            <w:tcW w:w="1388" w:type="dxa"/>
          </w:tcPr>
          <w:p w:rsidR="004E6B31" w:rsidRPr="00450D69" w:rsidRDefault="004E6B31" w:rsidP="00D20AEA">
            <w:pPr>
              <w:pStyle w:val="naisf"/>
              <w:spacing w:before="0" w:after="0"/>
              <w:ind w:firstLine="0"/>
              <w:rPr>
                <w:b/>
                <w:i/>
              </w:rPr>
            </w:pPr>
          </w:p>
        </w:tc>
        <w:tc>
          <w:tcPr>
            <w:tcW w:w="1318" w:type="dxa"/>
          </w:tcPr>
          <w:p w:rsidR="004E6B31" w:rsidRPr="00450D69" w:rsidRDefault="004E6B31" w:rsidP="00D20AEA">
            <w:pPr>
              <w:pStyle w:val="naisf"/>
              <w:spacing w:before="0" w:after="0"/>
              <w:ind w:firstLine="0"/>
              <w:rPr>
                <w:b/>
                <w:i/>
              </w:rPr>
            </w:pPr>
          </w:p>
        </w:tc>
        <w:tc>
          <w:tcPr>
            <w:tcW w:w="1319" w:type="dxa"/>
          </w:tcPr>
          <w:p w:rsidR="004E6B31" w:rsidRPr="00450D69" w:rsidRDefault="004E6B31" w:rsidP="00D20AEA">
            <w:pPr>
              <w:pStyle w:val="naisf"/>
              <w:spacing w:before="0" w:after="0"/>
              <w:ind w:firstLine="0"/>
              <w:rPr>
                <w:b/>
                <w:i/>
              </w:rPr>
            </w:pPr>
          </w:p>
        </w:tc>
        <w:tc>
          <w:tcPr>
            <w:tcW w:w="1435" w:type="dxa"/>
            <w:gridSpan w:val="2"/>
          </w:tcPr>
          <w:p w:rsidR="004E6B31" w:rsidRPr="00450D69" w:rsidRDefault="004E6B31" w:rsidP="00D20AEA">
            <w:pPr>
              <w:pStyle w:val="naisf"/>
              <w:spacing w:before="0" w:after="0"/>
              <w:ind w:firstLine="0"/>
              <w:rPr>
                <w:b/>
                <w:i/>
              </w:rPr>
            </w:pPr>
          </w:p>
        </w:tc>
      </w:tr>
      <w:tr w:rsidR="004E6B31" w:rsidRPr="00450D6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t>5.2. speciālais budžets</w:t>
            </w:r>
          </w:p>
        </w:tc>
        <w:tc>
          <w:tcPr>
            <w:tcW w:w="1427" w:type="dxa"/>
            <w:gridSpan w:val="2"/>
            <w:vMerge/>
            <w:vAlign w:val="center"/>
          </w:tcPr>
          <w:p w:rsidR="004E6B31" w:rsidRPr="00450D69" w:rsidRDefault="004E6B31" w:rsidP="00D20AEA">
            <w:pPr>
              <w:rPr>
                <w:i/>
              </w:rPr>
            </w:pPr>
          </w:p>
        </w:tc>
        <w:tc>
          <w:tcPr>
            <w:tcW w:w="1388" w:type="dxa"/>
          </w:tcPr>
          <w:p w:rsidR="004E6B31" w:rsidRPr="00450D69" w:rsidRDefault="004E6B31" w:rsidP="00D20AEA">
            <w:pPr>
              <w:pStyle w:val="naisf"/>
              <w:spacing w:before="0" w:after="0"/>
              <w:ind w:firstLine="0"/>
              <w:rPr>
                <w:b/>
                <w:i/>
              </w:rPr>
            </w:pPr>
          </w:p>
        </w:tc>
        <w:tc>
          <w:tcPr>
            <w:tcW w:w="1318" w:type="dxa"/>
          </w:tcPr>
          <w:p w:rsidR="004E6B31" w:rsidRPr="00450D69" w:rsidRDefault="004E6B31" w:rsidP="00D20AEA">
            <w:pPr>
              <w:pStyle w:val="naisf"/>
              <w:spacing w:before="0" w:after="0"/>
              <w:ind w:firstLine="0"/>
              <w:rPr>
                <w:b/>
                <w:i/>
              </w:rPr>
            </w:pPr>
          </w:p>
        </w:tc>
        <w:tc>
          <w:tcPr>
            <w:tcW w:w="1319" w:type="dxa"/>
          </w:tcPr>
          <w:p w:rsidR="004E6B31" w:rsidRPr="00450D69" w:rsidRDefault="004E6B31" w:rsidP="00D20AEA">
            <w:pPr>
              <w:pStyle w:val="naisf"/>
              <w:spacing w:before="0" w:after="0"/>
              <w:ind w:firstLine="0"/>
              <w:rPr>
                <w:b/>
                <w:i/>
              </w:rPr>
            </w:pPr>
          </w:p>
        </w:tc>
        <w:tc>
          <w:tcPr>
            <w:tcW w:w="1435" w:type="dxa"/>
            <w:gridSpan w:val="2"/>
          </w:tcPr>
          <w:p w:rsidR="004E6B31" w:rsidRPr="00450D69" w:rsidRDefault="004E6B31" w:rsidP="00D20AEA">
            <w:pPr>
              <w:pStyle w:val="naisf"/>
              <w:spacing w:before="0" w:after="0"/>
              <w:ind w:firstLine="0"/>
              <w:rPr>
                <w:b/>
                <w:i/>
              </w:rPr>
            </w:pPr>
          </w:p>
        </w:tc>
      </w:tr>
      <w:tr w:rsidR="004E6B31" w:rsidRPr="00450D6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t xml:space="preserve">5.3. pašvaldību budžets </w:t>
            </w:r>
          </w:p>
        </w:tc>
        <w:tc>
          <w:tcPr>
            <w:tcW w:w="1427" w:type="dxa"/>
            <w:gridSpan w:val="2"/>
            <w:vMerge/>
            <w:vAlign w:val="center"/>
          </w:tcPr>
          <w:p w:rsidR="004E6B31" w:rsidRPr="00450D69" w:rsidRDefault="004E6B31" w:rsidP="00D20AEA">
            <w:pPr>
              <w:rPr>
                <w:i/>
              </w:rPr>
            </w:pPr>
          </w:p>
        </w:tc>
        <w:tc>
          <w:tcPr>
            <w:tcW w:w="1388" w:type="dxa"/>
          </w:tcPr>
          <w:p w:rsidR="004E6B31" w:rsidRPr="00450D69" w:rsidRDefault="004E6B31" w:rsidP="00D20AEA">
            <w:pPr>
              <w:pStyle w:val="naisf"/>
              <w:spacing w:before="0" w:after="0"/>
              <w:ind w:firstLine="0"/>
              <w:rPr>
                <w:b/>
                <w:i/>
              </w:rPr>
            </w:pPr>
          </w:p>
        </w:tc>
        <w:tc>
          <w:tcPr>
            <w:tcW w:w="1318" w:type="dxa"/>
          </w:tcPr>
          <w:p w:rsidR="004E6B31" w:rsidRPr="00450D69" w:rsidRDefault="004E6B31" w:rsidP="00D20AEA">
            <w:pPr>
              <w:pStyle w:val="naisf"/>
              <w:spacing w:before="0" w:after="0"/>
              <w:ind w:firstLine="0"/>
              <w:rPr>
                <w:b/>
                <w:i/>
              </w:rPr>
            </w:pPr>
          </w:p>
        </w:tc>
        <w:tc>
          <w:tcPr>
            <w:tcW w:w="1319" w:type="dxa"/>
          </w:tcPr>
          <w:p w:rsidR="004E6B31" w:rsidRPr="00450D69" w:rsidRDefault="004E6B31" w:rsidP="00D20AEA">
            <w:pPr>
              <w:pStyle w:val="naisf"/>
              <w:spacing w:before="0" w:after="0"/>
              <w:ind w:firstLine="0"/>
              <w:rPr>
                <w:b/>
                <w:i/>
              </w:rPr>
            </w:pPr>
          </w:p>
        </w:tc>
        <w:tc>
          <w:tcPr>
            <w:tcW w:w="1435" w:type="dxa"/>
            <w:gridSpan w:val="2"/>
          </w:tcPr>
          <w:p w:rsidR="004E6B31" w:rsidRPr="00450D69" w:rsidRDefault="004E6B31" w:rsidP="00D20AEA">
            <w:pPr>
              <w:pStyle w:val="naisf"/>
              <w:spacing w:before="0" w:after="0"/>
              <w:ind w:firstLine="0"/>
              <w:rPr>
                <w:b/>
                <w:i/>
              </w:rPr>
            </w:pPr>
          </w:p>
        </w:tc>
      </w:tr>
      <w:tr w:rsidR="004E6B31" w:rsidRPr="00450D6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t>6. Detalizēts ieņēmumu un izdevu</w:t>
            </w:r>
            <w:r w:rsidRPr="00450D69">
              <w:softHyphen/>
              <w:t>mu aprēķins (ja nepieciešams, detalizētu ieņēmumu un izdevumu aprēķinu var pievienot anotācijas pielikumā):</w:t>
            </w:r>
          </w:p>
        </w:tc>
        <w:tc>
          <w:tcPr>
            <w:tcW w:w="6887" w:type="dxa"/>
            <w:gridSpan w:val="7"/>
            <w:vMerge w:val="restart"/>
            <w:vAlign w:val="center"/>
          </w:tcPr>
          <w:p w:rsidR="004E6B31" w:rsidRPr="00450D69" w:rsidRDefault="004E6B31" w:rsidP="00D20AEA">
            <w:pPr>
              <w:pStyle w:val="naisf"/>
              <w:spacing w:before="0" w:after="0"/>
              <w:ind w:firstLine="0"/>
              <w:rPr>
                <w:b/>
                <w:i/>
              </w:rPr>
            </w:pPr>
          </w:p>
        </w:tc>
      </w:tr>
      <w:tr w:rsidR="004E6B31" w:rsidRPr="00450D6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t>6.1. detalizēts ieņēmumu aprēķins</w:t>
            </w:r>
          </w:p>
        </w:tc>
        <w:tc>
          <w:tcPr>
            <w:tcW w:w="6887" w:type="dxa"/>
            <w:gridSpan w:val="7"/>
            <w:vMerge/>
            <w:vAlign w:val="center"/>
          </w:tcPr>
          <w:p w:rsidR="004E6B31" w:rsidRPr="00450D69" w:rsidRDefault="004E6B31" w:rsidP="00D20AEA">
            <w:pPr>
              <w:rPr>
                <w:b/>
                <w:i/>
              </w:rPr>
            </w:pPr>
          </w:p>
        </w:tc>
      </w:tr>
      <w:tr w:rsidR="004E6B31" w:rsidRPr="00450D6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t>6.2. detalizēts izdevumu aprēķins</w:t>
            </w:r>
          </w:p>
        </w:tc>
        <w:tc>
          <w:tcPr>
            <w:tcW w:w="6887" w:type="dxa"/>
            <w:gridSpan w:val="7"/>
            <w:vMerge/>
            <w:vAlign w:val="center"/>
          </w:tcPr>
          <w:p w:rsidR="004E6B31" w:rsidRPr="00450D69" w:rsidRDefault="004E6B31" w:rsidP="00D20AEA">
            <w:pPr>
              <w:rPr>
                <w:b/>
                <w:i/>
              </w:rPr>
            </w:pPr>
          </w:p>
        </w:tc>
      </w:tr>
      <w:tr w:rsidR="004E6B31" w:rsidRPr="00450D69" w:rsidTr="00FD2E31">
        <w:tblPrEx>
          <w:jc w:val="center"/>
        </w:tblPrEx>
        <w:trPr>
          <w:gridBefore w:val="1"/>
          <w:wBefore w:w="82" w:type="dxa"/>
          <w:jc w:val="center"/>
        </w:trPr>
        <w:tc>
          <w:tcPr>
            <w:tcW w:w="2461" w:type="dxa"/>
            <w:gridSpan w:val="2"/>
          </w:tcPr>
          <w:p w:rsidR="004E6B31" w:rsidRPr="00450D69" w:rsidRDefault="004E6B31" w:rsidP="00D20AEA">
            <w:pPr>
              <w:jc w:val="both"/>
            </w:pPr>
            <w:r w:rsidRPr="00450D69">
              <w:t>7. Cita informācija</w:t>
            </w:r>
          </w:p>
        </w:tc>
        <w:tc>
          <w:tcPr>
            <w:tcW w:w="6887" w:type="dxa"/>
            <w:gridSpan w:val="7"/>
          </w:tcPr>
          <w:p w:rsidR="004E6B31" w:rsidRPr="00450D69" w:rsidRDefault="004E6B31" w:rsidP="00D20AEA">
            <w:pPr>
              <w:pStyle w:val="naiskr"/>
              <w:spacing w:before="0" w:after="0"/>
              <w:jc w:val="both"/>
            </w:pPr>
          </w:p>
          <w:p w:rsidR="004E6B31" w:rsidRPr="00450D69" w:rsidRDefault="004E6B31" w:rsidP="00D20AEA">
            <w:pPr>
              <w:pStyle w:val="naisf"/>
              <w:tabs>
                <w:tab w:val="left" w:pos="4644"/>
              </w:tabs>
              <w:spacing w:before="0" w:after="0"/>
              <w:ind w:firstLine="0"/>
              <w:rPr>
                <w:b/>
                <w:i/>
              </w:rPr>
            </w:pPr>
            <w:r w:rsidRPr="00450D69">
              <w:t>Nav</w:t>
            </w:r>
          </w:p>
        </w:tc>
      </w:tr>
    </w:tbl>
    <w:p w:rsidR="004E6B31" w:rsidRPr="00334529" w:rsidRDefault="004E6B31" w:rsidP="006A554A">
      <w:pPr>
        <w:jc w:val="both"/>
        <w:rPr>
          <w:sz w:val="26"/>
          <w:szCs w:val="26"/>
        </w:rPr>
      </w:pPr>
    </w:p>
    <w:p w:rsidR="004E6B31" w:rsidRPr="00334529" w:rsidRDefault="004E6B31" w:rsidP="0082475D">
      <w:pPr>
        <w:rPr>
          <w:sz w:val="26"/>
          <w:szCs w:val="26"/>
        </w:rPr>
      </w:pPr>
    </w:p>
    <w:p w:rsidR="004E6B31" w:rsidRPr="009916E4" w:rsidRDefault="004E6B31" w:rsidP="0082475D">
      <w:pPr>
        <w:rPr>
          <w:sz w:val="28"/>
          <w:szCs w:val="28"/>
        </w:rPr>
      </w:pPr>
      <w:r w:rsidRPr="009916E4">
        <w:rPr>
          <w:sz w:val="28"/>
          <w:szCs w:val="28"/>
        </w:rPr>
        <w:t>Anotācijas II, IV, V, VI, VII sadaļa – nav attiecināma.</w:t>
      </w:r>
    </w:p>
    <w:p w:rsidR="004E6B31" w:rsidRPr="009916E4" w:rsidRDefault="004E6B31" w:rsidP="006A554A">
      <w:pPr>
        <w:jc w:val="both"/>
      </w:pPr>
    </w:p>
    <w:p w:rsidR="004E6B31" w:rsidRPr="009916E4" w:rsidRDefault="004E6B31" w:rsidP="00813A26">
      <w:pPr>
        <w:pStyle w:val="naisf"/>
        <w:spacing w:before="0" w:after="0"/>
        <w:ind w:firstLine="720"/>
        <w:rPr>
          <w:sz w:val="28"/>
          <w:szCs w:val="28"/>
        </w:rPr>
      </w:pPr>
    </w:p>
    <w:p w:rsidR="004E6B31" w:rsidRPr="009916E4" w:rsidRDefault="004E6B31" w:rsidP="00813A26">
      <w:pPr>
        <w:pStyle w:val="naisf"/>
        <w:spacing w:before="0" w:after="0"/>
        <w:ind w:firstLine="720"/>
        <w:rPr>
          <w:sz w:val="28"/>
          <w:szCs w:val="28"/>
        </w:rPr>
      </w:pPr>
      <w:r w:rsidRPr="009916E4">
        <w:rPr>
          <w:sz w:val="28"/>
          <w:szCs w:val="28"/>
        </w:rPr>
        <w:t>Satiksmes ministrs</w:t>
      </w:r>
      <w:r w:rsidRPr="009916E4">
        <w:rPr>
          <w:sz w:val="28"/>
          <w:szCs w:val="28"/>
        </w:rPr>
        <w:tab/>
      </w:r>
      <w:r w:rsidRPr="009916E4">
        <w:rPr>
          <w:sz w:val="28"/>
          <w:szCs w:val="28"/>
        </w:rPr>
        <w:tab/>
      </w:r>
      <w:r w:rsidRPr="009916E4">
        <w:rPr>
          <w:sz w:val="28"/>
          <w:szCs w:val="28"/>
        </w:rPr>
        <w:tab/>
      </w:r>
      <w:r w:rsidRPr="009916E4">
        <w:rPr>
          <w:sz w:val="28"/>
          <w:szCs w:val="28"/>
        </w:rPr>
        <w:tab/>
      </w:r>
      <w:r w:rsidRPr="009916E4">
        <w:rPr>
          <w:sz w:val="28"/>
          <w:szCs w:val="28"/>
        </w:rPr>
        <w:tab/>
      </w:r>
      <w:r w:rsidRPr="009916E4">
        <w:rPr>
          <w:sz w:val="28"/>
          <w:szCs w:val="28"/>
        </w:rPr>
        <w:tab/>
      </w:r>
      <w:r w:rsidRPr="009916E4">
        <w:rPr>
          <w:sz w:val="28"/>
          <w:szCs w:val="28"/>
        </w:rPr>
        <w:tab/>
      </w:r>
      <w:proofErr w:type="spellStart"/>
      <w:r w:rsidRPr="009916E4">
        <w:rPr>
          <w:sz w:val="28"/>
          <w:szCs w:val="28"/>
        </w:rPr>
        <w:t>U.Augulis</w:t>
      </w:r>
      <w:proofErr w:type="spellEnd"/>
    </w:p>
    <w:p w:rsidR="004E6B31" w:rsidRPr="009916E4" w:rsidRDefault="004E6B31" w:rsidP="00041B66">
      <w:pPr>
        <w:jc w:val="both"/>
        <w:rPr>
          <w:sz w:val="28"/>
          <w:szCs w:val="28"/>
        </w:rPr>
      </w:pPr>
    </w:p>
    <w:p w:rsidR="004E6B31" w:rsidRPr="009916E4" w:rsidRDefault="004E6B31" w:rsidP="00813A26">
      <w:pPr>
        <w:ind w:firstLine="720"/>
        <w:jc w:val="both"/>
        <w:rPr>
          <w:sz w:val="28"/>
          <w:szCs w:val="28"/>
          <w:lang w:val="de-DE"/>
        </w:rPr>
      </w:pPr>
      <w:r w:rsidRPr="009916E4">
        <w:rPr>
          <w:sz w:val="28"/>
          <w:szCs w:val="28"/>
          <w:lang w:val="de-DE"/>
        </w:rPr>
        <w:t xml:space="preserve">Vizē: </w:t>
      </w:r>
      <w:r w:rsidRPr="009916E4">
        <w:rPr>
          <w:sz w:val="28"/>
        </w:rPr>
        <w:t>Valsts sekretārs</w:t>
      </w:r>
      <w:r w:rsidRPr="009916E4">
        <w:rPr>
          <w:sz w:val="28"/>
        </w:rPr>
        <w:tab/>
      </w:r>
      <w:r w:rsidRPr="009916E4">
        <w:rPr>
          <w:sz w:val="28"/>
        </w:rPr>
        <w:tab/>
      </w:r>
      <w:r w:rsidRPr="009916E4">
        <w:rPr>
          <w:sz w:val="28"/>
        </w:rPr>
        <w:tab/>
      </w:r>
      <w:r w:rsidRPr="009916E4">
        <w:rPr>
          <w:sz w:val="28"/>
        </w:rPr>
        <w:tab/>
      </w:r>
      <w:r w:rsidRPr="009916E4">
        <w:rPr>
          <w:sz w:val="28"/>
        </w:rPr>
        <w:tab/>
      </w:r>
      <w:r w:rsidRPr="009916E4">
        <w:rPr>
          <w:sz w:val="28"/>
        </w:rPr>
        <w:tab/>
      </w:r>
      <w:r w:rsidRPr="009916E4">
        <w:rPr>
          <w:sz w:val="28"/>
          <w:szCs w:val="28"/>
          <w:lang w:val="de-DE"/>
        </w:rPr>
        <w:t>A.Matīss</w:t>
      </w:r>
      <w:r w:rsidRPr="009916E4">
        <w:rPr>
          <w:sz w:val="28"/>
        </w:rPr>
        <w:tab/>
      </w:r>
    </w:p>
    <w:p w:rsidR="004E6B31" w:rsidRPr="009916E4" w:rsidRDefault="004E6B31" w:rsidP="006A554A">
      <w:pPr>
        <w:jc w:val="both"/>
      </w:pPr>
    </w:p>
    <w:p w:rsidR="004E6B31" w:rsidRDefault="004E6B31" w:rsidP="008A3571">
      <w:pPr>
        <w:jc w:val="both"/>
      </w:pPr>
      <w:r>
        <w:t>10.08.2011. 15:24</w:t>
      </w:r>
    </w:p>
    <w:p w:rsidR="004E6B31" w:rsidRPr="00272D54" w:rsidRDefault="004E6B31" w:rsidP="008A3571">
      <w:pPr>
        <w:jc w:val="both"/>
        <w:rPr>
          <w:sz w:val="28"/>
        </w:rPr>
      </w:pPr>
      <w:r>
        <w:t>738</w:t>
      </w:r>
    </w:p>
    <w:p w:rsidR="004E6B31" w:rsidRPr="00193059" w:rsidRDefault="004E6B31" w:rsidP="008A3571">
      <w:pPr>
        <w:jc w:val="both"/>
      </w:pPr>
      <w:proofErr w:type="spellStart"/>
      <w:r>
        <w:t>N.Sinkevičs</w:t>
      </w:r>
      <w:proofErr w:type="spellEnd"/>
    </w:p>
    <w:p w:rsidR="004E6B31" w:rsidRPr="009916E4" w:rsidRDefault="004E6B31" w:rsidP="0082475D">
      <w:pPr>
        <w:jc w:val="both"/>
        <w:rPr>
          <w:sz w:val="28"/>
          <w:szCs w:val="28"/>
          <w:lang w:val="de-DE"/>
        </w:rPr>
      </w:pPr>
      <w:r>
        <w:t>67234278</w:t>
      </w:r>
      <w:r w:rsidRPr="00193059">
        <w:t>,</w:t>
      </w:r>
      <w:r>
        <w:t xml:space="preserve"> normunds.sinkevics@pv.ldz</w:t>
      </w:r>
      <w:r w:rsidRPr="004363C2">
        <w:t>.lv</w:t>
      </w:r>
    </w:p>
    <w:sectPr w:rsidR="004E6B31" w:rsidRPr="009916E4" w:rsidSect="00BE0615">
      <w:headerReference w:type="even" r:id="rId7"/>
      <w:headerReference w:type="default" r:id="rId8"/>
      <w:footerReference w:type="default" r:id="rId9"/>
      <w:footerReference w:type="first" r:id="rId10"/>
      <w:pgSz w:w="11906" w:h="16838"/>
      <w:pgMar w:top="1701" w:right="1134" w:bottom="1701"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417" w:rsidRDefault="00A11417">
      <w:r>
        <w:separator/>
      </w:r>
    </w:p>
  </w:endnote>
  <w:endnote w:type="continuationSeparator" w:id="0">
    <w:p w:rsidR="00A11417" w:rsidRDefault="00A11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31" w:rsidRPr="000A5A23" w:rsidRDefault="004E6B31" w:rsidP="00097503">
    <w:pPr>
      <w:pStyle w:val="Footer"/>
    </w:pPr>
    <w:r w:rsidRPr="000A5A23">
      <w:t>SAManot_</w:t>
    </w:r>
    <w:r>
      <w:t>1008</w:t>
    </w:r>
    <w:r w:rsidRPr="000A5A23">
      <w:t>2011_PVdivid;</w:t>
    </w:r>
    <w:r w:rsidRPr="000A5A23">
      <w:rPr>
        <w:sz w:val="28"/>
        <w:szCs w:val="28"/>
      </w:rPr>
      <w:t xml:space="preserve"> </w:t>
    </w:r>
    <w:r w:rsidRPr="000A5A23">
      <w:t xml:space="preserve">Ministru kabineta rīkojuma projekta „Par valstij dividendēs izmaksājamo akciju sabiedrības „Pasažieru vilciens” peļņas daļu” sākotnējās ietekmes novērtējuma </w:t>
    </w:r>
    <w:smartTag w:uri="schemas-tilde-lv/tildestengine" w:element="veidnes">
      <w:smartTagPr>
        <w:attr w:name="id" w:val="-1"/>
        <w:attr w:name="baseform" w:val="ziņojums"/>
        <w:attr w:name="text" w:val="ziņojums"/>
      </w:smartTagPr>
      <w:r w:rsidRPr="000A5A23">
        <w:t>ziņojums</w:t>
      </w:r>
    </w:smartTag>
    <w:r w:rsidRPr="000A5A23">
      <w:t xml:space="preserve"> (anotācija)</w:t>
    </w:r>
  </w:p>
  <w:p w:rsidR="004E6B31" w:rsidRPr="008A3571" w:rsidRDefault="004E6B31" w:rsidP="003C725D">
    <w:pPr>
      <w:pStyle w:val="BodyText"/>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31" w:rsidRPr="000A5A23" w:rsidRDefault="004E6B31" w:rsidP="00097503">
    <w:pPr>
      <w:pStyle w:val="Footer"/>
    </w:pPr>
    <w:r w:rsidRPr="000A5A23">
      <w:t>SAManot_</w:t>
    </w:r>
    <w:r>
      <w:t>1008</w:t>
    </w:r>
    <w:r w:rsidRPr="000A5A23">
      <w:t>2011_PVdivid;</w:t>
    </w:r>
    <w:r w:rsidRPr="000A5A23">
      <w:rPr>
        <w:sz w:val="28"/>
        <w:szCs w:val="28"/>
      </w:rPr>
      <w:t xml:space="preserve"> </w:t>
    </w:r>
    <w:r w:rsidRPr="000A5A23">
      <w:t xml:space="preserve">Ministru kabineta rīkojuma projekta „Par valstij dividendēs izmaksājamo akciju sabiedrības „Pasažieru vilciens” peļņas daļu” sākotnējās ietekmes novērtējuma </w:t>
    </w:r>
    <w:smartTag w:uri="schemas-tilde-lv/tildestengine" w:element="veidnes">
      <w:smartTagPr>
        <w:attr w:name="id" w:val="-1"/>
        <w:attr w:name="baseform" w:val="ziņojums"/>
        <w:attr w:name="text" w:val="ziņojums"/>
      </w:smartTagPr>
      <w:r w:rsidRPr="000A5A23">
        <w:t>ziņojums</w:t>
      </w:r>
    </w:smartTag>
    <w:r w:rsidRPr="000A5A23">
      <w:t xml:space="preserve"> (anotācija)</w:t>
    </w:r>
  </w:p>
  <w:p w:rsidR="004E6B31" w:rsidRDefault="004E6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417" w:rsidRDefault="00A11417">
      <w:r>
        <w:separator/>
      </w:r>
    </w:p>
  </w:footnote>
  <w:footnote w:type="continuationSeparator" w:id="0">
    <w:p w:rsidR="00A11417" w:rsidRDefault="00A1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31" w:rsidRDefault="00284788" w:rsidP="00B54BB1">
    <w:pPr>
      <w:pStyle w:val="Header"/>
      <w:framePr w:wrap="around" w:vAnchor="text" w:hAnchor="margin" w:xAlign="center" w:y="1"/>
      <w:rPr>
        <w:rStyle w:val="PageNumber"/>
      </w:rPr>
    </w:pPr>
    <w:r>
      <w:rPr>
        <w:rStyle w:val="PageNumber"/>
      </w:rPr>
      <w:fldChar w:fldCharType="begin"/>
    </w:r>
    <w:r w:rsidR="004E6B31">
      <w:rPr>
        <w:rStyle w:val="PageNumber"/>
      </w:rPr>
      <w:instrText xml:space="preserve">PAGE  </w:instrText>
    </w:r>
    <w:r>
      <w:rPr>
        <w:rStyle w:val="PageNumber"/>
      </w:rPr>
      <w:fldChar w:fldCharType="end"/>
    </w:r>
  </w:p>
  <w:p w:rsidR="004E6B31" w:rsidRDefault="004E6B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31" w:rsidRDefault="00284788" w:rsidP="00B54BB1">
    <w:pPr>
      <w:pStyle w:val="Header"/>
      <w:framePr w:wrap="around" w:vAnchor="text" w:hAnchor="margin" w:xAlign="center" w:y="1"/>
      <w:rPr>
        <w:rStyle w:val="PageNumber"/>
      </w:rPr>
    </w:pPr>
    <w:r>
      <w:rPr>
        <w:rStyle w:val="PageNumber"/>
      </w:rPr>
      <w:fldChar w:fldCharType="begin"/>
    </w:r>
    <w:r w:rsidR="004E6B31">
      <w:rPr>
        <w:rStyle w:val="PageNumber"/>
      </w:rPr>
      <w:instrText xml:space="preserve">PAGE  </w:instrText>
    </w:r>
    <w:r>
      <w:rPr>
        <w:rStyle w:val="PageNumber"/>
      </w:rPr>
      <w:fldChar w:fldCharType="separate"/>
    </w:r>
    <w:r w:rsidR="009919D6">
      <w:rPr>
        <w:rStyle w:val="PageNumber"/>
        <w:noProof/>
      </w:rPr>
      <w:t>4</w:t>
    </w:r>
    <w:r>
      <w:rPr>
        <w:rStyle w:val="PageNumber"/>
      </w:rPr>
      <w:fldChar w:fldCharType="end"/>
    </w:r>
  </w:p>
  <w:p w:rsidR="004E6B31" w:rsidRDefault="004E6B31" w:rsidP="001E3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8EF"/>
    <w:multiLevelType w:val="hybridMultilevel"/>
    <w:tmpl w:val="F4C0149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426901D8"/>
    <w:multiLevelType w:val="hybridMultilevel"/>
    <w:tmpl w:val="B350BABC"/>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
    <w:nsid w:val="435307D4"/>
    <w:multiLevelType w:val="hybridMultilevel"/>
    <w:tmpl w:val="DD1E8ABC"/>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560E2444"/>
    <w:multiLevelType w:val="hybridMultilevel"/>
    <w:tmpl w:val="58EE14F2"/>
    <w:lvl w:ilvl="0" w:tplc="04260011">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4">
    <w:nsid w:val="6A9814A9"/>
    <w:multiLevelType w:val="hybridMultilevel"/>
    <w:tmpl w:val="904E83A0"/>
    <w:lvl w:ilvl="0" w:tplc="0426000B">
      <w:start w:val="1"/>
      <w:numFmt w:val="bullet"/>
      <w:lvlText w:val=""/>
      <w:lvlJc w:val="left"/>
      <w:pPr>
        <w:tabs>
          <w:tab w:val="num" w:pos="1380"/>
        </w:tabs>
        <w:ind w:left="1380" w:hanging="360"/>
      </w:pPr>
      <w:rPr>
        <w:rFonts w:ascii="Wingdings" w:hAnsi="Wingdings" w:hint="default"/>
      </w:rPr>
    </w:lvl>
    <w:lvl w:ilvl="1" w:tplc="04260003" w:tentative="1">
      <w:start w:val="1"/>
      <w:numFmt w:val="bullet"/>
      <w:lvlText w:val="o"/>
      <w:lvlJc w:val="left"/>
      <w:pPr>
        <w:tabs>
          <w:tab w:val="num" w:pos="2100"/>
        </w:tabs>
        <w:ind w:left="2100" w:hanging="360"/>
      </w:pPr>
      <w:rPr>
        <w:rFonts w:ascii="Courier New" w:hAnsi="Courier New" w:hint="default"/>
      </w:rPr>
    </w:lvl>
    <w:lvl w:ilvl="2" w:tplc="04260005" w:tentative="1">
      <w:start w:val="1"/>
      <w:numFmt w:val="bullet"/>
      <w:lvlText w:val=""/>
      <w:lvlJc w:val="left"/>
      <w:pPr>
        <w:tabs>
          <w:tab w:val="num" w:pos="2820"/>
        </w:tabs>
        <w:ind w:left="2820" w:hanging="360"/>
      </w:pPr>
      <w:rPr>
        <w:rFonts w:ascii="Wingdings" w:hAnsi="Wingdings" w:hint="default"/>
      </w:rPr>
    </w:lvl>
    <w:lvl w:ilvl="3" w:tplc="04260001" w:tentative="1">
      <w:start w:val="1"/>
      <w:numFmt w:val="bullet"/>
      <w:lvlText w:val=""/>
      <w:lvlJc w:val="left"/>
      <w:pPr>
        <w:tabs>
          <w:tab w:val="num" w:pos="3540"/>
        </w:tabs>
        <w:ind w:left="3540" w:hanging="360"/>
      </w:pPr>
      <w:rPr>
        <w:rFonts w:ascii="Symbol" w:hAnsi="Symbol" w:hint="default"/>
      </w:rPr>
    </w:lvl>
    <w:lvl w:ilvl="4" w:tplc="04260003" w:tentative="1">
      <w:start w:val="1"/>
      <w:numFmt w:val="bullet"/>
      <w:lvlText w:val="o"/>
      <w:lvlJc w:val="left"/>
      <w:pPr>
        <w:tabs>
          <w:tab w:val="num" w:pos="4260"/>
        </w:tabs>
        <w:ind w:left="4260" w:hanging="360"/>
      </w:pPr>
      <w:rPr>
        <w:rFonts w:ascii="Courier New" w:hAnsi="Courier New" w:hint="default"/>
      </w:rPr>
    </w:lvl>
    <w:lvl w:ilvl="5" w:tplc="04260005" w:tentative="1">
      <w:start w:val="1"/>
      <w:numFmt w:val="bullet"/>
      <w:lvlText w:val=""/>
      <w:lvlJc w:val="left"/>
      <w:pPr>
        <w:tabs>
          <w:tab w:val="num" w:pos="4980"/>
        </w:tabs>
        <w:ind w:left="4980" w:hanging="360"/>
      </w:pPr>
      <w:rPr>
        <w:rFonts w:ascii="Wingdings" w:hAnsi="Wingdings" w:hint="default"/>
      </w:rPr>
    </w:lvl>
    <w:lvl w:ilvl="6" w:tplc="04260001" w:tentative="1">
      <w:start w:val="1"/>
      <w:numFmt w:val="bullet"/>
      <w:lvlText w:val=""/>
      <w:lvlJc w:val="left"/>
      <w:pPr>
        <w:tabs>
          <w:tab w:val="num" w:pos="5700"/>
        </w:tabs>
        <w:ind w:left="5700" w:hanging="360"/>
      </w:pPr>
      <w:rPr>
        <w:rFonts w:ascii="Symbol" w:hAnsi="Symbol" w:hint="default"/>
      </w:rPr>
    </w:lvl>
    <w:lvl w:ilvl="7" w:tplc="04260003" w:tentative="1">
      <w:start w:val="1"/>
      <w:numFmt w:val="bullet"/>
      <w:lvlText w:val="o"/>
      <w:lvlJc w:val="left"/>
      <w:pPr>
        <w:tabs>
          <w:tab w:val="num" w:pos="6420"/>
        </w:tabs>
        <w:ind w:left="6420" w:hanging="360"/>
      </w:pPr>
      <w:rPr>
        <w:rFonts w:ascii="Courier New" w:hAnsi="Courier New" w:hint="default"/>
      </w:rPr>
    </w:lvl>
    <w:lvl w:ilvl="8" w:tplc="04260005" w:tentative="1">
      <w:start w:val="1"/>
      <w:numFmt w:val="bullet"/>
      <w:lvlText w:val=""/>
      <w:lvlJc w:val="left"/>
      <w:pPr>
        <w:tabs>
          <w:tab w:val="num" w:pos="7140"/>
        </w:tabs>
        <w:ind w:left="7140" w:hanging="360"/>
      </w:pPr>
      <w:rPr>
        <w:rFonts w:ascii="Wingdings" w:hAnsi="Wingdings" w:hint="default"/>
      </w:rPr>
    </w:lvl>
  </w:abstractNum>
  <w:abstractNum w:abstractNumId="5">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hint="default"/>
      </w:rPr>
    </w:lvl>
    <w:lvl w:ilvl="1" w:tplc="04260003" w:tentative="1">
      <w:start w:val="1"/>
      <w:numFmt w:val="bullet"/>
      <w:lvlText w:val="o"/>
      <w:lvlJc w:val="left"/>
      <w:pPr>
        <w:tabs>
          <w:tab w:val="num" w:pos="1845"/>
        </w:tabs>
        <w:ind w:left="1845" w:hanging="360"/>
      </w:pPr>
      <w:rPr>
        <w:rFonts w:ascii="Courier New" w:hAnsi="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6"/>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1EB"/>
    <w:rsid w:val="00000D38"/>
    <w:rsid w:val="00005D34"/>
    <w:rsid w:val="00013219"/>
    <w:rsid w:val="00020EC0"/>
    <w:rsid w:val="00041B66"/>
    <w:rsid w:val="00051E98"/>
    <w:rsid w:val="00053067"/>
    <w:rsid w:val="00061B7D"/>
    <w:rsid w:val="000646E7"/>
    <w:rsid w:val="0007626E"/>
    <w:rsid w:val="00082055"/>
    <w:rsid w:val="00086EBD"/>
    <w:rsid w:val="00093C51"/>
    <w:rsid w:val="00097503"/>
    <w:rsid w:val="000A1DAB"/>
    <w:rsid w:val="000A2A20"/>
    <w:rsid w:val="000A5A23"/>
    <w:rsid w:val="000A5C99"/>
    <w:rsid w:val="000B1BCC"/>
    <w:rsid w:val="000B37F7"/>
    <w:rsid w:val="000B4833"/>
    <w:rsid w:val="000C08E7"/>
    <w:rsid w:val="000C7567"/>
    <w:rsid w:val="000D186A"/>
    <w:rsid w:val="000D5543"/>
    <w:rsid w:val="000D5D73"/>
    <w:rsid w:val="000D6077"/>
    <w:rsid w:val="000E12F3"/>
    <w:rsid w:val="000E4AFC"/>
    <w:rsid w:val="000E4EB2"/>
    <w:rsid w:val="000F1362"/>
    <w:rsid w:val="000F1DA9"/>
    <w:rsid w:val="000F33CB"/>
    <w:rsid w:val="000F3BF6"/>
    <w:rsid w:val="000F6DAD"/>
    <w:rsid w:val="001042BD"/>
    <w:rsid w:val="001049A1"/>
    <w:rsid w:val="001140AC"/>
    <w:rsid w:val="0011482D"/>
    <w:rsid w:val="001230EB"/>
    <w:rsid w:val="00124661"/>
    <w:rsid w:val="00125D3D"/>
    <w:rsid w:val="00132A66"/>
    <w:rsid w:val="00137655"/>
    <w:rsid w:val="00143CAC"/>
    <w:rsid w:val="00147453"/>
    <w:rsid w:val="001542C6"/>
    <w:rsid w:val="00155BBB"/>
    <w:rsid w:val="00156E1E"/>
    <w:rsid w:val="00157E3E"/>
    <w:rsid w:val="00161239"/>
    <w:rsid w:val="00170087"/>
    <w:rsid w:val="00171D13"/>
    <w:rsid w:val="0017221B"/>
    <w:rsid w:val="001806D4"/>
    <w:rsid w:val="00182C64"/>
    <w:rsid w:val="001859D5"/>
    <w:rsid w:val="001929F2"/>
    <w:rsid w:val="00193059"/>
    <w:rsid w:val="00193EB8"/>
    <w:rsid w:val="001A0473"/>
    <w:rsid w:val="001A1533"/>
    <w:rsid w:val="001A4E5B"/>
    <w:rsid w:val="001B1AF8"/>
    <w:rsid w:val="001B6E9B"/>
    <w:rsid w:val="001C01B7"/>
    <w:rsid w:val="001C36E2"/>
    <w:rsid w:val="001C609D"/>
    <w:rsid w:val="001D057B"/>
    <w:rsid w:val="001D5135"/>
    <w:rsid w:val="001D5593"/>
    <w:rsid w:val="001D7BA8"/>
    <w:rsid w:val="001E32EA"/>
    <w:rsid w:val="001E3FDC"/>
    <w:rsid w:val="001E5188"/>
    <w:rsid w:val="001F2D98"/>
    <w:rsid w:val="00204637"/>
    <w:rsid w:val="00207A0C"/>
    <w:rsid w:val="002144C6"/>
    <w:rsid w:val="002202DC"/>
    <w:rsid w:val="00220DE4"/>
    <w:rsid w:val="002234A5"/>
    <w:rsid w:val="00224036"/>
    <w:rsid w:val="00226978"/>
    <w:rsid w:val="00234018"/>
    <w:rsid w:val="00236876"/>
    <w:rsid w:val="00243960"/>
    <w:rsid w:val="00244716"/>
    <w:rsid w:val="002568D8"/>
    <w:rsid w:val="0026380C"/>
    <w:rsid w:val="002653B1"/>
    <w:rsid w:val="00272D54"/>
    <w:rsid w:val="00273A27"/>
    <w:rsid w:val="00274FC2"/>
    <w:rsid w:val="00284788"/>
    <w:rsid w:val="00290BF9"/>
    <w:rsid w:val="00293F7E"/>
    <w:rsid w:val="002943A0"/>
    <w:rsid w:val="002943A7"/>
    <w:rsid w:val="002A02C3"/>
    <w:rsid w:val="002A08BB"/>
    <w:rsid w:val="002A3B66"/>
    <w:rsid w:val="002A6B67"/>
    <w:rsid w:val="002B0FFE"/>
    <w:rsid w:val="002B2A1C"/>
    <w:rsid w:val="002B492E"/>
    <w:rsid w:val="002C2D2C"/>
    <w:rsid w:val="002D2A67"/>
    <w:rsid w:val="002E1A2B"/>
    <w:rsid w:val="002E25D5"/>
    <w:rsid w:val="002E6902"/>
    <w:rsid w:val="002F5055"/>
    <w:rsid w:val="0030112E"/>
    <w:rsid w:val="00302CE4"/>
    <w:rsid w:val="00303A73"/>
    <w:rsid w:val="00307AAA"/>
    <w:rsid w:val="003123B6"/>
    <w:rsid w:val="0031742B"/>
    <w:rsid w:val="00322153"/>
    <w:rsid w:val="0032337D"/>
    <w:rsid w:val="00325A66"/>
    <w:rsid w:val="00326A53"/>
    <w:rsid w:val="00334529"/>
    <w:rsid w:val="00337638"/>
    <w:rsid w:val="00343213"/>
    <w:rsid w:val="00345E32"/>
    <w:rsid w:val="00346F31"/>
    <w:rsid w:val="00347D23"/>
    <w:rsid w:val="003503AA"/>
    <w:rsid w:val="0035178D"/>
    <w:rsid w:val="00354821"/>
    <w:rsid w:val="00362344"/>
    <w:rsid w:val="003627DD"/>
    <w:rsid w:val="00362AB5"/>
    <w:rsid w:val="0037036C"/>
    <w:rsid w:val="003800E6"/>
    <w:rsid w:val="00392826"/>
    <w:rsid w:val="00394D82"/>
    <w:rsid w:val="00395975"/>
    <w:rsid w:val="003A4EAB"/>
    <w:rsid w:val="003A5048"/>
    <w:rsid w:val="003A6B97"/>
    <w:rsid w:val="003B4CF0"/>
    <w:rsid w:val="003C2480"/>
    <w:rsid w:val="003C725D"/>
    <w:rsid w:val="003D69D9"/>
    <w:rsid w:val="003D7B53"/>
    <w:rsid w:val="003E0CC0"/>
    <w:rsid w:val="003E18A7"/>
    <w:rsid w:val="003E2051"/>
    <w:rsid w:val="003E5036"/>
    <w:rsid w:val="004004DF"/>
    <w:rsid w:val="00400758"/>
    <w:rsid w:val="004118BF"/>
    <w:rsid w:val="00416536"/>
    <w:rsid w:val="0042161A"/>
    <w:rsid w:val="0042368A"/>
    <w:rsid w:val="00423855"/>
    <w:rsid w:val="00423F61"/>
    <w:rsid w:val="004269CD"/>
    <w:rsid w:val="00427851"/>
    <w:rsid w:val="004336B1"/>
    <w:rsid w:val="00435782"/>
    <w:rsid w:val="004363C2"/>
    <w:rsid w:val="00441872"/>
    <w:rsid w:val="00450D69"/>
    <w:rsid w:val="00454471"/>
    <w:rsid w:val="00457182"/>
    <w:rsid w:val="00461B21"/>
    <w:rsid w:val="00465AE3"/>
    <w:rsid w:val="00471490"/>
    <w:rsid w:val="00476543"/>
    <w:rsid w:val="00481903"/>
    <w:rsid w:val="00482413"/>
    <w:rsid w:val="00490B60"/>
    <w:rsid w:val="004A0BF0"/>
    <w:rsid w:val="004A0E5C"/>
    <w:rsid w:val="004A233C"/>
    <w:rsid w:val="004B374D"/>
    <w:rsid w:val="004C0046"/>
    <w:rsid w:val="004C0483"/>
    <w:rsid w:val="004C3C69"/>
    <w:rsid w:val="004C46CD"/>
    <w:rsid w:val="004C65B5"/>
    <w:rsid w:val="004E0271"/>
    <w:rsid w:val="004E571F"/>
    <w:rsid w:val="004E584A"/>
    <w:rsid w:val="004E6A8A"/>
    <w:rsid w:val="004E6B31"/>
    <w:rsid w:val="004F0330"/>
    <w:rsid w:val="004F476B"/>
    <w:rsid w:val="005029A8"/>
    <w:rsid w:val="005037EB"/>
    <w:rsid w:val="00517614"/>
    <w:rsid w:val="00523C00"/>
    <w:rsid w:val="005241FD"/>
    <w:rsid w:val="0052620D"/>
    <w:rsid w:val="00526873"/>
    <w:rsid w:val="005334FF"/>
    <w:rsid w:val="00533A4C"/>
    <w:rsid w:val="00543CAD"/>
    <w:rsid w:val="0054545C"/>
    <w:rsid w:val="005455BD"/>
    <w:rsid w:val="00551FD7"/>
    <w:rsid w:val="00553DC2"/>
    <w:rsid w:val="005576B6"/>
    <w:rsid w:val="0056244D"/>
    <w:rsid w:val="00564A9A"/>
    <w:rsid w:val="0057107E"/>
    <w:rsid w:val="005713F1"/>
    <w:rsid w:val="00581C4A"/>
    <w:rsid w:val="00583AF9"/>
    <w:rsid w:val="00586BF9"/>
    <w:rsid w:val="00593805"/>
    <w:rsid w:val="0059407F"/>
    <w:rsid w:val="00594C12"/>
    <w:rsid w:val="00596359"/>
    <w:rsid w:val="005A7B61"/>
    <w:rsid w:val="005B179C"/>
    <w:rsid w:val="005B5B74"/>
    <w:rsid w:val="005C18D7"/>
    <w:rsid w:val="005C2DB3"/>
    <w:rsid w:val="005C6A1C"/>
    <w:rsid w:val="005D0A3F"/>
    <w:rsid w:val="005D3CB0"/>
    <w:rsid w:val="005D5C51"/>
    <w:rsid w:val="005D5DC7"/>
    <w:rsid w:val="005D70F8"/>
    <w:rsid w:val="005E1F84"/>
    <w:rsid w:val="005E4D6B"/>
    <w:rsid w:val="005E5535"/>
    <w:rsid w:val="005E6196"/>
    <w:rsid w:val="005F053D"/>
    <w:rsid w:val="005F4016"/>
    <w:rsid w:val="005F54B0"/>
    <w:rsid w:val="005F5F74"/>
    <w:rsid w:val="006122A6"/>
    <w:rsid w:val="00620119"/>
    <w:rsid w:val="00621B4B"/>
    <w:rsid w:val="00622D1E"/>
    <w:rsid w:val="00623BA2"/>
    <w:rsid w:val="006337B8"/>
    <w:rsid w:val="0063714D"/>
    <w:rsid w:val="0063791B"/>
    <w:rsid w:val="00640CB2"/>
    <w:rsid w:val="006444EB"/>
    <w:rsid w:val="00644B63"/>
    <w:rsid w:val="006466C8"/>
    <w:rsid w:val="00655B1B"/>
    <w:rsid w:val="00665D2E"/>
    <w:rsid w:val="006716D4"/>
    <w:rsid w:val="006746CD"/>
    <w:rsid w:val="00676EEB"/>
    <w:rsid w:val="0068303F"/>
    <w:rsid w:val="00683FD1"/>
    <w:rsid w:val="006926F6"/>
    <w:rsid w:val="00693140"/>
    <w:rsid w:val="00697C2A"/>
    <w:rsid w:val="006A045A"/>
    <w:rsid w:val="006A554A"/>
    <w:rsid w:val="006B1096"/>
    <w:rsid w:val="006B378E"/>
    <w:rsid w:val="006B6CBD"/>
    <w:rsid w:val="006B6EA8"/>
    <w:rsid w:val="006B7C76"/>
    <w:rsid w:val="006C02C4"/>
    <w:rsid w:val="006C2318"/>
    <w:rsid w:val="006C4E20"/>
    <w:rsid w:val="006C756B"/>
    <w:rsid w:val="006D0F93"/>
    <w:rsid w:val="006D58BC"/>
    <w:rsid w:val="006E1CDD"/>
    <w:rsid w:val="006E3E98"/>
    <w:rsid w:val="006F00B0"/>
    <w:rsid w:val="006F0DAA"/>
    <w:rsid w:val="006F284A"/>
    <w:rsid w:val="006F2E43"/>
    <w:rsid w:val="006F78E0"/>
    <w:rsid w:val="007012B5"/>
    <w:rsid w:val="00703877"/>
    <w:rsid w:val="0070411E"/>
    <w:rsid w:val="00713A08"/>
    <w:rsid w:val="00716418"/>
    <w:rsid w:val="007235E0"/>
    <w:rsid w:val="00723B8C"/>
    <w:rsid w:val="00726858"/>
    <w:rsid w:val="00727682"/>
    <w:rsid w:val="007323D6"/>
    <w:rsid w:val="00747D67"/>
    <w:rsid w:val="0075125F"/>
    <w:rsid w:val="00753471"/>
    <w:rsid w:val="00753F0F"/>
    <w:rsid w:val="00754486"/>
    <w:rsid w:val="00767D37"/>
    <w:rsid w:val="00770EA8"/>
    <w:rsid w:val="00770FB3"/>
    <w:rsid w:val="0077462C"/>
    <w:rsid w:val="00775219"/>
    <w:rsid w:val="00777394"/>
    <w:rsid w:val="00777929"/>
    <w:rsid w:val="0078510D"/>
    <w:rsid w:val="00787B01"/>
    <w:rsid w:val="00795433"/>
    <w:rsid w:val="007A0B75"/>
    <w:rsid w:val="007A165C"/>
    <w:rsid w:val="007A193D"/>
    <w:rsid w:val="007A43EB"/>
    <w:rsid w:val="007A5566"/>
    <w:rsid w:val="007B094D"/>
    <w:rsid w:val="007B2965"/>
    <w:rsid w:val="007C1B98"/>
    <w:rsid w:val="007C288D"/>
    <w:rsid w:val="007D1362"/>
    <w:rsid w:val="007D5F5C"/>
    <w:rsid w:val="007D70CC"/>
    <w:rsid w:val="007E2DF6"/>
    <w:rsid w:val="007E41DE"/>
    <w:rsid w:val="008012E3"/>
    <w:rsid w:val="00802188"/>
    <w:rsid w:val="008025E7"/>
    <w:rsid w:val="008044FA"/>
    <w:rsid w:val="00804F1B"/>
    <w:rsid w:val="00805E3B"/>
    <w:rsid w:val="00810CAD"/>
    <w:rsid w:val="008127A5"/>
    <w:rsid w:val="00813A26"/>
    <w:rsid w:val="00813FFD"/>
    <w:rsid w:val="0081764E"/>
    <w:rsid w:val="00820D96"/>
    <w:rsid w:val="008241AA"/>
    <w:rsid w:val="0082475D"/>
    <w:rsid w:val="0082649E"/>
    <w:rsid w:val="00826B5B"/>
    <w:rsid w:val="00830463"/>
    <w:rsid w:val="00841637"/>
    <w:rsid w:val="00850CD4"/>
    <w:rsid w:val="0085428E"/>
    <w:rsid w:val="00854437"/>
    <w:rsid w:val="00857624"/>
    <w:rsid w:val="0086484B"/>
    <w:rsid w:val="00864F1F"/>
    <w:rsid w:val="0087217B"/>
    <w:rsid w:val="00873B5F"/>
    <w:rsid w:val="0087526F"/>
    <w:rsid w:val="00882568"/>
    <w:rsid w:val="00883E50"/>
    <w:rsid w:val="008A05AD"/>
    <w:rsid w:val="008A3571"/>
    <w:rsid w:val="008A5555"/>
    <w:rsid w:val="008C32A1"/>
    <w:rsid w:val="008C36C6"/>
    <w:rsid w:val="008C72D6"/>
    <w:rsid w:val="008D78A4"/>
    <w:rsid w:val="008D7B63"/>
    <w:rsid w:val="008E1468"/>
    <w:rsid w:val="008E5615"/>
    <w:rsid w:val="008E5688"/>
    <w:rsid w:val="008F28B7"/>
    <w:rsid w:val="008F4A00"/>
    <w:rsid w:val="008F5302"/>
    <w:rsid w:val="008F71B4"/>
    <w:rsid w:val="0090593D"/>
    <w:rsid w:val="009061CB"/>
    <w:rsid w:val="00907CC6"/>
    <w:rsid w:val="00910716"/>
    <w:rsid w:val="0091358F"/>
    <w:rsid w:val="00915D97"/>
    <w:rsid w:val="00922130"/>
    <w:rsid w:val="00922A84"/>
    <w:rsid w:val="00924A8E"/>
    <w:rsid w:val="00932440"/>
    <w:rsid w:val="00935703"/>
    <w:rsid w:val="00936E09"/>
    <w:rsid w:val="00956101"/>
    <w:rsid w:val="00956C9C"/>
    <w:rsid w:val="00960638"/>
    <w:rsid w:val="009631C0"/>
    <w:rsid w:val="00965E34"/>
    <w:rsid w:val="00967929"/>
    <w:rsid w:val="009725F5"/>
    <w:rsid w:val="00974363"/>
    <w:rsid w:val="00974F9A"/>
    <w:rsid w:val="00982808"/>
    <w:rsid w:val="009856BF"/>
    <w:rsid w:val="00985F19"/>
    <w:rsid w:val="0098674F"/>
    <w:rsid w:val="009903D1"/>
    <w:rsid w:val="0099114A"/>
    <w:rsid w:val="0099161E"/>
    <w:rsid w:val="009916E4"/>
    <w:rsid w:val="009919D6"/>
    <w:rsid w:val="00993314"/>
    <w:rsid w:val="009939E4"/>
    <w:rsid w:val="009A13FA"/>
    <w:rsid w:val="009A1C96"/>
    <w:rsid w:val="009A379C"/>
    <w:rsid w:val="009A7F38"/>
    <w:rsid w:val="009B0A0F"/>
    <w:rsid w:val="009B6192"/>
    <w:rsid w:val="009B67F2"/>
    <w:rsid w:val="009C096F"/>
    <w:rsid w:val="009C0DF0"/>
    <w:rsid w:val="009C1DC8"/>
    <w:rsid w:val="009C2A57"/>
    <w:rsid w:val="009C5108"/>
    <w:rsid w:val="009D1502"/>
    <w:rsid w:val="009D2376"/>
    <w:rsid w:val="009D287F"/>
    <w:rsid w:val="009D79F9"/>
    <w:rsid w:val="009E390F"/>
    <w:rsid w:val="009E787E"/>
    <w:rsid w:val="009F7A0A"/>
    <w:rsid w:val="00A01CAE"/>
    <w:rsid w:val="00A106EB"/>
    <w:rsid w:val="00A11417"/>
    <w:rsid w:val="00A30B10"/>
    <w:rsid w:val="00A41BE1"/>
    <w:rsid w:val="00A472AE"/>
    <w:rsid w:val="00A55DB7"/>
    <w:rsid w:val="00A567A6"/>
    <w:rsid w:val="00A62400"/>
    <w:rsid w:val="00A657C4"/>
    <w:rsid w:val="00A66178"/>
    <w:rsid w:val="00A67525"/>
    <w:rsid w:val="00A70166"/>
    <w:rsid w:val="00A74405"/>
    <w:rsid w:val="00A8573F"/>
    <w:rsid w:val="00A911EB"/>
    <w:rsid w:val="00A9268F"/>
    <w:rsid w:val="00A92D54"/>
    <w:rsid w:val="00AA3656"/>
    <w:rsid w:val="00AA6104"/>
    <w:rsid w:val="00AC026B"/>
    <w:rsid w:val="00AC209F"/>
    <w:rsid w:val="00AC377B"/>
    <w:rsid w:val="00AC5619"/>
    <w:rsid w:val="00AD4CCA"/>
    <w:rsid w:val="00AD608E"/>
    <w:rsid w:val="00AF2B55"/>
    <w:rsid w:val="00AF50A5"/>
    <w:rsid w:val="00AF7857"/>
    <w:rsid w:val="00AF7EB0"/>
    <w:rsid w:val="00B0067F"/>
    <w:rsid w:val="00B020F5"/>
    <w:rsid w:val="00B23BB9"/>
    <w:rsid w:val="00B25A8E"/>
    <w:rsid w:val="00B324C9"/>
    <w:rsid w:val="00B359F7"/>
    <w:rsid w:val="00B4656B"/>
    <w:rsid w:val="00B4713A"/>
    <w:rsid w:val="00B47667"/>
    <w:rsid w:val="00B52488"/>
    <w:rsid w:val="00B54BB1"/>
    <w:rsid w:val="00B64AA1"/>
    <w:rsid w:val="00B6688D"/>
    <w:rsid w:val="00B66EA8"/>
    <w:rsid w:val="00B70236"/>
    <w:rsid w:val="00B75326"/>
    <w:rsid w:val="00B75492"/>
    <w:rsid w:val="00B75759"/>
    <w:rsid w:val="00B76787"/>
    <w:rsid w:val="00B77D3D"/>
    <w:rsid w:val="00B80B4B"/>
    <w:rsid w:val="00B80D78"/>
    <w:rsid w:val="00B82423"/>
    <w:rsid w:val="00B8464E"/>
    <w:rsid w:val="00B90E6D"/>
    <w:rsid w:val="00B917C1"/>
    <w:rsid w:val="00B9260E"/>
    <w:rsid w:val="00B9364E"/>
    <w:rsid w:val="00B94F13"/>
    <w:rsid w:val="00B957A5"/>
    <w:rsid w:val="00BB4432"/>
    <w:rsid w:val="00BC2457"/>
    <w:rsid w:val="00BC3218"/>
    <w:rsid w:val="00BD2979"/>
    <w:rsid w:val="00BD5A0E"/>
    <w:rsid w:val="00BE0615"/>
    <w:rsid w:val="00BE0E8A"/>
    <w:rsid w:val="00BE0FD6"/>
    <w:rsid w:val="00BE2F50"/>
    <w:rsid w:val="00BE3117"/>
    <w:rsid w:val="00BE486A"/>
    <w:rsid w:val="00BF7606"/>
    <w:rsid w:val="00C0150D"/>
    <w:rsid w:val="00C0366F"/>
    <w:rsid w:val="00C05437"/>
    <w:rsid w:val="00C0549C"/>
    <w:rsid w:val="00C12405"/>
    <w:rsid w:val="00C14176"/>
    <w:rsid w:val="00C20145"/>
    <w:rsid w:val="00C224BA"/>
    <w:rsid w:val="00C23DA0"/>
    <w:rsid w:val="00C27E56"/>
    <w:rsid w:val="00C32424"/>
    <w:rsid w:val="00C32E54"/>
    <w:rsid w:val="00C3576C"/>
    <w:rsid w:val="00C35B49"/>
    <w:rsid w:val="00C35EF7"/>
    <w:rsid w:val="00C3738E"/>
    <w:rsid w:val="00C44155"/>
    <w:rsid w:val="00C45A05"/>
    <w:rsid w:val="00C46CB4"/>
    <w:rsid w:val="00C51231"/>
    <w:rsid w:val="00C52708"/>
    <w:rsid w:val="00C56E2F"/>
    <w:rsid w:val="00C618C3"/>
    <w:rsid w:val="00C61C40"/>
    <w:rsid w:val="00C717CF"/>
    <w:rsid w:val="00C73BDE"/>
    <w:rsid w:val="00C74D40"/>
    <w:rsid w:val="00C75709"/>
    <w:rsid w:val="00C80203"/>
    <w:rsid w:val="00C81690"/>
    <w:rsid w:val="00C85F86"/>
    <w:rsid w:val="00C909FE"/>
    <w:rsid w:val="00C92B1A"/>
    <w:rsid w:val="00C92F05"/>
    <w:rsid w:val="00C93B22"/>
    <w:rsid w:val="00CA001E"/>
    <w:rsid w:val="00CA1703"/>
    <w:rsid w:val="00CA4D2C"/>
    <w:rsid w:val="00CA709A"/>
    <w:rsid w:val="00CB2D8E"/>
    <w:rsid w:val="00CB3AAA"/>
    <w:rsid w:val="00CC3D65"/>
    <w:rsid w:val="00CC476B"/>
    <w:rsid w:val="00CC526F"/>
    <w:rsid w:val="00CC5EC5"/>
    <w:rsid w:val="00CC7B8B"/>
    <w:rsid w:val="00CD0A9E"/>
    <w:rsid w:val="00CD2F35"/>
    <w:rsid w:val="00CD43A9"/>
    <w:rsid w:val="00CE0D73"/>
    <w:rsid w:val="00CF37C8"/>
    <w:rsid w:val="00CF61EA"/>
    <w:rsid w:val="00CF6640"/>
    <w:rsid w:val="00D0155E"/>
    <w:rsid w:val="00D03F9F"/>
    <w:rsid w:val="00D0549C"/>
    <w:rsid w:val="00D20AEA"/>
    <w:rsid w:val="00D22995"/>
    <w:rsid w:val="00D24017"/>
    <w:rsid w:val="00D340AF"/>
    <w:rsid w:val="00D407CF"/>
    <w:rsid w:val="00D417AD"/>
    <w:rsid w:val="00D41C44"/>
    <w:rsid w:val="00D42A36"/>
    <w:rsid w:val="00D42F7F"/>
    <w:rsid w:val="00D47A8F"/>
    <w:rsid w:val="00D55077"/>
    <w:rsid w:val="00D60FE0"/>
    <w:rsid w:val="00D71562"/>
    <w:rsid w:val="00D808BC"/>
    <w:rsid w:val="00D81438"/>
    <w:rsid w:val="00D82466"/>
    <w:rsid w:val="00D83118"/>
    <w:rsid w:val="00D837E0"/>
    <w:rsid w:val="00D83ABB"/>
    <w:rsid w:val="00D90273"/>
    <w:rsid w:val="00D9399E"/>
    <w:rsid w:val="00D93F54"/>
    <w:rsid w:val="00D95741"/>
    <w:rsid w:val="00DA3165"/>
    <w:rsid w:val="00DA3D0A"/>
    <w:rsid w:val="00DC1956"/>
    <w:rsid w:val="00DC6852"/>
    <w:rsid w:val="00DC701A"/>
    <w:rsid w:val="00DD22DC"/>
    <w:rsid w:val="00DE26DA"/>
    <w:rsid w:val="00DE2E76"/>
    <w:rsid w:val="00DE5EA9"/>
    <w:rsid w:val="00DF094E"/>
    <w:rsid w:val="00DF15C6"/>
    <w:rsid w:val="00DF3A6B"/>
    <w:rsid w:val="00DF4528"/>
    <w:rsid w:val="00DF653C"/>
    <w:rsid w:val="00E02045"/>
    <w:rsid w:val="00E0504C"/>
    <w:rsid w:val="00E0522D"/>
    <w:rsid w:val="00E07E89"/>
    <w:rsid w:val="00E100E9"/>
    <w:rsid w:val="00E26E3C"/>
    <w:rsid w:val="00E2730A"/>
    <w:rsid w:val="00E30171"/>
    <w:rsid w:val="00E30639"/>
    <w:rsid w:val="00E47194"/>
    <w:rsid w:val="00E507E2"/>
    <w:rsid w:val="00E54340"/>
    <w:rsid w:val="00E57D07"/>
    <w:rsid w:val="00E67893"/>
    <w:rsid w:val="00E72F25"/>
    <w:rsid w:val="00E74676"/>
    <w:rsid w:val="00E74BED"/>
    <w:rsid w:val="00E85102"/>
    <w:rsid w:val="00E86BB6"/>
    <w:rsid w:val="00E93C46"/>
    <w:rsid w:val="00E94581"/>
    <w:rsid w:val="00E97077"/>
    <w:rsid w:val="00EA69D5"/>
    <w:rsid w:val="00EA6A2E"/>
    <w:rsid w:val="00EA7F07"/>
    <w:rsid w:val="00EB18A9"/>
    <w:rsid w:val="00EB3E94"/>
    <w:rsid w:val="00EB5D70"/>
    <w:rsid w:val="00EB5D83"/>
    <w:rsid w:val="00EC0BE7"/>
    <w:rsid w:val="00EC3C52"/>
    <w:rsid w:val="00EC6D67"/>
    <w:rsid w:val="00ED0580"/>
    <w:rsid w:val="00ED1F78"/>
    <w:rsid w:val="00ED2141"/>
    <w:rsid w:val="00ED3689"/>
    <w:rsid w:val="00ED499F"/>
    <w:rsid w:val="00EE0523"/>
    <w:rsid w:val="00EE3867"/>
    <w:rsid w:val="00EE4022"/>
    <w:rsid w:val="00EF14D4"/>
    <w:rsid w:val="00EF1F65"/>
    <w:rsid w:val="00EF201A"/>
    <w:rsid w:val="00F02259"/>
    <w:rsid w:val="00F05383"/>
    <w:rsid w:val="00F068FC"/>
    <w:rsid w:val="00F10C2D"/>
    <w:rsid w:val="00F12406"/>
    <w:rsid w:val="00F13D21"/>
    <w:rsid w:val="00F14FDF"/>
    <w:rsid w:val="00F1592A"/>
    <w:rsid w:val="00F24D3E"/>
    <w:rsid w:val="00F351BA"/>
    <w:rsid w:val="00F37C95"/>
    <w:rsid w:val="00F511EF"/>
    <w:rsid w:val="00F54A8E"/>
    <w:rsid w:val="00F556FF"/>
    <w:rsid w:val="00F55D46"/>
    <w:rsid w:val="00F577CC"/>
    <w:rsid w:val="00F6089F"/>
    <w:rsid w:val="00F6314A"/>
    <w:rsid w:val="00F631B6"/>
    <w:rsid w:val="00F715DD"/>
    <w:rsid w:val="00F92184"/>
    <w:rsid w:val="00F925F0"/>
    <w:rsid w:val="00F976BF"/>
    <w:rsid w:val="00FA1F54"/>
    <w:rsid w:val="00FA3C8D"/>
    <w:rsid w:val="00FA3FDB"/>
    <w:rsid w:val="00FA4083"/>
    <w:rsid w:val="00FA4D1F"/>
    <w:rsid w:val="00FA5CF5"/>
    <w:rsid w:val="00FB06F3"/>
    <w:rsid w:val="00FC0750"/>
    <w:rsid w:val="00FC5333"/>
    <w:rsid w:val="00FC7C16"/>
    <w:rsid w:val="00FD2E31"/>
    <w:rsid w:val="00FD42A8"/>
    <w:rsid w:val="00FD50DE"/>
    <w:rsid w:val="00FE5D7A"/>
    <w:rsid w:val="00FE614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1C"/>
    <w:rPr>
      <w:sz w:val="24"/>
      <w:szCs w:val="24"/>
    </w:rPr>
  </w:style>
  <w:style w:type="paragraph" w:styleId="Heading2">
    <w:name w:val="heading 2"/>
    <w:basedOn w:val="Normal"/>
    <w:next w:val="Normal"/>
    <w:link w:val="Heading2Char"/>
    <w:uiPriority w:val="99"/>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41637"/>
    <w:rPr>
      <w:rFonts w:ascii="Cambria" w:hAnsi="Cambria" w:cs="Times New Roman"/>
      <w:b/>
      <w:bCs/>
      <w:i/>
      <w:iCs/>
      <w:sz w:val="28"/>
      <w:szCs w:val="28"/>
    </w:rPr>
  </w:style>
  <w:style w:type="paragraph" w:customStyle="1" w:styleId="naiskr">
    <w:name w:val="naiskr"/>
    <w:basedOn w:val="Normal"/>
    <w:uiPriority w:val="99"/>
    <w:rsid w:val="00A911EB"/>
    <w:pPr>
      <w:spacing w:before="100" w:beforeAutospacing="1" w:after="100" w:afterAutospacing="1"/>
    </w:pPr>
  </w:style>
  <w:style w:type="table" w:styleId="TableGrid">
    <w:name w:val="Table Grid"/>
    <w:basedOn w:val="TableNormal"/>
    <w:uiPriority w:val="99"/>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D1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637"/>
    <w:rPr>
      <w:rFonts w:cs="Times New Roman"/>
      <w:sz w:val="2"/>
    </w:rPr>
  </w:style>
  <w:style w:type="paragraph" w:styleId="FootnoteText">
    <w:name w:val="footnote text"/>
    <w:basedOn w:val="Normal"/>
    <w:link w:val="FootnoteTextChar"/>
    <w:uiPriority w:val="99"/>
    <w:semiHidden/>
    <w:rsid w:val="001D7BA8"/>
    <w:rPr>
      <w:sz w:val="20"/>
      <w:szCs w:val="20"/>
    </w:rPr>
  </w:style>
  <w:style w:type="character" w:customStyle="1" w:styleId="FootnoteTextChar">
    <w:name w:val="Footnote Text Char"/>
    <w:basedOn w:val="DefaultParagraphFont"/>
    <w:link w:val="FootnoteText"/>
    <w:uiPriority w:val="99"/>
    <w:semiHidden/>
    <w:locked/>
    <w:rsid w:val="00841637"/>
    <w:rPr>
      <w:rFonts w:cs="Times New Roman"/>
      <w:sz w:val="20"/>
      <w:szCs w:val="20"/>
    </w:rPr>
  </w:style>
  <w:style w:type="character" w:styleId="FootnoteReference">
    <w:name w:val="footnote reference"/>
    <w:basedOn w:val="DefaultParagraphFont"/>
    <w:uiPriority w:val="99"/>
    <w:semiHidden/>
    <w:rsid w:val="001D7BA8"/>
    <w:rPr>
      <w:rFonts w:cs="Times New Roman"/>
      <w:vertAlign w:val="superscript"/>
    </w:rPr>
  </w:style>
  <w:style w:type="paragraph" w:styleId="Header">
    <w:name w:val="header"/>
    <w:basedOn w:val="Normal"/>
    <w:link w:val="HeaderChar"/>
    <w:uiPriority w:val="99"/>
    <w:rsid w:val="001D7BA8"/>
    <w:pPr>
      <w:tabs>
        <w:tab w:val="center" w:pos="4153"/>
        <w:tab w:val="right" w:pos="8306"/>
      </w:tabs>
    </w:pPr>
  </w:style>
  <w:style w:type="character" w:customStyle="1" w:styleId="HeaderChar">
    <w:name w:val="Header Char"/>
    <w:basedOn w:val="DefaultParagraphFont"/>
    <w:link w:val="Header"/>
    <w:uiPriority w:val="99"/>
    <w:semiHidden/>
    <w:locked/>
    <w:rsid w:val="00841637"/>
    <w:rPr>
      <w:rFonts w:cs="Times New Roman"/>
      <w:sz w:val="24"/>
      <w:szCs w:val="24"/>
    </w:rPr>
  </w:style>
  <w:style w:type="paragraph" w:styleId="Footer">
    <w:name w:val="footer"/>
    <w:basedOn w:val="Normal"/>
    <w:link w:val="FooterChar"/>
    <w:uiPriority w:val="99"/>
    <w:rsid w:val="001D7BA8"/>
    <w:pPr>
      <w:tabs>
        <w:tab w:val="center" w:pos="4153"/>
        <w:tab w:val="right" w:pos="8306"/>
      </w:tabs>
    </w:pPr>
  </w:style>
  <w:style w:type="character" w:customStyle="1" w:styleId="FooterChar">
    <w:name w:val="Footer Char"/>
    <w:basedOn w:val="DefaultParagraphFont"/>
    <w:link w:val="Footer"/>
    <w:uiPriority w:val="99"/>
    <w:semiHidden/>
    <w:locked/>
    <w:rsid w:val="00097503"/>
    <w:rPr>
      <w:rFonts w:cs="Times New Roman"/>
      <w:sz w:val="24"/>
      <w:szCs w:val="24"/>
      <w:lang w:val="lv-LV" w:eastAsia="lv-LV" w:bidi="ar-SA"/>
    </w:rPr>
  </w:style>
  <w:style w:type="character" w:styleId="Hyperlink">
    <w:name w:val="Hyperlink"/>
    <w:basedOn w:val="DefaultParagraphFont"/>
    <w:uiPriority w:val="99"/>
    <w:rsid w:val="00013219"/>
    <w:rPr>
      <w:rFonts w:cs="Times New Roman"/>
      <w:color w:val="0000FF"/>
      <w:u w:val="single"/>
    </w:rPr>
  </w:style>
  <w:style w:type="character" w:styleId="PageNumber">
    <w:name w:val="page number"/>
    <w:basedOn w:val="DefaultParagraphFont"/>
    <w:uiPriority w:val="99"/>
    <w:rsid w:val="00D90273"/>
    <w:rPr>
      <w:rFonts w:cs="Times New Roman"/>
    </w:rPr>
  </w:style>
  <w:style w:type="paragraph" w:customStyle="1" w:styleId="naisf">
    <w:name w:val="naisf"/>
    <w:basedOn w:val="Normal"/>
    <w:uiPriority w:val="99"/>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uiPriority w:val="99"/>
    <w:rsid w:val="009C2A57"/>
    <w:pPr>
      <w:spacing w:before="450" w:after="300"/>
      <w:jc w:val="center"/>
    </w:pPr>
    <w:rPr>
      <w:sz w:val="26"/>
      <w:szCs w:val="26"/>
    </w:rPr>
  </w:style>
  <w:style w:type="paragraph" w:customStyle="1" w:styleId="NormalWeb8">
    <w:name w:val="Normal (Web)8"/>
    <w:basedOn w:val="Normal"/>
    <w:uiPriority w:val="99"/>
    <w:rsid w:val="00CA4D2C"/>
    <w:pPr>
      <w:spacing w:before="75" w:after="75"/>
      <w:ind w:left="225" w:right="225"/>
    </w:pPr>
    <w:rPr>
      <w:sz w:val="22"/>
      <w:szCs w:val="22"/>
    </w:rPr>
  </w:style>
  <w:style w:type="paragraph" w:customStyle="1" w:styleId="naislab">
    <w:name w:val="naislab"/>
    <w:basedOn w:val="Normal"/>
    <w:uiPriority w:val="99"/>
    <w:rsid w:val="00CA4D2C"/>
    <w:pPr>
      <w:spacing w:before="75" w:after="75"/>
      <w:jc w:val="right"/>
    </w:pPr>
  </w:style>
  <w:style w:type="character" w:styleId="CommentReference">
    <w:name w:val="annotation reference"/>
    <w:basedOn w:val="DefaultParagraphFont"/>
    <w:uiPriority w:val="99"/>
    <w:semiHidden/>
    <w:rsid w:val="001230EB"/>
    <w:rPr>
      <w:rFonts w:cs="Times New Roman"/>
      <w:sz w:val="16"/>
    </w:rPr>
  </w:style>
  <w:style w:type="paragraph" w:styleId="CommentText">
    <w:name w:val="annotation text"/>
    <w:basedOn w:val="Normal"/>
    <w:link w:val="CommentTextChar"/>
    <w:uiPriority w:val="99"/>
    <w:semiHidden/>
    <w:rsid w:val="001230EB"/>
    <w:rPr>
      <w:sz w:val="20"/>
      <w:szCs w:val="20"/>
    </w:rPr>
  </w:style>
  <w:style w:type="character" w:customStyle="1" w:styleId="CommentTextChar">
    <w:name w:val="Comment Text Char"/>
    <w:basedOn w:val="DefaultParagraphFont"/>
    <w:link w:val="CommentText"/>
    <w:uiPriority w:val="99"/>
    <w:semiHidden/>
    <w:locked/>
    <w:rsid w:val="00841637"/>
    <w:rPr>
      <w:rFonts w:cs="Times New Roman"/>
      <w:sz w:val="20"/>
      <w:szCs w:val="20"/>
    </w:rPr>
  </w:style>
  <w:style w:type="paragraph" w:styleId="CommentSubject">
    <w:name w:val="annotation subject"/>
    <w:basedOn w:val="CommentText"/>
    <w:next w:val="CommentText"/>
    <w:link w:val="CommentSubjectChar"/>
    <w:uiPriority w:val="99"/>
    <w:semiHidden/>
    <w:rsid w:val="001230EB"/>
    <w:rPr>
      <w:b/>
      <w:bCs/>
    </w:rPr>
  </w:style>
  <w:style w:type="character" w:customStyle="1" w:styleId="CommentSubjectChar">
    <w:name w:val="Comment Subject Char"/>
    <w:basedOn w:val="CommentTextChar"/>
    <w:link w:val="CommentSubject"/>
    <w:uiPriority w:val="99"/>
    <w:semiHidden/>
    <w:locked/>
    <w:rsid w:val="00841637"/>
    <w:rPr>
      <w:b/>
      <w:bCs/>
    </w:rPr>
  </w:style>
  <w:style w:type="paragraph" w:styleId="ListParagraph">
    <w:name w:val="List Paragraph"/>
    <w:basedOn w:val="Normal"/>
    <w:uiPriority w:val="99"/>
    <w:qFormat/>
    <w:rsid w:val="00A67525"/>
    <w:pPr>
      <w:ind w:left="720"/>
      <w:contextualSpacing/>
    </w:pPr>
    <w:rPr>
      <w:sz w:val="28"/>
      <w:szCs w:val="20"/>
    </w:rPr>
  </w:style>
  <w:style w:type="paragraph" w:styleId="BodyText2">
    <w:name w:val="Body Text 2"/>
    <w:basedOn w:val="Normal"/>
    <w:link w:val="BodyText2Char"/>
    <w:uiPriority w:val="99"/>
    <w:rsid w:val="00273A27"/>
    <w:pPr>
      <w:jc w:val="both"/>
    </w:pPr>
    <w:rPr>
      <w:sz w:val="28"/>
      <w:szCs w:val="20"/>
      <w:lang w:eastAsia="en-US"/>
    </w:rPr>
  </w:style>
  <w:style w:type="character" w:customStyle="1" w:styleId="BodyText2Char">
    <w:name w:val="Body Text 2 Char"/>
    <w:basedOn w:val="DefaultParagraphFont"/>
    <w:link w:val="BodyText2"/>
    <w:uiPriority w:val="99"/>
    <w:semiHidden/>
    <w:locked/>
    <w:rsid w:val="00841637"/>
    <w:rPr>
      <w:rFonts w:cs="Times New Roman"/>
      <w:sz w:val="24"/>
      <w:szCs w:val="24"/>
    </w:rPr>
  </w:style>
  <w:style w:type="paragraph" w:styleId="DocumentMap">
    <w:name w:val="Document Map"/>
    <w:basedOn w:val="Normal"/>
    <w:link w:val="DocumentMapChar"/>
    <w:uiPriority w:val="99"/>
    <w:semiHidden/>
    <w:rsid w:val="003174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41637"/>
    <w:rPr>
      <w:rFonts w:cs="Times New Roman"/>
      <w:sz w:val="2"/>
    </w:rPr>
  </w:style>
  <w:style w:type="paragraph" w:styleId="BodyText">
    <w:name w:val="Body Text"/>
    <w:basedOn w:val="Normal"/>
    <w:link w:val="BodyTextChar"/>
    <w:uiPriority w:val="99"/>
    <w:rsid w:val="00E47194"/>
    <w:pPr>
      <w:spacing w:after="120"/>
    </w:pPr>
  </w:style>
  <w:style w:type="character" w:customStyle="1" w:styleId="BodyTextChar">
    <w:name w:val="Body Text Char"/>
    <w:basedOn w:val="DefaultParagraphFont"/>
    <w:link w:val="BodyText"/>
    <w:uiPriority w:val="99"/>
    <w:semiHidden/>
    <w:locked/>
    <w:rsid w:val="00841637"/>
    <w:rPr>
      <w:rFonts w:cs="Times New Roman"/>
      <w:sz w:val="24"/>
      <w:szCs w:val="24"/>
    </w:rPr>
  </w:style>
  <w:style w:type="paragraph" w:styleId="BodyTextIndent3">
    <w:name w:val="Body Text Indent 3"/>
    <w:basedOn w:val="Normal"/>
    <w:link w:val="BodyTextIndent3Char"/>
    <w:uiPriority w:val="99"/>
    <w:rsid w:val="0082475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41637"/>
    <w:rPr>
      <w:rFonts w:cs="Times New Roman"/>
      <w:sz w:val="16"/>
      <w:szCs w:val="16"/>
    </w:rPr>
  </w:style>
  <w:style w:type="paragraph" w:customStyle="1" w:styleId="naisnod">
    <w:name w:val="naisnod"/>
    <w:basedOn w:val="Normal"/>
    <w:uiPriority w:val="99"/>
    <w:rsid w:val="00FD2E31"/>
    <w:pPr>
      <w:spacing w:before="150" w:after="150"/>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3650</Words>
  <Characters>2082</Characters>
  <Application>Microsoft Office Word</Application>
  <DocSecurity>0</DocSecurity>
  <Lines>17</Lines>
  <Paragraphs>11</Paragraphs>
  <ScaleCrop>false</ScaleCrop>
  <Company>Satiksmes ministrija</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 valstij dividendēs izmaksājamo akciju sabiedrības „Pasažieru vilciens” peļņas daļu” </dc:title>
  <dc:subject> anotācija</dc:subject>
  <dc:creator>Normunds Sinkecvičs</dc:creator>
  <cp:keywords/>
  <dc:description>N.Sinkevičs67234278, normunds.sinkevics@pv.ldz.lv</dc:description>
  <cp:lastModifiedBy>Lietotajs</cp:lastModifiedBy>
  <cp:revision>11</cp:revision>
  <cp:lastPrinted>2011-08-19T07:50:00Z</cp:lastPrinted>
  <dcterms:created xsi:type="dcterms:W3CDTF">2011-08-10T07:19:00Z</dcterms:created>
  <dcterms:modified xsi:type="dcterms:W3CDTF">2011-08-19T07:50:00Z</dcterms:modified>
</cp:coreProperties>
</file>