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D8" w:rsidRPr="007C0F2C" w:rsidRDefault="009D00D8" w:rsidP="00593EC1">
      <w:pPr>
        <w:pStyle w:val="naislab"/>
        <w:spacing w:before="0" w:after="0"/>
        <w:rPr>
          <w:sz w:val="28"/>
          <w:szCs w:val="28"/>
        </w:rPr>
      </w:pPr>
    </w:p>
    <w:p w:rsidR="009D00D8" w:rsidRPr="007C0F2C" w:rsidRDefault="009D00D8" w:rsidP="00593EC1">
      <w:pPr>
        <w:pStyle w:val="naislab"/>
        <w:spacing w:before="0" w:after="0"/>
        <w:jc w:val="center"/>
        <w:outlineLvl w:val="0"/>
        <w:rPr>
          <w:b/>
          <w:sz w:val="28"/>
          <w:szCs w:val="28"/>
        </w:rPr>
      </w:pPr>
      <w:r>
        <w:rPr>
          <w:b/>
          <w:sz w:val="28"/>
          <w:szCs w:val="28"/>
        </w:rPr>
        <w:t>Ministru kabineta noteikumu projekta „Sabiedriskā transporta pakalpojumu sniegšanas un izmantošanas kārtība”</w:t>
      </w:r>
      <w:r w:rsidRPr="007C0F2C">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595"/>
        <w:gridCol w:w="5580"/>
      </w:tblGrid>
      <w:tr w:rsidR="009D00D8" w:rsidRPr="00593EC1" w:rsidTr="00C957CF">
        <w:tc>
          <w:tcPr>
            <w:tcW w:w="9725" w:type="dxa"/>
            <w:gridSpan w:val="3"/>
            <w:vAlign w:val="center"/>
          </w:tcPr>
          <w:p w:rsidR="009D00D8" w:rsidRPr="00593EC1" w:rsidRDefault="009D00D8" w:rsidP="00C957CF">
            <w:pPr>
              <w:pStyle w:val="naisnod"/>
              <w:spacing w:before="0" w:after="0"/>
            </w:pPr>
            <w:r w:rsidRPr="00593EC1">
              <w:t>I. Tiesību akta projekta izstrādes nepieciešamība</w:t>
            </w:r>
          </w:p>
        </w:tc>
      </w:tr>
      <w:tr w:rsidR="009D00D8" w:rsidRPr="00593EC1" w:rsidTr="00DA27BF">
        <w:trPr>
          <w:trHeight w:val="630"/>
        </w:trPr>
        <w:tc>
          <w:tcPr>
            <w:tcW w:w="550" w:type="dxa"/>
          </w:tcPr>
          <w:p w:rsidR="009D00D8" w:rsidRPr="00593EC1" w:rsidRDefault="009D00D8" w:rsidP="00EF15BF">
            <w:pPr>
              <w:pStyle w:val="naiskr"/>
              <w:spacing w:before="0" w:after="0"/>
              <w:jc w:val="center"/>
            </w:pPr>
            <w:r w:rsidRPr="00593EC1">
              <w:t>1.</w:t>
            </w:r>
          </w:p>
        </w:tc>
        <w:tc>
          <w:tcPr>
            <w:tcW w:w="3595" w:type="dxa"/>
          </w:tcPr>
          <w:p w:rsidR="009D00D8" w:rsidRPr="00593EC1" w:rsidRDefault="009D00D8" w:rsidP="00C957CF">
            <w:pPr>
              <w:pStyle w:val="naiskr"/>
              <w:spacing w:before="0" w:after="0"/>
              <w:ind w:hanging="10"/>
            </w:pPr>
            <w:r w:rsidRPr="00593EC1">
              <w:t>Pamatojums</w:t>
            </w:r>
          </w:p>
        </w:tc>
        <w:tc>
          <w:tcPr>
            <w:tcW w:w="5580" w:type="dxa"/>
          </w:tcPr>
          <w:p w:rsidR="009D00D8" w:rsidRPr="00593EC1" w:rsidRDefault="009D00D8" w:rsidP="00C957CF">
            <w:pPr>
              <w:pStyle w:val="naiskr"/>
              <w:spacing w:before="0" w:after="0"/>
              <w:ind w:hanging="5"/>
            </w:pPr>
            <w:r>
              <w:tab/>
            </w:r>
            <w:r>
              <w:tab/>
            </w:r>
            <w:r w:rsidRPr="00593EC1">
              <w:t xml:space="preserve">Sabiedriskā transporta pakalpojumu likuma 13.panta </w:t>
            </w:r>
            <w:r>
              <w:t xml:space="preserve">piektā un </w:t>
            </w:r>
            <w:r w:rsidRPr="00593EC1">
              <w:t>devītā daļa</w:t>
            </w:r>
          </w:p>
        </w:tc>
      </w:tr>
      <w:tr w:rsidR="009D00D8" w:rsidRPr="00593EC1" w:rsidTr="00DA27BF">
        <w:trPr>
          <w:trHeight w:val="472"/>
        </w:trPr>
        <w:tc>
          <w:tcPr>
            <w:tcW w:w="550" w:type="dxa"/>
          </w:tcPr>
          <w:p w:rsidR="009D00D8" w:rsidRPr="00593EC1" w:rsidRDefault="009D00D8" w:rsidP="00EF15BF">
            <w:pPr>
              <w:pStyle w:val="naiskr"/>
              <w:spacing w:before="0" w:after="0"/>
              <w:jc w:val="center"/>
            </w:pPr>
            <w:r w:rsidRPr="00593EC1">
              <w:rPr>
                <w:szCs w:val="22"/>
              </w:rPr>
              <w:t>2.</w:t>
            </w:r>
          </w:p>
        </w:tc>
        <w:tc>
          <w:tcPr>
            <w:tcW w:w="3595" w:type="dxa"/>
          </w:tcPr>
          <w:p w:rsidR="009D00D8" w:rsidRPr="00593EC1" w:rsidRDefault="009D00D8" w:rsidP="00C957CF">
            <w:pPr>
              <w:pStyle w:val="naiskr"/>
              <w:tabs>
                <w:tab w:val="left" w:pos="170"/>
              </w:tabs>
              <w:spacing w:before="0" w:after="0"/>
            </w:pPr>
            <w:r w:rsidRPr="00593EC1">
              <w:rPr>
                <w:szCs w:val="22"/>
              </w:rPr>
              <w:t>Pašreizējā situācija un problēmas</w:t>
            </w:r>
          </w:p>
        </w:tc>
        <w:tc>
          <w:tcPr>
            <w:tcW w:w="5580" w:type="dxa"/>
          </w:tcPr>
          <w:p w:rsidR="009D00D8" w:rsidRDefault="009D00D8" w:rsidP="00486322">
            <w:pPr>
              <w:ind w:firstLine="720"/>
              <w:jc w:val="both"/>
            </w:pPr>
            <w:r>
              <w:t>A</w:t>
            </w:r>
            <w:r w:rsidRPr="00F5092F">
              <w:t>r 2008.gada 6.novembra grozījumiem Sabiedriskā transporta pakalpojumu likumā tika pie</w:t>
            </w:r>
            <w:r>
              <w:t>ņemts lēmums</w:t>
            </w:r>
            <w:r w:rsidRPr="00F5092F">
              <w:t xml:space="preserve"> atteikties no līdzšinējās </w:t>
            </w:r>
            <w:r>
              <w:t xml:space="preserve">Latvijas </w:t>
            </w:r>
            <w:r w:rsidRPr="00F5092F">
              <w:t>A</w:t>
            </w:r>
            <w:r>
              <w:t>dministratīvo pārkāpumu kodeksā (APK) noteiktā naudas</w:t>
            </w:r>
            <w:r w:rsidRPr="00F5092F">
              <w:t xml:space="preserve"> soda par braukšanu bez biļetes</w:t>
            </w:r>
            <w:r>
              <w:t xml:space="preserve"> sabiedriskajā transportā</w:t>
            </w:r>
            <w:r w:rsidRPr="00F5092F">
              <w:t xml:space="preserve"> piemērošanas kārtības un ieviest līgumsodu sistēmu, kur </w:t>
            </w:r>
            <w:r>
              <w:t>pasažieris sabiedriskā transporta pakalpojumus izmanto uz regulāro pasažieru pārvadājumu līguma pamata un par sabiedriskā transporta pakalpojumu izmantošanu bez samaksas vai braukšanai derīgas biļetes maksā pārvadātājam līgum</w:t>
            </w:r>
            <w:r w:rsidRPr="00F5092F">
              <w:t>sodu. Sabiedriskā transporta pakalpojumu likumā tika ietverts deleģējums Ministru kabinetam noteikt līgumsoda maksimālo apmēru un piemērošanas kārtīb</w:t>
            </w:r>
            <w:r>
              <w:t>u</w:t>
            </w:r>
            <w:r w:rsidRPr="00F5092F">
              <w:t>.</w:t>
            </w:r>
          </w:p>
          <w:p w:rsidR="009D00D8" w:rsidRDefault="009D00D8" w:rsidP="00593EC1">
            <w:pPr>
              <w:jc w:val="both"/>
            </w:pPr>
            <w:r w:rsidRPr="00F5092F">
              <w:tab/>
              <w:t>Atbilstoši likumā ietvertam deleģējumam Satiksmes ministrija izstrādāja un iesniedza Ministru kabinetā noteikumu projektu, kas paredzēja noteikt pieļaujamo līgumsoda apmēru un tā piemērošanas kārtību, kopā ar grozījumu projektu APK, kas paredzēja svītrot 136.pantu, kas</w:t>
            </w:r>
            <w:r>
              <w:t xml:space="preserve"> paredz administratīvo atbildību par braukšanu bez biļetes sabiedriskajā transportā</w:t>
            </w:r>
            <w:r w:rsidRPr="00F5092F">
              <w:t>.</w:t>
            </w:r>
          </w:p>
          <w:p w:rsidR="009D00D8" w:rsidRDefault="009D00D8" w:rsidP="00486322">
            <w:pPr>
              <w:jc w:val="both"/>
            </w:pPr>
            <w:r w:rsidRPr="00F5092F">
              <w:tab/>
              <w:t>Šī Ministru kabineta noteikumu projekta virzība Ministru kabinetā tika apturēta līdz brīdim, kamēr Saeimā tiek pieņemti attiecīgi grozījumi APK. Tādējādi izslēdzot iespējamību, ka vienlaikus sods par braukšanu sabiedriskajā transportā bez biļetes tiek piemērots gan kā administratīvais sods, gan līgumsods.</w:t>
            </w:r>
          </w:p>
          <w:p w:rsidR="009D00D8" w:rsidRDefault="009D00D8" w:rsidP="00EF15BF">
            <w:pPr>
              <w:ind w:firstLine="720"/>
              <w:jc w:val="both"/>
            </w:pPr>
            <w:r>
              <w:t>Šādi grozījumi APK tika pieņemti 2011.gada 1.jūlijā un likums paredz, ka tie stājas spēkā 2012.gada 1.augustā.</w:t>
            </w:r>
          </w:p>
          <w:p w:rsidR="009D00D8" w:rsidRPr="00593EC1" w:rsidRDefault="009D00D8" w:rsidP="00EF15BF">
            <w:pPr>
              <w:ind w:firstLine="720"/>
              <w:jc w:val="both"/>
            </w:pPr>
            <w:r>
              <w:t>Noteikumu projekts tiek virzīts apstiprināšanai atkārtoti. Pamatojoties uz 2009.gada 3.februāra Ministru kabineta noteikumu Nr.108 „ Normatīvo aktu projektu sagatavošanas noteikumi” noteikumu projekts ir sagatavots jaunā redakcijā.</w:t>
            </w:r>
          </w:p>
        </w:tc>
      </w:tr>
      <w:tr w:rsidR="009D00D8" w:rsidRPr="007D7945" w:rsidTr="00DA27BF">
        <w:trPr>
          <w:trHeight w:val="1071"/>
        </w:trPr>
        <w:tc>
          <w:tcPr>
            <w:tcW w:w="550" w:type="dxa"/>
          </w:tcPr>
          <w:p w:rsidR="009D00D8" w:rsidRPr="007D7945" w:rsidRDefault="009D00D8" w:rsidP="00EF15BF">
            <w:pPr>
              <w:pStyle w:val="naiskr"/>
              <w:spacing w:before="0" w:after="0"/>
              <w:jc w:val="center"/>
            </w:pPr>
            <w:r w:rsidRPr="007D7945">
              <w:rPr>
                <w:szCs w:val="22"/>
              </w:rPr>
              <w:t>3.</w:t>
            </w:r>
          </w:p>
        </w:tc>
        <w:tc>
          <w:tcPr>
            <w:tcW w:w="3595" w:type="dxa"/>
          </w:tcPr>
          <w:p w:rsidR="009D00D8" w:rsidRPr="007D7945" w:rsidRDefault="009D00D8" w:rsidP="00C957CF">
            <w:pPr>
              <w:pStyle w:val="naiskr"/>
              <w:spacing w:before="0" w:after="0"/>
            </w:pPr>
            <w:r w:rsidRPr="007D7945">
              <w:rPr>
                <w:szCs w:val="22"/>
              </w:rPr>
              <w:t>Saistītie politikas ietekmes novērtējumi un pētījumi</w:t>
            </w:r>
          </w:p>
        </w:tc>
        <w:tc>
          <w:tcPr>
            <w:tcW w:w="5580" w:type="dxa"/>
          </w:tcPr>
          <w:p w:rsidR="009D00D8" w:rsidRPr="007D7945" w:rsidRDefault="009D00D8" w:rsidP="00C957CF">
            <w:pPr>
              <w:pStyle w:val="FootnoteText"/>
              <w:rPr>
                <w:sz w:val="24"/>
                <w:szCs w:val="22"/>
              </w:rPr>
            </w:pPr>
            <w:r>
              <w:rPr>
                <w:sz w:val="24"/>
                <w:szCs w:val="22"/>
              </w:rPr>
              <w:tab/>
            </w:r>
            <w:r w:rsidRPr="007D7945">
              <w:rPr>
                <w:sz w:val="24"/>
                <w:szCs w:val="22"/>
              </w:rPr>
              <w:t>Projekt</w:t>
            </w:r>
            <w:r>
              <w:rPr>
                <w:sz w:val="24"/>
                <w:szCs w:val="22"/>
              </w:rPr>
              <w:t>s</w:t>
            </w:r>
            <w:r w:rsidRPr="007D7945">
              <w:rPr>
                <w:sz w:val="24"/>
                <w:szCs w:val="22"/>
              </w:rPr>
              <w:t xml:space="preserve"> šo jomu neskar.</w:t>
            </w:r>
          </w:p>
        </w:tc>
      </w:tr>
      <w:tr w:rsidR="009D00D8" w:rsidRPr="007D7945" w:rsidTr="00DA27BF">
        <w:trPr>
          <w:trHeight w:val="384"/>
        </w:trPr>
        <w:tc>
          <w:tcPr>
            <w:tcW w:w="550" w:type="dxa"/>
          </w:tcPr>
          <w:p w:rsidR="009D00D8" w:rsidRPr="007D7945" w:rsidRDefault="009D00D8" w:rsidP="00EF15BF">
            <w:pPr>
              <w:pStyle w:val="naiskr"/>
              <w:spacing w:before="0" w:after="0"/>
              <w:jc w:val="center"/>
            </w:pPr>
            <w:r w:rsidRPr="007D7945">
              <w:t>4.</w:t>
            </w:r>
          </w:p>
        </w:tc>
        <w:tc>
          <w:tcPr>
            <w:tcW w:w="3595" w:type="dxa"/>
          </w:tcPr>
          <w:p w:rsidR="009D00D8" w:rsidRPr="007D7945" w:rsidRDefault="009D00D8" w:rsidP="00C957CF">
            <w:pPr>
              <w:pStyle w:val="naiskr"/>
              <w:spacing w:before="0" w:after="0"/>
            </w:pPr>
            <w:r w:rsidRPr="007D7945">
              <w:t>Tiesiskā regulējuma mērķis un būtība</w:t>
            </w:r>
          </w:p>
        </w:tc>
        <w:tc>
          <w:tcPr>
            <w:tcW w:w="5580" w:type="dxa"/>
          </w:tcPr>
          <w:p w:rsidR="009D00D8" w:rsidRPr="007D7945" w:rsidRDefault="009D00D8" w:rsidP="007D7945">
            <w:pPr>
              <w:ind w:firstLine="720"/>
              <w:jc w:val="both"/>
            </w:pPr>
            <w:r w:rsidRPr="007D7945">
              <w:t>Atbilstoši Sabiedriskā transporta pakalpojumu likuma 13.panta devītajā daļā ietvertajam deleģējumam noteikumu</w:t>
            </w:r>
            <w:r>
              <w:t xml:space="preserve"> projektā ir noteiks līgumsoda </w:t>
            </w:r>
            <w:r w:rsidRPr="007D7945">
              <w:t>par sabiedriskā transport</w:t>
            </w:r>
            <w:r>
              <w:t>a pakalpojumu</w:t>
            </w:r>
            <w:r w:rsidRPr="007D7945">
              <w:t xml:space="preserve"> izmantošanu bez samaksas vai braukšanai derīgas biļetes) maksimālais apmērs un lī</w:t>
            </w:r>
            <w:r>
              <w:t>gumsoda piemērošanas kārtība.</w:t>
            </w:r>
          </w:p>
          <w:p w:rsidR="009D00D8" w:rsidRPr="007D7945" w:rsidRDefault="009D00D8" w:rsidP="007D7945">
            <w:pPr>
              <w:ind w:firstLine="720"/>
              <w:jc w:val="both"/>
            </w:pPr>
            <w:r w:rsidRPr="007D7945">
              <w:t>Noteikumu projektā noteiktais maksimālais līgumsoda apmērs pilsētas nozīmes maršrutos tiek piesaistīts mēnešbiļešu cenai, savukārt reģionālos pārvadājumos – lielākai attiecīgā pārvadātāja note</w:t>
            </w:r>
            <w:r>
              <w:t>iktai braukšanas biļetes cenai.</w:t>
            </w:r>
          </w:p>
          <w:p w:rsidR="009D00D8" w:rsidRPr="007D7945" w:rsidRDefault="009D00D8" w:rsidP="007D7945">
            <w:pPr>
              <w:ind w:firstLine="720"/>
              <w:jc w:val="both"/>
            </w:pPr>
            <w:r w:rsidRPr="007D7945">
              <w:t xml:space="preserve">Sabiedriskā transporta pakalpojumu likums paredz nodrošināt sabiedriskā transporta pakalpojumus tādā apjomā, lai apmierinātu iedzīvotāju vajadzības un garantētu to nokļūšanu </w:t>
            </w:r>
            <w:r>
              <w:t>uz darbu, izglītības iestādēm,</w:t>
            </w:r>
            <w:r w:rsidRPr="007D7945">
              <w:t xml:space="preserve"> valsts un pašvaldību institūcijām to normālajā darba laikā. Statistiskie dati liecina, ka iedzīvotāji pamatā sabiedrisko transportu izmanto, lai nokļūtu uz darbu, izglītības un ārstniecības iestādēm. Līdz ar to pilsētas nozīmes pārvadājumos ir iespējams paredzēt, ka viens pasažieris izmanto sabiedrisko transportu vidēji diviem braucieniem dienā, tātad 40 braucieniem mēnesī. Ņemot vērā pilsētas nozīmes pārvadājumu specifiku un lai veicinātu iedzīvotājus izmantot abonementa maksājumus par braukšanu sabiedriskajā transportā, ir samērīgi un lietderīgi līgumsoda apmēru par braukšanu bez biļetes pilsētas nozīmes maršrutā pielīdzināt abonementa biļetes cenai.</w:t>
            </w:r>
          </w:p>
          <w:p w:rsidR="009D00D8" w:rsidRPr="007D7945" w:rsidRDefault="009D00D8" w:rsidP="007D7945">
            <w:pPr>
              <w:ind w:firstLine="720"/>
              <w:jc w:val="both"/>
            </w:pPr>
            <w:r w:rsidRPr="007D7945">
              <w:t xml:space="preserve">Šādi sabiedriskā transporta pakalpojumu izmantošanas paradumi ir novēroti arī reģionālos starppilsētu un reģionālos vietējās nozīmes maršrutos, ar atšķirību, ka šeit nav izplatīti abonementa maksājumi un šādu abonementa biļešu iegādes iespējas un braukšanas maksa ir atkarīga no brauciena garuma. Maksa par šiem pārvadājumiem Latvijas teritorijā ir ļoti diferencēta un tādēļ līgumsoda apmēru nav iespējams noteikt kā konstantu summu. Vienā gadījumā precīzi noteiktais līgumsoda apmērs varētu būt nesamērīgi augsts, citā </w:t>
            </w:r>
            <w:r>
              <w:t xml:space="preserve">tieši pretēji </w:t>
            </w:r>
            <w:r w:rsidRPr="007D7945">
              <w:t>– nesamērīgi zems.</w:t>
            </w:r>
          </w:p>
          <w:p w:rsidR="009D00D8" w:rsidRDefault="009D00D8" w:rsidP="007D7945">
            <w:pPr>
              <w:ind w:firstLine="720"/>
              <w:jc w:val="both"/>
            </w:pPr>
            <w:r w:rsidRPr="007D7945">
              <w:t>Papildus tam, noteikumu projekt</w:t>
            </w:r>
            <w:r>
              <w:t>ā ir:</w:t>
            </w:r>
          </w:p>
          <w:p w:rsidR="009D00D8" w:rsidRDefault="009D00D8" w:rsidP="007D7945">
            <w:pPr>
              <w:pStyle w:val="ListParagraph"/>
              <w:numPr>
                <w:ilvl w:val="0"/>
                <w:numId w:val="1"/>
              </w:numPr>
              <w:ind w:left="0" w:firstLine="720"/>
              <w:jc w:val="both"/>
            </w:pPr>
            <w:r>
              <w:t>precizēta braukšanas biļešu iegādes, izmantošanas un atgriešanas kārtība. Piemēram, līdz šim bija noteikts, ka pasažiera braukšanas tiesības sabiedriskajā transportlīdzeklī apliecina biļete vai cits braukšanas tiesības apliecinošs dokuments (piem., invalīda apliecība). Tas nenodrošināja pilnīgu pārvadāto pasažieru uzskaiti, tādējādi negūstot vispusīgu informāciju par pasažieru plūsmu, pārvietošanās paradumiem u.tml., kas ir būtiska sabiedriskā transporta pakalpojumu plānošanā. Projektā ir paredzēts, ka vienīgais pasažiera braukšanas tiesības apliecinošais dokuments ir biļete. Ja persona ir tiesīga izmantot sabiedrisko transportlīdzekli ar braukšanas maksas atvieglojumu, tai ir jāuzrāda biļete (kurā norādīta attiecīgā atlaide) kopā ar attiecīgo dokumentu, kas apliecina šīs personas tiesības uz braukšanas maksas atvieglojumu;</w:t>
            </w:r>
          </w:p>
          <w:p w:rsidR="009D00D8" w:rsidRDefault="009D00D8" w:rsidP="007D7945">
            <w:pPr>
              <w:pStyle w:val="ListParagraph"/>
              <w:numPr>
                <w:ilvl w:val="0"/>
                <w:numId w:val="1"/>
              </w:numPr>
              <w:ind w:left="0" w:firstLine="720"/>
              <w:jc w:val="both"/>
            </w:pPr>
            <w:r>
              <w:t>precizēta bagāžas, dzīvnieku un bērnu pārvadāšanas kārtība;</w:t>
            </w:r>
          </w:p>
          <w:p w:rsidR="009D00D8" w:rsidRDefault="009D00D8" w:rsidP="007D7945">
            <w:pPr>
              <w:pStyle w:val="ListParagraph"/>
              <w:numPr>
                <w:ilvl w:val="0"/>
                <w:numId w:val="1"/>
              </w:numPr>
              <w:ind w:left="0" w:firstLine="720"/>
              <w:jc w:val="both"/>
            </w:pPr>
            <w:r>
              <w:t>noteikta elektroniski iegādāto biļešu iegādes, izmantošanas un atgriešanas kārtība;</w:t>
            </w:r>
          </w:p>
          <w:p w:rsidR="009D00D8" w:rsidRPr="007D7945" w:rsidRDefault="009D00D8" w:rsidP="008A2F9D">
            <w:pPr>
              <w:pStyle w:val="ListParagraph"/>
              <w:numPr>
                <w:ilvl w:val="0"/>
                <w:numId w:val="1"/>
              </w:numPr>
              <w:ind w:left="0" w:firstLine="720"/>
              <w:jc w:val="both"/>
            </w:pPr>
            <w:r>
              <w:t>a</w:t>
            </w:r>
            <w:r w:rsidRPr="007D7945">
              <w:t>ttiecībā uz vienotās biļešu tirdzniecības sistēmas ieviešanu noteikumu projektā tiek paplašināts iespējamais biļešu tirdzniecības vietu loks, noteikumu tekstā terminu „biļešu kase” aizstājot ar terminu „biļešu tirdzniecības vieta”, biļešu kasi saglabājot kā vienu no iespēja</w:t>
            </w:r>
            <w:r>
              <w:t>mām biļešu tirdzniecības vietām</w:t>
            </w:r>
            <w:r w:rsidRPr="007D7945">
              <w:t>. Braukšanas biļetes turpmāk varēs iegādāties biļešu kasē, elektroniski, pa tālruni, sabiedriskajā transportlīdzeklī</w:t>
            </w:r>
            <w:r>
              <w:t xml:space="preserve"> un citās tirdzniecības vietās.</w:t>
            </w:r>
          </w:p>
        </w:tc>
      </w:tr>
      <w:tr w:rsidR="009D00D8" w:rsidRPr="008A2F9D" w:rsidTr="00DA27BF">
        <w:trPr>
          <w:trHeight w:val="476"/>
        </w:trPr>
        <w:tc>
          <w:tcPr>
            <w:tcW w:w="550" w:type="dxa"/>
          </w:tcPr>
          <w:p w:rsidR="009D00D8" w:rsidRPr="008A2F9D" w:rsidRDefault="009D00D8" w:rsidP="00EF15BF">
            <w:pPr>
              <w:pStyle w:val="naiskr"/>
              <w:spacing w:before="0" w:after="0"/>
              <w:jc w:val="center"/>
            </w:pPr>
            <w:r w:rsidRPr="008A2F9D">
              <w:rPr>
                <w:szCs w:val="22"/>
              </w:rPr>
              <w:t>5.</w:t>
            </w:r>
          </w:p>
        </w:tc>
        <w:tc>
          <w:tcPr>
            <w:tcW w:w="3595" w:type="dxa"/>
          </w:tcPr>
          <w:p w:rsidR="009D00D8" w:rsidRPr="008A2F9D" w:rsidRDefault="009D00D8" w:rsidP="00C957CF">
            <w:pPr>
              <w:pStyle w:val="naiskr"/>
              <w:spacing w:before="0" w:after="0"/>
            </w:pPr>
            <w:r w:rsidRPr="008A2F9D">
              <w:rPr>
                <w:szCs w:val="22"/>
              </w:rPr>
              <w:t>Projekta izstrādē iesaistītās institūcijas</w:t>
            </w:r>
          </w:p>
        </w:tc>
        <w:tc>
          <w:tcPr>
            <w:tcW w:w="5580" w:type="dxa"/>
          </w:tcPr>
          <w:p w:rsidR="009D00D8" w:rsidRPr="008A2F9D" w:rsidRDefault="009D00D8" w:rsidP="00C957CF">
            <w:pPr>
              <w:pStyle w:val="naiskr"/>
              <w:spacing w:before="0" w:after="0"/>
            </w:pPr>
            <w:r>
              <w:rPr>
                <w:szCs w:val="22"/>
              </w:rPr>
              <w:t>Satiksmes ministrija, VSIA „Autotransporta direkcija”, Rīgas Domes Satiksmes departaments</w:t>
            </w:r>
          </w:p>
        </w:tc>
      </w:tr>
      <w:tr w:rsidR="009D00D8" w:rsidRPr="008A2F9D" w:rsidTr="00DA27BF">
        <w:trPr>
          <w:trHeight w:val="1340"/>
        </w:trPr>
        <w:tc>
          <w:tcPr>
            <w:tcW w:w="550" w:type="dxa"/>
          </w:tcPr>
          <w:p w:rsidR="009D00D8" w:rsidRPr="008A2F9D" w:rsidRDefault="009D00D8" w:rsidP="00EF15BF">
            <w:pPr>
              <w:pStyle w:val="naiskr"/>
              <w:spacing w:before="0" w:after="0"/>
              <w:jc w:val="center"/>
            </w:pPr>
            <w:r w:rsidRPr="008A2F9D">
              <w:rPr>
                <w:szCs w:val="22"/>
              </w:rPr>
              <w:t>6.</w:t>
            </w:r>
          </w:p>
        </w:tc>
        <w:tc>
          <w:tcPr>
            <w:tcW w:w="3595" w:type="dxa"/>
          </w:tcPr>
          <w:p w:rsidR="009D00D8" w:rsidRPr="008A2F9D" w:rsidRDefault="009D00D8" w:rsidP="00C957CF">
            <w:pPr>
              <w:pStyle w:val="naiskr"/>
              <w:spacing w:before="0" w:after="0"/>
              <w:rPr>
                <w:i/>
                <w:highlight w:val="yellow"/>
              </w:rPr>
            </w:pPr>
            <w:r w:rsidRPr="008A2F9D">
              <w:rPr>
                <w:szCs w:val="22"/>
              </w:rPr>
              <w:t>Iemesli, kādēļ netika nodrošināta sabiedrības līdzdalība</w:t>
            </w:r>
          </w:p>
        </w:tc>
        <w:tc>
          <w:tcPr>
            <w:tcW w:w="5580" w:type="dxa"/>
          </w:tcPr>
          <w:p w:rsidR="009D00D8" w:rsidRPr="008A2F9D" w:rsidRDefault="009D00D8" w:rsidP="00DD4001">
            <w:pPr>
              <w:pStyle w:val="naiskr"/>
              <w:spacing w:before="0" w:after="0"/>
              <w:jc w:val="both"/>
            </w:pPr>
            <w:r>
              <w:t>Projekts apstiprināšanai tiek virzīts atkārtoti. Diskusijas par sodu sistēmas maiņu ir notikušas attiecīgo izmaiņu Sabiedriskā transporta pakalpojumu likumā un Latvijas Administratīvo pārkāpumu kodeksā virzīšanas un apstiprināšanas gaitā.</w:t>
            </w:r>
          </w:p>
        </w:tc>
      </w:tr>
      <w:tr w:rsidR="009D00D8" w:rsidRPr="007C0F2C" w:rsidTr="00DA27BF">
        <w:tc>
          <w:tcPr>
            <w:tcW w:w="550" w:type="dxa"/>
          </w:tcPr>
          <w:p w:rsidR="009D00D8" w:rsidRPr="007C0F2C" w:rsidRDefault="009D00D8" w:rsidP="00EF15BF">
            <w:pPr>
              <w:pStyle w:val="naiskr"/>
              <w:spacing w:before="0" w:after="0"/>
              <w:jc w:val="center"/>
            </w:pPr>
            <w:r w:rsidRPr="007C0F2C">
              <w:rPr>
                <w:sz w:val="22"/>
                <w:szCs w:val="22"/>
              </w:rPr>
              <w:t>7.</w:t>
            </w:r>
          </w:p>
        </w:tc>
        <w:tc>
          <w:tcPr>
            <w:tcW w:w="3595" w:type="dxa"/>
          </w:tcPr>
          <w:p w:rsidR="009D00D8" w:rsidRPr="007C0F2C" w:rsidRDefault="009D00D8" w:rsidP="00C957CF">
            <w:pPr>
              <w:pStyle w:val="naiskr"/>
              <w:spacing w:before="0" w:after="0"/>
            </w:pPr>
            <w:r w:rsidRPr="007C0F2C">
              <w:rPr>
                <w:sz w:val="22"/>
                <w:szCs w:val="22"/>
              </w:rPr>
              <w:t>Cita informācija</w:t>
            </w:r>
          </w:p>
        </w:tc>
        <w:tc>
          <w:tcPr>
            <w:tcW w:w="5580" w:type="dxa"/>
          </w:tcPr>
          <w:p w:rsidR="009D00D8" w:rsidRPr="007C0F2C" w:rsidRDefault="009D00D8" w:rsidP="00DD4001">
            <w:pPr>
              <w:pStyle w:val="naiskr"/>
              <w:spacing w:before="0" w:after="0"/>
            </w:pPr>
            <w:r w:rsidRPr="007C0F2C">
              <w:rPr>
                <w:sz w:val="22"/>
                <w:szCs w:val="22"/>
              </w:rPr>
              <w:t>Nav</w:t>
            </w:r>
            <w:r>
              <w:rPr>
                <w:sz w:val="22"/>
                <w:szCs w:val="22"/>
              </w:rPr>
              <w:t>.</w:t>
            </w:r>
          </w:p>
        </w:tc>
      </w:tr>
    </w:tbl>
    <w:p w:rsidR="009D00D8" w:rsidRPr="007C0F2C" w:rsidRDefault="009D00D8" w:rsidP="00593EC1">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573"/>
        <w:gridCol w:w="5613"/>
      </w:tblGrid>
      <w:tr w:rsidR="009D00D8" w:rsidRPr="007C0F2C" w:rsidTr="00DA27BF">
        <w:tc>
          <w:tcPr>
            <w:tcW w:w="9758" w:type="dxa"/>
            <w:gridSpan w:val="3"/>
            <w:vAlign w:val="center"/>
          </w:tcPr>
          <w:p w:rsidR="009D00D8" w:rsidRPr="007C0F2C" w:rsidRDefault="009D00D8" w:rsidP="00C957CF">
            <w:pPr>
              <w:pStyle w:val="naisnod"/>
              <w:spacing w:before="0" w:after="0"/>
            </w:pPr>
            <w:r w:rsidRPr="007C0F2C">
              <w:t>II. Tiesību akta projekta ietekme uz sabiedrību</w:t>
            </w:r>
          </w:p>
        </w:tc>
      </w:tr>
      <w:tr w:rsidR="009D00D8" w:rsidRPr="007C0F2C" w:rsidTr="00DA27BF">
        <w:trPr>
          <w:trHeight w:val="467"/>
        </w:trPr>
        <w:tc>
          <w:tcPr>
            <w:tcW w:w="572" w:type="dxa"/>
          </w:tcPr>
          <w:p w:rsidR="009D00D8" w:rsidRPr="00D86555" w:rsidRDefault="009D00D8" w:rsidP="00EF15BF">
            <w:pPr>
              <w:pStyle w:val="naiskr"/>
              <w:spacing w:before="0" w:after="0"/>
              <w:jc w:val="center"/>
            </w:pPr>
            <w:r w:rsidRPr="00D86555">
              <w:t>1.</w:t>
            </w:r>
          </w:p>
        </w:tc>
        <w:tc>
          <w:tcPr>
            <w:tcW w:w="3573" w:type="dxa"/>
          </w:tcPr>
          <w:p w:rsidR="009D00D8" w:rsidRPr="00D86555" w:rsidRDefault="009D00D8" w:rsidP="00C957CF">
            <w:pPr>
              <w:pStyle w:val="naiskr"/>
              <w:spacing w:before="0" w:after="0"/>
            </w:pPr>
            <w:r w:rsidRPr="00D86555">
              <w:t>Sabiedrības mērķgrupa</w:t>
            </w:r>
          </w:p>
        </w:tc>
        <w:tc>
          <w:tcPr>
            <w:tcW w:w="5613" w:type="dxa"/>
          </w:tcPr>
          <w:p w:rsidR="009D00D8" w:rsidRPr="00D86555" w:rsidRDefault="009D00D8" w:rsidP="00BB57F5">
            <w:pPr>
              <w:pStyle w:val="naiskr"/>
              <w:spacing w:before="0" w:after="0"/>
              <w:ind w:hanging="57"/>
              <w:jc w:val="both"/>
            </w:pPr>
            <w:r w:rsidRPr="00D86555">
              <w:rPr>
                <w:iCs/>
              </w:rPr>
              <w:t xml:space="preserve"> Sabiedriskā transporta pakalpojumu </w:t>
            </w:r>
            <w:r>
              <w:rPr>
                <w:iCs/>
              </w:rPr>
              <w:t xml:space="preserve">pasūtītāji (VSIA „Autotransporta direkcija, plānošanas reģioni, pilsētu pašvaldības), sabiedriskā transporta pakalpojumu </w:t>
            </w:r>
            <w:r w:rsidRPr="00D86555">
              <w:rPr>
                <w:iCs/>
              </w:rPr>
              <w:t>sniedzēji (pārvadātāji), pasažieri</w:t>
            </w:r>
            <w:r>
              <w:rPr>
                <w:iCs/>
              </w:rPr>
              <w:t>.</w:t>
            </w:r>
          </w:p>
        </w:tc>
      </w:tr>
      <w:tr w:rsidR="009D00D8" w:rsidRPr="007C0F2C" w:rsidTr="00DA27BF">
        <w:trPr>
          <w:trHeight w:val="523"/>
        </w:trPr>
        <w:tc>
          <w:tcPr>
            <w:tcW w:w="572" w:type="dxa"/>
          </w:tcPr>
          <w:p w:rsidR="009D00D8" w:rsidRPr="00D86555" w:rsidRDefault="009D00D8" w:rsidP="00EF15BF">
            <w:pPr>
              <w:pStyle w:val="naiskr"/>
              <w:spacing w:before="0" w:after="0"/>
              <w:jc w:val="center"/>
            </w:pPr>
            <w:r w:rsidRPr="00D86555">
              <w:t>2.</w:t>
            </w:r>
          </w:p>
        </w:tc>
        <w:tc>
          <w:tcPr>
            <w:tcW w:w="3573" w:type="dxa"/>
          </w:tcPr>
          <w:p w:rsidR="009D00D8" w:rsidRPr="00D86555" w:rsidRDefault="009D00D8" w:rsidP="00C957CF">
            <w:pPr>
              <w:pStyle w:val="naiskr"/>
              <w:spacing w:before="0" w:after="0"/>
            </w:pPr>
            <w:r w:rsidRPr="00D86555">
              <w:t>Citas sabiedrības grupas (bez mērķgrupas), kuras tiesiskais regulējums arī ietekmē vai varētu ietekmēt</w:t>
            </w:r>
          </w:p>
        </w:tc>
        <w:tc>
          <w:tcPr>
            <w:tcW w:w="5613" w:type="dxa"/>
          </w:tcPr>
          <w:p w:rsidR="009D00D8" w:rsidRPr="00D86555" w:rsidRDefault="009D00D8" w:rsidP="00486322">
            <w:pPr>
              <w:pStyle w:val="naiskr"/>
              <w:spacing w:before="0" w:after="0"/>
            </w:pPr>
            <w:r w:rsidRPr="00D86555">
              <w:t>Projekt</w:t>
            </w:r>
            <w:r>
              <w:t>s</w:t>
            </w:r>
            <w:r w:rsidRPr="00D86555">
              <w:t xml:space="preserve"> šo jomu neskar.</w:t>
            </w:r>
          </w:p>
        </w:tc>
      </w:tr>
      <w:tr w:rsidR="009D00D8" w:rsidRPr="007C0F2C" w:rsidTr="00DA27BF">
        <w:trPr>
          <w:trHeight w:val="517"/>
        </w:trPr>
        <w:tc>
          <w:tcPr>
            <w:tcW w:w="572" w:type="dxa"/>
          </w:tcPr>
          <w:p w:rsidR="009D00D8" w:rsidRPr="00D86555" w:rsidRDefault="009D00D8" w:rsidP="00EF15BF">
            <w:pPr>
              <w:pStyle w:val="naiskr"/>
              <w:spacing w:before="0" w:after="0"/>
              <w:jc w:val="center"/>
            </w:pPr>
            <w:r w:rsidRPr="00D86555">
              <w:t>3.</w:t>
            </w:r>
          </w:p>
        </w:tc>
        <w:tc>
          <w:tcPr>
            <w:tcW w:w="3573" w:type="dxa"/>
          </w:tcPr>
          <w:p w:rsidR="009D00D8" w:rsidRPr="00D86555" w:rsidRDefault="009D00D8" w:rsidP="00C957CF">
            <w:pPr>
              <w:pStyle w:val="naiskr"/>
              <w:spacing w:before="0" w:after="0"/>
            </w:pPr>
            <w:r w:rsidRPr="00D86555">
              <w:t>Tiesiskā regulējuma finansiālā ietekme</w:t>
            </w:r>
          </w:p>
        </w:tc>
        <w:tc>
          <w:tcPr>
            <w:tcW w:w="5613" w:type="dxa"/>
          </w:tcPr>
          <w:p w:rsidR="009D00D8" w:rsidRPr="00D86555" w:rsidRDefault="009D00D8" w:rsidP="00C957CF">
            <w:pPr>
              <w:pStyle w:val="naiskr"/>
              <w:spacing w:before="0" w:after="0"/>
            </w:pPr>
            <w:r w:rsidRPr="00D86555">
              <w:t>Projekt</w:t>
            </w:r>
            <w:r>
              <w:t>s</w:t>
            </w:r>
            <w:r w:rsidRPr="00D86555">
              <w:t xml:space="preserve"> šo jomu neskar.</w:t>
            </w:r>
          </w:p>
        </w:tc>
      </w:tr>
      <w:tr w:rsidR="009D00D8" w:rsidRPr="007C0F2C" w:rsidTr="00DA27BF">
        <w:trPr>
          <w:trHeight w:val="517"/>
        </w:trPr>
        <w:tc>
          <w:tcPr>
            <w:tcW w:w="572" w:type="dxa"/>
          </w:tcPr>
          <w:p w:rsidR="009D00D8" w:rsidRPr="00D86555" w:rsidRDefault="009D00D8" w:rsidP="00EF15BF">
            <w:pPr>
              <w:pStyle w:val="naiskr"/>
              <w:spacing w:before="0" w:after="0"/>
              <w:jc w:val="center"/>
            </w:pPr>
            <w:r w:rsidRPr="00D86555">
              <w:t>4.</w:t>
            </w:r>
          </w:p>
        </w:tc>
        <w:tc>
          <w:tcPr>
            <w:tcW w:w="3573" w:type="dxa"/>
          </w:tcPr>
          <w:p w:rsidR="009D00D8" w:rsidRPr="00D86555" w:rsidRDefault="009D00D8" w:rsidP="00C957CF">
            <w:pPr>
              <w:pStyle w:val="naiskr"/>
              <w:spacing w:before="0" w:after="0"/>
            </w:pPr>
            <w:r w:rsidRPr="00D86555">
              <w:t>Tiesiskā regulējuma nefinansiālā ietekme</w:t>
            </w:r>
          </w:p>
        </w:tc>
        <w:tc>
          <w:tcPr>
            <w:tcW w:w="5613" w:type="dxa"/>
          </w:tcPr>
          <w:p w:rsidR="009D00D8" w:rsidRPr="00D86555" w:rsidRDefault="009D00D8" w:rsidP="00C957CF">
            <w:pPr>
              <w:pStyle w:val="naiskr"/>
              <w:spacing w:before="0" w:after="0"/>
            </w:pPr>
            <w:r w:rsidRPr="00D86555">
              <w:t>Projekt</w:t>
            </w:r>
            <w:r>
              <w:t>s</w:t>
            </w:r>
            <w:r w:rsidRPr="00D86555">
              <w:t xml:space="preserve"> šo jomu neskar.</w:t>
            </w:r>
          </w:p>
        </w:tc>
      </w:tr>
      <w:tr w:rsidR="009D00D8" w:rsidRPr="007C0F2C" w:rsidTr="00DA27BF">
        <w:trPr>
          <w:trHeight w:val="274"/>
        </w:trPr>
        <w:tc>
          <w:tcPr>
            <w:tcW w:w="572" w:type="dxa"/>
          </w:tcPr>
          <w:p w:rsidR="009D00D8" w:rsidRPr="00D86555" w:rsidRDefault="009D00D8" w:rsidP="00EF15BF">
            <w:pPr>
              <w:pStyle w:val="naiskr"/>
              <w:spacing w:before="0" w:after="0"/>
              <w:jc w:val="center"/>
            </w:pPr>
            <w:r w:rsidRPr="00D86555">
              <w:t>5.</w:t>
            </w:r>
          </w:p>
        </w:tc>
        <w:tc>
          <w:tcPr>
            <w:tcW w:w="3573" w:type="dxa"/>
          </w:tcPr>
          <w:p w:rsidR="009D00D8" w:rsidRPr="00D86555" w:rsidRDefault="009D00D8" w:rsidP="00C957CF">
            <w:pPr>
              <w:pStyle w:val="naiskr"/>
              <w:spacing w:before="0" w:after="0"/>
            </w:pPr>
            <w:r w:rsidRPr="00D86555">
              <w:t>Administratīvās procedūras raksturojums</w:t>
            </w:r>
          </w:p>
        </w:tc>
        <w:tc>
          <w:tcPr>
            <w:tcW w:w="5613" w:type="dxa"/>
          </w:tcPr>
          <w:p w:rsidR="009D00D8" w:rsidRPr="00D86555" w:rsidRDefault="009D00D8" w:rsidP="00C957CF">
            <w:pPr>
              <w:pStyle w:val="naiskr"/>
              <w:spacing w:before="0" w:after="0"/>
              <w:jc w:val="both"/>
            </w:pPr>
            <w:r w:rsidRPr="00D86555">
              <w:t>Līdz šim par braukšanu sabiedriskajā transportā bez biļetes vai ar braukšanai nederīgu biļeti tika piemērots administratīvais sods. Šo sodu varēja piemērot Latvijas Administratīvo pārkāpumu kodeksā (APK) norādītās institūcijas.</w:t>
            </w:r>
          </w:p>
          <w:p w:rsidR="009D00D8" w:rsidRPr="00D86555" w:rsidRDefault="009D00D8" w:rsidP="00C957CF">
            <w:pPr>
              <w:pStyle w:val="naiskr"/>
              <w:spacing w:before="0" w:after="0"/>
              <w:jc w:val="both"/>
            </w:pPr>
            <w:r w:rsidRPr="00D86555">
              <w:t>Pamatojoties uz Sabiedriskā transporta pakalpojumu likuma 13.panta astoto daļu un grozījumiem APK,</w:t>
            </w:r>
            <w:r>
              <w:t xml:space="preserve"> kas paredz svītrot 136.pantu, ar </w:t>
            </w:r>
            <w:r w:rsidRPr="00D86555">
              <w:t>2012.gada 1.augustu šī sodu sistēma tiek mainīta un sods par braukšanu bez biļetes vai par braukšanu ar nederīgu biļeti sabiedriskajā transportā  tiks piemērots kā līgumsods.</w:t>
            </w:r>
          </w:p>
          <w:p w:rsidR="009D00D8" w:rsidRPr="00D86555" w:rsidRDefault="009D00D8" w:rsidP="00C957CF">
            <w:pPr>
              <w:pStyle w:val="naiskr"/>
              <w:spacing w:before="0" w:after="0"/>
              <w:jc w:val="both"/>
            </w:pPr>
            <w:r w:rsidRPr="00D86555">
              <w:t>Projekts paredz, ka līgumsodu varēs maksāt sabiedriskajā transportlīdzeklī laikā, kad tiek konstatēts pārkāpums (kontrolieris šādā gadījumā pasažierim izsniegs kvīti par līgumsoda samaksu) vai kontroliera izsniegtajā rēķinā norādītajā vietā un termiņā. Pēdējo līgumsoda maksāšanas kārtību varēs piemērot, ja pasažieris kontrolierim varēs uzrādīt personu apliecinošu dokumentu.</w:t>
            </w:r>
          </w:p>
          <w:p w:rsidR="009D00D8" w:rsidRPr="00D86555" w:rsidRDefault="009D00D8" w:rsidP="00D86555">
            <w:pPr>
              <w:pStyle w:val="naiskr"/>
              <w:spacing w:before="0" w:after="0"/>
              <w:jc w:val="both"/>
            </w:pPr>
            <w:r w:rsidRPr="00D86555">
              <w:t>Ja pasažieris atteiksies maksāt līgumsodu un nevarēs uzrādīt personu apliecinošu dokumentu, kontrolierim ir paredzētas tiesības pieaicināt policijas darbinieku pasažiera personības noskaidrošanai.</w:t>
            </w:r>
          </w:p>
        </w:tc>
      </w:tr>
      <w:tr w:rsidR="009D00D8" w:rsidRPr="007C0F2C" w:rsidTr="00DA27BF">
        <w:trPr>
          <w:trHeight w:val="357"/>
        </w:trPr>
        <w:tc>
          <w:tcPr>
            <w:tcW w:w="572" w:type="dxa"/>
          </w:tcPr>
          <w:p w:rsidR="009D00D8" w:rsidRPr="00D86555" w:rsidRDefault="009D00D8" w:rsidP="00EF15BF">
            <w:pPr>
              <w:pStyle w:val="naiskr"/>
              <w:spacing w:before="0" w:after="0"/>
              <w:jc w:val="center"/>
            </w:pPr>
            <w:r w:rsidRPr="00D86555">
              <w:t>6.</w:t>
            </w:r>
          </w:p>
        </w:tc>
        <w:tc>
          <w:tcPr>
            <w:tcW w:w="3573" w:type="dxa"/>
          </w:tcPr>
          <w:p w:rsidR="009D00D8" w:rsidRPr="00D86555" w:rsidRDefault="009D00D8" w:rsidP="00C957CF">
            <w:pPr>
              <w:pStyle w:val="naiskr"/>
              <w:spacing w:before="0" w:after="0"/>
            </w:pPr>
            <w:r w:rsidRPr="00D86555">
              <w:t>Administratīvo izmaksu monetārs novērtējums</w:t>
            </w:r>
          </w:p>
        </w:tc>
        <w:tc>
          <w:tcPr>
            <w:tcW w:w="5613" w:type="dxa"/>
          </w:tcPr>
          <w:p w:rsidR="009D00D8" w:rsidRPr="00D86555" w:rsidRDefault="009D00D8" w:rsidP="00D86555">
            <w:pPr>
              <w:pStyle w:val="naiskr"/>
              <w:spacing w:before="0" w:after="0"/>
            </w:pPr>
            <w:r w:rsidRPr="00D86555">
              <w:t>Projekts šo jomu neskar.</w:t>
            </w:r>
          </w:p>
        </w:tc>
      </w:tr>
      <w:tr w:rsidR="009D00D8" w:rsidRPr="007C0F2C" w:rsidTr="00DA27BF">
        <w:tc>
          <w:tcPr>
            <w:tcW w:w="572" w:type="dxa"/>
          </w:tcPr>
          <w:p w:rsidR="009D00D8" w:rsidRPr="00D86555" w:rsidRDefault="009D00D8" w:rsidP="00EF15BF">
            <w:pPr>
              <w:pStyle w:val="naiskr"/>
              <w:spacing w:before="0" w:after="0"/>
              <w:jc w:val="center"/>
            </w:pPr>
            <w:r w:rsidRPr="00D86555">
              <w:t>7.</w:t>
            </w:r>
          </w:p>
        </w:tc>
        <w:tc>
          <w:tcPr>
            <w:tcW w:w="3573" w:type="dxa"/>
          </w:tcPr>
          <w:p w:rsidR="009D00D8" w:rsidRPr="00D86555" w:rsidRDefault="009D00D8" w:rsidP="00C957CF">
            <w:pPr>
              <w:pStyle w:val="naiskr"/>
              <w:spacing w:before="0" w:after="0"/>
            </w:pPr>
            <w:r w:rsidRPr="00D86555">
              <w:t>Cita informācija</w:t>
            </w:r>
          </w:p>
        </w:tc>
        <w:tc>
          <w:tcPr>
            <w:tcW w:w="5613" w:type="dxa"/>
          </w:tcPr>
          <w:p w:rsidR="009D00D8" w:rsidRPr="00D86555" w:rsidRDefault="009D00D8" w:rsidP="00D86555">
            <w:pPr>
              <w:pStyle w:val="naiskr"/>
              <w:spacing w:before="0" w:after="0"/>
            </w:pPr>
            <w:r w:rsidRPr="00D86555">
              <w:t>Nav.</w:t>
            </w:r>
          </w:p>
        </w:tc>
      </w:tr>
    </w:tbl>
    <w:p w:rsidR="009D00D8" w:rsidRPr="007C0F2C" w:rsidRDefault="009D00D8" w:rsidP="0051723A">
      <w:pPr>
        <w:pStyle w:val="naisf"/>
        <w:spacing w:before="0" w:after="0"/>
        <w:ind w:firstLine="0"/>
        <w:rPr>
          <w:sz w:val="28"/>
          <w:szCs w:val="28"/>
        </w:rPr>
      </w:pPr>
    </w:p>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40"/>
        <w:gridCol w:w="3600"/>
        <w:gridCol w:w="5580"/>
      </w:tblGrid>
      <w:tr w:rsidR="009D00D8" w:rsidRPr="007C0F2C" w:rsidTr="00DA27BF">
        <w:tc>
          <w:tcPr>
            <w:tcW w:w="9720" w:type="dxa"/>
            <w:gridSpan w:val="3"/>
          </w:tcPr>
          <w:p w:rsidR="009D00D8" w:rsidRPr="007C0F2C" w:rsidRDefault="009D00D8" w:rsidP="00C957CF">
            <w:pPr>
              <w:pStyle w:val="naisnod"/>
              <w:spacing w:before="0" w:after="0"/>
              <w:ind w:left="57" w:right="57"/>
            </w:pPr>
            <w:r w:rsidRPr="007C0F2C">
              <w:t>VII. Tiesību akta projekta izpildes nodrošināšana un tās ietekme uz institūcijām</w:t>
            </w:r>
          </w:p>
        </w:tc>
      </w:tr>
      <w:tr w:rsidR="009D00D8" w:rsidRPr="00F5093E" w:rsidTr="00DA27BF">
        <w:trPr>
          <w:trHeight w:val="427"/>
        </w:trPr>
        <w:tc>
          <w:tcPr>
            <w:tcW w:w="540" w:type="dxa"/>
          </w:tcPr>
          <w:p w:rsidR="009D00D8" w:rsidRPr="00F5093E" w:rsidRDefault="009D00D8" w:rsidP="00EF15BF">
            <w:pPr>
              <w:pStyle w:val="naisnod"/>
              <w:spacing w:before="0" w:after="0"/>
              <w:ind w:left="57" w:right="57"/>
              <w:rPr>
                <w:b w:val="0"/>
              </w:rPr>
            </w:pPr>
            <w:r w:rsidRPr="00F5093E">
              <w:rPr>
                <w:b w:val="0"/>
              </w:rPr>
              <w:t>1.</w:t>
            </w:r>
          </w:p>
        </w:tc>
        <w:tc>
          <w:tcPr>
            <w:tcW w:w="3600" w:type="dxa"/>
          </w:tcPr>
          <w:p w:rsidR="009D00D8" w:rsidRPr="00F5093E" w:rsidRDefault="009D00D8" w:rsidP="00C957CF">
            <w:pPr>
              <w:pStyle w:val="naisf"/>
              <w:spacing w:before="0" w:after="0"/>
              <w:ind w:left="57" w:right="57" w:firstLine="0"/>
              <w:jc w:val="left"/>
            </w:pPr>
            <w:r w:rsidRPr="00F5093E">
              <w:t xml:space="preserve">Projekta izpildē iesaistītās institūcijas </w:t>
            </w:r>
          </w:p>
        </w:tc>
        <w:tc>
          <w:tcPr>
            <w:tcW w:w="5580" w:type="dxa"/>
          </w:tcPr>
          <w:p w:rsidR="009D00D8" w:rsidRPr="00F5093E" w:rsidRDefault="009D00D8" w:rsidP="00C957CF">
            <w:pPr>
              <w:pStyle w:val="naisnod"/>
              <w:spacing w:before="0" w:after="0"/>
              <w:ind w:left="57" w:right="57"/>
              <w:jc w:val="left"/>
              <w:rPr>
                <w:b w:val="0"/>
              </w:rPr>
            </w:pPr>
            <w:r w:rsidRPr="00F5093E">
              <w:rPr>
                <w:b w:val="0"/>
              </w:rPr>
              <w:t>VSIA „Autotransporta direkcija”, plānošanas reģion</w:t>
            </w:r>
            <w:r>
              <w:rPr>
                <w:b w:val="0"/>
              </w:rPr>
              <w:t>i</w:t>
            </w:r>
            <w:r w:rsidRPr="00F5093E">
              <w:rPr>
                <w:b w:val="0"/>
              </w:rPr>
              <w:t>, pilsētu pašvaldības</w:t>
            </w:r>
            <w:r>
              <w:rPr>
                <w:b w:val="0"/>
              </w:rPr>
              <w:t>.</w:t>
            </w:r>
          </w:p>
        </w:tc>
      </w:tr>
      <w:tr w:rsidR="009D00D8" w:rsidRPr="00F5093E" w:rsidTr="00DA27BF">
        <w:trPr>
          <w:trHeight w:val="463"/>
        </w:trPr>
        <w:tc>
          <w:tcPr>
            <w:tcW w:w="540" w:type="dxa"/>
          </w:tcPr>
          <w:p w:rsidR="009D00D8" w:rsidRPr="00F5093E" w:rsidRDefault="009D00D8" w:rsidP="00EF15BF">
            <w:pPr>
              <w:pStyle w:val="naisnod"/>
              <w:spacing w:before="0" w:after="0"/>
              <w:ind w:left="57" w:right="57"/>
              <w:rPr>
                <w:b w:val="0"/>
              </w:rPr>
            </w:pPr>
            <w:r w:rsidRPr="00F5093E">
              <w:rPr>
                <w:b w:val="0"/>
              </w:rPr>
              <w:t>2.</w:t>
            </w:r>
          </w:p>
        </w:tc>
        <w:tc>
          <w:tcPr>
            <w:tcW w:w="3600" w:type="dxa"/>
          </w:tcPr>
          <w:p w:rsidR="009D00D8" w:rsidRPr="00F5093E" w:rsidRDefault="009D00D8" w:rsidP="00C957CF">
            <w:pPr>
              <w:pStyle w:val="naisf"/>
              <w:spacing w:before="0" w:after="0"/>
              <w:ind w:left="57" w:right="57" w:firstLine="0"/>
              <w:jc w:val="left"/>
            </w:pPr>
            <w:r w:rsidRPr="00F5093E">
              <w:t xml:space="preserve">Projekta izpildes ietekme uz pārvaldes funkcijām </w:t>
            </w:r>
          </w:p>
        </w:tc>
        <w:tc>
          <w:tcPr>
            <w:tcW w:w="5580" w:type="dxa"/>
          </w:tcPr>
          <w:p w:rsidR="009D00D8" w:rsidRPr="00F5093E" w:rsidRDefault="009D00D8" w:rsidP="00F5093E">
            <w:pPr>
              <w:pStyle w:val="naisnod"/>
              <w:spacing w:before="0" w:after="0"/>
              <w:ind w:left="57" w:right="57"/>
              <w:jc w:val="left"/>
              <w:rPr>
                <w:b w:val="0"/>
              </w:rPr>
            </w:pPr>
            <w:r w:rsidRPr="00F5093E">
              <w:rPr>
                <w:b w:val="0"/>
                <w:iCs/>
              </w:rPr>
              <w:t>Projekts paredz, ka piemērojamā līgumsoda apmēru pārvadātājs saskaņo ar pasūtītāju.</w:t>
            </w:r>
          </w:p>
        </w:tc>
      </w:tr>
      <w:tr w:rsidR="009D00D8" w:rsidRPr="00F5093E" w:rsidTr="00DA27BF">
        <w:trPr>
          <w:trHeight w:val="725"/>
        </w:trPr>
        <w:tc>
          <w:tcPr>
            <w:tcW w:w="540" w:type="dxa"/>
          </w:tcPr>
          <w:p w:rsidR="009D00D8" w:rsidRPr="00F5093E" w:rsidRDefault="009D00D8" w:rsidP="00EF15BF">
            <w:pPr>
              <w:pStyle w:val="naisnod"/>
              <w:spacing w:before="0" w:after="0"/>
              <w:ind w:left="57" w:right="57"/>
              <w:rPr>
                <w:b w:val="0"/>
              </w:rPr>
            </w:pPr>
            <w:r w:rsidRPr="00F5093E">
              <w:rPr>
                <w:b w:val="0"/>
              </w:rPr>
              <w:t>3.</w:t>
            </w:r>
          </w:p>
        </w:tc>
        <w:tc>
          <w:tcPr>
            <w:tcW w:w="3600" w:type="dxa"/>
          </w:tcPr>
          <w:p w:rsidR="009D00D8" w:rsidRPr="00F5093E" w:rsidRDefault="009D00D8" w:rsidP="00C957CF">
            <w:pPr>
              <w:pStyle w:val="naisf"/>
              <w:spacing w:before="0" w:after="0"/>
              <w:ind w:left="57" w:right="57" w:firstLine="0"/>
              <w:jc w:val="left"/>
            </w:pPr>
            <w:r w:rsidRPr="00F5093E">
              <w:t>Projekta izpildes ietekme uz pārvaldes institucionālo struktūru.</w:t>
            </w:r>
          </w:p>
          <w:p w:rsidR="009D00D8" w:rsidRPr="00F5093E" w:rsidRDefault="009D00D8" w:rsidP="00C957CF">
            <w:pPr>
              <w:pStyle w:val="naisf"/>
              <w:spacing w:before="0" w:after="0"/>
              <w:ind w:left="57" w:right="57" w:firstLine="0"/>
              <w:jc w:val="left"/>
            </w:pPr>
            <w:r w:rsidRPr="00F5093E">
              <w:t>Jaunu institūciju izveide</w:t>
            </w:r>
          </w:p>
        </w:tc>
        <w:tc>
          <w:tcPr>
            <w:tcW w:w="5580" w:type="dxa"/>
          </w:tcPr>
          <w:p w:rsidR="009D00D8" w:rsidRPr="00F5093E" w:rsidRDefault="009D00D8" w:rsidP="00C957CF">
            <w:pPr>
              <w:pStyle w:val="naisnod"/>
              <w:spacing w:before="0" w:after="0"/>
              <w:ind w:left="57" w:right="57"/>
              <w:jc w:val="left"/>
              <w:rPr>
                <w:b w:val="0"/>
              </w:rPr>
            </w:pPr>
            <w:r w:rsidRPr="00F5093E">
              <w:rPr>
                <w:b w:val="0"/>
              </w:rPr>
              <w:t>Projekts šo jomu neskar.</w:t>
            </w:r>
          </w:p>
        </w:tc>
      </w:tr>
      <w:tr w:rsidR="009D00D8" w:rsidRPr="00F5093E" w:rsidTr="00DA27BF">
        <w:trPr>
          <w:trHeight w:val="780"/>
        </w:trPr>
        <w:tc>
          <w:tcPr>
            <w:tcW w:w="540" w:type="dxa"/>
          </w:tcPr>
          <w:p w:rsidR="009D00D8" w:rsidRPr="00F5093E" w:rsidRDefault="009D00D8" w:rsidP="00EF15BF">
            <w:pPr>
              <w:pStyle w:val="naisnod"/>
              <w:spacing w:before="0" w:after="0"/>
              <w:ind w:left="57" w:right="57"/>
              <w:rPr>
                <w:b w:val="0"/>
              </w:rPr>
            </w:pPr>
            <w:r w:rsidRPr="00F5093E">
              <w:rPr>
                <w:b w:val="0"/>
              </w:rPr>
              <w:t>4.</w:t>
            </w:r>
          </w:p>
        </w:tc>
        <w:tc>
          <w:tcPr>
            <w:tcW w:w="3600" w:type="dxa"/>
          </w:tcPr>
          <w:p w:rsidR="009D00D8" w:rsidRPr="00F5093E" w:rsidRDefault="009D00D8" w:rsidP="00C957CF">
            <w:pPr>
              <w:pStyle w:val="naisf"/>
              <w:spacing w:before="0" w:after="0"/>
              <w:ind w:left="57" w:right="57" w:firstLine="0"/>
              <w:jc w:val="left"/>
            </w:pPr>
            <w:r w:rsidRPr="00F5093E">
              <w:t>Projekta izpildes ietekme uz pārvaldes institucionālo struktūru.</w:t>
            </w:r>
          </w:p>
          <w:p w:rsidR="009D00D8" w:rsidRPr="00F5093E" w:rsidRDefault="009D00D8" w:rsidP="00C957CF">
            <w:pPr>
              <w:pStyle w:val="naisf"/>
              <w:spacing w:before="0" w:after="0"/>
              <w:ind w:left="57" w:right="57" w:firstLine="0"/>
              <w:jc w:val="left"/>
            </w:pPr>
            <w:r w:rsidRPr="00F5093E">
              <w:t>Esošu institūciju likvidācija</w:t>
            </w:r>
          </w:p>
        </w:tc>
        <w:tc>
          <w:tcPr>
            <w:tcW w:w="5580" w:type="dxa"/>
          </w:tcPr>
          <w:p w:rsidR="009D00D8" w:rsidRPr="00F5093E" w:rsidRDefault="009D00D8" w:rsidP="00F5093E">
            <w:pPr>
              <w:pStyle w:val="naisnod"/>
              <w:spacing w:before="0" w:after="0"/>
              <w:ind w:left="57" w:right="57"/>
              <w:jc w:val="left"/>
              <w:rPr>
                <w:b w:val="0"/>
              </w:rPr>
            </w:pPr>
            <w:r w:rsidRPr="00F5093E">
              <w:rPr>
                <w:b w:val="0"/>
              </w:rPr>
              <w:t>Projekts šo jomu neskar.</w:t>
            </w:r>
          </w:p>
        </w:tc>
      </w:tr>
      <w:tr w:rsidR="009D00D8" w:rsidRPr="00F5093E" w:rsidTr="00DA27BF">
        <w:trPr>
          <w:trHeight w:val="703"/>
        </w:trPr>
        <w:tc>
          <w:tcPr>
            <w:tcW w:w="540" w:type="dxa"/>
          </w:tcPr>
          <w:p w:rsidR="009D00D8" w:rsidRPr="00F5093E" w:rsidRDefault="009D00D8" w:rsidP="00EF15BF">
            <w:pPr>
              <w:pStyle w:val="naisnod"/>
              <w:spacing w:before="0" w:after="0"/>
              <w:ind w:left="57" w:right="57"/>
              <w:rPr>
                <w:b w:val="0"/>
              </w:rPr>
            </w:pPr>
            <w:r w:rsidRPr="00F5093E">
              <w:rPr>
                <w:b w:val="0"/>
              </w:rPr>
              <w:t>5.</w:t>
            </w:r>
          </w:p>
        </w:tc>
        <w:tc>
          <w:tcPr>
            <w:tcW w:w="3600" w:type="dxa"/>
          </w:tcPr>
          <w:p w:rsidR="009D00D8" w:rsidRPr="00F5093E" w:rsidRDefault="009D00D8" w:rsidP="00C957CF">
            <w:pPr>
              <w:pStyle w:val="naisf"/>
              <w:spacing w:before="0" w:after="0"/>
              <w:ind w:left="57" w:right="57" w:firstLine="0"/>
              <w:jc w:val="left"/>
            </w:pPr>
            <w:r w:rsidRPr="00F5093E">
              <w:t>Projekta izpildes ietekme uz pārvaldes institucionālo struktūru.</w:t>
            </w:r>
          </w:p>
          <w:p w:rsidR="009D00D8" w:rsidRPr="00F5093E" w:rsidRDefault="009D00D8" w:rsidP="00C957CF">
            <w:pPr>
              <w:pStyle w:val="naisf"/>
              <w:spacing w:before="0" w:after="0"/>
              <w:ind w:left="57" w:right="57" w:firstLine="0"/>
              <w:jc w:val="left"/>
            </w:pPr>
            <w:r w:rsidRPr="00F5093E">
              <w:t>Esošu institūciju reorganizācija</w:t>
            </w:r>
          </w:p>
        </w:tc>
        <w:tc>
          <w:tcPr>
            <w:tcW w:w="5580" w:type="dxa"/>
          </w:tcPr>
          <w:p w:rsidR="009D00D8" w:rsidRPr="00F5093E" w:rsidRDefault="009D00D8" w:rsidP="00C957CF">
            <w:pPr>
              <w:pStyle w:val="naisnod"/>
              <w:spacing w:before="0" w:after="0"/>
              <w:ind w:left="57" w:right="57"/>
              <w:jc w:val="left"/>
              <w:rPr>
                <w:b w:val="0"/>
              </w:rPr>
            </w:pPr>
            <w:r w:rsidRPr="00F5093E">
              <w:rPr>
                <w:b w:val="0"/>
              </w:rPr>
              <w:t>Projekts šo jomu neskar.</w:t>
            </w:r>
          </w:p>
        </w:tc>
      </w:tr>
      <w:tr w:rsidR="009D00D8" w:rsidRPr="00F5093E" w:rsidTr="00DA27BF">
        <w:trPr>
          <w:trHeight w:val="289"/>
        </w:trPr>
        <w:tc>
          <w:tcPr>
            <w:tcW w:w="540" w:type="dxa"/>
          </w:tcPr>
          <w:p w:rsidR="009D00D8" w:rsidRPr="00F5093E" w:rsidRDefault="009D00D8" w:rsidP="00EF15BF">
            <w:pPr>
              <w:pStyle w:val="naiskr"/>
              <w:spacing w:before="0" w:after="0"/>
              <w:ind w:left="57" w:right="57"/>
              <w:jc w:val="center"/>
            </w:pPr>
            <w:r w:rsidRPr="00F5093E">
              <w:t>6.</w:t>
            </w:r>
          </w:p>
        </w:tc>
        <w:tc>
          <w:tcPr>
            <w:tcW w:w="3600" w:type="dxa"/>
          </w:tcPr>
          <w:p w:rsidR="009D00D8" w:rsidRPr="00F5093E" w:rsidRDefault="009D00D8" w:rsidP="00C957CF">
            <w:pPr>
              <w:pStyle w:val="naiskr"/>
              <w:spacing w:before="0" w:after="0"/>
              <w:ind w:left="57" w:right="57"/>
            </w:pPr>
            <w:r w:rsidRPr="00F5093E">
              <w:t>Cita informācija</w:t>
            </w:r>
          </w:p>
        </w:tc>
        <w:tc>
          <w:tcPr>
            <w:tcW w:w="5580" w:type="dxa"/>
          </w:tcPr>
          <w:p w:rsidR="009D00D8" w:rsidRPr="00F5093E" w:rsidRDefault="009D00D8" w:rsidP="00F5093E">
            <w:pPr>
              <w:pStyle w:val="naiskr"/>
              <w:spacing w:before="0" w:after="0"/>
              <w:ind w:left="57" w:right="57"/>
            </w:pPr>
            <w:r w:rsidRPr="00F5093E">
              <w:t>Nav.</w:t>
            </w:r>
          </w:p>
        </w:tc>
      </w:tr>
    </w:tbl>
    <w:p w:rsidR="009D00D8" w:rsidRPr="007C0F2C" w:rsidRDefault="009D00D8" w:rsidP="0051723A">
      <w:pPr>
        <w:pStyle w:val="naisf"/>
        <w:spacing w:before="120" w:after="0"/>
        <w:ind w:firstLine="374"/>
      </w:pPr>
      <w:r>
        <w:t>Anotācijas III, IV, V un VI sadaļa – projekts šo jomu neskar.</w:t>
      </w:r>
    </w:p>
    <w:p w:rsidR="009D00D8" w:rsidRPr="007C0F2C" w:rsidRDefault="009D00D8" w:rsidP="0051723A">
      <w:pPr>
        <w:pStyle w:val="naisf"/>
        <w:tabs>
          <w:tab w:val="left" w:pos="5760"/>
        </w:tabs>
        <w:spacing w:before="0" w:after="0"/>
        <w:ind w:firstLine="0"/>
        <w:rPr>
          <w:sz w:val="28"/>
          <w:szCs w:val="28"/>
        </w:rPr>
      </w:pPr>
    </w:p>
    <w:p w:rsidR="009D00D8" w:rsidRPr="007C0F2C" w:rsidRDefault="009D00D8" w:rsidP="00D253B9">
      <w:pPr>
        <w:pStyle w:val="naisf"/>
        <w:tabs>
          <w:tab w:val="left" w:pos="5760"/>
        </w:tabs>
        <w:spacing w:before="0" w:after="0"/>
        <w:ind w:firstLine="0"/>
        <w:rPr>
          <w:sz w:val="28"/>
          <w:szCs w:val="28"/>
        </w:rPr>
      </w:pPr>
    </w:p>
    <w:p w:rsidR="009D00D8" w:rsidRDefault="009D00D8" w:rsidP="00D253B9">
      <w:pPr>
        <w:rPr>
          <w:sz w:val="28"/>
          <w:szCs w:val="28"/>
        </w:rPr>
      </w:pPr>
    </w:p>
    <w:p w:rsidR="009D00D8" w:rsidRDefault="009D00D8" w:rsidP="006E258E">
      <w:pPr>
        <w:ind w:firstLine="720"/>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A.Ronis</w:t>
      </w:r>
    </w:p>
    <w:p w:rsidR="009D00D8" w:rsidRDefault="009D00D8" w:rsidP="006E258E">
      <w:pPr>
        <w:rPr>
          <w:sz w:val="28"/>
          <w:szCs w:val="28"/>
        </w:rPr>
      </w:pPr>
    </w:p>
    <w:p w:rsidR="009D00D8" w:rsidRDefault="009D00D8" w:rsidP="006E258E">
      <w:pPr>
        <w:rPr>
          <w:sz w:val="28"/>
          <w:szCs w:val="28"/>
        </w:rPr>
      </w:pPr>
    </w:p>
    <w:p w:rsidR="009D00D8" w:rsidRPr="0051723A" w:rsidRDefault="009D00D8" w:rsidP="00EC21C8">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A.Matīss</w:t>
      </w:r>
    </w:p>
    <w:p w:rsidR="009D00D8" w:rsidRPr="00A27406" w:rsidRDefault="009D00D8" w:rsidP="0051723A">
      <w:pPr>
        <w:rPr>
          <w:sz w:val="28"/>
          <w:szCs w:val="28"/>
        </w:rPr>
      </w:pPr>
    </w:p>
    <w:p w:rsidR="009D00D8" w:rsidRDefault="009D00D8" w:rsidP="0051723A">
      <w:pPr>
        <w:rPr>
          <w:sz w:val="28"/>
          <w:szCs w:val="28"/>
        </w:rPr>
      </w:pPr>
    </w:p>
    <w:p w:rsidR="009D00D8" w:rsidRDefault="009D00D8" w:rsidP="0051723A">
      <w:pPr>
        <w:rPr>
          <w:sz w:val="28"/>
          <w:szCs w:val="28"/>
        </w:rPr>
      </w:pPr>
    </w:p>
    <w:p w:rsidR="009D00D8" w:rsidRPr="00A27406" w:rsidRDefault="009D00D8" w:rsidP="0051723A">
      <w:pPr>
        <w:rPr>
          <w:sz w:val="28"/>
          <w:szCs w:val="28"/>
        </w:rPr>
      </w:pPr>
    </w:p>
    <w:p w:rsidR="009D00D8" w:rsidRPr="00A27406" w:rsidRDefault="009D00D8" w:rsidP="0051723A">
      <w:pPr>
        <w:rPr>
          <w:sz w:val="22"/>
          <w:szCs w:val="22"/>
        </w:rPr>
      </w:pPr>
      <w:r>
        <w:rPr>
          <w:sz w:val="22"/>
          <w:szCs w:val="22"/>
        </w:rPr>
        <w:t>12.07.2012</w:t>
      </w:r>
      <w:r w:rsidRPr="00A27406">
        <w:rPr>
          <w:sz w:val="22"/>
          <w:szCs w:val="22"/>
        </w:rPr>
        <w:t>. 11:</w:t>
      </w:r>
      <w:r>
        <w:rPr>
          <w:sz w:val="22"/>
          <w:szCs w:val="22"/>
        </w:rPr>
        <w:t>20</w:t>
      </w:r>
    </w:p>
    <w:p w:rsidR="009D00D8" w:rsidRPr="00A27406" w:rsidRDefault="009D00D8" w:rsidP="0051723A">
      <w:pPr>
        <w:rPr>
          <w:sz w:val="22"/>
          <w:szCs w:val="22"/>
        </w:rPr>
      </w:pPr>
      <w:r>
        <w:rPr>
          <w:sz w:val="22"/>
          <w:szCs w:val="22"/>
        </w:rPr>
        <w:t>1042</w:t>
      </w:r>
    </w:p>
    <w:p w:rsidR="009D00D8" w:rsidRPr="0051723A" w:rsidRDefault="009D00D8" w:rsidP="00517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Pr>
          <w:rFonts w:ascii="Times New Roman" w:hAnsi="Times New Roman"/>
          <w:sz w:val="22"/>
          <w:szCs w:val="22"/>
        </w:rPr>
        <w:t>A.Lauriņš, 67028339</w:t>
      </w:r>
    </w:p>
    <w:p w:rsidR="009D00D8" w:rsidRPr="004A753B" w:rsidRDefault="009D00D8" w:rsidP="0051723A">
      <w:pPr>
        <w:rPr>
          <w:sz w:val="22"/>
          <w:szCs w:val="22"/>
        </w:rPr>
      </w:pPr>
      <w:hyperlink r:id="rId7" w:history="1">
        <w:r w:rsidRPr="00A96804">
          <w:rPr>
            <w:rStyle w:val="Hyperlink"/>
            <w:sz w:val="22"/>
            <w:szCs w:val="22"/>
          </w:rPr>
          <w:t>andrejs.laurins@sam.gov.lv</w:t>
        </w:r>
      </w:hyperlink>
    </w:p>
    <w:sectPr w:rsidR="009D00D8" w:rsidRPr="004A753B" w:rsidSect="00C957CF">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D8" w:rsidRDefault="009D00D8" w:rsidP="006C592C">
      <w:r>
        <w:separator/>
      </w:r>
    </w:p>
  </w:endnote>
  <w:endnote w:type="continuationSeparator" w:id="0">
    <w:p w:rsidR="009D00D8" w:rsidRDefault="009D00D8" w:rsidP="006C5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D8" w:rsidRPr="002326A9" w:rsidRDefault="009D00D8" w:rsidP="00EF15BF">
    <w:pPr>
      <w:pStyle w:val="naislab"/>
      <w:spacing w:before="0" w:after="0"/>
      <w:jc w:val="both"/>
      <w:outlineLvl w:val="0"/>
    </w:pPr>
    <w:r w:rsidRPr="002326A9">
      <w:t>SAManot_</w:t>
    </w:r>
    <w:r>
      <w:t>12</w:t>
    </w:r>
    <w:r w:rsidRPr="002326A9">
      <w:t>0</w:t>
    </w:r>
    <w:r>
      <w:t>7</w:t>
    </w:r>
    <w:r w:rsidRPr="002326A9">
      <w:t xml:space="preserve">12_izmant; Ministru kabineta noteikumu projekta „Sabiedriskā transporta pakalpojumu sniegšanas un izmantošanas kārtība” sākotnējās ietekmes novērtējuma </w:t>
    </w:r>
    <w:smartTag w:uri="schemas-tilde-lv/tildestengine" w:element="veidnes">
      <w:smartTagPr>
        <w:attr w:name="text" w:val="ziņojums"/>
        <w:attr w:name="baseform" w:val="ziņojums"/>
        <w:attr w:name="id" w:val="-1"/>
      </w:smartTagPr>
      <w:r w:rsidRPr="002326A9">
        <w:t>ziņojums</w:t>
      </w:r>
    </w:smartTag>
    <w:r w:rsidRPr="002326A9">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D8" w:rsidRPr="002326A9" w:rsidRDefault="009D00D8" w:rsidP="002326A9">
    <w:pPr>
      <w:pStyle w:val="naislab"/>
      <w:spacing w:before="0" w:after="0"/>
      <w:jc w:val="both"/>
      <w:outlineLvl w:val="0"/>
      <w:rPr>
        <w:sz w:val="20"/>
        <w:szCs w:val="20"/>
      </w:rPr>
    </w:pPr>
    <w:r w:rsidRPr="0051723A">
      <w:t>SAManot_</w:t>
    </w:r>
    <w:r>
      <w:t>12</w:t>
    </w:r>
    <w:r w:rsidRPr="0051723A">
      <w:t>0</w:t>
    </w:r>
    <w:r>
      <w:t>7</w:t>
    </w:r>
    <w:r w:rsidRPr="0051723A">
      <w:t xml:space="preserve">12_izmant; Ministru kabineta noteikumu projekta „Sabiedriskā transporta pakalpojumu sniegšanas un izmantošanas kārtība” sākotnējās ietekmes novērtējuma </w:t>
    </w:r>
    <w:smartTag w:uri="schemas-tilde-lv/tildestengine" w:element="veidnes">
      <w:smartTagPr>
        <w:attr w:name="id" w:val="-1"/>
        <w:attr w:name="baseform" w:val="ziņojums"/>
        <w:attr w:name="text" w:val="ziņojums"/>
      </w:smartTagPr>
      <w:r w:rsidRPr="0051723A">
        <w:t>ziņojums</w:t>
      </w:r>
    </w:smartTag>
    <w: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D8" w:rsidRDefault="009D00D8" w:rsidP="006C592C">
      <w:r>
        <w:separator/>
      </w:r>
    </w:p>
  </w:footnote>
  <w:footnote w:type="continuationSeparator" w:id="0">
    <w:p w:rsidR="009D00D8" w:rsidRDefault="009D00D8" w:rsidP="006C5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D8" w:rsidRDefault="009D00D8" w:rsidP="00C957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0D8" w:rsidRDefault="009D0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D8" w:rsidRDefault="009D00D8" w:rsidP="00C957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00D8" w:rsidRDefault="009D0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434D3"/>
    <w:multiLevelType w:val="hybridMultilevel"/>
    <w:tmpl w:val="BC6288DA"/>
    <w:lvl w:ilvl="0" w:tplc="ED7E8FB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EC1"/>
    <w:rsid w:val="00012BE8"/>
    <w:rsid w:val="000F7A15"/>
    <w:rsid w:val="00120566"/>
    <w:rsid w:val="00147AF6"/>
    <w:rsid w:val="00162BF3"/>
    <w:rsid w:val="00176448"/>
    <w:rsid w:val="00193851"/>
    <w:rsid w:val="001E5B41"/>
    <w:rsid w:val="002326A9"/>
    <w:rsid w:val="0032055E"/>
    <w:rsid w:val="003255D9"/>
    <w:rsid w:val="00360B8B"/>
    <w:rsid w:val="0037432F"/>
    <w:rsid w:val="003768A2"/>
    <w:rsid w:val="003A4D72"/>
    <w:rsid w:val="003A7D2E"/>
    <w:rsid w:val="003D2B29"/>
    <w:rsid w:val="003D5AE6"/>
    <w:rsid w:val="00400F86"/>
    <w:rsid w:val="004415EE"/>
    <w:rsid w:val="00486322"/>
    <w:rsid w:val="004A753B"/>
    <w:rsid w:val="0051723A"/>
    <w:rsid w:val="00593EC1"/>
    <w:rsid w:val="00595F88"/>
    <w:rsid w:val="005B36FB"/>
    <w:rsid w:val="005B7C20"/>
    <w:rsid w:val="005D1B8F"/>
    <w:rsid w:val="0060542E"/>
    <w:rsid w:val="006262BB"/>
    <w:rsid w:val="00647FDA"/>
    <w:rsid w:val="00671AE0"/>
    <w:rsid w:val="00693CAD"/>
    <w:rsid w:val="006A2F77"/>
    <w:rsid w:val="006C2737"/>
    <w:rsid w:val="006C592C"/>
    <w:rsid w:val="006E258E"/>
    <w:rsid w:val="006F0B87"/>
    <w:rsid w:val="0074106B"/>
    <w:rsid w:val="00741AAF"/>
    <w:rsid w:val="007C0F2C"/>
    <w:rsid w:val="007D7945"/>
    <w:rsid w:val="008865B2"/>
    <w:rsid w:val="008A2F9D"/>
    <w:rsid w:val="008A48A3"/>
    <w:rsid w:val="008C0E5E"/>
    <w:rsid w:val="008C1CF7"/>
    <w:rsid w:val="00925FA7"/>
    <w:rsid w:val="00945F6B"/>
    <w:rsid w:val="009D00D8"/>
    <w:rsid w:val="009E1CE0"/>
    <w:rsid w:val="009E7569"/>
    <w:rsid w:val="00A06532"/>
    <w:rsid w:val="00A27406"/>
    <w:rsid w:val="00A96804"/>
    <w:rsid w:val="00AC2862"/>
    <w:rsid w:val="00AD7B43"/>
    <w:rsid w:val="00B42C3B"/>
    <w:rsid w:val="00BB57F5"/>
    <w:rsid w:val="00C4742C"/>
    <w:rsid w:val="00C82427"/>
    <w:rsid w:val="00C957CF"/>
    <w:rsid w:val="00CA799B"/>
    <w:rsid w:val="00CF2582"/>
    <w:rsid w:val="00D253B9"/>
    <w:rsid w:val="00D47271"/>
    <w:rsid w:val="00D6096D"/>
    <w:rsid w:val="00D86555"/>
    <w:rsid w:val="00DA27BF"/>
    <w:rsid w:val="00DB694D"/>
    <w:rsid w:val="00DD4001"/>
    <w:rsid w:val="00DE489C"/>
    <w:rsid w:val="00E566B4"/>
    <w:rsid w:val="00E57409"/>
    <w:rsid w:val="00E57AB4"/>
    <w:rsid w:val="00E86B8D"/>
    <w:rsid w:val="00EC21C8"/>
    <w:rsid w:val="00EC5E7E"/>
    <w:rsid w:val="00ED063F"/>
    <w:rsid w:val="00EE1C3D"/>
    <w:rsid w:val="00EF15BF"/>
    <w:rsid w:val="00F11955"/>
    <w:rsid w:val="00F25450"/>
    <w:rsid w:val="00F32F7F"/>
    <w:rsid w:val="00F5092F"/>
    <w:rsid w:val="00F5093E"/>
    <w:rsid w:val="00F53DE6"/>
    <w:rsid w:val="00F666B2"/>
    <w:rsid w:val="00F85D0E"/>
    <w:rsid w:val="00FB31DD"/>
    <w:rsid w:val="00FD040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C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EC1"/>
    <w:pPr>
      <w:tabs>
        <w:tab w:val="center" w:pos="4153"/>
        <w:tab w:val="right" w:pos="8306"/>
      </w:tabs>
    </w:pPr>
  </w:style>
  <w:style w:type="character" w:customStyle="1" w:styleId="HeaderChar">
    <w:name w:val="Header Char"/>
    <w:basedOn w:val="DefaultParagraphFont"/>
    <w:link w:val="Header"/>
    <w:uiPriority w:val="99"/>
    <w:locked/>
    <w:rsid w:val="00593EC1"/>
    <w:rPr>
      <w:rFonts w:ascii="Times New Roman" w:hAnsi="Times New Roman" w:cs="Times New Roman"/>
      <w:sz w:val="24"/>
      <w:szCs w:val="24"/>
      <w:lang w:eastAsia="lv-LV"/>
    </w:rPr>
  </w:style>
  <w:style w:type="character" w:styleId="PageNumber">
    <w:name w:val="page number"/>
    <w:basedOn w:val="DefaultParagraphFont"/>
    <w:uiPriority w:val="99"/>
    <w:rsid w:val="00593EC1"/>
    <w:rPr>
      <w:rFonts w:cs="Times New Roman"/>
    </w:rPr>
  </w:style>
  <w:style w:type="paragraph" w:customStyle="1" w:styleId="naisf">
    <w:name w:val="naisf"/>
    <w:basedOn w:val="Normal"/>
    <w:uiPriority w:val="99"/>
    <w:rsid w:val="00593EC1"/>
    <w:pPr>
      <w:spacing w:before="75" w:after="75"/>
      <w:ind w:firstLine="375"/>
      <w:jc w:val="both"/>
    </w:pPr>
  </w:style>
  <w:style w:type="paragraph" w:customStyle="1" w:styleId="naisnod">
    <w:name w:val="naisnod"/>
    <w:basedOn w:val="Normal"/>
    <w:uiPriority w:val="99"/>
    <w:rsid w:val="00593EC1"/>
    <w:pPr>
      <w:spacing w:before="150" w:after="150"/>
      <w:jc w:val="center"/>
    </w:pPr>
    <w:rPr>
      <w:b/>
      <w:bCs/>
    </w:rPr>
  </w:style>
  <w:style w:type="paragraph" w:customStyle="1" w:styleId="naislab">
    <w:name w:val="naislab"/>
    <w:basedOn w:val="Normal"/>
    <w:uiPriority w:val="99"/>
    <w:rsid w:val="00593EC1"/>
    <w:pPr>
      <w:spacing w:before="75" w:after="75"/>
      <w:jc w:val="right"/>
    </w:pPr>
  </w:style>
  <w:style w:type="paragraph" w:customStyle="1" w:styleId="naiskr">
    <w:name w:val="naiskr"/>
    <w:basedOn w:val="Normal"/>
    <w:uiPriority w:val="99"/>
    <w:rsid w:val="00593EC1"/>
    <w:pPr>
      <w:spacing w:before="75" w:after="75"/>
    </w:pPr>
  </w:style>
  <w:style w:type="paragraph" w:styleId="FootnoteText">
    <w:name w:val="footnote text"/>
    <w:basedOn w:val="Normal"/>
    <w:link w:val="FootnoteTextChar"/>
    <w:uiPriority w:val="99"/>
    <w:semiHidden/>
    <w:rsid w:val="00593EC1"/>
    <w:rPr>
      <w:sz w:val="20"/>
      <w:szCs w:val="20"/>
    </w:rPr>
  </w:style>
  <w:style w:type="character" w:customStyle="1" w:styleId="FootnoteTextChar">
    <w:name w:val="Footnote Text Char"/>
    <w:basedOn w:val="DefaultParagraphFont"/>
    <w:link w:val="FootnoteText"/>
    <w:uiPriority w:val="99"/>
    <w:semiHidden/>
    <w:locked/>
    <w:rsid w:val="00593EC1"/>
    <w:rPr>
      <w:rFonts w:ascii="Times New Roman" w:hAnsi="Times New Roman" w:cs="Times New Roman"/>
      <w:sz w:val="20"/>
      <w:szCs w:val="20"/>
      <w:lang w:eastAsia="lv-LV"/>
    </w:rPr>
  </w:style>
  <w:style w:type="paragraph" w:styleId="Footer">
    <w:name w:val="footer"/>
    <w:basedOn w:val="Normal"/>
    <w:link w:val="FooterChar"/>
    <w:uiPriority w:val="99"/>
    <w:rsid w:val="00593EC1"/>
    <w:pPr>
      <w:tabs>
        <w:tab w:val="center" w:pos="4153"/>
        <w:tab w:val="right" w:pos="8306"/>
      </w:tabs>
    </w:pPr>
  </w:style>
  <w:style w:type="character" w:customStyle="1" w:styleId="FooterChar">
    <w:name w:val="Footer Char"/>
    <w:basedOn w:val="DefaultParagraphFont"/>
    <w:link w:val="Footer"/>
    <w:uiPriority w:val="99"/>
    <w:locked/>
    <w:rsid w:val="00593EC1"/>
    <w:rPr>
      <w:rFonts w:ascii="Times New Roman" w:hAnsi="Times New Roman" w:cs="Times New Roman"/>
      <w:sz w:val="24"/>
      <w:szCs w:val="24"/>
      <w:lang w:eastAsia="lv-LV"/>
    </w:rPr>
  </w:style>
  <w:style w:type="paragraph" w:styleId="ListParagraph">
    <w:name w:val="List Paragraph"/>
    <w:basedOn w:val="Normal"/>
    <w:uiPriority w:val="99"/>
    <w:qFormat/>
    <w:rsid w:val="003D5AE6"/>
    <w:pPr>
      <w:ind w:left="720"/>
      <w:contextualSpacing/>
    </w:pPr>
  </w:style>
  <w:style w:type="character" w:styleId="Hyperlink">
    <w:name w:val="Hyperlink"/>
    <w:basedOn w:val="DefaultParagraphFont"/>
    <w:uiPriority w:val="99"/>
    <w:rsid w:val="0051723A"/>
    <w:rPr>
      <w:rFonts w:cs="Times New Roman"/>
      <w:color w:val="0000FF"/>
      <w:u w:val="single"/>
    </w:rPr>
  </w:style>
  <w:style w:type="paragraph" w:styleId="HTMLPreformatted">
    <w:name w:val="HTML Preformatted"/>
    <w:basedOn w:val="Normal"/>
    <w:link w:val="HTMLPreformattedChar"/>
    <w:uiPriority w:val="99"/>
    <w:rsid w:val="0051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HTMLPreformattedChar">
    <w:name w:val="HTML Preformatted Char"/>
    <w:basedOn w:val="DefaultParagraphFont"/>
    <w:link w:val="HTMLPreformatted"/>
    <w:uiPriority w:val="99"/>
    <w:locked/>
    <w:rsid w:val="0051723A"/>
    <w:rPr>
      <w:rFonts w:ascii="Arial Unicode MS" w:eastAsia="Arial Unicode MS" w:hAnsi="Arial Unicode MS" w:cs="Times New Roman"/>
      <w:sz w:val="20"/>
      <w:szCs w:val="20"/>
    </w:rPr>
  </w:style>
  <w:style w:type="paragraph" w:styleId="BalloonText">
    <w:name w:val="Balloon Text"/>
    <w:basedOn w:val="Normal"/>
    <w:link w:val="BalloonTextChar"/>
    <w:uiPriority w:val="99"/>
    <w:semiHidden/>
    <w:rsid w:val="008865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E7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js.laurins@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4</Pages>
  <Words>1053</Words>
  <Characters>7755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Sabiedriskā transporta pakalpojumu sniegšanas un izmantošanas kārtība</dc:title>
  <dc:subject>Anotācija</dc:subject>
  <dc:creator>Andrejs Lauriņš</dc:creator>
  <cp:keywords/>
  <dc:description>andrejs.laurins@sam.gov.lv, 67028339</dc:description>
  <cp:lastModifiedBy>Baiba Šterna</cp:lastModifiedBy>
  <cp:revision>20</cp:revision>
  <cp:lastPrinted>2012-08-15T09:05:00Z</cp:lastPrinted>
  <dcterms:created xsi:type="dcterms:W3CDTF">2012-06-29T11:17:00Z</dcterms:created>
  <dcterms:modified xsi:type="dcterms:W3CDTF">2012-08-20T11:39:00Z</dcterms:modified>
</cp:coreProperties>
</file>