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8D" w:rsidRDefault="0008308D" w:rsidP="00BD39D2">
      <w:pPr>
        <w:jc w:val="center"/>
        <w:rPr>
          <w:sz w:val="28"/>
          <w:szCs w:val="28"/>
          <w:lang w:eastAsia="lv-LV"/>
        </w:rPr>
      </w:pPr>
      <w:bookmarkStart w:id="0" w:name="_GoBack"/>
      <w:bookmarkEnd w:id="0"/>
      <w:r w:rsidRPr="00BD39D2">
        <w:rPr>
          <w:sz w:val="28"/>
          <w:szCs w:val="28"/>
          <w:lang w:eastAsia="lv-LV"/>
        </w:rPr>
        <w:t>Minis</w:t>
      </w:r>
      <w:r>
        <w:rPr>
          <w:sz w:val="28"/>
          <w:szCs w:val="28"/>
          <w:lang w:eastAsia="lv-LV"/>
        </w:rPr>
        <w:t>tru kabineta noteikumu projekta</w:t>
      </w:r>
    </w:p>
    <w:p w:rsidR="0008308D" w:rsidRDefault="0008308D" w:rsidP="00BD39D2">
      <w:pPr>
        <w:jc w:val="center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„Grozījums</w:t>
      </w:r>
      <w:r w:rsidRPr="00BD39D2">
        <w:rPr>
          <w:sz w:val="28"/>
          <w:szCs w:val="28"/>
          <w:lang w:eastAsia="lv-LV"/>
        </w:rPr>
        <w:t xml:space="preserve"> Ministru kabineta 2010.gada </w:t>
      </w:r>
      <w:r>
        <w:rPr>
          <w:sz w:val="28"/>
          <w:szCs w:val="28"/>
          <w:lang w:eastAsia="lv-LV"/>
        </w:rPr>
        <w:t>28.</w:t>
      </w:r>
      <w:r w:rsidRPr="00BD39D2">
        <w:rPr>
          <w:sz w:val="28"/>
          <w:szCs w:val="28"/>
          <w:lang w:eastAsia="lv-LV"/>
        </w:rPr>
        <w:t>decembra</w:t>
      </w:r>
      <w:r>
        <w:rPr>
          <w:sz w:val="28"/>
          <w:szCs w:val="28"/>
          <w:lang w:eastAsia="lv-LV"/>
        </w:rPr>
        <w:t xml:space="preserve"> noteikumos Nr.</w:t>
      </w:r>
      <w:r w:rsidRPr="00BD39D2">
        <w:rPr>
          <w:sz w:val="28"/>
          <w:szCs w:val="28"/>
          <w:lang w:eastAsia="lv-LV"/>
        </w:rPr>
        <w:t>1228</w:t>
      </w:r>
    </w:p>
    <w:p w:rsidR="0008308D" w:rsidRDefault="0008308D" w:rsidP="00BD39D2">
      <w:pPr>
        <w:jc w:val="center"/>
        <w:rPr>
          <w:sz w:val="28"/>
          <w:szCs w:val="28"/>
          <w:lang w:eastAsia="lv-LV"/>
        </w:rPr>
      </w:pPr>
      <w:r w:rsidRPr="00BD39D2">
        <w:rPr>
          <w:sz w:val="28"/>
          <w:szCs w:val="28"/>
          <w:lang w:eastAsia="lv-LV"/>
        </w:rPr>
        <w:t>„Noteikumi par lielgabarīta un smagsvara pārvadājumu atļaujas izsniegšanas valsts nodevas apmēru, samaksas kārtību un atbrīvojumiem</w:t>
      </w:r>
      <w:r>
        <w:rPr>
          <w:sz w:val="28"/>
          <w:szCs w:val="28"/>
          <w:lang w:eastAsia="lv-LV"/>
        </w:rPr>
        <w:t>””</w:t>
      </w:r>
    </w:p>
    <w:p w:rsidR="0008308D" w:rsidRPr="00BD39D2" w:rsidRDefault="0008308D" w:rsidP="00BD39D2">
      <w:pPr>
        <w:jc w:val="center"/>
        <w:rPr>
          <w:sz w:val="28"/>
          <w:szCs w:val="28"/>
          <w:lang w:eastAsia="lv-LV"/>
        </w:rPr>
      </w:pPr>
      <w:r w:rsidRPr="00BD39D2">
        <w:rPr>
          <w:sz w:val="28"/>
          <w:szCs w:val="28"/>
          <w:lang w:eastAsia="lv-LV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BD39D2">
          <w:rPr>
            <w:sz w:val="28"/>
            <w:szCs w:val="28"/>
            <w:lang w:eastAsia="lv-LV"/>
          </w:rPr>
          <w:t>ziņojums</w:t>
        </w:r>
      </w:smartTag>
      <w:r w:rsidRPr="00BD39D2">
        <w:rPr>
          <w:sz w:val="28"/>
          <w:szCs w:val="28"/>
          <w:lang w:eastAsia="lv-LV"/>
        </w:rPr>
        <w:t xml:space="preserve"> (anotācija)</w:t>
      </w:r>
    </w:p>
    <w:p w:rsidR="0008308D" w:rsidRPr="00BD39D2" w:rsidRDefault="0008308D" w:rsidP="00BD39D2">
      <w:pPr>
        <w:rPr>
          <w:sz w:val="28"/>
          <w:szCs w:val="28"/>
          <w:lang w:eastAsia="lv-LV"/>
        </w:rPr>
      </w:pPr>
    </w:p>
    <w:tbl>
      <w:tblPr>
        <w:tblW w:w="0" w:type="auto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54"/>
        <w:gridCol w:w="6201"/>
      </w:tblGrid>
      <w:tr w:rsidR="0008308D" w:rsidRPr="008D71FA" w:rsidTr="007C455D">
        <w:trPr>
          <w:tblCellSpacing w:w="0" w:type="dxa"/>
        </w:trPr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8D" w:rsidRPr="00BD39D2" w:rsidRDefault="0008308D" w:rsidP="00BD39D2">
            <w:pPr>
              <w:jc w:val="center"/>
              <w:rPr>
                <w:sz w:val="28"/>
                <w:szCs w:val="28"/>
                <w:lang w:eastAsia="lv-LV"/>
              </w:rPr>
            </w:pPr>
            <w:r w:rsidRPr="00BD39D2">
              <w:rPr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08308D" w:rsidRPr="008D71FA" w:rsidTr="00BD39D2">
        <w:trPr>
          <w:trHeight w:val="630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D" w:rsidRPr="00BD39D2" w:rsidRDefault="0008308D" w:rsidP="00BD39D2">
            <w:pPr>
              <w:jc w:val="center"/>
              <w:rPr>
                <w:sz w:val="28"/>
                <w:szCs w:val="28"/>
                <w:lang w:eastAsia="lv-LV"/>
              </w:rPr>
            </w:pPr>
            <w:r w:rsidRPr="00BD39D2">
              <w:rPr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D" w:rsidRPr="00BD39D2" w:rsidRDefault="0008308D" w:rsidP="00BD39D2">
            <w:pPr>
              <w:rPr>
                <w:sz w:val="28"/>
                <w:szCs w:val="28"/>
                <w:lang w:eastAsia="lv-LV"/>
              </w:rPr>
            </w:pPr>
            <w:r w:rsidRPr="00BD39D2">
              <w:rPr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D" w:rsidRPr="00BD39D2" w:rsidRDefault="0008308D" w:rsidP="00BD39D2">
            <w:pPr>
              <w:jc w:val="both"/>
              <w:rPr>
                <w:color w:val="000000"/>
                <w:sz w:val="28"/>
                <w:szCs w:val="28"/>
                <w:lang w:eastAsia="lv-LV"/>
              </w:rPr>
            </w:pPr>
            <w:r w:rsidRPr="00C70AFB">
              <w:rPr>
                <w:i/>
                <w:sz w:val="28"/>
                <w:szCs w:val="28"/>
              </w:rPr>
              <w:t xml:space="preserve">Euro </w:t>
            </w:r>
            <w:r w:rsidRPr="00C70AFB">
              <w:rPr>
                <w:sz w:val="28"/>
                <w:szCs w:val="28"/>
              </w:rPr>
              <w:t>ieviešanas kārtības likuma 30.panta pirmā daļa,  Ministru kabineta 2012.gada 27.jūnija rīkojuma Nr.282 „Par „Koncepciju par normatīvo aktu sakārtošanu saistībā a</w:t>
            </w:r>
            <w:r>
              <w:rPr>
                <w:sz w:val="28"/>
                <w:szCs w:val="28"/>
              </w:rPr>
              <w:t>r eiro ieviešanu Latvijā”” 7.1.apakš</w:t>
            </w:r>
            <w:r w:rsidRPr="00C70AFB">
              <w:rPr>
                <w:sz w:val="28"/>
                <w:szCs w:val="28"/>
              </w:rPr>
              <w:t>punkts</w:t>
            </w:r>
            <w:r>
              <w:rPr>
                <w:sz w:val="28"/>
                <w:szCs w:val="28"/>
              </w:rPr>
              <w:t xml:space="preserve"> </w:t>
            </w:r>
            <w:r w:rsidRPr="00F0006B">
              <w:rPr>
                <w:color w:val="000000"/>
                <w:sz w:val="28"/>
                <w:szCs w:val="28"/>
              </w:rPr>
              <w:t xml:space="preserve">un Latvijas Nacionālā </w:t>
            </w:r>
            <w:r w:rsidRPr="00F0006B">
              <w:rPr>
                <w:i/>
                <w:color w:val="000000"/>
                <w:sz w:val="28"/>
                <w:szCs w:val="28"/>
              </w:rPr>
              <w:t>euro</w:t>
            </w:r>
            <w:r w:rsidRPr="00F0006B">
              <w:rPr>
                <w:color w:val="000000"/>
                <w:sz w:val="28"/>
                <w:szCs w:val="28"/>
              </w:rPr>
              <w:t xml:space="preserve"> ieviešanas plāna (apstiprināts ar Ministru kabineta 2013.gada 4.aprīļa rīkojumu Nr.136) 1.pielikuma J2.2 pasākums</w:t>
            </w:r>
            <w:r w:rsidRPr="00C70AFB">
              <w:rPr>
                <w:sz w:val="28"/>
                <w:szCs w:val="28"/>
              </w:rPr>
              <w:t>.</w:t>
            </w:r>
          </w:p>
        </w:tc>
      </w:tr>
      <w:tr w:rsidR="0008308D" w:rsidRPr="008D71FA" w:rsidTr="00BD39D2">
        <w:trPr>
          <w:trHeight w:val="472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D" w:rsidRPr="00BD39D2" w:rsidRDefault="0008308D" w:rsidP="00BD39D2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BD39D2">
              <w:rPr>
                <w:color w:val="000000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D" w:rsidRPr="00BD39D2" w:rsidRDefault="0008308D" w:rsidP="00BD39D2">
            <w:pPr>
              <w:rPr>
                <w:color w:val="000000"/>
                <w:sz w:val="28"/>
                <w:szCs w:val="28"/>
                <w:lang w:eastAsia="lv-LV"/>
              </w:rPr>
            </w:pPr>
            <w:r w:rsidRPr="00BD39D2">
              <w:rPr>
                <w:color w:val="000000"/>
                <w:sz w:val="28"/>
                <w:szCs w:val="28"/>
                <w:lang w:eastAsia="lv-LV"/>
              </w:rPr>
              <w:t>Pašreizējā situācija un problēmas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D" w:rsidRPr="00BD39D2" w:rsidRDefault="0008308D" w:rsidP="00BD39D2">
            <w:pPr>
              <w:jc w:val="both"/>
              <w:rPr>
                <w:color w:val="000000"/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Ņemot vērā, ka ar 2014.gada 1.</w:t>
            </w:r>
            <w:r w:rsidRPr="00BD39D2">
              <w:rPr>
                <w:sz w:val="28"/>
                <w:szCs w:val="28"/>
                <w:lang w:eastAsia="lv-LV"/>
              </w:rPr>
              <w:t xml:space="preserve">janvāri Latvijā plānots ieviest </w:t>
            </w:r>
            <w:r w:rsidRPr="00BD39D2">
              <w:rPr>
                <w:i/>
                <w:sz w:val="28"/>
                <w:szCs w:val="28"/>
                <w:lang w:eastAsia="lv-LV"/>
              </w:rPr>
              <w:t>euro</w:t>
            </w:r>
            <w:r w:rsidRPr="00BD39D2">
              <w:rPr>
                <w:sz w:val="28"/>
                <w:szCs w:val="28"/>
                <w:lang w:eastAsia="lv-LV"/>
              </w:rPr>
              <w:t>, ir nepieciešams veikt grozījumu Ministru kabineta 2010</w:t>
            </w:r>
            <w:r>
              <w:rPr>
                <w:sz w:val="28"/>
                <w:szCs w:val="28"/>
                <w:lang w:eastAsia="lv-LV"/>
              </w:rPr>
              <w:t>.</w:t>
            </w:r>
            <w:r w:rsidRPr="00BD39D2">
              <w:rPr>
                <w:sz w:val="28"/>
                <w:szCs w:val="28"/>
                <w:lang w:eastAsia="lv-LV"/>
              </w:rPr>
              <w:t>gada 28</w:t>
            </w:r>
            <w:r>
              <w:rPr>
                <w:sz w:val="28"/>
                <w:szCs w:val="28"/>
                <w:lang w:eastAsia="lv-LV"/>
              </w:rPr>
              <w:t>.</w:t>
            </w:r>
            <w:r w:rsidRPr="00BD39D2">
              <w:rPr>
                <w:sz w:val="28"/>
                <w:szCs w:val="28"/>
                <w:lang w:eastAsia="lv-LV"/>
              </w:rPr>
              <w:t>decembra</w:t>
            </w:r>
            <w:r>
              <w:rPr>
                <w:sz w:val="28"/>
                <w:szCs w:val="28"/>
                <w:lang w:eastAsia="lv-LV"/>
              </w:rPr>
              <w:t xml:space="preserve"> noteikumos Nr.</w:t>
            </w:r>
            <w:r w:rsidRPr="00BD39D2">
              <w:rPr>
                <w:sz w:val="28"/>
                <w:szCs w:val="28"/>
                <w:lang w:eastAsia="lv-LV"/>
              </w:rPr>
              <w:t>1228 „Noteikumi par lielgabarīta un smagsvara pārvadājumu atļaujas izsniegšanas nodevas apmēru, samaksas kārtību un atbrīvojumiem</w:t>
            </w:r>
            <w:r>
              <w:rPr>
                <w:sz w:val="28"/>
                <w:szCs w:val="28"/>
                <w:lang w:eastAsia="lv-LV"/>
              </w:rPr>
              <w:t>” (turpmāk – n</w:t>
            </w:r>
            <w:r w:rsidRPr="00BD39D2">
              <w:rPr>
                <w:sz w:val="28"/>
                <w:szCs w:val="28"/>
                <w:lang w:eastAsia="lv-LV"/>
              </w:rPr>
              <w:t>oteikumi</w:t>
            </w:r>
            <w:r>
              <w:rPr>
                <w:sz w:val="28"/>
                <w:szCs w:val="28"/>
                <w:lang w:eastAsia="lv-LV"/>
              </w:rPr>
              <w:t xml:space="preserve"> Nr.1228), aizstājot tajos</w:t>
            </w:r>
            <w:r w:rsidRPr="00BD39D2">
              <w:rPr>
                <w:sz w:val="28"/>
                <w:szCs w:val="28"/>
                <w:lang w:eastAsia="lv-LV"/>
              </w:rPr>
              <w:t xml:space="preserve"> latus ar </w:t>
            </w:r>
            <w:r w:rsidRPr="00BD39D2">
              <w:rPr>
                <w:i/>
                <w:sz w:val="28"/>
                <w:szCs w:val="28"/>
                <w:lang w:eastAsia="lv-LV"/>
              </w:rPr>
              <w:t>euro</w:t>
            </w:r>
            <w:r w:rsidRPr="00BD39D2">
              <w:rPr>
                <w:sz w:val="28"/>
                <w:szCs w:val="28"/>
                <w:lang w:eastAsia="lv-LV"/>
              </w:rPr>
              <w:t>.</w:t>
            </w:r>
          </w:p>
        </w:tc>
      </w:tr>
      <w:tr w:rsidR="0008308D" w:rsidRPr="008D71FA" w:rsidTr="00BD39D2">
        <w:trPr>
          <w:trHeight w:val="1071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D" w:rsidRPr="00BD39D2" w:rsidRDefault="0008308D" w:rsidP="00BD39D2">
            <w:pPr>
              <w:jc w:val="center"/>
              <w:rPr>
                <w:sz w:val="28"/>
                <w:szCs w:val="28"/>
                <w:lang w:eastAsia="lv-LV"/>
              </w:rPr>
            </w:pPr>
            <w:r w:rsidRPr="00BD39D2">
              <w:rPr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D" w:rsidRPr="00BD39D2" w:rsidRDefault="0008308D" w:rsidP="00BD39D2">
            <w:pPr>
              <w:rPr>
                <w:sz w:val="28"/>
                <w:szCs w:val="28"/>
                <w:lang w:eastAsia="lv-LV"/>
              </w:rPr>
            </w:pPr>
            <w:r w:rsidRPr="00BD39D2">
              <w:rPr>
                <w:sz w:val="28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D" w:rsidRPr="00BD39D2" w:rsidRDefault="0008308D" w:rsidP="00BD39D2">
            <w:pPr>
              <w:jc w:val="both"/>
              <w:rPr>
                <w:sz w:val="28"/>
                <w:szCs w:val="28"/>
                <w:lang w:eastAsia="lv-LV"/>
              </w:rPr>
            </w:pPr>
            <w:r w:rsidRPr="00BD39D2">
              <w:rPr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08308D" w:rsidRPr="008D71FA" w:rsidTr="00BD39D2">
        <w:trPr>
          <w:trHeight w:val="384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D" w:rsidRPr="00BD39D2" w:rsidRDefault="0008308D" w:rsidP="00BD39D2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BD39D2">
              <w:rPr>
                <w:color w:val="000000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D" w:rsidRPr="00BD39D2" w:rsidRDefault="0008308D" w:rsidP="00BD39D2">
            <w:pPr>
              <w:rPr>
                <w:color w:val="000000"/>
                <w:sz w:val="28"/>
                <w:szCs w:val="28"/>
                <w:lang w:eastAsia="lv-LV"/>
              </w:rPr>
            </w:pPr>
            <w:r w:rsidRPr="00BD39D2">
              <w:rPr>
                <w:color w:val="000000"/>
                <w:sz w:val="28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D" w:rsidRPr="00BD39D2" w:rsidRDefault="0008308D" w:rsidP="00BD39D2">
            <w:pPr>
              <w:jc w:val="both"/>
              <w:rPr>
                <w:color w:val="000000"/>
                <w:sz w:val="28"/>
                <w:szCs w:val="28"/>
                <w:lang w:eastAsia="lv-LV"/>
              </w:rPr>
            </w:pPr>
            <w:r>
              <w:rPr>
                <w:sz w:val="28"/>
                <w:szCs w:val="28"/>
                <w:lang w:eastAsia="lv-LV"/>
              </w:rPr>
              <w:t>P</w:t>
            </w:r>
            <w:r w:rsidRPr="00BD39D2">
              <w:rPr>
                <w:sz w:val="28"/>
                <w:szCs w:val="28"/>
                <w:lang w:eastAsia="lv-LV"/>
              </w:rPr>
              <w:t xml:space="preserve">rojekts paredz aizstāt </w:t>
            </w:r>
            <w:r>
              <w:rPr>
                <w:sz w:val="28"/>
                <w:szCs w:val="28"/>
                <w:lang w:eastAsia="lv-LV"/>
              </w:rPr>
              <w:t>noteikumos Nr.1228</w:t>
            </w:r>
            <w:r w:rsidRPr="00BD39D2">
              <w:rPr>
                <w:sz w:val="28"/>
                <w:szCs w:val="28"/>
                <w:lang w:eastAsia="lv-LV"/>
              </w:rPr>
              <w:t xml:space="preserve"> latus ar </w:t>
            </w:r>
            <w:r w:rsidRPr="00BD39D2">
              <w:rPr>
                <w:i/>
                <w:sz w:val="28"/>
                <w:szCs w:val="28"/>
                <w:lang w:eastAsia="lv-LV"/>
              </w:rPr>
              <w:t>euro</w:t>
            </w:r>
            <w:r w:rsidRPr="00BD39D2">
              <w:rPr>
                <w:sz w:val="28"/>
                <w:szCs w:val="28"/>
                <w:lang w:eastAsia="lv-LV"/>
              </w:rPr>
              <w:t xml:space="preserve"> atbilstoši </w:t>
            </w:r>
            <w:r w:rsidRPr="00BD39D2">
              <w:rPr>
                <w:i/>
                <w:color w:val="000000"/>
                <w:sz w:val="28"/>
                <w:szCs w:val="28"/>
                <w:lang w:eastAsia="lv-LV"/>
              </w:rPr>
              <w:t xml:space="preserve">Euro </w:t>
            </w:r>
            <w:r w:rsidRPr="00BD39D2">
              <w:rPr>
                <w:color w:val="000000"/>
                <w:sz w:val="28"/>
                <w:szCs w:val="28"/>
                <w:lang w:eastAsia="lv-LV"/>
              </w:rPr>
              <w:t xml:space="preserve">ieviešanas kārtības likuma </w:t>
            </w:r>
            <w:r>
              <w:rPr>
                <w:color w:val="000000"/>
                <w:sz w:val="28"/>
                <w:szCs w:val="28"/>
                <w:lang w:eastAsia="lv-LV"/>
              </w:rPr>
              <w:t>6.p</w:t>
            </w:r>
            <w:r w:rsidRPr="00BD39D2">
              <w:rPr>
                <w:color w:val="000000"/>
                <w:sz w:val="28"/>
                <w:szCs w:val="28"/>
                <w:lang w:eastAsia="lv-LV"/>
              </w:rPr>
              <w:t>ant</w:t>
            </w:r>
            <w:r>
              <w:rPr>
                <w:color w:val="000000"/>
                <w:sz w:val="28"/>
                <w:szCs w:val="28"/>
                <w:lang w:eastAsia="lv-LV"/>
              </w:rPr>
              <w:t>ā</w:t>
            </w:r>
            <w:r w:rsidRPr="00BD39D2">
              <w:rPr>
                <w:color w:val="000000"/>
                <w:sz w:val="28"/>
                <w:szCs w:val="28"/>
                <w:lang w:eastAsia="lv-LV"/>
              </w:rPr>
              <w:t xml:space="preserve"> </w:t>
            </w:r>
            <w:r w:rsidR="00243B85">
              <w:rPr>
                <w:color w:val="000000"/>
                <w:sz w:val="28"/>
                <w:szCs w:val="28"/>
                <w:lang w:eastAsia="lv-LV"/>
              </w:rPr>
              <w:t xml:space="preserve">un </w:t>
            </w:r>
            <w:r w:rsidR="00243B85" w:rsidRPr="00243B85">
              <w:rPr>
                <w:color w:val="000000"/>
                <w:sz w:val="28"/>
                <w:szCs w:val="28"/>
                <w:lang w:eastAsia="lv-LV"/>
              </w:rPr>
              <w:t xml:space="preserve">32.panta otrās daļas 2.punktā </w:t>
            </w:r>
            <w:r w:rsidRPr="00BD39D2">
              <w:rPr>
                <w:color w:val="000000"/>
                <w:sz w:val="28"/>
                <w:szCs w:val="28"/>
                <w:lang w:eastAsia="lv-LV"/>
              </w:rPr>
              <w:t>paredzētajiem principiem.</w:t>
            </w:r>
          </w:p>
          <w:p w:rsidR="0008308D" w:rsidRPr="00BD39D2" w:rsidRDefault="0008308D" w:rsidP="00BD39D2">
            <w:pPr>
              <w:ind w:right="26"/>
              <w:jc w:val="both"/>
              <w:rPr>
                <w:color w:val="000000"/>
                <w:sz w:val="28"/>
                <w:szCs w:val="28"/>
                <w:lang w:eastAsia="lv-LV"/>
              </w:rPr>
            </w:pPr>
            <w:r w:rsidRPr="00BD39D2">
              <w:rPr>
                <w:color w:val="000000"/>
                <w:sz w:val="28"/>
                <w:szCs w:val="28"/>
              </w:rPr>
              <w:t xml:space="preserve">Grozītās tiesību normas </w:t>
            </w:r>
            <w:r w:rsidRPr="00BD39D2">
              <w:rPr>
                <w:i/>
                <w:color w:val="000000"/>
                <w:sz w:val="28"/>
                <w:szCs w:val="28"/>
              </w:rPr>
              <w:t xml:space="preserve">euro </w:t>
            </w:r>
            <w:r w:rsidRPr="00BD39D2">
              <w:rPr>
                <w:color w:val="000000"/>
                <w:sz w:val="28"/>
                <w:szCs w:val="28"/>
              </w:rPr>
              <w:t>valūtā nav personām nelabvēlīgākas par sākotnējo tiesību normu latos un nerada vērā ņemamu negatīvu ietekmi uz valsts budžetu.</w:t>
            </w:r>
          </w:p>
        </w:tc>
      </w:tr>
      <w:tr w:rsidR="0008308D" w:rsidRPr="008D71FA" w:rsidTr="00BD39D2">
        <w:trPr>
          <w:trHeight w:val="476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D" w:rsidRPr="00BD39D2" w:rsidRDefault="0008308D" w:rsidP="00BD39D2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BD39D2">
              <w:rPr>
                <w:color w:val="000000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D" w:rsidRPr="00BD39D2" w:rsidRDefault="0008308D" w:rsidP="00BD39D2">
            <w:pPr>
              <w:rPr>
                <w:color w:val="000000"/>
                <w:sz w:val="28"/>
                <w:szCs w:val="28"/>
                <w:lang w:eastAsia="lv-LV"/>
              </w:rPr>
            </w:pPr>
            <w:r w:rsidRPr="00BD39D2">
              <w:rPr>
                <w:color w:val="000000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D" w:rsidRPr="00BD39D2" w:rsidRDefault="0008308D" w:rsidP="00BD39D2">
            <w:pPr>
              <w:jc w:val="both"/>
              <w:rPr>
                <w:color w:val="000000"/>
                <w:sz w:val="28"/>
                <w:szCs w:val="28"/>
                <w:lang w:eastAsia="lv-LV"/>
              </w:rPr>
            </w:pPr>
            <w:r w:rsidRPr="00BD39D2">
              <w:rPr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08308D" w:rsidRPr="008D71FA" w:rsidTr="00BD39D2">
        <w:trPr>
          <w:trHeight w:val="983"/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D" w:rsidRPr="00BD39D2" w:rsidRDefault="0008308D" w:rsidP="00BD39D2">
            <w:pPr>
              <w:jc w:val="center"/>
              <w:rPr>
                <w:color w:val="000000"/>
                <w:sz w:val="28"/>
                <w:szCs w:val="28"/>
                <w:lang w:eastAsia="lv-LV"/>
              </w:rPr>
            </w:pPr>
            <w:r w:rsidRPr="00BD39D2">
              <w:rPr>
                <w:color w:val="000000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D" w:rsidRPr="00BD39D2" w:rsidRDefault="0008308D" w:rsidP="00BD39D2">
            <w:pPr>
              <w:rPr>
                <w:color w:val="000000"/>
                <w:sz w:val="28"/>
                <w:szCs w:val="28"/>
                <w:lang w:eastAsia="lv-LV"/>
              </w:rPr>
            </w:pPr>
            <w:r w:rsidRPr="00BD39D2">
              <w:rPr>
                <w:color w:val="000000"/>
                <w:sz w:val="28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D" w:rsidRPr="00BD39D2" w:rsidRDefault="0008308D" w:rsidP="00BD39D2">
            <w:pPr>
              <w:jc w:val="both"/>
              <w:rPr>
                <w:color w:val="000000"/>
                <w:sz w:val="28"/>
                <w:szCs w:val="28"/>
                <w:lang w:eastAsia="lv-LV"/>
              </w:rPr>
            </w:pPr>
            <w:r w:rsidRPr="00BD39D2">
              <w:rPr>
                <w:sz w:val="28"/>
                <w:szCs w:val="28"/>
              </w:rPr>
              <w:t>Sabiedrības līdzdalība projekta izstrādē netika nodrošināta, jo projekts nemaina pastāvošo tiesisko regulējumu pēc būtības.</w:t>
            </w:r>
          </w:p>
        </w:tc>
      </w:tr>
      <w:tr w:rsidR="0008308D" w:rsidRPr="008D71FA" w:rsidTr="00BD39D2">
        <w:trPr>
          <w:tblCellSpacing w:w="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D" w:rsidRPr="00BD39D2" w:rsidRDefault="0008308D" w:rsidP="00BD39D2">
            <w:pPr>
              <w:jc w:val="center"/>
              <w:rPr>
                <w:sz w:val="28"/>
                <w:szCs w:val="28"/>
                <w:lang w:eastAsia="lv-LV"/>
              </w:rPr>
            </w:pPr>
            <w:r w:rsidRPr="00BD39D2">
              <w:rPr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D" w:rsidRPr="00BD39D2" w:rsidRDefault="0008308D" w:rsidP="00BD39D2">
            <w:pPr>
              <w:rPr>
                <w:sz w:val="28"/>
                <w:szCs w:val="28"/>
                <w:lang w:eastAsia="lv-LV"/>
              </w:rPr>
            </w:pPr>
            <w:r w:rsidRPr="00BD39D2">
              <w:rPr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8D" w:rsidRPr="00BD39D2" w:rsidRDefault="0008308D" w:rsidP="00243B85">
            <w:pPr>
              <w:pStyle w:val="naiskr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006B">
              <w:rPr>
                <w:sz w:val="28"/>
                <w:szCs w:val="28"/>
              </w:rPr>
              <w:t>Projekts tiks virzīts izskatīšanai Ministru kabinetā pēc tam, kad Eiropas Savienības Padomē saskaņā ar Līguma par Eiropas Savienības darbību 140.panta 2.punktu tiks pieņemts lēmums par izņēmuma status</w:t>
            </w:r>
            <w:r w:rsidR="00243B85">
              <w:rPr>
                <w:sz w:val="28"/>
                <w:szCs w:val="28"/>
              </w:rPr>
              <w:t xml:space="preserve">a atcelšanu Latvijas Republikai un Eiropas Savienības </w:t>
            </w:r>
            <w:r w:rsidR="00243B85">
              <w:rPr>
                <w:sz w:val="28"/>
                <w:szCs w:val="28"/>
              </w:rPr>
              <w:lastRenderedPageBreak/>
              <w:t>padome būs noteikusi lata maiņas kursu.</w:t>
            </w:r>
          </w:p>
        </w:tc>
      </w:tr>
    </w:tbl>
    <w:p w:rsidR="0008308D" w:rsidRPr="000573FB" w:rsidRDefault="0008308D" w:rsidP="00BD39D2">
      <w:pPr>
        <w:rPr>
          <w:szCs w:val="24"/>
          <w:lang w:eastAsia="lv-LV"/>
        </w:rPr>
      </w:pPr>
    </w:p>
    <w:p w:rsidR="0008308D" w:rsidRPr="000573FB" w:rsidRDefault="0008308D" w:rsidP="00BD39D2">
      <w:pPr>
        <w:rPr>
          <w:szCs w:val="24"/>
          <w:lang w:eastAsia="lv-LV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1320"/>
        <w:gridCol w:w="1346"/>
        <w:gridCol w:w="1349"/>
        <w:gridCol w:w="1350"/>
        <w:gridCol w:w="1223"/>
      </w:tblGrid>
      <w:tr w:rsidR="0008308D" w:rsidRPr="008D71FA" w:rsidTr="007C455D">
        <w:trPr>
          <w:trHeight w:val="652"/>
          <w:jc w:val="center"/>
        </w:trPr>
        <w:tc>
          <w:tcPr>
            <w:tcW w:w="9416" w:type="dxa"/>
            <w:gridSpan w:val="6"/>
          </w:tcPr>
          <w:p w:rsidR="0008308D" w:rsidRPr="00BD39D2" w:rsidRDefault="0008308D" w:rsidP="00BD39D2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  <w:lang w:eastAsia="lv-LV"/>
              </w:rPr>
            </w:pPr>
            <w:r w:rsidRPr="00BD39D2">
              <w:rPr>
                <w:b/>
                <w:bCs/>
                <w:color w:val="000000"/>
                <w:sz w:val="28"/>
                <w:szCs w:val="28"/>
                <w:lang w:eastAsia="lv-LV"/>
              </w:rPr>
              <w:br w:type="page"/>
              <w:t>III. Tiesību akta projekta ietekme uz valsts budžetu un pašvaldību budžetiem</w:t>
            </w: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  <w:vMerge w:val="restart"/>
            <w:vAlign w:val="center"/>
          </w:tcPr>
          <w:p w:rsidR="0008308D" w:rsidRPr="000573FB" w:rsidRDefault="0008308D" w:rsidP="00BD39D2">
            <w:pPr>
              <w:jc w:val="center"/>
              <w:rPr>
                <w:b/>
                <w:color w:val="000000"/>
                <w:szCs w:val="24"/>
                <w:lang w:eastAsia="lv-LV"/>
              </w:rPr>
            </w:pPr>
            <w:r w:rsidRPr="000573FB">
              <w:rPr>
                <w:b/>
                <w:color w:val="000000"/>
                <w:szCs w:val="24"/>
                <w:lang w:eastAsia="lv-LV"/>
              </w:rPr>
              <w:t>Rādītāji</w:t>
            </w:r>
          </w:p>
        </w:tc>
        <w:tc>
          <w:tcPr>
            <w:tcW w:w="2666" w:type="dxa"/>
            <w:gridSpan w:val="2"/>
            <w:vMerge w:val="restart"/>
            <w:vAlign w:val="center"/>
          </w:tcPr>
          <w:p w:rsidR="0008308D" w:rsidRPr="000573FB" w:rsidRDefault="0008308D" w:rsidP="00BD39D2">
            <w:pPr>
              <w:jc w:val="center"/>
              <w:rPr>
                <w:b/>
                <w:color w:val="000000"/>
                <w:szCs w:val="24"/>
                <w:lang w:eastAsia="lv-LV"/>
              </w:rPr>
            </w:pPr>
            <w:r w:rsidRPr="000573FB">
              <w:rPr>
                <w:b/>
                <w:color w:val="000000"/>
                <w:szCs w:val="24"/>
                <w:lang w:eastAsia="lv-LV"/>
              </w:rPr>
              <w:t>2013.gads</w:t>
            </w:r>
          </w:p>
        </w:tc>
        <w:tc>
          <w:tcPr>
            <w:tcW w:w="3922" w:type="dxa"/>
            <w:gridSpan w:val="3"/>
            <w:vAlign w:val="center"/>
          </w:tcPr>
          <w:p w:rsidR="0008308D" w:rsidRPr="000573FB" w:rsidRDefault="0008308D" w:rsidP="00BD39D2">
            <w:pPr>
              <w:jc w:val="center"/>
              <w:rPr>
                <w:b/>
                <w:i/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 xml:space="preserve">Turpmākie trīs gadi (tūkst. </w:t>
            </w:r>
            <w:r w:rsidRPr="000573FB">
              <w:rPr>
                <w:i/>
                <w:color w:val="000000"/>
                <w:szCs w:val="24"/>
                <w:lang w:eastAsia="lv-LV"/>
              </w:rPr>
              <w:t>euro</w:t>
            </w:r>
            <w:r w:rsidRPr="000573FB">
              <w:rPr>
                <w:color w:val="000000"/>
                <w:szCs w:val="24"/>
                <w:lang w:eastAsia="lv-LV"/>
              </w:rPr>
              <w:t>)</w:t>
            </w: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  <w:vMerge/>
            <w:vAlign w:val="center"/>
          </w:tcPr>
          <w:p w:rsidR="0008308D" w:rsidRPr="000573FB" w:rsidRDefault="0008308D" w:rsidP="00BD39D2">
            <w:pPr>
              <w:jc w:val="center"/>
              <w:rPr>
                <w:b/>
                <w:i/>
                <w:color w:val="000000"/>
                <w:szCs w:val="24"/>
                <w:lang w:eastAsia="lv-LV"/>
              </w:rPr>
            </w:pPr>
          </w:p>
        </w:tc>
        <w:tc>
          <w:tcPr>
            <w:tcW w:w="2666" w:type="dxa"/>
            <w:gridSpan w:val="2"/>
            <w:vMerge/>
            <w:vAlign w:val="center"/>
          </w:tcPr>
          <w:p w:rsidR="0008308D" w:rsidRPr="000573FB" w:rsidRDefault="0008308D" w:rsidP="00BD39D2">
            <w:pPr>
              <w:jc w:val="center"/>
              <w:rPr>
                <w:b/>
                <w:i/>
                <w:color w:val="000000"/>
                <w:szCs w:val="24"/>
                <w:lang w:eastAsia="lv-LV"/>
              </w:rPr>
            </w:pPr>
          </w:p>
        </w:tc>
        <w:tc>
          <w:tcPr>
            <w:tcW w:w="1349" w:type="dxa"/>
            <w:vAlign w:val="center"/>
          </w:tcPr>
          <w:p w:rsidR="0008308D" w:rsidRPr="000573FB" w:rsidRDefault="0008308D" w:rsidP="00BD39D2">
            <w:pPr>
              <w:jc w:val="center"/>
              <w:rPr>
                <w:b/>
                <w:i/>
                <w:color w:val="000000"/>
                <w:szCs w:val="24"/>
                <w:lang w:eastAsia="lv-LV"/>
              </w:rPr>
            </w:pPr>
            <w:r w:rsidRPr="000573FB">
              <w:rPr>
                <w:b/>
                <w:color w:val="000000"/>
                <w:szCs w:val="24"/>
                <w:lang w:eastAsia="lv-LV"/>
              </w:rPr>
              <w:t>2014.gads</w:t>
            </w:r>
          </w:p>
        </w:tc>
        <w:tc>
          <w:tcPr>
            <w:tcW w:w="1350" w:type="dxa"/>
            <w:vAlign w:val="center"/>
          </w:tcPr>
          <w:p w:rsidR="0008308D" w:rsidRPr="000573FB" w:rsidRDefault="0008308D" w:rsidP="00BD39D2">
            <w:pPr>
              <w:jc w:val="center"/>
              <w:rPr>
                <w:b/>
                <w:i/>
                <w:color w:val="000000"/>
                <w:szCs w:val="24"/>
                <w:lang w:eastAsia="lv-LV"/>
              </w:rPr>
            </w:pPr>
            <w:r w:rsidRPr="000573FB">
              <w:rPr>
                <w:b/>
                <w:color w:val="000000"/>
                <w:szCs w:val="24"/>
                <w:lang w:eastAsia="lv-LV"/>
              </w:rPr>
              <w:t>2015.gads</w:t>
            </w:r>
          </w:p>
        </w:tc>
        <w:tc>
          <w:tcPr>
            <w:tcW w:w="1223" w:type="dxa"/>
            <w:vAlign w:val="center"/>
          </w:tcPr>
          <w:p w:rsidR="0008308D" w:rsidRPr="000573FB" w:rsidRDefault="0008308D" w:rsidP="00BD39D2">
            <w:pPr>
              <w:jc w:val="center"/>
              <w:rPr>
                <w:b/>
                <w:i/>
                <w:color w:val="000000"/>
                <w:szCs w:val="24"/>
                <w:lang w:eastAsia="lv-LV"/>
              </w:rPr>
            </w:pPr>
            <w:r w:rsidRPr="000573FB">
              <w:rPr>
                <w:b/>
                <w:color w:val="000000"/>
                <w:szCs w:val="24"/>
                <w:lang w:eastAsia="lv-LV"/>
              </w:rPr>
              <w:t>2016.gads</w:t>
            </w: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  <w:vMerge/>
            <w:vAlign w:val="center"/>
          </w:tcPr>
          <w:p w:rsidR="0008308D" w:rsidRPr="000573FB" w:rsidRDefault="0008308D" w:rsidP="00BD39D2">
            <w:pPr>
              <w:jc w:val="center"/>
              <w:rPr>
                <w:b/>
                <w:i/>
                <w:color w:val="000000"/>
                <w:szCs w:val="24"/>
                <w:lang w:eastAsia="lv-LV"/>
              </w:rPr>
            </w:pPr>
          </w:p>
        </w:tc>
        <w:tc>
          <w:tcPr>
            <w:tcW w:w="1320" w:type="dxa"/>
            <w:vAlign w:val="center"/>
          </w:tcPr>
          <w:p w:rsidR="0008308D" w:rsidRPr="000573FB" w:rsidRDefault="0008308D" w:rsidP="00BD39D2">
            <w:pPr>
              <w:jc w:val="center"/>
              <w:rPr>
                <w:b/>
                <w:i/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346" w:type="dxa"/>
            <w:vAlign w:val="center"/>
          </w:tcPr>
          <w:p w:rsidR="0008308D" w:rsidRPr="000573FB" w:rsidRDefault="0008308D" w:rsidP="00BD39D2">
            <w:pPr>
              <w:jc w:val="center"/>
              <w:rPr>
                <w:b/>
                <w:i/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Izmaiņas kārtējā gadā, salīdzinot ar budžetu kārtējam gadam</w:t>
            </w:r>
          </w:p>
        </w:tc>
        <w:tc>
          <w:tcPr>
            <w:tcW w:w="1349" w:type="dxa"/>
            <w:vAlign w:val="center"/>
          </w:tcPr>
          <w:p w:rsidR="0008308D" w:rsidRPr="000573FB" w:rsidRDefault="0008308D" w:rsidP="00BD39D2">
            <w:pPr>
              <w:jc w:val="center"/>
              <w:rPr>
                <w:b/>
                <w:i/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Izmaiņas, salīdzinot ar kārtējo 2013.gadu</w:t>
            </w:r>
          </w:p>
        </w:tc>
        <w:tc>
          <w:tcPr>
            <w:tcW w:w="1350" w:type="dxa"/>
            <w:vAlign w:val="center"/>
          </w:tcPr>
          <w:p w:rsidR="0008308D" w:rsidRPr="000573FB" w:rsidRDefault="0008308D" w:rsidP="00BD39D2">
            <w:pPr>
              <w:jc w:val="center"/>
              <w:rPr>
                <w:b/>
                <w:i/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Izmaiņas, salīdzinot ar kārtējo 2013.gadu</w:t>
            </w:r>
          </w:p>
        </w:tc>
        <w:tc>
          <w:tcPr>
            <w:tcW w:w="1223" w:type="dxa"/>
            <w:vAlign w:val="center"/>
          </w:tcPr>
          <w:p w:rsidR="0008308D" w:rsidRPr="000573FB" w:rsidRDefault="0008308D" w:rsidP="00BD39D2">
            <w:pPr>
              <w:jc w:val="center"/>
              <w:rPr>
                <w:b/>
                <w:i/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Izmaiņas, salīdzinot ar kārtējo 2013.gadu</w:t>
            </w: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  <w:vAlign w:val="center"/>
          </w:tcPr>
          <w:p w:rsidR="0008308D" w:rsidRPr="000573FB" w:rsidRDefault="0008308D" w:rsidP="00BD39D2">
            <w:pPr>
              <w:jc w:val="center"/>
              <w:rPr>
                <w:bCs/>
                <w:color w:val="000000"/>
                <w:szCs w:val="24"/>
                <w:lang w:eastAsia="lv-LV"/>
              </w:rPr>
            </w:pPr>
            <w:r w:rsidRPr="000573FB">
              <w:rPr>
                <w:bCs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1320" w:type="dxa"/>
            <w:vAlign w:val="center"/>
          </w:tcPr>
          <w:p w:rsidR="0008308D" w:rsidRPr="000573FB" w:rsidRDefault="0008308D" w:rsidP="00BD39D2">
            <w:pPr>
              <w:jc w:val="center"/>
              <w:rPr>
                <w:bCs/>
                <w:color w:val="000000"/>
                <w:szCs w:val="24"/>
                <w:lang w:eastAsia="lv-LV"/>
              </w:rPr>
            </w:pPr>
            <w:r w:rsidRPr="000573FB">
              <w:rPr>
                <w:bCs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346" w:type="dxa"/>
            <w:vAlign w:val="center"/>
          </w:tcPr>
          <w:p w:rsidR="0008308D" w:rsidRPr="000573FB" w:rsidRDefault="0008308D" w:rsidP="00BD39D2">
            <w:pPr>
              <w:jc w:val="center"/>
              <w:rPr>
                <w:bCs/>
                <w:color w:val="000000"/>
                <w:szCs w:val="24"/>
                <w:lang w:eastAsia="lv-LV"/>
              </w:rPr>
            </w:pPr>
            <w:r w:rsidRPr="000573FB">
              <w:rPr>
                <w:bCs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349" w:type="dxa"/>
            <w:vAlign w:val="center"/>
          </w:tcPr>
          <w:p w:rsidR="0008308D" w:rsidRPr="000573FB" w:rsidRDefault="0008308D" w:rsidP="00BD39D2">
            <w:pPr>
              <w:jc w:val="center"/>
              <w:rPr>
                <w:bCs/>
                <w:color w:val="000000"/>
                <w:szCs w:val="24"/>
                <w:lang w:eastAsia="lv-LV"/>
              </w:rPr>
            </w:pPr>
            <w:r w:rsidRPr="000573FB">
              <w:rPr>
                <w:bCs/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350" w:type="dxa"/>
            <w:vAlign w:val="center"/>
          </w:tcPr>
          <w:p w:rsidR="0008308D" w:rsidRPr="000573FB" w:rsidRDefault="0008308D" w:rsidP="00BD39D2">
            <w:pPr>
              <w:jc w:val="center"/>
              <w:rPr>
                <w:bCs/>
                <w:color w:val="000000"/>
                <w:szCs w:val="24"/>
                <w:lang w:eastAsia="lv-LV"/>
              </w:rPr>
            </w:pPr>
            <w:r w:rsidRPr="000573FB">
              <w:rPr>
                <w:bCs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223" w:type="dxa"/>
            <w:vAlign w:val="center"/>
          </w:tcPr>
          <w:p w:rsidR="0008308D" w:rsidRPr="000573FB" w:rsidRDefault="0008308D" w:rsidP="00BD39D2">
            <w:pPr>
              <w:jc w:val="center"/>
              <w:rPr>
                <w:bCs/>
                <w:color w:val="000000"/>
                <w:szCs w:val="24"/>
                <w:lang w:eastAsia="lv-LV"/>
              </w:rPr>
            </w:pPr>
            <w:r w:rsidRPr="000573FB">
              <w:rPr>
                <w:bCs/>
                <w:color w:val="000000"/>
                <w:szCs w:val="24"/>
                <w:lang w:eastAsia="lv-LV"/>
              </w:rPr>
              <w:t>6</w:t>
            </w: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</w:tcPr>
          <w:p w:rsidR="0008308D" w:rsidRPr="000573FB" w:rsidRDefault="0008308D" w:rsidP="00BD39D2">
            <w:pPr>
              <w:rPr>
                <w:i/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1. Budžeta ieņēmumi:</w:t>
            </w:r>
          </w:p>
        </w:tc>
        <w:tc>
          <w:tcPr>
            <w:tcW w:w="1320" w:type="dxa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6" w:type="dxa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9" w:type="dxa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50" w:type="dxa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223" w:type="dxa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</w:tcPr>
          <w:p w:rsidR="0008308D" w:rsidRPr="000573FB" w:rsidRDefault="0008308D" w:rsidP="00BD39D2">
            <w:pPr>
              <w:rPr>
                <w:i/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132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6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9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5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223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</w:tcPr>
          <w:p w:rsidR="0008308D" w:rsidRPr="000573FB" w:rsidRDefault="0008308D" w:rsidP="00BD39D2">
            <w:pPr>
              <w:rPr>
                <w:i/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1.2. valsts speciālais budžets</w:t>
            </w:r>
          </w:p>
        </w:tc>
        <w:tc>
          <w:tcPr>
            <w:tcW w:w="132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6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9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5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223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</w:tcPr>
          <w:p w:rsidR="0008308D" w:rsidRPr="000573FB" w:rsidRDefault="0008308D" w:rsidP="00BD39D2">
            <w:pPr>
              <w:rPr>
                <w:i/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1.3. pašvaldību budžets</w:t>
            </w:r>
          </w:p>
        </w:tc>
        <w:tc>
          <w:tcPr>
            <w:tcW w:w="132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6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9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5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223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</w:tcPr>
          <w:p w:rsidR="0008308D" w:rsidRPr="000573FB" w:rsidRDefault="0008308D" w:rsidP="00BD39D2">
            <w:pPr>
              <w:rPr>
                <w:color w:val="000000"/>
                <w:szCs w:val="24"/>
              </w:rPr>
            </w:pPr>
            <w:r w:rsidRPr="000573FB">
              <w:rPr>
                <w:color w:val="000000"/>
                <w:szCs w:val="24"/>
              </w:rPr>
              <w:t>2. Budžeta izdevumi:</w:t>
            </w:r>
          </w:p>
        </w:tc>
        <w:tc>
          <w:tcPr>
            <w:tcW w:w="132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1346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1349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135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1223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</w:tcPr>
          <w:p w:rsidR="0008308D" w:rsidRPr="000573FB" w:rsidRDefault="0008308D" w:rsidP="00BD39D2">
            <w:pPr>
              <w:rPr>
                <w:color w:val="000000"/>
                <w:szCs w:val="24"/>
              </w:rPr>
            </w:pPr>
            <w:r w:rsidRPr="000573FB">
              <w:rPr>
                <w:color w:val="000000"/>
                <w:szCs w:val="24"/>
              </w:rPr>
              <w:t>2.1. valsts pamatbudžets</w:t>
            </w:r>
          </w:p>
        </w:tc>
        <w:tc>
          <w:tcPr>
            <w:tcW w:w="132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6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9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5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223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</w:tcPr>
          <w:p w:rsidR="0008308D" w:rsidRPr="000573FB" w:rsidRDefault="0008308D" w:rsidP="00BD39D2">
            <w:pPr>
              <w:rPr>
                <w:color w:val="000000"/>
                <w:szCs w:val="24"/>
              </w:rPr>
            </w:pPr>
            <w:r w:rsidRPr="000573FB">
              <w:rPr>
                <w:color w:val="000000"/>
                <w:szCs w:val="24"/>
              </w:rPr>
              <w:t>2.2. valsts speciālais budžets</w:t>
            </w:r>
          </w:p>
        </w:tc>
        <w:tc>
          <w:tcPr>
            <w:tcW w:w="132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6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9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5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223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</w:tcPr>
          <w:p w:rsidR="0008308D" w:rsidRPr="000573FB" w:rsidRDefault="0008308D" w:rsidP="00BD39D2">
            <w:pPr>
              <w:rPr>
                <w:color w:val="000000"/>
                <w:szCs w:val="24"/>
              </w:rPr>
            </w:pPr>
            <w:r w:rsidRPr="000573FB">
              <w:rPr>
                <w:color w:val="000000"/>
                <w:szCs w:val="24"/>
              </w:rPr>
              <w:t xml:space="preserve">2.3. pašvaldību budžets </w:t>
            </w:r>
          </w:p>
        </w:tc>
        <w:tc>
          <w:tcPr>
            <w:tcW w:w="132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6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9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5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223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</w:tcPr>
          <w:p w:rsidR="0008308D" w:rsidRPr="000573FB" w:rsidRDefault="0008308D" w:rsidP="00BD39D2">
            <w:pPr>
              <w:rPr>
                <w:color w:val="000000"/>
                <w:szCs w:val="24"/>
              </w:rPr>
            </w:pPr>
            <w:r w:rsidRPr="000573FB">
              <w:rPr>
                <w:color w:val="000000"/>
                <w:szCs w:val="24"/>
              </w:rPr>
              <w:t>3. Finansiālā ietekme:</w:t>
            </w:r>
          </w:p>
        </w:tc>
        <w:tc>
          <w:tcPr>
            <w:tcW w:w="132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6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9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5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223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</w:tcPr>
          <w:p w:rsidR="0008308D" w:rsidRPr="000573FB" w:rsidRDefault="0008308D" w:rsidP="00BD39D2">
            <w:pPr>
              <w:rPr>
                <w:color w:val="000000"/>
                <w:szCs w:val="24"/>
              </w:rPr>
            </w:pPr>
            <w:r w:rsidRPr="000573FB">
              <w:rPr>
                <w:color w:val="000000"/>
                <w:szCs w:val="24"/>
              </w:rPr>
              <w:t>3.1. valsts pamatbudžets</w:t>
            </w:r>
          </w:p>
        </w:tc>
        <w:tc>
          <w:tcPr>
            <w:tcW w:w="132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6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9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5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223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</w:tcPr>
          <w:p w:rsidR="0008308D" w:rsidRPr="000573FB" w:rsidRDefault="0008308D" w:rsidP="00BD39D2">
            <w:pPr>
              <w:rPr>
                <w:color w:val="000000"/>
                <w:szCs w:val="24"/>
              </w:rPr>
            </w:pPr>
            <w:r w:rsidRPr="000573FB">
              <w:rPr>
                <w:color w:val="000000"/>
                <w:szCs w:val="24"/>
              </w:rPr>
              <w:t>3.2. speciālais budžets</w:t>
            </w:r>
          </w:p>
        </w:tc>
        <w:tc>
          <w:tcPr>
            <w:tcW w:w="132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6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9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5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223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</w:tcPr>
          <w:p w:rsidR="0008308D" w:rsidRPr="000573FB" w:rsidRDefault="0008308D" w:rsidP="00BD39D2">
            <w:pPr>
              <w:rPr>
                <w:color w:val="000000"/>
                <w:szCs w:val="24"/>
              </w:rPr>
            </w:pPr>
            <w:r w:rsidRPr="000573FB">
              <w:rPr>
                <w:color w:val="000000"/>
                <w:szCs w:val="24"/>
              </w:rPr>
              <w:t xml:space="preserve">3.3. pašvaldību budžets </w:t>
            </w:r>
          </w:p>
        </w:tc>
        <w:tc>
          <w:tcPr>
            <w:tcW w:w="132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6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9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5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223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  <w:vMerge w:val="restart"/>
          </w:tcPr>
          <w:p w:rsidR="0008308D" w:rsidRPr="000573FB" w:rsidRDefault="0008308D" w:rsidP="00BD39D2">
            <w:pPr>
              <w:rPr>
                <w:color w:val="000000"/>
                <w:szCs w:val="24"/>
              </w:rPr>
            </w:pPr>
            <w:r w:rsidRPr="000573FB">
              <w:rPr>
                <w:color w:val="000000"/>
                <w:szCs w:val="24"/>
              </w:rPr>
              <w:t>4. Finanšu līdzekļi papildu izde</w:t>
            </w:r>
            <w:r w:rsidRPr="000573FB">
              <w:rPr>
                <w:color w:val="000000"/>
                <w:szCs w:val="24"/>
              </w:rPr>
              <w:softHyphen/>
              <w:t>vumu finansēšanai (kompensējošu izdevumu samazinājumu norāda ar "+" zīmi)</w:t>
            </w:r>
          </w:p>
        </w:tc>
        <w:tc>
          <w:tcPr>
            <w:tcW w:w="1320" w:type="dxa"/>
            <w:vMerge w:val="restart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X</w:t>
            </w:r>
          </w:p>
        </w:tc>
        <w:tc>
          <w:tcPr>
            <w:tcW w:w="1346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9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5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223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  <w:vMerge/>
          </w:tcPr>
          <w:p w:rsidR="0008308D" w:rsidRPr="000573FB" w:rsidRDefault="0008308D" w:rsidP="00BD39D2">
            <w:pPr>
              <w:ind w:firstLine="720"/>
              <w:rPr>
                <w:color w:val="000000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1346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9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5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223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  <w:vMerge/>
          </w:tcPr>
          <w:p w:rsidR="0008308D" w:rsidRPr="000573FB" w:rsidRDefault="0008308D" w:rsidP="00BD39D2">
            <w:pPr>
              <w:ind w:firstLine="720"/>
              <w:rPr>
                <w:color w:val="000000"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1346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9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5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223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</w:tcPr>
          <w:p w:rsidR="0008308D" w:rsidRPr="000573FB" w:rsidRDefault="0008308D" w:rsidP="00BD39D2">
            <w:pPr>
              <w:rPr>
                <w:color w:val="000000"/>
                <w:szCs w:val="24"/>
              </w:rPr>
            </w:pPr>
            <w:r w:rsidRPr="000573FB">
              <w:rPr>
                <w:color w:val="000000"/>
                <w:szCs w:val="24"/>
              </w:rPr>
              <w:t>5. Precizēta finansiālā ietekme:</w:t>
            </w:r>
          </w:p>
        </w:tc>
        <w:tc>
          <w:tcPr>
            <w:tcW w:w="1320" w:type="dxa"/>
            <w:vMerge w:val="restart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X</w:t>
            </w:r>
          </w:p>
        </w:tc>
        <w:tc>
          <w:tcPr>
            <w:tcW w:w="1346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9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5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223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</w:tcPr>
          <w:p w:rsidR="0008308D" w:rsidRPr="000573FB" w:rsidRDefault="0008308D" w:rsidP="00BD39D2">
            <w:pPr>
              <w:rPr>
                <w:color w:val="000000"/>
                <w:szCs w:val="24"/>
              </w:rPr>
            </w:pPr>
            <w:r w:rsidRPr="000573FB">
              <w:rPr>
                <w:color w:val="000000"/>
                <w:szCs w:val="24"/>
              </w:rPr>
              <w:t>5.1. valsts pamatbudžets</w:t>
            </w:r>
          </w:p>
        </w:tc>
        <w:tc>
          <w:tcPr>
            <w:tcW w:w="1320" w:type="dxa"/>
            <w:vMerge/>
            <w:vAlign w:val="center"/>
          </w:tcPr>
          <w:p w:rsidR="0008308D" w:rsidRPr="000573FB" w:rsidRDefault="0008308D" w:rsidP="00BD39D2">
            <w:pPr>
              <w:jc w:val="center"/>
              <w:rPr>
                <w:i/>
                <w:color w:val="000000"/>
                <w:szCs w:val="24"/>
                <w:lang w:eastAsia="lv-LV"/>
              </w:rPr>
            </w:pPr>
          </w:p>
        </w:tc>
        <w:tc>
          <w:tcPr>
            <w:tcW w:w="1346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9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5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223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</w:tcPr>
          <w:p w:rsidR="0008308D" w:rsidRPr="000573FB" w:rsidRDefault="0008308D" w:rsidP="00BD39D2">
            <w:pPr>
              <w:rPr>
                <w:color w:val="000000"/>
                <w:szCs w:val="24"/>
              </w:rPr>
            </w:pPr>
            <w:r w:rsidRPr="000573FB">
              <w:rPr>
                <w:color w:val="000000"/>
                <w:szCs w:val="24"/>
              </w:rPr>
              <w:t>5.2. speciālais budžets</w:t>
            </w:r>
          </w:p>
        </w:tc>
        <w:tc>
          <w:tcPr>
            <w:tcW w:w="1320" w:type="dxa"/>
            <w:vMerge/>
            <w:vAlign w:val="center"/>
          </w:tcPr>
          <w:p w:rsidR="0008308D" w:rsidRPr="000573FB" w:rsidRDefault="0008308D" w:rsidP="00BD39D2">
            <w:pPr>
              <w:jc w:val="center"/>
              <w:rPr>
                <w:i/>
                <w:color w:val="000000"/>
                <w:szCs w:val="24"/>
                <w:lang w:eastAsia="lv-LV"/>
              </w:rPr>
            </w:pPr>
          </w:p>
        </w:tc>
        <w:tc>
          <w:tcPr>
            <w:tcW w:w="1346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9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5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223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</w:tcPr>
          <w:p w:rsidR="0008308D" w:rsidRPr="000573FB" w:rsidRDefault="0008308D" w:rsidP="00BD39D2">
            <w:pPr>
              <w:rPr>
                <w:color w:val="000000"/>
                <w:szCs w:val="24"/>
              </w:rPr>
            </w:pPr>
            <w:r w:rsidRPr="000573FB">
              <w:rPr>
                <w:color w:val="000000"/>
                <w:szCs w:val="24"/>
              </w:rPr>
              <w:t xml:space="preserve">5.3. pašvaldību budžets </w:t>
            </w:r>
          </w:p>
        </w:tc>
        <w:tc>
          <w:tcPr>
            <w:tcW w:w="1320" w:type="dxa"/>
            <w:vMerge/>
            <w:vAlign w:val="center"/>
          </w:tcPr>
          <w:p w:rsidR="0008308D" w:rsidRPr="000573FB" w:rsidRDefault="0008308D" w:rsidP="00BD39D2">
            <w:pPr>
              <w:jc w:val="center"/>
              <w:rPr>
                <w:i/>
                <w:color w:val="000000"/>
                <w:szCs w:val="24"/>
                <w:lang w:eastAsia="lv-LV"/>
              </w:rPr>
            </w:pPr>
          </w:p>
        </w:tc>
        <w:tc>
          <w:tcPr>
            <w:tcW w:w="1346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49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350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  <w:tc>
          <w:tcPr>
            <w:tcW w:w="1223" w:type="dxa"/>
            <w:vAlign w:val="center"/>
          </w:tcPr>
          <w:p w:rsidR="0008308D" w:rsidRPr="000573FB" w:rsidRDefault="0008308D" w:rsidP="00BD39D2">
            <w:pPr>
              <w:jc w:val="center"/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0</w:t>
            </w: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</w:tcPr>
          <w:p w:rsidR="0008308D" w:rsidRPr="000573FB" w:rsidRDefault="0008308D" w:rsidP="00BD39D2">
            <w:pPr>
              <w:rPr>
                <w:color w:val="000000"/>
                <w:szCs w:val="24"/>
              </w:rPr>
            </w:pPr>
            <w:r w:rsidRPr="000573FB">
              <w:rPr>
                <w:color w:val="000000"/>
                <w:szCs w:val="24"/>
              </w:rPr>
              <w:t>6. Detalizēts ieņēmumu un izdevu</w:t>
            </w:r>
            <w:r w:rsidRPr="000573FB">
              <w:rPr>
                <w:color w:val="000000"/>
                <w:szCs w:val="24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588" w:type="dxa"/>
            <w:gridSpan w:val="5"/>
            <w:vMerge w:val="restart"/>
          </w:tcPr>
          <w:p w:rsidR="0008308D" w:rsidRPr="000573FB" w:rsidRDefault="0008308D" w:rsidP="00BD39D2">
            <w:pPr>
              <w:rPr>
                <w:color w:val="000000"/>
                <w:szCs w:val="24"/>
                <w:lang w:eastAsia="lv-LV"/>
              </w:rPr>
            </w:pPr>
            <w:r w:rsidRPr="000573FB">
              <w:rPr>
                <w:color w:val="000000"/>
                <w:szCs w:val="24"/>
                <w:lang w:eastAsia="lv-LV"/>
              </w:rPr>
              <w:t>Projekts šo jomu neskar.</w:t>
            </w: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</w:tcPr>
          <w:p w:rsidR="0008308D" w:rsidRPr="000573FB" w:rsidRDefault="0008308D" w:rsidP="00BD39D2">
            <w:pPr>
              <w:rPr>
                <w:color w:val="000000"/>
                <w:szCs w:val="24"/>
              </w:rPr>
            </w:pPr>
            <w:r w:rsidRPr="000573FB">
              <w:rPr>
                <w:color w:val="000000"/>
                <w:szCs w:val="24"/>
              </w:rPr>
              <w:t xml:space="preserve">6.1. detalizēts ieņēmumu </w:t>
            </w:r>
            <w:r w:rsidRPr="000573FB">
              <w:rPr>
                <w:color w:val="000000"/>
                <w:szCs w:val="24"/>
              </w:rPr>
              <w:lastRenderedPageBreak/>
              <w:t>aprēķins</w:t>
            </w:r>
          </w:p>
        </w:tc>
        <w:tc>
          <w:tcPr>
            <w:tcW w:w="6588" w:type="dxa"/>
            <w:gridSpan w:val="5"/>
            <w:vMerge/>
          </w:tcPr>
          <w:p w:rsidR="0008308D" w:rsidRPr="000573FB" w:rsidRDefault="0008308D" w:rsidP="00BD39D2">
            <w:pPr>
              <w:rPr>
                <w:b/>
                <w:i/>
                <w:color w:val="000000"/>
                <w:szCs w:val="24"/>
                <w:lang w:eastAsia="lv-LV"/>
              </w:rPr>
            </w:pP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</w:tcPr>
          <w:p w:rsidR="0008308D" w:rsidRPr="000573FB" w:rsidRDefault="0008308D" w:rsidP="00BD39D2">
            <w:pPr>
              <w:rPr>
                <w:color w:val="000000"/>
                <w:szCs w:val="24"/>
              </w:rPr>
            </w:pPr>
            <w:r w:rsidRPr="000573FB">
              <w:rPr>
                <w:color w:val="000000"/>
                <w:szCs w:val="24"/>
              </w:rPr>
              <w:lastRenderedPageBreak/>
              <w:t>6.2. detalizēts izdevumu aprēķins</w:t>
            </w:r>
          </w:p>
        </w:tc>
        <w:tc>
          <w:tcPr>
            <w:tcW w:w="6588" w:type="dxa"/>
            <w:gridSpan w:val="5"/>
            <w:vMerge/>
          </w:tcPr>
          <w:p w:rsidR="0008308D" w:rsidRPr="000573FB" w:rsidRDefault="0008308D" w:rsidP="00BD39D2">
            <w:pPr>
              <w:rPr>
                <w:b/>
                <w:i/>
                <w:color w:val="000000"/>
                <w:szCs w:val="24"/>
                <w:lang w:eastAsia="lv-LV"/>
              </w:rPr>
            </w:pPr>
          </w:p>
        </w:tc>
      </w:tr>
      <w:tr w:rsidR="0008308D" w:rsidRPr="008D71FA" w:rsidTr="00BD39D2">
        <w:trPr>
          <w:jc w:val="center"/>
        </w:trPr>
        <w:tc>
          <w:tcPr>
            <w:tcW w:w="2828" w:type="dxa"/>
          </w:tcPr>
          <w:p w:rsidR="0008308D" w:rsidRPr="000573FB" w:rsidRDefault="0008308D" w:rsidP="00BD39D2">
            <w:pPr>
              <w:rPr>
                <w:color w:val="000000"/>
                <w:szCs w:val="24"/>
              </w:rPr>
            </w:pPr>
            <w:r w:rsidRPr="000573FB">
              <w:rPr>
                <w:color w:val="000000"/>
                <w:szCs w:val="24"/>
              </w:rPr>
              <w:t>7. Cita informācija</w:t>
            </w:r>
          </w:p>
        </w:tc>
        <w:tc>
          <w:tcPr>
            <w:tcW w:w="6588" w:type="dxa"/>
            <w:gridSpan w:val="5"/>
          </w:tcPr>
          <w:p w:rsidR="0008308D" w:rsidRPr="005D312B" w:rsidRDefault="0008308D" w:rsidP="005D312B">
            <w:pPr>
              <w:jc w:val="both"/>
              <w:rPr>
                <w:color w:val="000000"/>
                <w:sz w:val="26"/>
                <w:szCs w:val="26"/>
                <w:highlight w:val="yellow"/>
                <w:lang w:eastAsia="lv-LV"/>
              </w:rPr>
            </w:pPr>
            <w:r w:rsidRPr="005D312B">
              <w:rPr>
                <w:color w:val="000000"/>
                <w:sz w:val="26"/>
                <w:szCs w:val="26"/>
                <w:lang w:eastAsia="lv-LV"/>
              </w:rPr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08308D" w:rsidRDefault="0008308D" w:rsidP="00BD39D2">
      <w:pPr>
        <w:ind w:firstLine="720"/>
        <w:rPr>
          <w:sz w:val="28"/>
          <w:szCs w:val="28"/>
        </w:rPr>
      </w:pPr>
    </w:p>
    <w:p w:rsidR="005D312B" w:rsidRPr="00F0006B" w:rsidRDefault="005D312B" w:rsidP="00BD39D2">
      <w:pPr>
        <w:ind w:firstLine="720"/>
        <w:rPr>
          <w:sz w:val="28"/>
          <w:szCs w:val="28"/>
        </w:rPr>
      </w:pPr>
    </w:p>
    <w:p w:rsidR="0008308D" w:rsidRPr="00F0006B" w:rsidRDefault="0008308D" w:rsidP="00BD39D2">
      <w:pPr>
        <w:ind w:firstLine="720"/>
        <w:rPr>
          <w:sz w:val="28"/>
          <w:szCs w:val="28"/>
        </w:rPr>
      </w:pPr>
      <w:r w:rsidRPr="00F0006B">
        <w:rPr>
          <w:sz w:val="28"/>
          <w:szCs w:val="28"/>
        </w:rPr>
        <w:t>Anotācijas II, IV, V, VI un VII sadaļa – projekts šīs jomas neskar.</w:t>
      </w:r>
    </w:p>
    <w:p w:rsidR="0008308D" w:rsidRPr="00F0006B" w:rsidRDefault="0008308D" w:rsidP="00BD39D2">
      <w:pPr>
        <w:ind w:firstLine="720"/>
        <w:rPr>
          <w:sz w:val="28"/>
          <w:szCs w:val="28"/>
        </w:rPr>
      </w:pPr>
    </w:p>
    <w:p w:rsidR="0008308D" w:rsidRDefault="0008308D" w:rsidP="00BD39D2">
      <w:pPr>
        <w:ind w:firstLine="720"/>
        <w:rPr>
          <w:sz w:val="28"/>
          <w:szCs w:val="28"/>
        </w:rPr>
      </w:pPr>
    </w:p>
    <w:p w:rsidR="005D312B" w:rsidRPr="00F0006B" w:rsidRDefault="005D312B" w:rsidP="00BD39D2">
      <w:pPr>
        <w:ind w:firstLine="720"/>
        <w:rPr>
          <w:sz w:val="28"/>
          <w:szCs w:val="28"/>
        </w:rPr>
      </w:pPr>
    </w:p>
    <w:p w:rsidR="0008308D" w:rsidRPr="00F0006B" w:rsidRDefault="0008308D" w:rsidP="00BD39D2">
      <w:pPr>
        <w:pStyle w:val="Signature"/>
        <w:keepNext w:val="0"/>
        <w:keepLines w:val="0"/>
        <w:widowControl/>
        <w:tabs>
          <w:tab w:val="clear" w:pos="9072"/>
          <w:tab w:val="left" w:pos="6720"/>
        </w:tabs>
        <w:spacing w:before="0"/>
        <w:rPr>
          <w:color w:val="000000"/>
          <w:sz w:val="28"/>
          <w:szCs w:val="28"/>
        </w:rPr>
      </w:pPr>
      <w:r w:rsidRPr="00F0006B">
        <w:rPr>
          <w:color w:val="000000"/>
          <w:sz w:val="28"/>
          <w:szCs w:val="28"/>
        </w:rPr>
        <w:t>Satiksmes ministrs</w:t>
      </w:r>
      <w:r w:rsidRPr="00F0006B">
        <w:rPr>
          <w:color w:val="000000"/>
          <w:sz w:val="28"/>
          <w:szCs w:val="28"/>
        </w:rPr>
        <w:tab/>
        <w:t>A. Matīss</w:t>
      </w:r>
    </w:p>
    <w:p w:rsidR="0008308D" w:rsidRPr="00F0006B" w:rsidRDefault="0008308D" w:rsidP="00BD39D2">
      <w:pPr>
        <w:ind w:firstLine="720"/>
        <w:jc w:val="both"/>
        <w:rPr>
          <w:color w:val="000000"/>
          <w:sz w:val="28"/>
          <w:szCs w:val="28"/>
        </w:rPr>
      </w:pPr>
    </w:p>
    <w:p w:rsidR="0008308D" w:rsidRPr="00F0006B" w:rsidRDefault="0008308D" w:rsidP="00BD39D2">
      <w:pPr>
        <w:ind w:firstLine="720"/>
        <w:jc w:val="both"/>
        <w:rPr>
          <w:color w:val="000000"/>
          <w:sz w:val="28"/>
          <w:szCs w:val="28"/>
        </w:rPr>
      </w:pPr>
    </w:p>
    <w:p w:rsidR="0008308D" w:rsidRPr="00F0006B" w:rsidRDefault="0008308D" w:rsidP="00BD39D2">
      <w:pPr>
        <w:tabs>
          <w:tab w:val="left" w:pos="6720"/>
        </w:tabs>
        <w:jc w:val="both"/>
        <w:rPr>
          <w:color w:val="000000"/>
          <w:sz w:val="28"/>
          <w:szCs w:val="28"/>
        </w:rPr>
      </w:pPr>
      <w:r w:rsidRPr="00F0006B">
        <w:rPr>
          <w:color w:val="000000"/>
          <w:sz w:val="28"/>
          <w:szCs w:val="28"/>
        </w:rPr>
        <w:t>Vīza: V</w:t>
      </w:r>
      <w:r w:rsidR="002F2B9C">
        <w:rPr>
          <w:color w:val="000000"/>
          <w:sz w:val="28"/>
          <w:szCs w:val="28"/>
        </w:rPr>
        <w:t>alsts sekretārs</w:t>
      </w:r>
      <w:r w:rsidR="002F2B9C">
        <w:rPr>
          <w:color w:val="000000"/>
          <w:sz w:val="28"/>
          <w:szCs w:val="28"/>
        </w:rPr>
        <w:tab/>
        <w:t>K. Ozoliņš</w:t>
      </w:r>
    </w:p>
    <w:p w:rsidR="0008308D" w:rsidRPr="000573FB" w:rsidRDefault="0008308D" w:rsidP="00BD39D2">
      <w:pPr>
        <w:jc w:val="both"/>
        <w:rPr>
          <w:sz w:val="28"/>
          <w:szCs w:val="28"/>
          <w:lang w:eastAsia="lv-LV"/>
        </w:rPr>
      </w:pPr>
    </w:p>
    <w:p w:rsidR="0008308D" w:rsidRPr="000573FB" w:rsidRDefault="0008308D" w:rsidP="00BD39D2">
      <w:pPr>
        <w:jc w:val="both"/>
        <w:rPr>
          <w:sz w:val="28"/>
          <w:szCs w:val="28"/>
          <w:lang w:eastAsia="lv-LV"/>
        </w:rPr>
      </w:pPr>
    </w:p>
    <w:p w:rsidR="0008308D" w:rsidRPr="000573FB" w:rsidRDefault="0008308D" w:rsidP="00BD39D2">
      <w:pPr>
        <w:jc w:val="both"/>
        <w:rPr>
          <w:sz w:val="28"/>
          <w:szCs w:val="28"/>
          <w:lang w:eastAsia="lv-LV"/>
        </w:rPr>
      </w:pPr>
    </w:p>
    <w:p w:rsidR="0008308D" w:rsidRPr="000573FB" w:rsidRDefault="0008308D" w:rsidP="00BD39D2">
      <w:pPr>
        <w:jc w:val="both"/>
        <w:rPr>
          <w:sz w:val="28"/>
          <w:szCs w:val="28"/>
          <w:lang w:eastAsia="lv-LV"/>
        </w:rPr>
      </w:pPr>
    </w:p>
    <w:p w:rsidR="0008308D" w:rsidRPr="000573FB" w:rsidRDefault="0008308D" w:rsidP="00BD39D2">
      <w:pPr>
        <w:jc w:val="both"/>
        <w:rPr>
          <w:sz w:val="28"/>
          <w:szCs w:val="28"/>
          <w:lang w:eastAsia="lv-LV"/>
        </w:rPr>
      </w:pPr>
    </w:p>
    <w:p w:rsidR="0008308D" w:rsidRPr="000573FB" w:rsidRDefault="0008308D" w:rsidP="00BD39D2">
      <w:pPr>
        <w:jc w:val="both"/>
        <w:rPr>
          <w:sz w:val="28"/>
          <w:szCs w:val="28"/>
          <w:lang w:eastAsia="lv-LV"/>
        </w:rPr>
      </w:pPr>
    </w:p>
    <w:p w:rsidR="0008308D" w:rsidRPr="000573FB" w:rsidRDefault="0008308D" w:rsidP="00BD39D2">
      <w:pPr>
        <w:jc w:val="both"/>
        <w:rPr>
          <w:sz w:val="28"/>
          <w:szCs w:val="28"/>
          <w:lang w:eastAsia="lv-LV"/>
        </w:rPr>
      </w:pPr>
    </w:p>
    <w:p w:rsidR="0008308D" w:rsidRPr="000573FB" w:rsidRDefault="0008308D" w:rsidP="00BD39D2">
      <w:pPr>
        <w:jc w:val="both"/>
        <w:rPr>
          <w:sz w:val="28"/>
          <w:szCs w:val="28"/>
          <w:lang w:eastAsia="lv-LV"/>
        </w:rPr>
      </w:pPr>
    </w:p>
    <w:p w:rsidR="0008308D" w:rsidRPr="000573FB" w:rsidRDefault="0008308D" w:rsidP="00BD39D2">
      <w:pPr>
        <w:jc w:val="both"/>
        <w:rPr>
          <w:sz w:val="28"/>
          <w:szCs w:val="28"/>
          <w:lang w:eastAsia="lv-LV"/>
        </w:rPr>
      </w:pPr>
    </w:p>
    <w:p w:rsidR="0008308D" w:rsidRDefault="0008308D" w:rsidP="00BD39D2">
      <w:pPr>
        <w:jc w:val="both"/>
        <w:rPr>
          <w:sz w:val="28"/>
          <w:szCs w:val="28"/>
          <w:lang w:eastAsia="lv-LV"/>
        </w:rPr>
      </w:pPr>
    </w:p>
    <w:p w:rsidR="0008308D" w:rsidRDefault="0008308D" w:rsidP="00BD39D2">
      <w:pPr>
        <w:jc w:val="both"/>
        <w:rPr>
          <w:sz w:val="28"/>
          <w:szCs w:val="28"/>
          <w:lang w:eastAsia="lv-LV"/>
        </w:rPr>
      </w:pPr>
    </w:p>
    <w:p w:rsidR="0008308D" w:rsidRDefault="0008308D" w:rsidP="00BD39D2">
      <w:pPr>
        <w:jc w:val="both"/>
        <w:rPr>
          <w:sz w:val="28"/>
          <w:szCs w:val="28"/>
          <w:lang w:eastAsia="lv-LV"/>
        </w:rPr>
      </w:pPr>
    </w:p>
    <w:p w:rsidR="0008308D" w:rsidRDefault="0008308D" w:rsidP="00BD39D2">
      <w:pPr>
        <w:jc w:val="both"/>
        <w:rPr>
          <w:sz w:val="28"/>
          <w:szCs w:val="28"/>
          <w:lang w:eastAsia="lv-LV"/>
        </w:rPr>
      </w:pPr>
    </w:p>
    <w:p w:rsidR="0008308D" w:rsidRPr="000573FB" w:rsidRDefault="0008308D" w:rsidP="00BD39D2">
      <w:pPr>
        <w:jc w:val="both"/>
        <w:rPr>
          <w:sz w:val="28"/>
          <w:szCs w:val="28"/>
          <w:lang w:eastAsia="lv-LV"/>
        </w:rPr>
      </w:pPr>
    </w:p>
    <w:p w:rsidR="0008308D" w:rsidRDefault="0008308D" w:rsidP="00BD39D2">
      <w:pPr>
        <w:jc w:val="both"/>
        <w:rPr>
          <w:sz w:val="28"/>
          <w:szCs w:val="28"/>
          <w:lang w:eastAsia="lv-LV"/>
        </w:rPr>
      </w:pPr>
    </w:p>
    <w:p w:rsidR="005D312B" w:rsidRPr="00C74A72" w:rsidRDefault="002F2B9C" w:rsidP="00BD39D2">
      <w:pPr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2013.07.15. 13:02</w:t>
      </w:r>
    </w:p>
    <w:p w:rsidR="0008308D" w:rsidRPr="00C74A72" w:rsidRDefault="002F2B9C" w:rsidP="00BD39D2">
      <w:pPr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fldChar w:fldCharType="begin"/>
      </w:r>
      <w:r>
        <w:rPr>
          <w:sz w:val="20"/>
          <w:szCs w:val="20"/>
          <w:lang w:eastAsia="lv-LV"/>
        </w:rPr>
        <w:instrText xml:space="preserve"> NUMWORDS   \* MERGEFORMAT </w:instrText>
      </w:r>
      <w:r>
        <w:rPr>
          <w:sz w:val="20"/>
          <w:szCs w:val="20"/>
          <w:lang w:eastAsia="lv-LV"/>
        </w:rPr>
        <w:fldChar w:fldCharType="separate"/>
      </w:r>
      <w:r>
        <w:rPr>
          <w:noProof/>
          <w:sz w:val="20"/>
          <w:szCs w:val="20"/>
          <w:lang w:eastAsia="lv-LV"/>
        </w:rPr>
        <w:t>559</w:t>
      </w:r>
      <w:r>
        <w:rPr>
          <w:sz w:val="20"/>
          <w:szCs w:val="20"/>
          <w:lang w:eastAsia="lv-LV"/>
        </w:rPr>
        <w:fldChar w:fldCharType="end"/>
      </w:r>
    </w:p>
    <w:p w:rsidR="0008308D" w:rsidRPr="00C74A72" w:rsidRDefault="0008308D" w:rsidP="00BD39D2">
      <w:pPr>
        <w:jc w:val="both"/>
        <w:rPr>
          <w:sz w:val="20"/>
          <w:szCs w:val="20"/>
          <w:lang w:eastAsia="lv-LV"/>
        </w:rPr>
      </w:pPr>
      <w:r w:rsidRPr="00C74A72">
        <w:rPr>
          <w:sz w:val="20"/>
          <w:szCs w:val="20"/>
          <w:lang w:eastAsia="lv-LV"/>
        </w:rPr>
        <w:t>Granīta</w:t>
      </w:r>
    </w:p>
    <w:p w:rsidR="0008308D" w:rsidRPr="00C74A72" w:rsidRDefault="0008308D" w:rsidP="00BD39D2">
      <w:pPr>
        <w:jc w:val="both"/>
        <w:rPr>
          <w:sz w:val="20"/>
          <w:szCs w:val="20"/>
          <w:lang w:eastAsia="lv-LV"/>
        </w:rPr>
      </w:pPr>
      <w:r w:rsidRPr="00C74A72">
        <w:rPr>
          <w:sz w:val="20"/>
          <w:szCs w:val="20"/>
          <w:lang w:eastAsia="lv-LV"/>
        </w:rPr>
        <w:t>67028157, Andra.Granita@lvceli.lv</w:t>
      </w:r>
    </w:p>
    <w:sectPr w:rsidR="0008308D" w:rsidRPr="00C74A72" w:rsidSect="00BD39D2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91" w:rsidRDefault="00EA1091">
      <w:r>
        <w:separator/>
      </w:r>
    </w:p>
  </w:endnote>
  <w:endnote w:type="continuationSeparator" w:id="0">
    <w:p w:rsidR="00EA1091" w:rsidRDefault="00EA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8D" w:rsidRPr="00BD39D2" w:rsidRDefault="0008308D" w:rsidP="00BD39D2">
    <w:pPr>
      <w:pStyle w:val="Footer"/>
      <w:jc w:val="both"/>
      <w:rPr>
        <w:szCs w:val="20"/>
      </w:rPr>
    </w:pPr>
    <w:r w:rsidRPr="0089315D">
      <w:rPr>
        <w:sz w:val="20"/>
        <w:szCs w:val="20"/>
      </w:rPr>
      <w:t>SAM</w:t>
    </w:r>
    <w:r>
      <w:rPr>
        <w:sz w:val="20"/>
        <w:szCs w:val="20"/>
      </w:rPr>
      <w:t>a</w:t>
    </w:r>
    <w:r w:rsidR="005D312B">
      <w:rPr>
        <w:sz w:val="20"/>
        <w:szCs w:val="20"/>
      </w:rPr>
      <w:t>not_</w:t>
    </w:r>
    <w:r w:rsidR="002F2B9C">
      <w:rPr>
        <w:sz w:val="20"/>
        <w:szCs w:val="20"/>
      </w:rPr>
      <w:t>1507</w:t>
    </w:r>
    <w:r w:rsidRPr="0089315D">
      <w:rPr>
        <w:sz w:val="20"/>
        <w:szCs w:val="20"/>
      </w:rPr>
      <w:t>13_euro</w:t>
    </w:r>
    <w:r>
      <w:rPr>
        <w:sz w:val="20"/>
        <w:szCs w:val="20"/>
      </w:rPr>
      <w:t>_lgb</w:t>
    </w:r>
    <w:r w:rsidRPr="0089315D">
      <w:rPr>
        <w:sz w:val="20"/>
        <w:szCs w:val="20"/>
      </w:rPr>
      <w:t>; Grozījum</w:t>
    </w:r>
    <w:r>
      <w:rPr>
        <w:sz w:val="20"/>
        <w:szCs w:val="20"/>
      </w:rPr>
      <w:t>s</w:t>
    </w:r>
    <w:r w:rsidRPr="0089315D">
      <w:rPr>
        <w:sz w:val="20"/>
        <w:szCs w:val="20"/>
      </w:rPr>
      <w:t xml:space="preserve"> Ministru kabineta 20</w:t>
    </w:r>
    <w:r>
      <w:rPr>
        <w:sz w:val="20"/>
        <w:szCs w:val="20"/>
      </w:rPr>
      <w:t>10</w:t>
    </w:r>
    <w:r w:rsidRPr="0089315D">
      <w:rPr>
        <w:sz w:val="20"/>
        <w:szCs w:val="20"/>
      </w:rPr>
      <w:t xml:space="preserve">.gada </w:t>
    </w:r>
    <w:r>
      <w:rPr>
        <w:sz w:val="20"/>
        <w:szCs w:val="20"/>
      </w:rPr>
      <w:t>28</w:t>
    </w:r>
    <w:r w:rsidRPr="0089315D">
      <w:rPr>
        <w:sz w:val="20"/>
        <w:szCs w:val="20"/>
      </w:rPr>
      <w:t>.</w:t>
    </w:r>
    <w:r>
      <w:rPr>
        <w:sz w:val="20"/>
        <w:szCs w:val="20"/>
      </w:rPr>
      <w:t>decembra</w:t>
    </w:r>
    <w:r w:rsidRPr="0089315D">
      <w:rPr>
        <w:sz w:val="20"/>
        <w:szCs w:val="20"/>
      </w:rPr>
      <w:t xml:space="preserve"> noteikumos Nr.</w:t>
    </w:r>
    <w:r>
      <w:rPr>
        <w:sz w:val="20"/>
        <w:szCs w:val="20"/>
      </w:rPr>
      <w:t>1228</w:t>
    </w:r>
    <w:r w:rsidRPr="0089315D">
      <w:rPr>
        <w:sz w:val="20"/>
        <w:szCs w:val="20"/>
      </w:rPr>
      <w:t xml:space="preserve"> „</w:t>
    </w:r>
    <w:r>
      <w:rPr>
        <w:sz w:val="20"/>
        <w:szCs w:val="20"/>
      </w:rPr>
      <w:t>Noteikumi par lielgabarīta un smagsvara pārvadājumu atļaujas izsniegšanas valsts nodevas apmēru, samaksas kārtību un atbrīvojumiem”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8D" w:rsidRPr="0089315D" w:rsidRDefault="0008308D" w:rsidP="0028582E">
    <w:pPr>
      <w:jc w:val="both"/>
      <w:rPr>
        <w:sz w:val="20"/>
        <w:szCs w:val="20"/>
      </w:rPr>
    </w:pPr>
    <w:r w:rsidRPr="0089315D">
      <w:rPr>
        <w:sz w:val="20"/>
        <w:szCs w:val="20"/>
      </w:rPr>
      <w:t>SAM</w:t>
    </w:r>
    <w:r>
      <w:rPr>
        <w:sz w:val="20"/>
        <w:szCs w:val="20"/>
      </w:rPr>
      <w:t>a</w:t>
    </w:r>
    <w:r w:rsidR="005D312B">
      <w:rPr>
        <w:sz w:val="20"/>
        <w:szCs w:val="20"/>
      </w:rPr>
      <w:t>not_</w:t>
    </w:r>
    <w:r w:rsidR="002F2B9C">
      <w:rPr>
        <w:sz w:val="20"/>
        <w:szCs w:val="20"/>
      </w:rPr>
      <w:t>1507</w:t>
    </w:r>
    <w:r w:rsidRPr="0089315D">
      <w:rPr>
        <w:sz w:val="20"/>
        <w:szCs w:val="20"/>
      </w:rPr>
      <w:t>13_euro</w:t>
    </w:r>
    <w:r>
      <w:rPr>
        <w:sz w:val="20"/>
        <w:szCs w:val="20"/>
      </w:rPr>
      <w:t>_lgb</w:t>
    </w:r>
    <w:r w:rsidRPr="0089315D">
      <w:rPr>
        <w:sz w:val="20"/>
        <w:szCs w:val="20"/>
      </w:rPr>
      <w:t>; Grozījum</w:t>
    </w:r>
    <w:r>
      <w:rPr>
        <w:sz w:val="20"/>
        <w:szCs w:val="20"/>
      </w:rPr>
      <w:t>s</w:t>
    </w:r>
    <w:r w:rsidRPr="0089315D">
      <w:rPr>
        <w:sz w:val="20"/>
        <w:szCs w:val="20"/>
      </w:rPr>
      <w:t xml:space="preserve"> Ministru kabineta 20</w:t>
    </w:r>
    <w:r>
      <w:rPr>
        <w:sz w:val="20"/>
        <w:szCs w:val="20"/>
      </w:rPr>
      <w:t>10</w:t>
    </w:r>
    <w:r w:rsidRPr="0089315D">
      <w:rPr>
        <w:sz w:val="20"/>
        <w:szCs w:val="20"/>
      </w:rPr>
      <w:t xml:space="preserve">.gada </w:t>
    </w:r>
    <w:r>
      <w:rPr>
        <w:sz w:val="20"/>
        <w:szCs w:val="20"/>
      </w:rPr>
      <w:t>28</w:t>
    </w:r>
    <w:r w:rsidRPr="0089315D">
      <w:rPr>
        <w:sz w:val="20"/>
        <w:szCs w:val="20"/>
      </w:rPr>
      <w:t>.</w:t>
    </w:r>
    <w:r>
      <w:rPr>
        <w:sz w:val="20"/>
        <w:szCs w:val="20"/>
      </w:rPr>
      <w:t>decembra</w:t>
    </w:r>
    <w:r w:rsidRPr="0089315D">
      <w:rPr>
        <w:sz w:val="20"/>
        <w:szCs w:val="20"/>
      </w:rPr>
      <w:t xml:space="preserve"> noteikumos Nr.</w:t>
    </w:r>
    <w:r>
      <w:rPr>
        <w:sz w:val="20"/>
        <w:szCs w:val="20"/>
      </w:rPr>
      <w:t>1228</w:t>
    </w:r>
    <w:r w:rsidRPr="0089315D">
      <w:rPr>
        <w:sz w:val="20"/>
        <w:szCs w:val="20"/>
      </w:rPr>
      <w:t xml:space="preserve"> „</w:t>
    </w:r>
    <w:r>
      <w:rPr>
        <w:sz w:val="20"/>
        <w:szCs w:val="20"/>
      </w:rPr>
      <w:t>Noteikumi par lielgabarīta un smagsvara pārvadājumu atļaujas izsniegšanas valsts nodevas apmēru, samaksas kārtību un atbrīvojumiem”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91" w:rsidRDefault="00EA1091">
      <w:r>
        <w:separator/>
      </w:r>
    </w:p>
  </w:footnote>
  <w:footnote w:type="continuationSeparator" w:id="0">
    <w:p w:rsidR="00EA1091" w:rsidRDefault="00EA1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8D" w:rsidRDefault="0008308D" w:rsidP="002274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08D" w:rsidRDefault="000830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8D" w:rsidRPr="00C802BA" w:rsidRDefault="0008308D" w:rsidP="002274F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C802BA">
      <w:rPr>
        <w:rStyle w:val="PageNumber"/>
        <w:sz w:val="20"/>
        <w:szCs w:val="20"/>
      </w:rPr>
      <w:fldChar w:fldCharType="begin"/>
    </w:r>
    <w:r w:rsidRPr="00C802BA">
      <w:rPr>
        <w:rStyle w:val="PageNumber"/>
        <w:sz w:val="20"/>
        <w:szCs w:val="20"/>
      </w:rPr>
      <w:instrText xml:space="preserve">PAGE  </w:instrText>
    </w:r>
    <w:r w:rsidRPr="00C802BA">
      <w:rPr>
        <w:rStyle w:val="PageNumber"/>
        <w:sz w:val="20"/>
        <w:szCs w:val="20"/>
      </w:rPr>
      <w:fldChar w:fldCharType="separate"/>
    </w:r>
    <w:r w:rsidR="009A2739">
      <w:rPr>
        <w:rStyle w:val="PageNumber"/>
        <w:noProof/>
        <w:sz w:val="20"/>
        <w:szCs w:val="20"/>
      </w:rPr>
      <w:t>3</w:t>
    </w:r>
    <w:r w:rsidRPr="00C802BA">
      <w:rPr>
        <w:rStyle w:val="PageNumber"/>
        <w:sz w:val="20"/>
        <w:szCs w:val="20"/>
      </w:rPr>
      <w:fldChar w:fldCharType="end"/>
    </w:r>
  </w:p>
  <w:p w:rsidR="0008308D" w:rsidRDefault="000830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FB"/>
    <w:rsid w:val="00036FB1"/>
    <w:rsid w:val="000573FB"/>
    <w:rsid w:val="000733DB"/>
    <w:rsid w:val="0008308D"/>
    <w:rsid w:val="000F12FC"/>
    <w:rsid w:val="00152ADC"/>
    <w:rsid w:val="001B38C1"/>
    <w:rsid w:val="002274F8"/>
    <w:rsid w:val="00243B85"/>
    <w:rsid w:val="002511DB"/>
    <w:rsid w:val="00283544"/>
    <w:rsid w:val="0028582E"/>
    <w:rsid w:val="002F2B9C"/>
    <w:rsid w:val="00315C54"/>
    <w:rsid w:val="003658E3"/>
    <w:rsid w:val="004845A2"/>
    <w:rsid w:val="005D312B"/>
    <w:rsid w:val="005E3237"/>
    <w:rsid w:val="00662142"/>
    <w:rsid w:val="00700373"/>
    <w:rsid w:val="007C455D"/>
    <w:rsid w:val="00884B8D"/>
    <w:rsid w:val="0089315D"/>
    <w:rsid w:val="008D71FA"/>
    <w:rsid w:val="009A2739"/>
    <w:rsid w:val="00A42598"/>
    <w:rsid w:val="00A9268A"/>
    <w:rsid w:val="00AF3341"/>
    <w:rsid w:val="00BD39D2"/>
    <w:rsid w:val="00C33187"/>
    <w:rsid w:val="00C70AFB"/>
    <w:rsid w:val="00C74A72"/>
    <w:rsid w:val="00C802BA"/>
    <w:rsid w:val="00C929C3"/>
    <w:rsid w:val="00CE2ABE"/>
    <w:rsid w:val="00E1324D"/>
    <w:rsid w:val="00E8628B"/>
    <w:rsid w:val="00EA1091"/>
    <w:rsid w:val="00F0006B"/>
    <w:rsid w:val="00F03129"/>
    <w:rsid w:val="00F6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8A"/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73FB"/>
    <w:pPr>
      <w:tabs>
        <w:tab w:val="center" w:pos="4153"/>
        <w:tab w:val="right" w:pos="8306"/>
      </w:tabs>
      <w:ind w:firstLine="72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73FB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0573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31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3129"/>
    <w:rPr>
      <w:rFonts w:cs="Times New Roman"/>
    </w:rPr>
  </w:style>
  <w:style w:type="paragraph" w:customStyle="1" w:styleId="naiskr">
    <w:name w:val="naiskr"/>
    <w:basedOn w:val="Normal"/>
    <w:uiPriority w:val="99"/>
    <w:rsid w:val="00BD39D2"/>
    <w:pPr>
      <w:spacing w:before="100" w:beforeAutospacing="1" w:after="100" w:afterAutospacing="1"/>
    </w:pPr>
    <w:rPr>
      <w:szCs w:val="24"/>
      <w:lang w:eastAsia="lv-LV" w:bidi="ml-IN"/>
    </w:rPr>
  </w:style>
  <w:style w:type="paragraph" w:styleId="Signature">
    <w:name w:val="Signature"/>
    <w:basedOn w:val="Normal"/>
    <w:next w:val="EnvelopeReturn"/>
    <w:link w:val="SignatureChar"/>
    <w:uiPriority w:val="99"/>
    <w:rsid w:val="00BD39D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kern w:val="1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BD39D2"/>
    <w:rPr>
      <w:rFonts w:cs="Times New Roman"/>
      <w:kern w:val="1"/>
      <w:sz w:val="24"/>
      <w:szCs w:val="24"/>
      <w:lang w:val="lv-LV" w:eastAsia="en-US" w:bidi="ar-SA"/>
    </w:rPr>
  </w:style>
  <w:style w:type="paragraph" w:styleId="EnvelopeReturn">
    <w:name w:val="envelope return"/>
    <w:basedOn w:val="Normal"/>
    <w:uiPriority w:val="99"/>
    <w:rsid w:val="00BD39D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72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8A"/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73FB"/>
    <w:pPr>
      <w:tabs>
        <w:tab w:val="center" w:pos="4153"/>
        <w:tab w:val="right" w:pos="8306"/>
      </w:tabs>
      <w:ind w:firstLine="72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73FB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0573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31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3129"/>
    <w:rPr>
      <w:rFonts w:cs="Times New Roman"/>
    </w:rPr>
  </w:style>
  <w:style w:type="paragraph" w:customStyle="1" w:styleId="naiskr">
    <w:name w:val="naiskr"/>
    <w:basedOn w:val="Normal"/>
    <w:uiPriority w:val="99"/>
    <w:rsid w:val="00BD39D2"/>
    <w:pPr>
      <w:spacing w:before="100" w:beforeAutospacing="1" w:after="100" w:afterAutospacing="1"/>
    </w:pPr>
    <w:rPr>
      <w:szCs w:val="24"/>
      <w:lang w:eastAsia="lv-LV" w:bidi="ml-IN"/>
    </w:rPr>
  </w:style>
  <w:style w:type="paragraph" w:styleId="Signature">
    <w:name w:val="Signature"/>
    <w:basedOn w:val="Normal"/>
    <w:next w:val="EnvelopeReturn"/>
    <w:link w:val="SignatureChar"/>
    <w:uiPriority w:val="99"/>
    <w:rsid w:val="00BD39D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kern w:val="1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BD39D2"/>
    <w:rPr>
      <w:rFonts w:cs="Times New Roman"/>
      <w:kern w:val="1"/>
      <w:sz w:val="24"/>
      <w:szCs w:val="24"/>
      <w:lang w:val="lv-LV" w:eastAsia="en-US" w:bidi="ar-SA"/>
    </w:rPr>
  </w:style>
  <w:style w:type="paragraph" w:styleId="EnvelopeReturn">
    <w:name w:val="envelope return"/>
    <w:basedOn w:val="Normal"/>
    <w:uiPriority w:val="99"/>
    <w:rsid w:val="00BD39D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72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3560</Characters>
  <Application>Microsoft Office Word</Application>
  <DocSecurity>0</DocSecurity>
  <Lines>104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28.decembra noteikumos Nr.1228 „Noteikumi par lielgabarīta un smagsvara pārvadājumu atļaujas izsniegšanas valsts nodevas apmēru, samaksas kārtību un atbrīvojumiem”</vt:lpstr>
    </vt:vector>
  </TitlesOfParts>
  <Manager>A.Driksna</Manager>
  <Company>Satiksmes ministrija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28.decembra noteikumos Nr.1228 „Noteikumi par lielgabarīta un smagsvara pārvadājumu atļaujas izsniegšanas valsts nodevas apmēru, samaksas kārtību un atbrīvojumiem”</dc:title>
  <dc:subject>Sākotnējās ietekmes novērtējuma ziņojums (anotācija)</dc:subject>
  <dc:creator>Andra Granīta</dc:creator>
  <dc:description>Granīta,67028157, Andra.Granita@lvceli.lv
Driksna,67028020, agnis.driksna@sam.gov.lv</dc:description>
  <cp:lastModifiedBy>Agnis Driksna</cp:lastModifiedBy>
  <cp:revision>2</cp:revision>
  <cp:lastPrinted>2013-06-10T08:49:00Z</cp:lastPrinted>
  <dcterms:created xsi:type="dcterms:W3CDTF">2013-08-08T12:09:00Z</dcterms:created>
  <dcterms:modified xsi:type="dcterms:W3CDTF">2013-08-08T12:09:00Z</dcterms:modified>
</cp:coreProperties>
</file>