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A6" w:rsidRPr="00AC4171" w:rsidRDefault="004831A6" w:rsidP="004831A6">
      <w:pPr>
        <w:spacing w:after="0" w:line="240" w:lineRule="auto"/>
        <w:jc w:val="right"/>
        <w:rPr>
          <w:rFonts w:ascii="Times New Roman" w:eastAsia="Times New Roman" w:hAnsi="Times New Roman" w:cs="Times New Roman"/>
          <w:sz w:val="26"/>
          <w:szCs w:val="26"/>
          <w:lang w:eastAsia="lv-LV"/>
        </w:rPr>
      </w:pPr>
      <w:bookmarkStart w:id="0" w:name="_GoBack"/>
      <w:bookmarkEnd w:id="0"/>
    </w:p>
    <w:p w:rsidR="004831A6" w:rsidRPr="00AC4171" w:rsidRDefault="00344624" w:rsidP="00344624">
      <w:pPr>
        <w:spacing w:after="0" w:line="240" w:lineRule="auto"/>
        <w:jc w:val="center"/>
        <w:outlineLvl w:val="0"/>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 xml:space="preserve">Ministru kabineta noteikumu projekta „Sabiedrisko autotransporta līdzekļu iepirkuma noteikumi” </w:t>
      </w:r>
      <w:r w:rsidR="004831A6" w:rsidRPr="00AC4171">
        <w:rPr>
          <w:rFonts w:ascii="Times New Roman" w:eastAsia="Times New Roman" w:hAnsi="Times New Roman" w:cs="Times New Roman"/>
          <w:b/>
          <w:sz w:val="26"/>
          <w:szCs w:val="26"/>
          <w:lang w:eastAsia="lv-LV"/>
        </w:rPr>
        <w:t>sākotnējās ietekmes novērtējuma ziņojums (anotācija)</w:t>
      </w:r>
    </w:p>
    <w:tbl>
      <w:tblPr>
        <w:tblpPr w:leftFromText="180" w:rightFromText="180" w:vertAnchor="text" w:horzAnchor="margin" w:tblpXSpec="center" w:tblpY="14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8"/>
        <w:gridCol w:w="4961"/>
      </w:tblGrid>
      <w:tr w:rsidR="004831A6" w:rsidRPr="00AC4171" w:rsidTr="004A76C9">
        <w:tc>
          <w:tcPr>
            <w:tcW w:w="8930" w:type="dxa"/>
            <w:gridSpan w:val="3"/>
            <w:vAlign w:val="center"/>
          </w:tcPr>
          <w:p w:rsidR="004831A6" w:rsidRPr="00AC4171" w:rsidRDefault="004831A6" w:rsidP="004831A6">
            <w:pPr>
              <w:spacing w:after="0" w:line="240" w:lineRule="auto"/>
              <w:jc w:val="both"/>
              <w:rPr>
                <w:rFonts w:ascii="Times New Roman" w:eastAsia="Times New Roman" w:hAnsi="Times New Roman" w:cs="Times New Roman"/>
                <w:b/>
                <w:bCs/>
                <w:sz w:val="24"/>
                <w:szCs w:val="24"/>
                <w:lang w:eastAsia="lv-LV"/>
              </w:rPr>
            </w:pPr>
            <w:r w:rsidRPr="00AC4171">
              <w:rPr>
                <w:rFonts w:ascii="Times New Roman" w:eastAsia="Times New Roman" w:hAnsi="Times New Roman" w:cs="Times New Roman"/>
                <w:b/>
                <w:bCs/>
                <w:sz w:val="24"/>
                <w:szCs w:val="24"/>
                <w:lang w:eastAsia="lv-LV"/>
              </w:rPr>
              <w:t>I. Tiesību akta projekta izstrādes nepieciešamība</w:t>
            </w:r>
          </w:p>
        </w:tc>
      </w:tr>
      <w:tr w:rsidR="004831A6" w:rsidRPr="00AC4171" w:rsidTr="004A76C9">
        <w:trPr>
          <w:trHeight w:val="630"/>
        </w:trPr>
        <w:tc>
          <w:tcPr>
            <w:tcW w:w="431" w:type="dxa"/>
          </w:tcPr>
          <w:p w:rsidR="004831A6" w:rsidRPr="00AC4171" w:rsidRDefault="004831A6" w:rsidP="004831A6">
            <w:pPr>
              <w:spacing w:after="0" w:line="240" w:lineRule="auto"/>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1.</w:t>
            </w:r>
          </w:p>
        </w:tc>
        <w:tc>
          <w:tcPr>
            <w:tcW w:w="3538" w:type="dxa"/>
          </w:tcPr>
          <w:p w:rsidR="004831A6" w:rsidRPr="00AC4171" w:rsidRDefault="004831A6" w:rsidP="004831A6">
            <w:pPr>
              <w:spacing w:after="0" w:line="240" w:lineRule="auto"/>
              <w:ind w:hanging="10"/>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Pamatojums</w:t>
            </w:r>
          </w:p>
        </w:tc>
        <w:tc>
          <w:tcPr>
            <w:tcW w:w="4961" w:type="dxa"/>
          </w:tcPr>
          <w:p w:rsidR="004831A6" w:rsidRPr="00AC4171" w:rsidRDefault="004831A6" w:rsidP="004831A6">
            <w:pPr>
              <w:spacing w:after="120" w:line="240" w:lineRule="auto"/>
              <w:ind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 xml:space="preserve">Eiropas Parlamenta un Padomes 2009.gada 23.aprīļa direktīvas 2009/33/EK par “tīro” un </w:t>
            </w:r>
            <w:proofErr w:type="spellStart"/>
            <w:r w:rsidRPr="00AC4171">
              <w:rPr>
                <w:rFonts w:ascii="Times New Roman" w:eastAsia="Times New Roman" w:hAnsi="Times New Roman" w:cs="Times New Roman"/>
                <w:sz w:val="24"/>
                <w:szCs w:val="24"/>
                <w:lang w:eastAsia="lv-LV"/>
              </w:rPr>
              <w:t>energoefektīvo</w:t>
            </w:r>
            <w:proofErr w:type="spellEnd"/>
            <w:r w:rsidRPr="00AC4171">
              <w:rPr>
                <w:rFonts w:ascii="Times New Roman" w:eastAsia="Times New Roman" w:hAnsi="Times New Roman" w:cs="Times New Roman"/>
                <w:sz w:val="24"/>
                <w:szCs w:val="24"/>
                <w:lang w:eastAsia="lv-LV"/>
              </w:rPr>
              <w:t xml:space="preserve"> autotransporta līdzekļu izmantošanas veicināšanu (turpmāk – Direktīva Nr.2009/33/EK) 3.panta  b) apakšpunkts, kas paredz, ka šīs direktīvas piemērošanas jomā ietilpst pakalpojumu sniedzēji, kas pilda sabiedrisko pakalpojumu sniegšanas saistības atbilstīgi pakalpojumu valsts līgumam Eiropas Parlamenta un Padomes Regulas (EK) Nr.1370/2007 par sabiedriskā pasažieru transporta pakalpojumiem, izmantojot dzelzceļu un autoceļus (turpmāk – Regula), nozīmē.</w:t>
            </w:r>
          </w:p>
          <w:p w:rsidR="004831A6" w:rsidRPr="00AC4171" w:rsidRDefault="004831A6" w:rsidP="004831A6">
            <w:pPr>
              <w:spacing w:after="0" w:line="240" w:lineRule="auto"/>
              <w:ind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Sabiedriskā transporta pakalpojumu likuma 18.panta otrā un trešā daļa.</w:t>
            </w:r>
          </w:p>
        </w:tc>
      </w:tr>
      <w:tr w:rsidR="004831A6" w:rsidRPr="00AC4171" w:rsidTr="004A76C9">
        <w:trPr>
          <w:trHeight w:val="472"/>
        </w:trPr>
        <w:tc>
          <w:tcPr>
            <w:tcW w:w="431" w:type="dxa"/>
          </w:tcPr>
          <w:p w:rsidR="004831A6" w:rsidRPr="00AC4171" w:rsidRDefault="004831A6" w:rsidP="004831A6">
            <w:pPr>
              <w:spacing w:after="0" w:line="240" w:lineRule="auto"/>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2.</w:t>
            </w:r>
          </w:p>
        </w:tc>
        <w:tc>
          <w:tcPr>
            <w:tcW w:w="3538" w:type="dxa"/>
          </w:tcPr>
          <w:p w:rsidR="004831A6" w:rsidRPr="00AC4171" w:rsidRDefault="004831A6" w:rsidP="004831A6">
            <w:pPr>
              <w:tabs>
                <w:tab w:val="left" w:pos="170"/>
              </w:tabs>
              <w:spacing w:after="0" w:line="240" w:lineRule="auto"/>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Pašreizējā situācija un problēmas</w:t>
            </w:r>
          </w:p>
        </w:tc>
        <w:tc>
          <w:tcPr>
            <w:tcW w:w="4961" w:type="dxa"/>
          </w:tcPr>
          <w:p w:rsidR="00BB1359" w:rsidRPr="00AC4171" w:rsidRDefault="004831A6" w:rsidP="00BB1359">
            <w:pPr>
              <w:spacing w:after="0" w:line="240" w:lineRule="auto"/>
              <w:ind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Saskaņā ar Direktīvas Nr.2009/33/EK 3.pant</w:t>
            </w:r>
            <w:r w:rsidR="00BB1359" w:rsidRPr="00AC4171">
              <w:rPr>
                <w:rFonts w:ascii="Times New Roman" w:eastAsia="Times New Roman" w:hAnsi="Times New Roman" w:cs="Times New Roman"/>
                <w:sz w:val="24"/>
                <w:szCs w:val="24"/>
                <w:lang w:eastAsia="lv-LV"/>
              </w:rPr>
              <w:t>u direktīva ir piemērojama:</w:t>
            </w:r>
          </w:p>
          <w:p w:rsidR="00BB1359" w:rsidRPr="00AC4171" w:rsidRDefault="00431E90" w:rsidP="00431E90">
            <w:pPr>
              <w:pStyle w:val="ListParagraph"/>
              <w:numPr>
                <w:ilvl w:val="0"/>
                <w:numId w:val="1"/>
              </w:numPr>
              <w:tabs>
                <w:tab w:val="left" w:pos="850"/>
              </w:tabs>
              <w:spacing w:after="0" w:line="240" w:lineRule="auto"/>
              <w:ind w:left="0"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l</w:t>
            </w:r>
            <w:r w:rsidR="00BB1359" w:rsidRPr="00AC4171">
              <w:rPr>
                <w:rFonts w:ascii="Times New Roman" w:eastAsia="Times New Roman" w:hAnsi="Times New Roman" w:cs="Times New Roman"/>
                <w:sz w:val="24"/>
                <w:szCs w:val="24"/>
                <w:lang w:eastAsia="lv-LV"/>
              </w:rPr>
              <w:t>īgumslēdzējām iestādēm vai līgumslēdzējiem subjektiem, ja tiem ir pienākums piemērot iepirkuma procedūras, kas paredzētas Direktīvā 2004/17/EK un Direktīvā 2004/18/EK, un</w:t>
            </w:r>
          </w:p>
          <w:p w:rsidR="00BB1359" w:rsidRPr="00AC4171" w:rsidRDefault="00431E90" w:rsidP="00431E90">
            <w:pPr>
              <w:pStyle w:val="ListParagraph"/>
              <w:numPr>
                <w:ilvl w:val="0"/>
                <w:numId w:val="1"/>
              </w:numPr>
              <w:tabs>
                <w:tab w:val="left" w:pos="850"/>
              </w:tabs>
              <w:spacing w:after="0" w:line="240" w:lineRule="auto"/>
              <w:ind w:left="0"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p</w:t>
            </w:r>
            <w:r w:rsidR="00BB1359" w:rsidRPr="00AC4171">
              <w:rPr>
                <w:rFonts w:ascii="Times New Roman" w:eastAsia="Times New Roman" w:hAnsi="Times New Roman" w:cs="Times New Roman"/>
                <w:sz w:val="24"/>
                <w:szCs w:val="24"/>
                <w:lang w:eastAsia="lv-LV"/>
              </w:rPr>
              <w:t>akalpojumu sniedzējiem, kas pilda sabiedrisko pakalpojumu sniegšanas saistības atbilstoši pakalpojumu valsts līgumam Regulas</w:t>
            </w:r>
            <w:r w:rsidR="00C22051" w:rsidRPr="00AC4171">
              <w:rPr>
                <w:rFonts w:ascii="Times New Roman" w:eastAsia="Times New Roman" w:hAnsi="Times New Roman" w:cs="Times New Roman"/>
                <w:sz w:val="24"/>
                <w:szCs w:val="24"/>
                <w:lang w:eastAsia="lv-LV"/>
              </w:rPr>
              <w:t xml:space="preserve"> </w:t>
            </w:r>
            <w:r w:rsidR="00BB1359" w:rsidRPr="00AC4171">
              <w:rPr>
                <w:rFonts w:ascii="Times New Roman" w:eastAsia="Times New Roman" w:hAnsi="Times New Roman" w:cs="Times New Roman"/>
                <w:sz w:val="24"/>
                <w:szCs w:val="24"/>
                <w:lang w:eastAsia="lv-LV"/>
              </w:rPr>
              <w:t>nozīmē, pārsniedzot robežlielumu, kas dalībvalstīm jānosaka tāds, lai netiktu pārsniegtas Direktīvā 2004/17/EK un Direktīvā 2004/18/EK noteiktās robežvērtības.</w:t>
            </w:r>
          </w:p>
          <w:p w:rsidR="00BB1359" w:rsidRPr="00AC4171" w:rsidRDefault="004831A6" w:rsidP="00BB1359">
            <w:pPr>
              <w:pStyle w:val="ListParagraph"/>
              <w:spacing w:after="0" w:line="240" w:lineRule="auto"/>
              <w:ind w:left="0"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 xml:space="preserve">Attiecībā uz Direktīvas 3.panta a) apakšpunktā minētajiem subjektiem Direktīvas normas ir pārņemtas ar Publisko iepirkumu likumu un Sabiedrisko pakalpojumu sniedzēju iepirkumu likumu, kā arī 2010.gada 21.decembra Ministru kabineta noteikumiem Nr.1184 „Noteikumi par transportlīdzekļu kategorijām, uz kurām iepirkumos attiecināmas īpašas prasības, un transportlīdzekļu darbmūža ekspluatācijas izmaksu aprēķināšanas metodiku”. </w:t>
            </w:r>
          </w:p>
          <w:p w:rsidR="00944024" w:rsidRPr="00AC4171" w:rsidRDefault="004831A6" w:rsidP="00BB0D0D">
            <w:pPr>
              <w:pStyle w:val="ListParagraph"/>
              <w:spacing w:after="0" w:line="240" w:lineRule="auto"/>
              <w:ind w:left="0" w:firstLine="567"/>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Tā kā atsevišķi pārvadātāju uzņēmumi, kas šobrīd nodrošina sabiedriskā transporta pakalpojumus</w:t>
            </w:r>
            <w:r w:rsidR="00C22051" w:rsidRPr="00AC4171">
              <w:rPr>
                <w:rFonts w:ascii="Times New Roman" w:eastAsia="Times New Roman" w:hAnsi="Times New Roman" w:cs="Times New Roman"/>
                <w:sz w:val="24"/>
                <w:szCs w:val="24"/>
                <w:lang w:eastAsia="lv-LV"/>
              </w:rPr>
              <w:t xml:space="preserve"> Regulas un Sabiedriskā transporta </w:t>
            </w:r>
            <w:r w:rsidR="00C22051" w:rsidRPr="00AC4171">
              <w:rPr>
                <w:rFonts w:ascii="Times New Roman" w:eastAsia="Times New Roman" w:hAnsi="Times New Roman" w:cs="Times New Roman"/>
                <w:sz w:val="24"/>
                <w:szCs w:val="24"/>
                <w:lang w:eastAsia="lv-LV"/>
              </w:rPr>
              <w:lastRenderedPageBreak/>
              <w:t>pakalpojumu likuma izpratnē</w:t>
            </w:r>
            <w:r w:rsidRPr="00AC4171">
              <w:rPr>
                <w:rFonts w:ascii="Times New Roman" w:eastAsia="Times New Roman" w:hAnsi="Times New Roman" w:cs="Times New Roman"/>
                <w:sz w:val="24"/>
                <w:szCs w:val="24"/>
                <w:lang w:eastAsia="lv-LV"/>
              </w:rPr>
              <w:t>, nav iepriekš minēto likumu subjekti, uz šiem subjektiem attiecināmās Direktīvas Nr.2009/33/EK normas ir pārņemtas ar grozījumiem Sabiedriskā transporta pakalpojumu likumā, kas Saeimā pieņemti 2013.gada 23.maijā.</w:t>
            </w:r>
            <w:r w:rsidR="00BB1359" w:rsidRPr="00AC4171">
              <w:rPr>
                <w:rFonts w:ascii="Times New Roman" w:eastAsia="Times New Roman" w:hAnsi="Times New Roman" w:cs="Times New Roman"/>
                <w:sz w:val="24"/>
                <w:szCs w:val="24"/>
                <w:lang w:eastAsia="lv-LV"/>
              </w:rPr>
              <w:t xml:space="preserve"> Atbilstoši Sabiedriskā transporta pakalpojumu likuma 18.pantā ietvertam deleģējumam un saskaņā ar Pārejas noteikumu 21.punktu, Ministru kabinetam līdz 2013.gada 30.jūnijam</w:t>
            </w:r>
            <w:r w:rsidRPr="00AC4171">
              <w:rPr>
                <w:rFonts w:ascii="Times New Roman" w:eastAsia="Times New Roman" w:hAnsi="Times New Roman" w:cs="Times New Roman"/>
                <w:sz w:val="24"/>
                <w:szCs w:val="24"/>
                <w:lang w:eastAsia="lv-LV"/>
              </w:rPr>
              <w:t xml:space="preserve"> </w:t>
            </w:r>
            <w:r w:rsidR="00BB1359" w:rsidRPr="00AC4171">
              <w:rPr>
                <w:rFonts w:ascii="Times New Roman" w:eastAsia="Times New Roman" w:hAnsi="Times New Roman" w:cs="Times New Roman"/>
                <w:sz w:val="24"/>
                <w:szCs w:val="24"/>
                <w:lang w:eastAsia="lv-LV"/>
              </w:rPr>
              <w:t xml:space="preserve">ir jāizdod Ministru kabineta noteikumi, </w:t>
            </w:r>
            <w:r w:rsidR="00944024" w:rsidRPr="00AC4171">
              <w:rPr>
                <w:rFonts w:ascii="Times New Roman" w:eastAsia="Times New Roman" w:hAnsi="Times New Roman" w:cs="Times New Roman"/>
                <w:sz w:val="24"/>
                <w:szCs w:val="24"/>
                <w:lang w:eastAsia="lv-LV"/>
              </w:rPr>
              <w:t xml:space="preserve">kas paredz </w:t>
            </w:r>
            <w:r w:rsidR="00BB1359" w:rsidRPr="00AC4171">
              <w:rPr>
                <w:rFonts w:ascii="Times New Roman" w:eastAsia="Times New Roman" w:hAnsi="Times New Roman" w:cs="Times New Roman"/>
                <w:sz w:val="24"/>
                <w:szCs w:val="24"/>
                <w:lang w:eastAsia="lv-LV"/>
              </w:rPr>
              <w:t xml:space="preserve">sabiedrisko autotransporta līdzekļu iepirkuma līgumcenas robežu, no kuras piemērojamas </w:t>
            </w:r>
            <w:r w:rsidR="00944024" w:rsidRPr="00AC4171">
              <w:rPr>
                <w:rFonts w:ascii="Times New Roman" w:eastAsia="Times New Roman" w:hAnsi="Times New Roman" w:cs="Times New Roman"/>
                <w:sz w:val="24"/>
                <w:szCs w:val="24"/>
                <w:lang w:eastAsia="lv-LV"/>
              </w:rPr>
              <w:t>Direktīvā un attiecīgi Sabiedriskā transporta pakalpojumu likuma 18.panta pirmajā daļā paredzētās uz šādiem iepirkumiem attiecināmās prasības</w:t>
            </w:r>
            <w:r w:rsidR="00244FEE" w:rsidRPr="00AC4171">
              <w:rPr>
                <w:rFonts w:ascii="Times New Roman" w:eastAsia="Times New Roman" w:hAnsi="Times New Roman" w:cs="Times New Roman"/>
                <w:sz w:val="24"/>
                <w:szCs w:val="24"/>
                <w:lang w:eastAsia="lv-LV"/>
              </w:rPr>
              <w:t>,</w:t>
            </w:r>
            <w:r w:rsidR="00944024" w:rsidRPr="00AC4171">
              <w:rPr>
                <w:rFonts w:ascii="Times New Roman" w:eastAsia="Times New Roman" w:hAnsi="Times New Roman" w:cs="Times New Roman"/>
                <w:sz w:val="24"/>
                <w:szCs w:val="24"/>
                <w:lang w:eastAsia="lv-LV"/>
              </w:rPr>
              <w:t xml:space="preserve"> šīs līgumcenas robežas aprēķināšanas un sabiedrisko autotransporta līdzekļu ekspluatācijas ietekmes uz enerģētiku un vidi novērtēšanas kārtību.</w:t>
            </w:r>
          </w:p>
        </w:tc>
      </w:tr>
      <w:tr w:rsidR="004831A6" w:rsidRPr="00AC4171" w:rsidTr="004A76C9">
        <w:trPr>
          <w:trHeight w:val="1071"/>
        </w:trPr>
        <w:tc>
          <w:tcPr>
            <w:tcW w:w="43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lastRenderedPageBreak/>
              <w:t>3.</w:t>
            </w:r>
          </w:p>
        </w:tc>
        <w:tc>
          <w:tcPr>
            <w:tcW w:w="3538"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Saistītie politikas ietekmes novērtējumi un pētījumi</w:t>
            </w:r>
          </w:p>
        </w:tc>
        <w:tc>
          <w:tcPr>
            <w:tcW w:w="4961" w:type="dxa"/>
          </w:tcPr>
          <w:p w:rsidR="004831A6" w:rsidRPr="00AC4171" w:rsidRDefault="00944024"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Projekts šo jomu neskar.</w:t>
            </w:r>
          </w:p>
        </w:tc>
      </w:tr>
      <w:tr w:rsidR="004831A6" w:rsidRPr="00AC4171" w:rsidTr="004A76C9">
        <w:trPr>
          <w:trHeight w:val="4812"/>
        </w:trPr>
        <w:tc>
          <w:tcPr>
            <w:tcW w:w="43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4.</w:t>
            </w:r>
          </w:p>
        </w:tc>
        <w:tc>
          <w:tcPr>
            <w:tcW w:w="3538"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Tiesiskā regulējuma mērķis un būtība</w:t>
            </w:r>
          </w:p>
        </w:tc>
        <w:tc>
          <w:tcPr>
            <w:tcW w:w="4961" w:type="dxa"/>
          </w:tcPr>
          <w:p w:rsidR="004831A6" w:rsidRPr="00AC4171" w:rsidRDefault="00AA4808" w:rsidP="00AA4808">
            <w:pPr>
              <w:spacing w:after="0" w:line="240" w:lineRule="auto"/>
              <w:ind w:firstLine="425"/>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Saskaņā ar Sabiedriskā transporta pakalpojumu likuma 18.panta otrajā un trešajā daļā ietverto deleģējumu Ministru kabineta noteikumu projekts nosaka</w:t>
            </w:r>
            <w:r w:rsidR="00622D3D" w:rsidRPr="00AC4171">
              <w:rPr>
                <w:rFonts w:ascii="Times New Roman" w:eastAsia="Times New Roman" w:hAnsi="Times New Roman" w:cs="Times New Roman"/>
                <w:sz w:val="24"/>
                <w:szCs w:val="24"/>
                <w:lang w:eastAsia="lv-LV"/>
              </w:rPr>
              <w:t>, ka</w:t>
            </w:r>
            <w:r w:rsidRPr="00AC4171">
              <w:rPr>
                <w:rFonts w:ascii="Times New Roman" w:eastAsia="Times New Roman" w:hAnsi="Times New Roman" w:cs="Times New Roman"/>
                <w:sz w:val="24"/>
                <w:szCs w:val="24"/>
                <w:lang w:eastAsia="lv-LV"/>
              </w:rPr>
              <w:t>:</w:t>
            </w:r>
          </w:p>
          <w:p w:rsidR="00AA4808" w:rsidRPr="00AC4171" w:rsidRDefault="00AA4808" w:rsidP="00622D3D">
            <w:pPr>
              <w:pStyle w:val="ListParagraph"/>
              <w:numPr>
                <w:ilvl w:val="0"/>
                <w:numId w:val="5"/>
              </w:numPr>
              <w:spacing w:after="0" w:line="240" w:lineRule="auto"/>
              <w:ind w:left="0" w:firstLine="425"/>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 xml:space="preserve">noteikumos paredzētās prasības ir attiecināmas uz </w:t>
            </w:r>
            <w:r w:rsidR="00C22051" w:rsidRPr="00AC4171">
              <w:rPr>
                <w:rFonts w:ascii="Times New Roman" w:eastAsia="Times New Roman" w:hAnsi="Times New Roman" w:cs="Times New Roman"/>
                <w:sz w:val="24"/>
                <w:szCs w:val="24"/>
                <w:lang w:eastAsia="lv-LV"/>
              </w:rPr>
              <w:t xml:space="preserve">to pārvadātāju (sabiedriskā transporta pakalpojumu sniedzēju), kas nav pasūtītāji Publisko iepirkumu likuma izpratnē, vai sabiedrisko pakalpojumu sniedzēji Sabiedrisko pakalpojumu sniedzēju iepirkumu likuma izpratnē, </w:t>
            </w:r>
            <w:r w:rsidRPr="00AC4171">
              <w:rPr>
                <w:rFonts w:ascii="Times New Roman" w:eastAsia="Times New Roman" w:hAnsi="Times New Roman" w:cs="Times New Roman"/>
                <w:sz w:val="24"/>
                <w:szCs w:val="24"/>
                <w:lang w:eastAsia="lv-LV"/>
              </w:rPr>
              <w:t xml:space="preserve"> sabiedrisko autotransporta līdzekļu iepirkumiem, kas tiek izmantoti sabiedriskā transporta pakalpojumu sniegšanā saskaņā ar Sabiedriskā transporta pakalpojumu likumu. </w:t>
            </w:r>
            <w:r w:rsidR="00361949" w:rsidRPr="00AC4171">
              <w:rPr>
                <w:rFonts w:ascii="Times New Roman" w:eastAsia="Times New Roman" w:hAnsi="Times New Roman" w:cs="Times New Roman"/>
                <w:sz w:val="24"/>
                <w:szCs w:val="24"/>
                <w:lang w:eastAsia="lv-LV"/>
              </w:rPr>
              <w:t xml:space="preserve">Ievērojot Sabiedriskā transporta pakalpojumu likuma 1.panta 14.punktā sniegto sabiedrisko transportlīdzekļu jēdziena skaidrojumu, sabiedriskie autopārvadājumu pakalpojumi var tikt sniegti ar autobusu, kas saskaņā ar Autopārvadājumu likuma 1.panta pirmās daļas 2.punktu ir definēts kā </w:t>
            </w:r>
            <w:r w:rsidR="00361949" w:rsidRPr="00AC4171">
              <w:rPr>
                <w:rFonts w:ascii="Times New Roman" w:hAnsi="Times New Roman" w:cs="Times New Roman"/>
                <w:sz w:val="24"/>
                <w:szCs w:val="24"/>
              </w:rPr>
              <w:t xml:space="preserve">autotransporta līdzeklis, kas paredzēts pasažieru (deviņu un vairāk cilvēku, neieskaitot šoferi) pārvadāšanai. Tādējādi visi sabiedriskā transporta pakalpojumu nodrošināšanā izmantojamie autotransporta līdzekļi atbilst </w:t>
            </w:r>
            <w:r w:rsidR="00361949" w:rsidRPr="00AC4171">
              <w:rPr>
                <w:rFonts w:ascii="Times New Roman" w:eastAsia="Times New Roman" w:hAnsi="Times New Roman" w:cs="Times New Roman"/>
                <w:sz w:val="24"/>
                <w:szCs w:val="24"/>
                <w:lang w:eastAsia="lv-LV"/>
              </w:rPr>
              <w:t xml:space="preserve">Direktīvas </w:t>
            </w:r>
            <w:r w:rsidR="00361949" w:rsidRPr="00AC4171">
              <w:rPr>
                <w:rFonts w:ascii="Times New Roman" w:eastAsia="Times New Roman" w:hAnsi="Times New Roman" w:cs="Times New Roman"/>
                <w:sz w:val="24"/>
                <w:szCs w:val="24"/>
                <w:lang w:eastAsia="lv-LV"/>
              </w:rPr>
              <w:lastRenderedPageBreak/>
              <w:t>Nr.2009/33/EK pielikuma 3.tabulā uzskaitītajām transportlīdzekļu kategorijām.</w:t>
            </w:r>
          </w:p>
          <w:p w:rsidR="00622D3D" w:rsidRPr="00AC4171" w:rsidRDefault="00622D3D" w:rsidP="00622D3D">
            <w:pPr>
              <w:pStyle w:val="ListParagraph"/>
              <w:numPr>
                <w:ilvl w:val="0"/>
                <w:numId w:val="5"/>
              </w:numPr>
              <w:spacing w:after="0" w:line="240" w:lineRule="auto"/>
              <w:ind w:left="0" w:firstLine="425"/>
              <w:jc w:val="both"/>
              <w:rPr>
                <w:rFonts w:ascii="Times New Roman" w:hAnsi="Times New Roman" w:cs="Times New Roman"/>
                <w:sz w:val="24"/>
                <w:szCs w:val="24"/>
              </w:rPr>
            </w:pPr>
            <w:r w:rsidRPr="00AC4171">
              <w:rPr>
                <w:rFonts w:ascii="Times New Roman" w:hAnsi="Times New Roman" w:cs="Times New Roman"/>
                <w:sz w:val="24"/>
                <w:szCs w:val="24"/>
              </w:rPr>
              <w:t>uz sabiedrisko autotransporta līdzekļu iepirkumiem noteikumos paredzētās prasības piemērojamas, ja paredzamā līgumcena ir vienāda vai pārsniedz 283 240 latus. Atbilstoši Sabiedriskā transporta pakalpojumu likuma 18.panta otrajai daļai līgumcenas robeža ir nosakāma, pamatojoties uz Eiropas Savienības tiesību aktiem attiecībā uz līgumcenu robežām, kas jāievēro sabiedrisko pakalpojumu sniedzējiem Sabiedrisko pakalpojumu sniedzēju iepirkumu likuma izpratnē.</w:t>
            </w:r>
            <w:r w:rsidR="00B17A1E" w:rsidRPr="00AC4171">
              <w:rPr>
                <w:rFonts w:ascii="Times New Roman" w:hAnsi="Times New Roman" w:cs="Times New Roman"/>
                <w:sz w:val="24"/>
                <w:szCs w:val="24"/>
              </w:rPr>
              <w:t xml:space="preserve"> Analoģiski publisko iepirkumu jomu tiesiskajā regulējumā ietvertiem principiem, noteikumu projektā ir paredzēts aizliegums sadalīt daļās paredzamo sabiedrisko autotransporta līdzekļu iepirkumu, lai izvairītos no noteikumos paredzēto prasību piemērošanas.</w:t>
            </w:r>
          </w:p>
          <w:p w:rsidR="00B17A1E" w:rsidRPr="00AC4171" w:rsidRDefault="00B17A1E" w:rsidP="00B17A1E">
            <w:pPr>
              <w:pStyle w:val="ListParagraph"/>
              <w:numPr>
                <w:ilvl w:val="0"/>
                <w:numId w:val="5"/>
              </w:numPr>
              <w:spacing w:after="0" w:line="240" w:lineRule="auto"/>
              <w:ind w:left="0" w:firstLine="425"/>
              <w:jc w:val="both"/>
              <w:rPr>
                <w:rFonts w:ascii="Times New Roman" w:eastAsia="Times New Roman" w:hAnsi="Times New Roman" w:cs="Times New Roman"/>
                <w:sz w:val="24"/>
                <w:szCs w:val="24"/>
                <w:lang w:eastAsia="lv-LV"/>
              </w:rPr>
            </w:pPr>
            <w:r w:rsidRPr="00AC4171">
              <w:rPr>
                <w:rFonts w:ascii="Times New Roman" w:hAnsi="Times New Roman" w:cs="Times New Roman"/>
                <w:sz w:val="24"/>
                <w:szCs w:val="24"/>
              </w:rPr>
              <w:t xml:space="preserve">Sabiedriskā transporta pakalpojumu likuma 18.panta pirmajā daļā minētās prasības par nepieciešamību sabiedrisko autotransporta līdzekļu iepirkumos ņemt vērā sabiedriskā transporta pakalpojumu sniegšanā izmantojamo autobusu ekspluatācijas ietekmi uz enerģētiku un vidi un izvērtēt vismaz enerģijas patēriņu un oglekļa dioksīda, slāpekļa oksīdu, metānu nesaturošo ogļūdeņražu un cieto daļiņu emisiju apjomu, pārvadātājs nodrošina vai nu attiecīgās prasības iekļaujot iepirkuma tehniskajā specifikācijā, vai arī </w:t>
            </w:r>
          </w:p>
          <w:p w:rsidR="00AA4808" w:rsidRPr="00AC4171" w:rsidRDefault="00431E90" w:rsidP="00431E90">
            <w:pPr>
              <w:spacing w:after="0" w:line="240" w:lineRule="auto"/>
              <w:jc w:val="both"/>
              <w:rPr>
                <w:rFonts w:ascii="Times New Roman" w:hAnsi="Times New Roman" w:cs="Times New Roman"/>
                <w:sz w:val="24"/>
                <w:szCs w:val="24"/>
              </w:rPr>
            </w:pPr>
            <w:r w:rsidRPr="00AC4171">
              <w:rPr>
                <w:rFonts w:ascii="Times New Roman" w:hAnsi="Times New Roman" w:cs="Times New Roman"/>
                <w:sz w:val="24"/>
                <w:szCs w:val="24"/>
              </w:rPr>
              <w:t xml:space="preserve">sabiedrisko autotransporta līdzekļu ekspluatācijas ietekmes uz enerģētiku un vidi faktorus nosakot kā piedāvājumu vērtēšanas kritērijus. </w:t>
            </w:r>
            <w:r w:rsidR="00B17A1E" w:rsidRPr="00AC4171">
              <w:rPr>
                <w:rFonts w:ascii="Times New Roman" w:hAnsi="Times New Roman" w:cs="Times New Roman"/>
                <w:sz w:val="24"/>
                <w:szCs w:val="24"/>
              </w:rPr>
              <w:t xml:space="preserve">   </w:t>
            </w:r>
          </w:p>
          <w:p w:rsidR="00812CAC" w:rsidRPr="00AC4171" w:rsidRDefault="00AA65FD" w:rsidP="00AA65FD">
            <w:pPr>
              <w:pStyle w:val="ListParagraph"/>
              <w:numPr>
                <w:ilvl w:val="0"/>
                <w:numId w:val="5"/>
              </w:numPr>
              <w:spacing w:line="240" w:lineRule="auto"/>
              <w:ind w:left="0" w:firstLine="425"/>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j</w:t>
            </w:r>
            <w:r w:rsidR="00812CAC" w:rsidRPr="00AC4171">
              <w:rPr>
                <w:rFonts w:ascii="Times New Roman" w:eastAsia="Times New Roman" w:hAnsi="Times New Roman" w:cs="Times New Roman"/>
                <w:sz w:val="24"/>
                <w:szCs w:val="24"/>
                <w:lang w:eastAsia="lv-LV"/>
              </w:rPr>
              <w:t xml:space="preserve">a </w:t>
            </w:r>
            <w:r w:rsidRPr="00AC4171">
              <w:rPr>
                <w:rFonts w:ascii="Times New Roman" w:eastAsia="Times New Roman" w:hAnsi="Times New Roman" w:cs="Times New Roman"/>
                <w:sz w:val="24"/>
                <w:szCs w:val="24"/>
                <w:lang w:eastAsia="lv-LV"/>
              </w:rPr>
              <w:t>s</w:t>
            </w:r>
            <w:r w:rsidR="00812CAC" w:rsidRPr="00AC4171">
              <w:rPr>
                <w:rFonts w:ascii="Times New Roman" w:eastAsia="Times New Roman" w:hAnsi="Times New Roman" w:cs="Times New Roman"/>
                <w:sz w:val="24"/>
                <w:szCs w:val="24"/>
                <w:lang w:eastAsia="lv-LV"/>
              </w:rPr>
              <w:t xml:space="preserve">abiedrisko pakalpojumu sniedzējs </w:t>
            </w:r>
            <w:r w:rsidRPr="00AC4171">
              <w:rPr>
                <w:rFonts w:ascii="Times New Roman" w:hAnsi="Times New Roman" w:cs="Times New Roman"/>
                <w:sz w:val="24"/>
                <w:szCs w:val="24"/>
              </w:rPr>
              <w:t>sabiedrisko autotransporta līdzekļu ekspluatācijas ietekmes uz enerģētiku un vidi faktorus</w:t>
            </w:r>
            <w:r w:rsidRPr="00AC4171">
              <w:rPr>
                <w:sz w:val="24"/>
                <w:szCs w:val="24"/>
              </w:rPr>
              <w:t xml:space="preserve"> </w:t>
            </w:r>
            <w:r w:rsidR="00812CAC" w:rsidRPr="00AC4171">
              <w:rPr>
                <w:rFonts w:ascii="Times New Roman" w:eastAsia="Times New Roman" w:hAnsi="Times New Roman" w:cs="Times New Roman"/>
                <w:sz w:val="24"/>
                <w:szCs w:val="24"/>
                <w:lang w:eastAsia="lv-LV"/>
              </w:rPr>
              <w:t>iz</w:t>
            </w:r>
            <w:r w:rsidRPr="00AC4171">
              <w:rPr>
                <w:rFonts w:ascii="Times New Roman" w:eastAsia="Times New Roman" w:hAnsi="Times New Roman" w:cs="Times New Roman"/>
                <w:sz w:val="24"/>
                <w:szCs w:val="24"/>
                <w:lang w:eastAsia="lv-LV"/>
              </w:rPr>
              <w:t>saka</w:t>
            </w:r>
            <w:r w:rsidR="00812CAC" w:rsidRPr="00AC4171">
              <w:rPr>
                <w:rFonts w:ascii="Times New Roman" w:eastAsia="Times New Roman" w:hAnsi="Times New Roman" w:cs="Times New Roman"/>
                <w:sz w:val="24"/>
                <w:szCs w:val="24"/>
                <w:lang w:eastAsia="lv-LV"/>
              </w:rPr>
              <w:t xml:space="preserve"> un izvērtē naudas izteiksmē, </w:t>
            </w:r>
            <w:r w:rsidR="00C22051" w:rsidRPr="00AC4171">
              <w:rPr>
                <w:rFonts w:ascii="Times New Roman" w:eastAsia="Times New Roman" w:hAnsi="Times New Roman" w:cs="Times New Roman"/>
                <w:sz w:val="24"/>
                <w:szCs w:val="24"/>
                <w:lang w:eastAsia="lv-LV"/>
              </w:rPr>
              <w:t xml:space="preserve">tad tiek </w:t>
            </w:r>
            <w:r w:rsidRPr="00AC4171">
              <w:rPr>
                <w:rFonts w:ascii="Times New Roman" w:eastAsia="Times New Roman" w:hAnsi="Times New Roman" w:cs="Times New Roman"/>
                <w:sz w:val="24"/>
                <w:szCs w:val="24"/>
                <w:lang w:eastAsia="lv-LV"/>
              </w:rPr>
              <w:t>piemēro</w:t>
            </w:r>
            <w:r w:rsidR="00C22051" w:rsidRPr="00AC4171">
              <w:rPr>
                <w:rFonts w:ascii="Times New Roman" w:eastAsia="Times New Roman" w:hAnsi="Times New Roman" w:cs="Times New Roman"/>
                <w:sz w:val="24"/>
                <w:szCs w:val="24"/>
                <w:lang w:eastAsia="lv-LV"/>
              </w:rPr>
              <w:t>ta</w:t>
            </w:r>
            <w:r w:rsidRPr="00AC4171">
              <w:rPr>
                <w:rFonts w:ascii="Times New Roman" w:eastAsia="Times New Roman" w:hAnsi="Times New Roman" w:cs="Times New Roman"/>
                <w:sz w:val="24"/>
                <w:szCs w:val="24"/>
                <w:lang w:eastAsia="lv-LV"/>
              </w:rPr>
              <w:t xml:space="preserve"> ar</w:t>
            </w:r>
            <w:r w:rsidR="00812CAC" w:rsidRPr="00AC4171">
              <w:rPr>
                <w:rFonts w:ascii="Times New Roman" w:eastAsia="Times New Roman" w:hAnsi="Times New Roman" w:cs="Times New Roman"/>
                <w:sz w:val="24"/>
                <w:szCs w:val="24"/>
                <w:lang w:eastAsia="lv-LV"/>
              </w:rPr>
              <w:t xml:space="preserve"> Ministru kabineta 2010.gada 21.decembra noteikum</w:t>
            </w:r>
            <w:r w:rsidRPr="00AC4171">
              <w:rPr>
                <w:rFonts w:ascii="Times New Roman" w:eastAsia="Times New Roman" w:hAnsi="Times New Roman" w:cs="Times New Roman"/>
                <w:sz w:val="24"/>
                <w:szCs w:val="24"/>
                <w:lang w:eastAsia="lv-LV"/>
              </w:rPr>
              <w:t>iem</w:t>
            </w:r>
            <w:r w:rsidR="00812CAC" w:rsidRPr="00AC4171">
              <w:rPr>
                <w:rFonts w:ascii="Times New Roman" w:eastAsia="Times New Roman" w:hAnsi="Times New Roman" w:cs="Times New Roman"/>
                <w:sz w:val="24"/>
                <w:szCs w:val="24"/>
                <w:lang w:eastAsia="lv-LV"/>
              </w:rPr>
              <w:t xml:space="preserve"> Nr.1184 „Noteikumi par transportlīdzekļu kategorijām, uz kurām iepirkumos attiecināmas īpašas prasības, un transportlīdzekļu darbmūža ekspluatācijas izmaksu aprēķināšanas metodika” </w:t>
            </w:r>
            <w:r w:rsidRPr="00AC4171">
              <w:rPr>
                <w:rFonts w:ascii="Times New Roman" w:eastAsia="Times New Roman" w:hAnsi="Times New Roman" w:cs="Times New Roman"/>
                <w:sz w:val="24"/>
                <w:szCs w:val="24"/>
                <w:lang w:eastAsia="lv-LV"/>
              </w:rPr>
              <w:t>no Direktīvas Nr.2009/33/EK pārņemto</w:t>
            </w:r>
            <w:r w:rsidR="00812CAC" w:rsidRPr="00AC4171">
              <w:rPr>
                <w:rFonts w:ascii="Times New Roman" w:eastAsia="Times New Roman" w:hAnsi="Times New Roman" w:cs="Times New Roman"/>
                <w:sz w:val="24"/>
                <w:szCs w:val="24"/>
                <w:lang w:eastAsia="lv-LV"/>
              </w:rPr>
              <w:t xml:space="preserve"> metodiku autotransporta līdzekļu </w:t>
            </w:r>
            <w:r w:rsidRPr="00AC4171">
              <w:rPr>
                <w:rFonts w:ascii="Times New Roman" w:eastAsia="Times New Roman" w:hAnsi="Times New Roman" w:cs="Times New Roman"/>
                <w:sz w:val="24"/>
                <w:szCs w:val="24"/>
                <w:lang w:eastAsia="lv-LV"/>
              </w:rPr>
              <w:t xml:space="preserve">darbmūža </w:t>
            </w:r>
            <w:r w:rsidR="00812CAC" w:rsidRPr="00AC4171">
              <w:rPr>
                <w:rFonts w:ascii="Times New Roman" w:eastAsia="Times New Roman" w:hAnsi="Times New Roman" w:cs="Times New Roman"/>
                <w:sz w:val="24"/>
                <w:szCs w:val="24"/>
                <w:lang w:eastAsia="lv-LV"/>
              </w:rPr>
              <w:t>ekspluatācijas izmaksu aprēķināšanai.</w:t>
            </w:r>
          </w:p>
        </w:tc>
      </w:tr>
      <w:tr w:rsidR="004831A6" w:rsidRPr="00AC4171" w:rsidTr="004A76C9">
        <w:trPr>
          <w:trHeight w:val="476"/>
        </w:trPr>
        <w:tc>
          <w:tcPr>
            <w:tcW w:w="43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lastRenderedPageBreak/>
              <w:t>5.</w:t>
            </w:r>
          </w:p>
        </w:tc>
        <w:tc>
          <w:tcPr>
            <w:tcW w:w="3538"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Projekta izstrādē iesaistītās institūcijas</w:t>
            </w:r>
          </w:p>
        </w:tc>
        <w:tc>
          <w:tcPr>
            <w:tcW w:w="4961" w:type="dxa"/>
          </w:tcPr>
          <w:p w:rsidR="004831A6" w:rsidRPr="00AC4171" w:rsidRDefault="00431E90" w:rsidP="00431E90">
            <w:pPr>
              <w:spacing w:after="0" w:line="240" w:lineRule="auto"/>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iCs/>
                <w:sz w:val="24"/>
                <w:szCs w:val="24"/>
                <w:lang w:eastAsia="lv-LV"/>
              </w:rPr>
              <w:t>Satiksmes ministrija un Valsts SIA „Autotransporta direkcija”</w:t>
            </w:r>
            <w:r w:rsidR="00AC4171" w:rsidRPr="00AC4171">
              <w:rPr>
                <w:rFonts w:ascii="Times New Roman" w:eastAsia="Times New Roman" w:hAnsi="Times New Roman" w:cs="Times New Roman"/>
                <w:iCs/>
                <w:sz w:val="24"/>
                <w:szCs w:val="24"/>
                <w:lang w:eastAsia="lv-LV"/>
              </w:rPr>
              <w:t>.</w:t>
            </w:r>
          </w:p>
        </w:tc>
      </w:tr>
      <w:tr w:rsidR="004831A6" w:rsidRPr="00AC4171" w:rsidTr="004A76C9">
        <w:trPr>
          <w:trHeight w:val="1166"/>
        </w:trPr>
        <w:tc>
          <w:tcPr>
            <w:tcW w:w="43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lastRenderedPageBreak/>
              <w:t>6.</w:t>
            </w:r>
          </w:p>
        </w:tc>
        <w:tc>
          <w:tcPr>
            <w:tcW w:w="3538" w:type="dxa"/>
          </w:tcPr>
          <w:p w:rsidR="004831A6" w:rsidRPr="00AC4171" w:rsidRDefault="004831A6" w:rsidP="00431E90">
            <w:pPr>
              <w:spacing w:after="0" w:line="240" w:lineRule="auto"/>
              <w:rPr>
                <w:rFonts w:ascii="Times New Roman" w:eastAsia="Times New Roman" w:hAnsi="Times New Roman" w:cs="Times New Roman"/>
                <w:i/>
                <w:sz w:val="24"/>
                <w:szCs w:val="24"/>
                <w:highlight w:val="yellow"/>
                <w:lang w:eastAsia="lv-LV"/>
              </w:rPr>
            </w:pPr>
            <w:r w:rsidRPr="00AC4171">
              <w:rPr>
                <w:rFonts w:ascii="Times New Roman" w:eastAsia="Times New Roman" w:hAnsi="Times New Roman" w:cs="Times New Roman"/>
                <w:sz w:val="24"/>
                <w:szCs w:val="24"/>
                <w:lang w:eastAsia="lv-LV"/>
              </w:rPr>
              <w:t>Iemesli, kādēļ netika nodrošināta sabiedrības līdzdalība</w:t>
            </w:r>
          </w:p>
        </w:tc>
        <w:tc>
          <w:tcPr>
            <w:tcW w:w="4961" w:type="dxa"/>
          </w:tcPr>
          <w:p w:rsidR="004831A6" w:rsidRPr="00AC4171" w:rsidRDefault="00431E90" w:rsidP="00E47CA4">
            <w:pPr>
              <w:spacing w:after="0" w:line="240" w:lineRule="auto"/>
              <w:jc w:val="both"/>
              <w:rPr>
                <w:rFonts w:ascii="Times New Roman" w:eastAsia="Times New Roman" w:hAnsi="Times New Roman" w:cs="Times New Roman"/>
                <w:sz w:val="24"/>
                <w:szCs w:val="24"/>
                <w:lang w:eastAsia="lv-LV"/>
              </w:rPr>
            </w:pPr>
            <w:r w:rsidRPr="00AC4171">
              <w:rPr>
                <w:rFonts w:ascii="Times New Roman" w:eastAsia="Times New Roman" w:hAnsi="Times New Roman" w:cs="Times New Roman"/>
                <w:color w:val="000000"/>
                <w:sz w:val="24"/>
                <w:szCs w:val="24"/>
                <w:lang w:eastAsia="lv-LV"/>
              </w:rPr>
              <w:t>Noteikumu projekts tiešā veid</w:t>
            </w:r>
            <w:r w:rsidR="00E47CA4" w:rsidRPr="00AC4171">
              <w:rPr>
                <w:rFonts w:ascii="Times New Roman" w:eastAsia="Times New Roman" w:hAnsi="Times New Roman" w:cs="Times New Roman"/>
                <w:color w:val="000000"/>
                <w:sz w:val="24"/>
                <w:szCs w:val="24"/>
                <w:lang w:eastAsia="lv-LV"/>
              </w:rPr>
              <w:t>ā neietekmē sabiedrību, tā normas attiecas tikai uz sabiedriskā transporta pakalpojumu sniedzējiem jeb</w:t>
            </w:r>
            <w:r w:rsidRPr="00AC4171">
              <w:rPr>
                <w:rFonts w:ascii="Times New Roman" w:eastAsia="Times New Roman" w:hAnsi="Times New Roman" w:cs="Times New Roman"/>
                <w:color w:val="000000"/>
                <w:sz w:val="24"/>
                <w:szCs w:val="24"/>
                <w:lang w:eastAsia="lv-LV"/>
              </w:rPr>
              <w:t xml:space="preserve"> pārvadātāj</w:t>
            </w:r>
            <w:r w:rsidR="00E47CA4" w:rsidRPr="00AC4171">
              <w:rPr>
                <w:rFonts w:ascii="Times New Roman" w:eastAsia="Times New Roman" w:hAnsi="Times New Roman" w:cs="Times New Roman"/>
                <w:color w:val="000000"/>
                <w:sz w:val="24"/>
                <w:szCs w:val="24"/>
                <w:lang w:eastAsia="lv-LV"/>
              </w:rPr>
              <w:t>iem</w:t>
            </w:r>
            <w:r w:rsidRPr="00AC4171">
              <w:rPr>
                <w:rFonts w:ascii="Times New Roman" w:eastAsia="Times New Roman" w:hAnsi="Times New Roman" w:cs="Times New Roman"/>
                <w:color w:val="000000"/>
                <w:sz w:val="24"/>
                <w:szCs w:val="24"/>
                <w:lang w:eastAsia="lv-LV"/>
              </w:rPr>
              <w:t>.</w:t>
            </w:r>
          </w:p>
        </w:tc>
      </w:tr>
      <w:tr w:rsidR="004831A6" w:rsidRPr="00AC4171" w:rsidTr="004A76C9">
        <w:tc>
          <w:tcPr>
            <w:tcW w:w="43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7.</w:t>
            </w:r>
          </w:p>
        </w:tc>
        <w:tc>
          <w:tcPr>
            <w:tcW w:w="3538"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Cita informācija</w:t>
            </w:r>
          </w:p>
        </w:tc>
        <w:tc>
          <w:tcPr>
            <w:tcW w:w="4961" w:type="dxa"/>
          </w:tcPr>
          <w:p w:rsidR="004831A6" w:rsidRPr="00AC4171" w:rsidRDefault="004831A6" w:rsidP="004831A6">
            <w:pPr>
              <w:spacing w:after="0" w:line="240" w:lineRule="auto"/>
              <w:rPr>
                <w:rFonts w:ascii="Times New Roman" w:eastAsia="Times New Roman" w:hAnsi="Times New Roman" w:cs="Times New Roman"/>
                <w:sz w:val="24"/>
                <w:szCs w:val="24"/>
                <w:lang w:eastAsia="lv-LV"/>
              </w:rPr>
            </w:pPr>
            <w:r w:rsidRPr="00AC4171">
              <w:rPr>
                <w:rFonts w:ascii="Times New Roman" w:eastAsia="Times New Roman" w:hAnsi="Times New Roman" w:cs="Times New Roman"/>
                <w:sz w:val="24"/>
                <w:szCs w:val="24"/>
                <w:lang w:eastAsia="lv-LV"/>
              </w:rPr>
              <w:t>Nav</w:t>
            </w:r>
            <w:r w:rsidR="00E47CA4" w:rsidRPr="00AC4171">
              <w:rPr>
                <w:rFonts w:ascii="Times New Roman" w:eastAsia="Times New Roman" w:hAnsi="Times New Roman" w:cs="Times New Roman"/>
                <w:sz w:val="24"/>
                <w:szCs w:val="24"/>
                <w:lang w:eastAsia="lv-LV"/>
              </w:rPr>
              <w:t>.</w:t>
            </w:r>
          </w:p>
        </w:tc>
      </w:tr>
    </w:tbl>
    <w:p w:rsidR="004831A6" w:rsidRPr="00AC4171" w:rsidRDefault="004831A6" w:rsidP="004831A6">
      <w:pPr>
        <w:spacing w:after="0" w:line="240" w:lineRule="auto"/>
        <w:ind w:firstLine="375"/>
        <w:jc w:val="both"/>
        <w:rPr>
          <w:rFonts w:ascii="Times New Roman" w:eastAsia="Times New Roman" w:hAnsi="Times New Roman" w:cs="Times New Roman"/>
          <w:sz w:val="26"/>
          <w:szCs w:val="26"/>
          <w:lang w:eastAsia="lv-LV"/>
        </w:rPr>
      </w:pPr>
    </w:p>
    <w:tbl>
      <w:tblPr>
        <w:tblpPr w:leftFromText="180" w:rightFromText="180" w:vertAnchor="text" w:horzAnchor="margin" w:tblpXSpec="center" w:tblpY="149"/>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32"/>
        <w:gridCol w:w="4767"/>
      </w:tblGrid>
      <w:tr w:rsidR="004831A6" w:rsidRPr="00AC4171" w:rsidTr="004A76C9">
        <w:tc>
          <w:tcPr>
            <w:tcW w:w="9330" w:type="dxa"/>
            <w:gridSpan w:val="3"/>
            <w:vAlign w:val="center"/>
          </w:tcPr>
          <w:p w:rsidR="004831A6" w:rsidRPr="00AC4171" w:rsidRDefault="004831A6" w:rsidP="004831A6">
            <w:pPr>
              <w:spacing w:after="0" w:line="240" w:lineRule="auto"/>
              <w:jc w:val="center"/>
              <w:rPr>
                <w:rFonts w:ascii="Times New Roman" w:eastAsia="Times New Roman" w:hAnsi="Times New Roman" w:cs="Times New Roman"/>
                <w:b/>
                <w:bCs/>
                <w:sz w:val="26"/>
                <w:szCs w:val="26"/>
                <w:lang w:eastAsia="lv-LV"/>
              </w:rPr>
            </w:pPr>
            <w:r w:rsidRPr="00AC4171">
              <w:rPr>
                <w:rFonts w:ascii="Times New Roman" w:eastAsia="Times New Roman" w:hAnsi="Times New Roman" w:cs="Times New Roman"/>
                <w:b/>
                <w:bCs/>
                <w:sz w:val="26"/>
                <w:szCs w:val="26"/>
                <w:lang w:eastAsia="lv-LV"/>
              </w:rPr>
              <w:t>II. Tiesību akta projekta ietekme uz sabiedrību</w:t>
            </w:r>
          </w:p>
        </w:tc>
      </w:tr>
      <w:tr w:rsidR="004831A6" w:rsidRPr="00AC4171" w:rsidTr="004A76C9">
        <w:trPr>
          <w:trHeight w:val="467"/>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1.</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Sabiedrības </w:t>
            </w:r>
            <w:proofErr w:type="spellStart"/>
            <w:r w:rsidRPr="00AC4171">
              <w:rPr>
                <w:rFonts w:ascii="Times New Roman" w:eastAsia="Times New Roman" w:hAnsi="Times New Roman" w:cs="Times New Roman"/>
                <w:sz w:val="26"/>
                <w:szCs w:val="26"/>
                <w:lang w:eastAsia="lv-LV"/>
              </w:rPr>
              <w:t>mērķgrupa</w:t>
            </w:r>
            <w:proofErr w:type="spellEnd"/>
          </w:p>
        </w:tc>
        <w:tc>
          <w:tcPr>
            <w:tcW w:w="4767" w:type="dxa"/>
          </w:tcPr>
          <w:p w:rsidR="004831A6" w:rsidRPr="00AC4171" w:rsidRDefault="004831A6" w:rsidP="00E47CA4">
            <w:pPr>
              <w:spacing w:after="0" w:line="240" w:lineRule="auto"/>
              <w:ind w:hanging="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iCs/>
                <w:sz w:val="26"/>
                <w:szCs w:val="26"/>
                <w:lang w:eastAsia="lv-LV"/>
              </w:rPr>
              <w:t> </w:t>
            </w:r>
            <w:r w:rsidR="00E47CA4" w:rsidRPr="00AC4171">
              <w:rPr>
                <w:rFonts w:ascii="Times New Roman" w:eastAsia="Times New Roman" w:hAnsi="Times New Roman" w:cs="Times New Roman"/>
                <w:color w:val="000000"/>
                <w:sz w:val="26"/>
                <w:szCs w:val="26"/>
                <w:lang w:eastAsia="lv-LV"/>
              </w:rPr>
              <w:t>Sabiedriskā transporta pakalpojumu sniedzēji jeb pārvadātāji (aptuveni 50-60 pārvadātāju uzņēmumi kopumā), ar kuriem noslēgti sabiedriskā transporta pakalpojumu pasūtījuma līgumi.</w:t>
            </w:r>
          </w:p>
        </w:tc>
      </w:tr>
      <w:tr w:rsidR="004831A6" w:rsidRPr="00AC4171" w:rsidTr="004A76C9">
        <w:trPr>
          <w:trHeight w:val="523"/>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2.</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Citas sabiedrības grupas (bez </w:t>
            </w:r>
            <w:proofErr w:type="spellStart"/>
            <w:r w:rsidRPr="00AC4171">
              <w:rPr>
                <w:rFonts w:ascii="Times New Roman" w:eastAsia="Times New Roman" w:hAnsi="Times New Roman" w:cs="Times New Roman"/>
                <w:sz w:val="26"/>
                <w:szCs w:val="26"/>
                <w:lang w:eastAsia="lv-LV"/>
              </w:rPr>
              <w:t>mērķgrupas</w:t>
            </w:r>
            <w:proofErr w:type="spellEnd"/>
            <w:r w:rsidRPr="00AC4171">
              <w:rPr>
                <w:rFonts w:ascii="Times New Roman" w:eastAsia="Times New Roman" w:hAnsi="Times New Roman" w:cs="Times New Roman"/>
                <w:sz w:val="26"/>
                <w:szCs w:val="26"/>
                <w:lang w:eastAsia="lv-LV"/>
              </w:rPr>
              <w:t>), kuras tiesiskais regulējums arī ietekmē vai varētu ietekmēt</w:t>
            </w:r>
          </w:p>
        </w:tc>
        <w:tc>
          <w:tcPr>
            <w:tcW w:w="4767" w:type="dxa"/>
          </w:tcPr>
          <w:p w:rsidR="004831A6" w:rsidRPr="00AC4171" w:rsidRDefault="00E47CA4" w:rsidP="00E47CA4">
            <w:pPr>
              <w:spacing w:after="0" w:line="240" w:lineRule="auto"/>
              <w:jc w:val="both"/>
              <w:rPr>
                <w:rFonts w:ascii="Times New Roman" w:eastAsia="Times New Roman" w:hAnsi="Times New Roman" w:cs="Times New Roman"/>
                <w:sz w:val="26"/>
                <w:szCs w:val="26"/>
                <w:lang w:eastAsia="lv-LV"/>
              </w:rPr>
            </w:pPr>
            <w:r w:rsidRPr="00AC4171">
              <w:rPr>
                <w:rFonts w:ascii="Times New Roman" w:eastAsia="EUAlbertina_Bold" w:hAnsi="Times New Roman" w:cs="Times New Roman"/>
                <w:sz w:val="26"/>
                <w:szCs w:val="26"/>
              </w:rPr>
              <w:t>Piegādātāji –</w:t>
            </w:r>
            <w:r w:rsidR="00907DF4">
              <w:rPr>
                <w:rFonts w:ascii="Times New Roman" w:eastAsia="EUAlbertina_Bold" w:hAnsi="Times New Roman" w:cs="Times New Roman"/>
                <w:sz w:val="26"/>
                <w:szCs w:val="26"/>
              </w:rPr>
              <w:t xml:space="preserve"> </w:t>
            </w:r>
            <w:r w:rsidRPr="00AC4171">
              <w:rPr>
                <w:rFonts w:ascii="Times New Roman" w:eastAsia="EUAlbertina_Bold" w:hAnsi="Times New Roman" w:cs="Times New Roman"/>
                <w:sz w:val="26"/>
                <w:szCs w:val="26"/>
              </w:rPr>
              <w:t>autobusu tirgotāji. To aptuvenais skaits nav zināms, jo par piegādātāju var būt gan fiziskas, gan juridiskas personas, tajā skaitā personas no ārvalstīm.</w:t>
            </w:r>
          </w:p>
        </w:tc>
      </w:tr>
      <w:tr w:rsidR="004831A6" w:rsidRPr="00AC4171" w:rsidTr="004A76C9">
        <w:trPr>
          <w:trHeight w:val="517"/>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3.</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Tiesiskā regulējuma finansiālā ietekme</w:t>
            </w:r>
          </w:p>
        </w:tc>
        <w:tc>
          <w:tcPr>
            <w:tcW w:w="4767" w:type="dxa"/>
          </w:tcPr>
          <w:p w:rsidR="004831A6" w:rsidRPr="00AC4171" w:rsidRDefault="00E47CA4" w:rsidP="00E47CA4">
            <w:pPr>
              <w:spacing w:after="0" w:line="240" w:lineRule="auto"/>
              <w:jc w:val="both"/>
              <w:rPr>
                <w:rFonts w:ascii="Times New Roman" w:eastAsia="EUAlbertina_Bold" w:hAnsi="Times New Roman" w:cs="Times New Roman"/>
                <w:sz w:val="26"/>
                <w:szCs w:val="26"/>
              </w:rPr>
            </w:pPr>
            <w:r w:rsidRPr="00AC4171">
              <w:rPr>
                <w:rFonts w:ascii="Times New Roman" w:eastAsia="EUAlbertina_Bold" w:hAnsi="Times New Roman" w:cs="Times New Roman"/>
                <w:sz w:val="26"/>
                <w:szCs w:val="26"/>
              </w:rPr>
              <w:t xml:space="preserve">Nav prognozējama tiesiskā regulējuma konkrēta finansiālā ietekme, bet ir paredzams, ka sākotnēji „tīru” un </w:t>
            </w:r>
            <w:proofErr w:type="spellStart"/>
            <w:r w:rsidRPr="00AC4171">
              <w:rPr>
                <w:rFonts w:ascii="Times New Roman" w:eastAsia="EUAlbertina_Bold" w:hAnsi="Times New Roman" w:cs="Times New Roman"/>
                <w:sz w:val="26"/>
                <w:szCs w:val="26"/>
              </w:rPr>
              <w:t>energoefektīvu</w:t>
            </w:r>
            <w:proofErr w:type="spellEnd"/>
            <w:r w:rsidRPr="00AC4171">
              <w:rPr>
                <w:rFonts w:ascii="Times New Roman" w:eastAsia="EUAlbertina_Bold" w:hAnsi="Times New Roman" w:cs="Times New Roman"/>
                <w:sz w:val="26"/>
                <w:szCs w:val="26"/>
              </w:rPr>
              <w:t xml:space="preserve"> transportlīdzekļu iegādes izmaksas būs lielākas nekā tādu transportlīdzekļu iegādes izmaksas, kuri tiktu iepirkti, neizvērtējot to ekspluatācijas ietekmes uz enerģētiku un vidi faktorus.</w:t>
            </w:r>
          </w:p>
          <w:p w:rsidR="00E47CA4" w:rsidRPr="00AC4171" w:rsidRDefault="00E47CA4" w:rsidP="00E47CA4">
            <w:pPr>
              <w:spacing w:after="0" w:line="240" w:lineRule="auto"/>
              <w:jc w:val="both"/>
              <w:rPr>
                <w:rFonts w:ascii="Times New Roman" w:eastAsia="Times New Roman" w:hAnsi="Times New Roman" w:cs="Times New Roman"/>
                <w:sz w:val="26"/>
                <w:szCs w:val="26"/>
                <w:lang w:eastAsia="lv-LV"/>
              </w:rPr>
            </w:pPr>
            <w:r w:rsidRPr="00AC4171">
              <w:rPr>
                <w:rFonts w:ascii="Times New Roman" w:eastAsia="EUAlbertina_Bold" w:hAnsi="Times New Roman" w:cs="Times New Roman"/>
                <w:sz w:val="26"/>
                <w:szCs w:val="26"/>
              </w:rPr>
              <w:t>Lai arī transportlīdzekļu iegādes izmaksas pieaugs, tomēr, piemērojot noteikumos noteikto metodiku transportlīdzekļu darbmūža ekspluatācijas izmaksu aprēķināšanai un pieņemot lēmumu transportlīdzekļu iepirkumā, tiks vērtētas transportlīdzekļu izmaksas visā to darbmūžā, līdz ar to tiks iepirkti tādi transportlīdzekļi, kas ilgtermiņā nodrošinās vismazākās izmaksas.</w:t>
            </w:r>
          </w:p>
        </w:tc>
      </w:tr>
      <w:tr w:rsidR="004831A6" w:rsidRPr="00AC4171" w:rsidTr="004A76C9">
        <w:trPr>
          <w:trHeight w:val="517"/>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4.</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Tiesiskā regulējuma nefinansiālā ietekme</w:t>
            </w:r>
          </w:p>
        </w:tc>
        <w:tc>
          <w:tcPr>
            <w:tcW w:w="4767" w:type="dxa"/>
          </w:tcPr>
          <w:p w:rsidR="004831A6" w:rsidRPr="00AC4171" w:rsidRDefault="008473E1" w:rsidP="00907DF4">
            <w:pPr>
              <w:widowControl w:val="0"/>
              <w:suppressAutoHyphens/>
              <w:spacing w:after="60" w:line="240" w:lineRule="auto"/>
              <w:jc w:val="both"/>
              <w:rPr>
                <w:rFonts w:ascii="Times New Roman" w:eastAsia="EUAlbertina_Bold" w:hAnsi="Times New Roman" w:cs="Times New Roman"/>
                <w:kern w:val="1"/>
                <w:sz w:val="26"/>
                <w:szCs w:val="26"/>
              </w:rPr>
            </w:pPr>
            <w:r w:rsidRPr="00AC4171">
              <w:rPr>
                <w:rFonts w:ascii="Times New Roman" w:eastAsia="EUAlbertina_Bold" w:hAnsi="Times New Roman" w:cs="Times New Roman"/>
                <w:kern w:val="1"/>
                <w:sz w:val="26"/>
                <w:szCs w:val="26"/>
              </w:rPr>
              <w:t xml:space="preserve">Piemērojot noteikumus, tiks izvērtētas autotransporta līdzekļa izmaksas visā tā darbmūžā, tāpēc, lai, noteikumos paredzētajā gadījumā, uzvarētu iepirkumā, piegādātājiem būs jāpiedāvā iespējami „tīrāks” un </w:t>
            </w:r>
            <w:proofErr w:type="spellStart"/>
            <w:r w:rsidRPr="00AC4171">
              <w:rPr>
                <w:rFonts w:ascii="Times New Roman" w:eastAsia="EUAlbertina_Bold" w:hAnsi="Times New Roman" w:cs="Times New Roman"/>
                <w:kern w:val="1"/>
                <w:sz w:val="26"/>
                <w:szCs w:val="26"/>
              </w:rPr>
              <w:t>energoefektīvāks</w:t>
            </w:r>
            <w:proofErr w:type="spellEnd"/>
            <w:r w:rsidRPr="00AC4171">
              <w:rPr>
                <w:rFonts w:ascii="Times New Roman" w:eastAsia="EUAlbertina_Bold" w:hAnsi="Times New Roman" w:cs="Times New Roman"/>
                <w:kern w:val="1"/>
                <w:sz w:val="26"/>
                <w:szCs w:val="26"/>
              </w:rPr>
              <w:t xml:space="preserve"> transportlīdzeklis vai arī jāsamazina tā cena. Palielinoties šādu transportlīdzekļu iegādes apjomam, ilgtermiņā sagaidāma siltumnīcefekta gāžu </w:t>
            </w:r>
            <w:r w:rsidRPr="00AC4171">
              <w:rPr>
                <w:rFonts w:ascii="Times New Roman" w:eastAsia="EUAlbertina_Bold" w:hAnsi="Times New Roman" w:cs="Times New Roman"/>
                <w:kern w:val="1"/>
                <w:sz w:val="26"/>
                <w:szCs w:val="26"/>
              </w:rPr>
              <w:lastRenderedPageBreak/>
              <w:t>daudzuma samazināšanās, kas labvēlīgi ietekmēs vidi un uzlabos gaisa kvalitāti.</w:t>
            </w:r>
          </w:p>
        </w:tc>
      </w:tr>
      <w:tr w:rsidR="004831A6" w:rsidRPr="00AC4171" w:rsidTr="004A76C9">
        <w:trPr>
          <w:trHeight w:val="531"/>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lastRenderedPageBreak/>
              <w:t>5.</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Administratīvās procedūras raksturojums</w:t>
            </w:r>
          </w:p>
        </w:tc>
        <w:tc>
          <w:tcPr>
            <w:tcW w:w="4767" w:type="dxa"/>
          </w:tcPr>
          <w:p w:rsidR="004831A6" w:rsidRPr="00AC4171" w:rsidRDefault="008473E1"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4A76C9">
        <w:trPr>
          <w:trHeight w:val="357"/>
        </w:trPr>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6.</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Administratīvo izmaksu monetārs novērtējums</w:t>
            </w:r>
          </w:p>
        </w:tc>
        <w:tc>
          <w:tcPr>
            <w:tcW w:w="4767" w:type="dxa"/>
          </w:tcPr>
          <w:p w:rsidR="004831A6" w:rsidRPr="00AC4171" w:rsidRDefault="008473E1"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4A76C9">
        <w:tc>
          <w:tcPr>
            <w:tcW w:w="431"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7.</w:t>
            </w:r>
          </w:p>
        </w:tc>
        <w:tc>
          <w:tcPr>
            <w:tcW w:w="4132"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Cita informācija</w:t>
            </w:r>
          </w:p>
        </w:tc>
        <w:tc>
          <w:tcPr>
            <w:tcW w:w="4767" w:type="dxa"/>
          </w:tcPr>
          <w:p w:rsidR="004831A6" w:rsidRPr="00AC4171" w:rsidRDefault="004831A6" w:rsidP="004831A6">
            <w:pPr>
              <w:spacing w:after="0" w:line="240" w:lineRule="auto"/>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w:t>
            </w:r>
            <w:r w:rsidR="008473E1" w:rsidRPr="00AC4171">
              <w:rPr>
                <w:rFonts w:ascii="Times New Roman" w:eastAsia="Times New Roman" w:hAnsi="Times New Roman" w:cs="Times New Roman"/>
                <w:sz w:val="26"/>
                <w:szCs w:val="26"/>
                <w:lang w:eastAsia="lv-LV"/>
              </w:rPr>
              <w:t>.</w:t>
            </w:r>
          </w:p>
        </w:tc>
      </w:tr>
    </w:tbl>
    <w:p w:rsidR="004831A6" w:rsidRPr="00AC4171" w:rsidRDefault="004831A6" w:rsidP="004831A6">
      <w:pPr>
        <w:spacing w:after="0" w:line="240" w:lineRule="auto"/>
        <w:ind w:firstLine="375"/>
        <w:jc w:val="both"/>
        <w:rPr>
          <w:rFonts w:ascii="Times New Roman" w:eastAsia="Times New Roman" w:hAnsi="Times New Roman" w:cs="Times New Roman"/>
          <w:sz w:val="26"/>
          <w:szCs w:val="26"/>
          <w:lang w:eastAsia="lv-LV"/>
        </w:rPr>
      </w:pPr>
    </w:p>
    <w:p w:rsidR="004831A6" w:rsidRPr="00AC4171" w:rsidRDefault="004831A6" w:rsidP="004831A6">
      <w:pPr>
        <w:tabs>
          <w:tab w:val="left" w:pos="2628"/>
        </w:tabs>
        <w:spacing w:after="0" w:line="240" w:lineRule="auto"/>
        <w:rPr>
          <w:rFonts w:ascii="Times New Roman" w:eastAsia="Times New Roman" w:hAnsi="Times New Roman" w:cs="Times New Roman"/>
          <w:i/>
          <w:sz w:val="26"/>
          <w:szCs w:val="26"/>
          <w:lang w:eastAsia="lv-LV"/>
        </w:rPr>
      </w:pPr>
    </w:p>
    <w:p w:rsidR="004831A6" w:rsidRPr="00AC4171" w:rsidRDefault="004831A6" w:rsidP="004831A6">
      <w:pPr>
        <w:spacing w:after="0" w:line="240" w:lineRule="auto"/>
        <w:ind w:firstLine="720"/>
        <w:jc w:val="both"/>
        <w:rPr>
          <w:rFonts w:ascii="Times New Roman" w:eastAsia="Times New Roman" w:hAnsi="Times New Roman" w:cs="Times New Roman"/>
          <w:sz w:val="26"/>
          <w:szCs w:val="26"/>
          <w:lang w:eastAsia="lv-LV"/>
        </w:rPr>
      </w:pPr>
    </w:p>
    <w:tbl>
      <w:tblPr>
        <w:tblW w:w="9357"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10"/>
        <w:gridCol w:w="3118"/>
        <w:gridCol w:w="5529"/>
      </w:tblGrid>
      <w:tr w:rsidR="004831A6" w:rsidRPr="00AC4171" w:rsidTr="00BF1427">
        <w:tc>
          <w:tcPr>
            <w:tcW w:w="9357" w:type="dxa"/>
            <w:gridSpan w:val="3"/>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jc w:val="center"/>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V. Tiesību akta projekta atbilstība Latvijas Republikas starptautiskajām saistībām</w:t>
            </w:r>
          </w:p>
        </w:tc>
      </w:tr>
      <w:tr w:rsidR="004831A6" w:rsidRPr="00AC4171" w:rsidTr="00BF1427">
        <w:tc>
          <w:tcPr>
            <w:tcW w:w="71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1.</w:t>
            </w:r>
          </w:p>
        </w:tc>
        <w:tc>
          <w:tcPr>
            <w:tcW w:w="3118"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Saistības pret Eiropas Savienību</w:t>
            </w:r>
          </w:p>
        </w:tc>
        <w:tc>
          <w:tcPr>
            <w:tcW w:w="5529" w:type="dxa"/>
            <w:tcBorders>
              <w:top w:val="outset" w:sz="6" w:space="0" w:color="auto"/>
              <w:left w:val="outset" w:sz="6" w:space="0" w:color="auto"/>
              <w:bottom w:val="outset" w:sz="6" w:space="0" w:color="auto"/>
              <w:right w:val="outset" w:sz="6" w:space="0" w:color="auto"/>
            </w:tcBorders>
          </w:tcPr>
          <w:p w:rsidR="008473E1" w:rsidRPr="00AC4171" w:rsidRDefault="008473E1" w:rsidP="00907DF4">
            <w:pPr>
              <w:spacing w:after="0" w:line="240" w:lineRule="auto"/>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Eiropas Parlamenta un Padomes 2009.gada 23.aprīļa direktīva 2009/33/EK par “tīro” un </w:t>
            </w:r>
            <w:proofErr w:type="spellStart"/>
            <w:r w:rsidRPr="00AC4171">
              <w:rPr>
                <w:rFonts w:ascii="Times New Roman" w:eastAsia="Times New Roman" w:hAnsi="Times New Roman" w:cs="Times New Roman"/>
                <w:sz w:val="26"/>
                <w:szCs w:val="26"/>
                <w:lang w:eastAsia="lv-LV"/>
              </w:rPr>
              <w:t>energoefektīvo</w:t>
            </w:r>
            <w:proofErr w:type="spellEnd"/>
            <w:r w:rsidRPr="00AC4171">
              <w:rPr>
                <w:rFonts w:ascii="Times New Roman" w:eastAsia="Times New Roman" w:hAnsi="Times New Roman" w:cs="Times New Roman"/>
                <w:sz w:val="26"/>
                <w:szCs w:val="26"/>
                <w:lang w:eastAsia="lv-LV"/>
              </w:rPr>
              <w:t xml:space="preserve"> autotransporta līdzekļu izmantošanas veicināšanu.</w:t>
            </w:r>
          </w:p>
          <w:p w:rsidR="008473E1" w:rsidRPr="00AC4171" w:rsidRDefault="00AA65FD" w:rsidP="00907DF4">
            <w:pPr>
              <w:spacing w:after="0" w:line="240" w:lineRule="auto"/>
              <w:jc w:val="both"/>
              <w:rPr>
                <w:rFonts w:ascii="Times New Roman" w:eastAsia="Times New Roman" w:hAnsi="Times New Roman" w:cs="Times New Roman"/>
                <w:sz w:val="26"/>
                <w:szCs w:val="26"/>
                <w:lang w:eastAsia="lv-LV"/>
              </w:rPr>
            </w:pPr>
            <w:r w:rsidRPr="00AC4171">
              <w:rPr>
                <w:rFonts w:ascii="Times New Roman" w:eastAsia="EUAlbertina_Bold" w:hAnsi="Times New Roman" w:cs="Times New Roman"/>
                <w:sz w:val="26"/>
                <w:szCs w:val="26"/>
              </w:rPr>
              <w:t>Minētā direktīva jāpārņem nacionālajos normatīvajos aktos līdz 2010.gada 4.decembrim.</w:t>
            </w:r>
          </w:p>
          <w:p w:rsidR="002B132B" w:rsidRPr="00AC4171" w:rsidRDefault="008473E1" w:rsidP="00907DF4">
            <w:pPr>
              <w:spacing w:after="0" w:line="240" w:lineRule="auto"/>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Direktīvas 2009/33/EK normas </w:t>
            </w:r>
            <w:r w:rsidR="002B132B" w:rsidRPr="00AC4171">
              <w:rPr>
                <w:rFonts w:ascii="Times New Roman" w:eastAsia="Times New Roman" w:hAnsi="Times New Roman" w:cs="Times New Roman"/>
                <w:sz w:val="26"/>
                <w:szCs w:val="26"/>
                <w:lang w:eastAsia="lv-LV"/>
              </w:rPr>
              <w:t xml:space="preserve">attiecībā uz subjektiem, kas minēti direktīvas 3.panta a) punktā </w:t>
            </w:r>
            <w:r w:rsidRPr="00AC4171">
              <w:rPr>
                <w:rFonts w:ascii="Times New Roman" w:eastAsia="Times New Roman" w:hAnsi="Times New Roman" w:cs="Times New Roman"/>
                <w:sz w:val="26"/>
                <w:szCs w:val="26"/>
                <w:lang w:eastAsia="lv-LV"/>
              </w:rPr>
              <w:t>ir ieviestas ar Publisko iepirkumu likumu, Sabiedrisko pakalpojumu sniedzēju iepirkumu likumu un Ministru kabineta 2010.gada 21.decembra noteikumiem Nr.1184 „Noteikumi par transportlīdzekļu kategorijām, uz kurām iepirkumos attiecināmas īpašas prasības, un transportlīdzekļu darbmūža ekspluatācijas izmaksu aprēķināšanas metodiku”</w:t>
            </w:r>
            <w:r w:rsidR="002B132B" w:rsidRPr="00AC4171">
              <w:rPr>
                <w:rFonts w:ascii="Times New Roman" w:eastAsia="Times New Roman" w:hAnsi="Times New Roman" w:cs="Times New Roman"/>
                <w:sz w:val="26"/>
                <w:szCs w:val="26"/>
                <w:lang w:eastAsia="lv-LV"/>
              </w:rPr>
              <w:t>.</w:t>
            </w:r>
          </w:p>
          <w:p w:rsidR="004831A6" w:rsidRPr="00AC4171" w:rsidRDefault="00A53D41" w:rsidP="00907DF4">
            <w:pPr>
              <w:spacing w:after="0" w:line="240" w:lineRule="auto"/>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Ar 2013.gada 23.maija grozījumiem Sabiedriskā transporta pakalpojumu likumā Direktīvas 2009/33/EK normas ir attiecināmas arī uz subjektiem, kas minēti direktīvas 3.panta b) punktā, un kas nav Publisko iepirkumu likuma un Sabiedrisko pakalpojumu sniedzēju iepirkumu likuma subjekti.</w:t>
            </w:r>
          </w:p>
        </w:tc>
      </w:tr>
      <w:tr w:rsidR="004831A6" w:rsidRPr="00AC4171" w:rsidTr="00BF1427">
        <w:tc>
          <w:tcPr>
            <w:tcW w:w="71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2.</w:t>
            </w:r>
          </w:p>
        </w:tc>
        <w:tc>
          <w:tcPr>
            <w:tcW w:w="3118"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Citas starptautiskās saistības</w:t>
            </w:r>
          </w:p>
        </w:tc>
        <w:tc>
          <w:tcPr>
            <w:tcW w:w="5529" w:type="dxa"/>
            <w:tcBorders>
              <w:top w:val="outset" w:sz="6" w:space="0" w:color="auto"/>
              <w:left w:val="outset" w:sz="6" w:space="0" w:color="auto"/>
              <w:bottom w:val="outset" w:sz="6" w:space="0" w:color="auto"/>
              <w:right w:val="outset" w:sz="6" w:space="0" w:color="auto"/>
            </w:tcBorders>
          </w:tcPr>
          <w:p w:rsidR="004831A6" w:rsidRPr="00AC4171" w:rsidRDefault="002B132B"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c>
          <w:tcPr>
            <w:tcW w:w="71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3.</w:t>
            </w:r>
          </w:p>
        </w:tc>
        <w:tc>
          <w:tcPr>
            <w:tcW w:w="3118"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Cita informācija</w:t>
            </w:r>
          </w:p>
        </w:tc>
        <w:tc>
          <w:tcPr>
            <w:tcW w:w="5529"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w:t>
            </w:r>
            <w:r w:rsidR="002B132B" w:rsidRPr="00AC4171">
              <w:rPr>
                <w:rFonts w:ascii="Times New Roman" w:eastAsia="Times New Roman" w:hAnsi="Times New Roman" w:cs="Times New Roman"/>
                <w:sz w:val="26"/>
                <w:szCs w:val="26"/>
                <w:lang w:eastAsia="lv-LV"/>
              </w:rPr>
              <w:t>.</w:t>
            </w:r>
          </w:p>
        </w:tc>
      </w:tr>
    </w:tbl>
    <w:p w:rsidR="004831A6" w:rsidRPr="00AC4171" w:rsidRDefault="004831A6" w:rsidP="004831A6">
      <w:pPr>
        <w:spacing w:after="0" w:line="240" w:lineRule="auto"/>
        <w:rPr>
          <w:rFonts w:ascii="Times New Roman" w:eastAsia="Times New Roman" w:hAnsi="Times New Roman" w:cs="Times New Roman"/>
          <w:sz w:val="26"/>
          <w:szCs w:val="26"/>
          <w:lang w:eastAsia="lv-LV"/>
        </w:rPr>
      </w:pPr>
    </w:p>
    <w:p w:rsidR="004831A6" w:rsidRPr="00AC4171" w:rsidRDefault="004831A6" w:rsidP="004831A6">
      <w:pPr>
        <w:spacing w:after="0" w:line="240" w:lineRule="auto"/>
        <w:rPr>
          <w:rFonts w:ascii="Times New Roman" w:eastAsia="Times New Roman" w:hAnsi="Times New Roman" w:cs="Times New Roman"/>
          <w:sz w:val="26"/>
          <w:szCs w:val="26"/>
          <w:lang w:eastAsia="lv-LV"/>
        </w:rPr>
      </w:pPr>
    </w:p>
    <w:tbl>
      <w:tblPr>
        <w:tblW w:w="9498"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50"/>
        <w:gridCol w:w="2145"/>
        <w:gridCol w:w="2426"/>
        <w:gridCol w:w="2677"/>
      </w:tblGrid>
      <w:tr w:rsidR="004831A6" w:rsidRPr="00AC4171" w:rsidTr="00BF1427">
        <w:trPr>
          <w:cantSplit/>
          <w:trHeight w:val="523"/>
        </w:trPr>
        <w:tc>
          <w:tcPr>
            <w:tcW w:w="9498" w:type="dxa"/>
            <w:gridSpan w:val="4"/>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1.tabula</w:t>
            </w:r>
          </w:p>
          <w:p w:rsidR="004831A6" w:rsidRPr="00AC4171" w:rsidRDefault="004831A6" w:rsidP="004831A6">
            <w:pPr>
              <w:spacing w:after="0" w:line="240" w:lineRule="auto"/>
              <w:ind w:left="57"/>
              <w:jc w:val="center"/>
              <w:rPr>
                <w:rFonts w:ascii="Times New Roman" w:eastAsia="Times New Roman" w:hAnsi="Times New Roman" w:cs="Times New Roman"/>
                <w:sz w:val="26"/>
                <w:szCs w:val="26"/>
                <w:lang w:eastAsia="lv-LV"/>
              </w:rPr>
            </w:pPr>
            <w:r w:rsidRPr="00AC4171">
              <w:rPr>
                <w:rFonts w:ascii="Times New Roman" w:eastAsia="Times New Roman" w:hAnsi="Times New Roman" w:cs="Times New Roman"/>
                <w:b/>
                <w:sz w:val="26"/>
                <w:szCs w:val="26"/>
                <w:lang w:eastAsia="lv-LV"/>
              </w:rPr>
              <w:t>Tiesību akta projekta atbilstība ES tiesību aktiem</w:t>
            </w:r>
          </w:p>
        </w:tc>
      </w:tr>
      <w:tr w:rsidR="004831A6" w:rsidRPr="00AC4171" w:rsidTr="00BF1427">
        <w:trPr>
          <w:cantSplit/>
        </w:trPr>
        <w:tc>
          <w:tcPr>
            <w:tcW w:w="225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lastRenderedPageBreak/>
              <w:t>Attiecīgā ES tiesību akta datums, numurs un nosaukums</w:t>
            </w:r>
          </w:p>
        </w:tc>
        <w:tc>
          <w:tcPr>
            <w:tcW w:w="7248" w:type="dxa"/>
            <w:gridSpan w:val="3"/>
            <w:tcBorders>
              <w:top w:val="outset" w:sz="6" w:space="0" w:color="auto"/>
              <w:left w:val="outset" w:sz="6" w:space="0" w:color="auto"/>
              <w:bottom w:val="outset" w:sz="6" w:space="0" w:color="auto"/>
              <w:right w:val="outset" w:sz="6" w:space="0" w:color="auto"/>
            </w:tcBorders>
          </w:tcPr>
          <w:p w:rsidR="004831A6" w:rsidRPr="00AC4171" w:rsidRDefault="004A76C9"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Eiropas Parlamenta un Padomes 2009.gada 23.aprīļa direktīva 2009/33/EK par „tīro” un </w:t>
            </w:r>
            <w:proofErr w:type="spellStart"/>
            <w:r w:rsidRPr="00AC4171">
              <w:rPr>
                <w:rFonts w:ascii="Times New Roman" w:eastAsia="Times New Roman" w:hAnsi="Times New Roman" w:cs="Times New Roman"/>
                <w:sz w:val="26"/>
                <w:szCs w:val="26"/>
                <w:lang w:eastAsia="lv-LV"/>
              </w:rPr>
              <w:t>energoefektīvo</w:t>
            </w:r>
            <w:proofErr w:type="spellEnd"/>
            <w:r w:rsidRPr="00AC4171">
              <w:rPr>
                <w:rFonts w:ascii="Times New Roman" w:eastAsia="Times New Roman" w:hAnsi="Times New Roman" w:cs="Times New Roman"/>
                <w:sz w:val="26"/>
                <w:szCs w:val="26"/>
                <w:lang w:eastAsia="lv-LV"/>
              </w:rPr>
              <w:t xml:space="preserve"> autotransporta līdzekļu izmantošanas veicināšanu.</w:t>
            </w:r>
          </w:p>
        </w:tc>
      </w:tr>
      <w:tr w:rsidR="004831A6" w:rsidRPr="00AC4171" w:rsidTr="00BF1427">
        <w:trPr>
          <w:cantSplit/>
        </w:trPr>
        <w:tc>
          <w:tcPr>
            <w:tcW w:w="2250" w:type="dxa"/>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A</w:t>
            </w:r>
          </w:p>
        </w:tc>
        <w:tc>
          <w:tcPr>
            <w:tcW w:w="2145" w:type="dxa"/>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B</w:t>
            </w:r>
          </w:p>
        </w:tc>
        <w:tc>
          <w:tcPr>
            <w:tcW w:w="2426" w:type="dxa"/>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w:t>
            </w:r>
          </w:p>
        </w:tc>
        <w:tc>
          <w:tcPr>
            <w:tcW w:w="2677" w:type="dxa"/>
            <w:tcBorders>
              <w:top w:val="outset" w:sz="6" w:space="0" w:color="auto"/>
              <w:left w:val="outset" w:sz="6" w:space="0" w:color="auto"/>
              <w:bottom w:val="outset" w:sz="6"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D</w:t>
            </w:r>
          </w:p>
        </w:tc>
      </w:tr>
      <w:tr w:rsidR="004831A6" w:rsidRPr="00AC4171" w:rsidTr="00BF1427">
        <w:trPr>
          <w:cantSplit/>
          <w:trHeight w:val="4499"/>
        </w:trPr>
        <w:tc>
          <w:tcPr>
            <w:tcW w:w="2250" w:type="dxa"/>
            <w:tcBorders>
              <w:top w:val="outset" w:sz="6" w:space="0" w:color="auto"/>
              <w:left w:val="outset" w:sz="6" w:space="0" w:color="auto"/>
              <w:bottom w:val="outset" w:sz="6" w:space="0" w:color="auto"/>
              <w:right w:val="outset" w:sz="6" w:space="0" w:color="auto"/>
            </w:tcBorders>
          </w:tcPr>
          <w:p w:rsidR="004831A6" w:rsidRPr="00AC4171" w:rsidRDefault="007B7879" w:rsidP="004831A6">
            <w:pPr>
              <w:spacing w:after="12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1.pants</w:t>
            </w:r>
          </w:p>
        </w:tc>
        <w:tc>
          <w:tcPr>
            <w:tcW w:w="2145" w:type="dxa"/>
            <w:tcBorders>
              <w:top w:val="outset" w:sz="6" w:space="0" w:color="auto"/>
              <w:left w:val="outset" w:sz="6" w:space="0" w:color="auto"/>
              <w:bottom w:val="outset" w:sz="6" w:space="0" w:color="auto"/>
              <w:right w:val="outset" w:sz="6" w:space="0" w:color="auto"/>
            </w:tcBorders>
          </w:tcPr>
          <w:p w:rsidR="004831A6" w:rsidRPr="00AC4171" w:rsidRDefault="007B7879" w:rsidP="007B7879">
            <w:pPr>
              <w:spacing w:after="120" w:line="240" w:lineRule="auto"/>
              <w:ind w:left="57"/>
              <w:jc w:val="both"/>
              <w:rPr>
                <w:rFonts w:ascii="Times New Roman" w:eastAsia="Times New Roman" w:hAnsi="Times New Roman" w:cs="Times New Roman"/>
                <w:spacing w:val="-2"/>
                <w:sz w:val="26"/>
                <w:szCs w:val="26"/>
                <w:lang w:eastAsia="lv-LV"/>
              </w:rPr>
            </w:pPr>
            <w:r w:rsidRPr="00AC4171">
              <w:rPr>
                <w:rFonts w:ascii="Times New Roman" w:hAnsi="Times New Roman" w:cs="Times New Roman"/>
                <w:sz w:val="26"/>
                <w:szCs w:val="26"/>
              </w:rPr>
              <w:t>Pārņemts Publisko iepirkumu likuma (turpmāk –PIL) 46.</w:t>
            </w:r>
            <w:r w:rsidRPr="00AC4171">
              <w:rPr>
                <w:rFonts w:ascii="Times New Roman" w:hAnsi="Times New Roman" w:cs="Times New Roman"/>
                <w:sz w:val="26"/>
                <w:szCs w:val="26"/>
                <w:vertAlign w:val="superscript"/>
              </w:rPr>
              <w:t>1</w:t>
            </w:r>
            <w:r w:rsidRPr="00AC4171">
              <w:rPr>
                <w:rFonts w:ascii="Times New Roman" w:hAnsi="Times New Roman" w:cs="Times New Roman"/>
                <w:sz w:val="26"/>
                <w:szCs w:val="26"/>
              </w:rPr>
              <w:t xml:space="preserve"> panta pirmajā daļā, Sabiedrisko pakalpojumu sniedzēju iepirkuma likuma (turpmāk – SPSIL) 19.panta pirmajā daļā un Sabiedriskā transporta pakalpojumu likuma (turpmāk – STPL) 18.panta pirmajā daļā.</w:t>
            </w:r>
          </w:p>
        </w:tc>
        <w:tc>
          <w:tcPr>
            <w:tcW w:w="2426" w:type="dxa"/>
            <w:tcBorders>
              <w:top w:val="outset" w:sz="6" w:space="0" w:color="auto"/>
              <w:left w:val="outset" w:sz="6" w:space="0" w:color="auto"/>
              <w:bottom w:val="outset" w:sz="6" w:space="0" w:color="auto"/>
              <w:right w:val="outset" w:sz="6" w:space="0" w:color="auto"/>
            </w:tcBorders>
          </w:tcPr>
          <w:p w:rsidR="004831A6" w:rsidRPr="00AC4171" w:rsidRDefault="00032E8E" w:rsidP="007B7879">
            <w:pPr>
              <w:spacing w:after="0" w:line="240" w:lineRule="auto"/>
              <w:ind w:left="57"/>
              <w:jc w:val="both"/>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pacing w:val="-2"/>
                <w:sz w:val="26"/>
                <w:szCs w:val="26"/>
                <w:lang w:eastAsia="lv-LV"/>
              </w:rPr>
            </w:pPr>
          </w:p>
        </w:tc>
      </w:tr>
      <w:tr w:rsidR="007B7879" w:rsidRPr="00AC4171" w:rsidTr="00BF1427">
        <w:trPr>
          <w:cantSplit/>
          <w:trHeight w:val="2068"/>
        </w:trPr>
        <w:tc>
          <w:tcPr>
            <w:tcW w:w="2250" w:type="dxa"/>
            <w:tcBorders>
              <w:top w:val="outset" w:sz="6" w:space="0" w:color="auto"/>
              <w:left w:val="outset" w:sz="6" w:space="0" w:color="auto"/>
              <w:bottom w:val="outset" w:sz="6" w:space="0" w:color="auto"/>
              <w:right w:val="outset" w:sz="6" w:space="0" w:color="auto"/>
            </w:tcBorders>
          </w:tcPr>
          <w:p w:rsidR="007B7879" w:rsidRPr="00AC4171" w:rsidRDefault="007B7879" w:rsidP="004831A6">
            <w:pPr>
              <w:spacing w:after="12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lastRenderedPageBreak/>
              <w:t>2.pants</w:t>
            </w:r>
          </w:p>
        </w:tc>
        <w:tc>
          <w:tcPr>
            <w:tcW w:w="2145" w:type="dxa"/>
            <w:tcBorders>
              <w:top w:val="outset" w:sz="6" w:space="0" w:color="auto"/>
              <w:left w:val="outset" w:sz="6" w:space="0" w:color="auto"/>
              <w:bottom w:val="outset" w:sz="6" w:space="0" w:color="auto"/>
              <w:right w:val="outset" w:sz="6" w:space="0" w:color="auto"/>
            </w:tcBorders>
          </w:tcPr>
          <w:p w:rsidR="007B7879" w:rsidRPr="00AC4171" w:rsidRDefault="007B7879" w:rsidP="007B7879">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Netiek pārņemts</w:t>
            </w:r>
            <w:r w:rsidRPr="00AC4171">
              <w:rPr>
                <w:sz w:val="26"/>
                <w:szCs w:val="26"/>
              </w:rPr>
              <w:t>.</w:t>
            </w:r>
          </w:p>
        </w:tc>
        <w:tc>
          <w:tcPr>
            <w:tcW w:w="2426" w:type="dxa"/>
            <w:tcBorders>
              <w:top w:val="outset" w:sz="6" w:space="0" w:color="auto"/>
              <w:left w:val="outset" w:sz="6" w:space="0" w:color="auto"/>
              <w:bottom w:val="outset" w:sz="6" w:space="0" w:color="auto"/>
              <w:right w:val="outset" w:sz="6" w:space="0" w:color="auto"/>
            </w:tcBorders>
          </w:tcPr>
          <w:p w:rsidR="007B7879" w:rsidRPr="00AC4171" w:rsidRDefault="007B7879" w:rsidP="007B7879">
            <w:pPr>
              <w:spacing w:after="0" w:line="240" w:lineRule="auto"/>
              <w:ind w:left="57"/>
              <w:jc w:val="both"/>
              <w:rPr>
                <w:rFonts w:ascii="Times New Roman" w:hAnsi="Times New Roman" w:cs="Times New Roman"/>
                <w:sz w:val="26"/>
                <w:szCs w:val="26"/>
              </w:rPr>
            </w:pPr>
            <w:r w:rsidRPr="00AC4171">
              <w:rPr>
                <w:rFonts w:ascii="Times New Roman" w:eastAsia="Times New Roman" w:hAnsi="Times New Roman" w:cs="Times New Roman"/>
                <w:sz w:val="26"/>
                <w:szCs w:val="26"/>
                <w:lang w:eastAsia="lv-LV"/>
              </w:rPr>
              <w:t>Projekts neattiecas uz tādu transportlīdzekļu iegādi un izmantošanu, kas minēti Direktīvas 2007/46/EK 2.panta 3.punktā.  Direktīvas 2.pantā paredzētie izņēmumi ir noteikti Ministru kabineta 2010.gada 21.decembra noteikumu Nr.1184 „Noteikumi par transportlīdzekļu kategorijām, uz kurām iepirkumos attiecināmas īpašas prasības, un transportlīdzekļu darbmūža ekspluatācijas izmaksu aprēķināšanas metodiku”</w:t>
            </w:r>
            <w:r w:rsidR="00C82F40" w:rsidRPr="00AC4171">
              <w:rPr>
                <w:rFonts w:ascii="Times New Roman" w:eastAsia="Times New Roman" w:hAnsi="Times New Roman" w:cs="Times New Roman"/>
                <w:sz w:val="26"/>
                <w:szCs w:val="26"/>
                <w:lang w:eastAsia="lv-LV"/>
              </w:rPr>
              <w:t xml:space="preserve"> (turpmāk – MK noteikumi Nr.1184)</w:t>
            </w:r>
            <w:r w:rsidRPr="00AC4171">
              <w:rPr>
                <w:rFonts w:ascii="Times New Roman" w:eastAsia="Times New Roman" w:hAnsi="Times New Roman" w:cs="Times New Roman"/>
                <w:sz w:val="26"/>
                <w:szCs w:val="26"/>
                <w:lang w:eastAsia="lv-LV"/>
              </w:rPr>
              <w:t xml:space="preserve"> 2.punktā.</w:t>
            </w:r>
          </w:p>
        </w:tc>
        <w:tc>
          <w:tcPr>
            <w:tcW w:w="2677" w:type="dxa"/>
            <w:tcBorders>
              <w:top w:val="outset" w:sz="6" w:space="0" w:color="auto"/>
              <w:left w:val="outset" w:sz="6" w:space="0" w:color="auto"/>
              <w:bottom w:val="outset" w:sz="6" w:space="0" w:color="auto"/>
              <w:right w:val="outset" w:sz="6" w:space="0" w:color="auto"/>
            </w:tcBorders>
          </w:tcPr>
          <w:p w:rsidR="007B7879" w:rsidRPr="00AC4171" w:rsidRDefault="007B7879" w:rsidP="004831A6">
            <w:pPr>
              <w:spacing w:after="0" w:line="240" w:lineRule="auto"/>
              <w:ind w:left="57"/>
              <w:rPr>
                <w:rFonts w:ascii="Times New Roman" w:eastAsia="Times New Roman" w:hAnsi="Times New Roman" w:cs="Times New Roman"/>
                <w:spacing w:val="-2"/>
                <w:sz w:val="26"/>
                <w:szCs w:val="26"/>
                <w:lang w:eastAsia="lv-LV"/>
              </w:rPr>
            </w:pPr>
          </w:p>
        </w:tc>
      </w:tr>
      <w:tr w:rsidR="00032E8E" w:rsidRPr="00AC4171" w:rsidTr="00BF1427">
        <w:trPr>
          <w:cantSplit/>
          <w:trHeight w:val="695"/>
        </w:trPr>
        <w:tc>
          <w:tcPr>
            <w:tcW w:w="2250" w:type="dxa"/>
            <w:tcBorders>
              <w:top w:val="outset" w:sz="6" w:space="0" w:color="auto"/>
              <w:left w:val="outset" w:sz="6" w:space="0" w:color="auto"/>
              <w:bottom w:val="outset" w:sz="6" w:space="0" w:color="auto"/>
              <w:right w:val="outset" w:sz="6" w:space="0" w:color="auto"/>
            </w:tcBorders>
          </w:tcPr>
          <w:p w:rsidR="00032E8E" w:rsidRPr="00AC4171" w:rsidRDefault="00032E8E"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3.panta</w:t>
            </w:r>
          </w:p>
          <w:p w:rsidR="00032E8E" w:rsidRPr="00AC4171" w:rsidRDefault="00032E8E"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a)</w:t>
            </w:r>
            <w:r w:rsidR="00525BD4" w:rsidRPr="00AC4171">
              <w:rPr>
                <w:rFonts w:ascii="Times New Roman" w:eastAsia="Times New Roman" w:hAnsi="Times New Roman" w:cs="Times New Roman"/>
                <w:spacing w:val="-2"/>
                <w:sz w:val="26"/>
                <w:szCs w:val="26"/>
                <w:lang w:eastAsia="lv-LV"/>
              </w:rPr>
              <w:t xml:space="preserve"> </w:t>
            </w:r>
            <w:r w:rsidRPr="00AC4171">
              <w:rPr>
                <w:rFonts w:ascii="Times New Roman" w:eastAsia="Times New Roman" w:hAnsi="Times New Roman" w:cs="Times New Roman"/>
                <w:spacing w:val="-2"/>
                <w:sz w:val="26"/>
                <w:szCs w:val="26"/>
                <w:lang w:eastAsia="lv-LV"/>
              </w:rPr>
              <w:t>apakšpunkts</w:t>
            </w:r>
          </w:p>
        </w:tc>
        <w:tc>
          <w:tcPr>
            <w:tcW w:w="2145" w:type="dxa"/>
            <w:tcBorders>
              <w:top w:val="outset" w:sz="6" w:space="0" w:color="auto"/>
              <w:left w:val="outset" w:sz="6" w:space="0" w:color="auto"/>
              <w:bottom w:val="outset" w:sz="6" w:space="0" w:color="auto"/>
              <w:right w:val="outset" w:sz="6" w:space="0" w:color="auto"/>
            </w:tcBorders>
          </w:tcPr>
          <w:p w:rsidR="00032E8E" w:rsidRPr="00AC4171" w:rsidRDefault="00032E8E" w:rsidP="007010BF">
            <w:pPr>
              <w:spacing w:after="120" w:line="240" w:lineRule="auto"/>
              <w:ind w:left="57"/>
              <w:jc w:val="both"/>
              <w:rPr>
                <w:rFonts w:ascii="Times New Roman" w:hAnsi="Times New Roman" w:cs="Times New Roman"/>
                <w:sz w:val="26"/>
                <w:szCs w:val="26"/>
              </w:rPr>
            </w:pPr>
            <w:r w:rsidRPr="00AC4171">
              <w:rPr>
                <w:rFonts w:ascii="Times New Roman" w:eastAsia="Times New Roman" w:hAnsi="Times New Roman" w:cs="Times New Roman"/>
                <w:sz w:val="26"/>
                <w:szCs w:val="26"/>
                <w:lang w:eastAsia="lv-LV"/>
              </w:rPr>
              <w:t>PIL 46</w:t>
            </w:r>
            <w:r w:rsidRPr="00AC4171">
              <w:rPr>
                <w:rFonts w:ascii="Times New Roman" w:eastAsia="Times New Roman" w:hAnsi="Times New Roman" w:cs="Times New Roman"/>
                <w:sz w:val="26"/>
                <w:szCs w:val="26"/>
                <w:vertAlign w:val="superscript"/>
                <w:lang w:eastAsia="lv-LV"/>
              </w:rPr>
              <w:t>1</w:t>
            </w:r>
            <w:r w:rsidRPr="00AC4171">
              <w:rPr>
                <w:rFonts w:ascii="Times New Roman" w:eastAsia="Times New Roman" w:hAnsi="Times New Roman" w:cs="Times New Roman"/>
                <w:sz w:val="26"/>
                <w:szCs w:val="26"/>
                <w:lang w:eastAsia="lv-LV"/>
              </w:rPr>
              <w:t>.pant</w:t>
            </w:r>
            <w:r w:rsidR="007010BF" w:rsidRPr="00AC4171">
              <w:rPr>
                <w:rFonts w:ascii="Times New Roman" w:eastAsia="Times New Roman" w:hAnsi="Times New Roman" w:cs="Times New Roman"/>
                <w:sz w:val="26"/>
                <w:szCs w:val="26"/>
                <w:lang w:eastAsia="lv-LV"/>
              </w:rPr>
              <w:t>s un</w:t>
            </w:r>
            <w:r w:rsidRPr="00AC4171">
              <w:rPr>
                <w:rFonts w:ascii="Times New Roman" w:eastAsia="Times New Roman" w:hAnsi="Times New Roman" w:cs="Times New Roman"/>
                <w:sz w:val="26"/>
                <w:szCs w:val="26"/>
                <w:lang w:eastAsia="lv-LV"/>
              </w:rPr>
              <w:t xml:space="preserve"> SPSIL 19.pant</w:t>
            </w:r>
            <w:r w:rsidR="007010BF" w:rsidRPr="00AC4171">
              <w:rPr>
                <w:rFonts w:ascii="Times New Roman" w:eastAsia="Times New Roman" w:hAnsi="Times New Roman" w:cs="Times New Roman"/>
                <w:sz w:val="26"/>
                <w:szCs w:val="26"/>
                <w:lang w:eastAsia="lv-LV"/>
              </w:rPr>
              <w:t>s</w:t>
            </w:r>
            <w:r w:rsidRPr="00AC4171">
              <w:rPr>
                <w:rFonts w:ascii="Times New Roman" w:eastAsia="Times New Roman" w:hAnsi="Times New Roman" w:cs="Times New Roman"/>
                <w:sz w:val="26"/>
                <w:szCs w:val="26"/>
                <w:lang w:eastAsia="lv-LV"/>
              </w:rPr>
              <w:t>.</w:t>
            </w:r>
          </w:p>
        </w:tc>
        <w:tc>
          <w:tcPr>
            <w:tcW w:w="2426" w:type="dxa"/>
            <w:tcBorders>
              <w:top w:val="outset" w:sz="6" w:space="0" w:color="auto"/>
              <w:left w:val="outset" w:sz="6" w:space="0" w:color="auto"/>
              <w:bottom w:val="outset" w:sz="6" w:space="0" w:color="auto"/>
              <w:right w:val="outset" w:sz="6" w:space="0" w:color="auto"/>
            </w:tcBorders>
          </w:tcPr>
          <w:p w:rsidR="00032E8E" w:rsidRPr="00AC4171" w:rsidRDefault="00032E8E"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32E8E" w:rsidRPr="00AC4171" w:rsidRDefault="00032E8E" w:rsidP="004831A6">
            <w:pPr>
              <w:spacing w:after="0" w:line="240" w:lineRule="auto"/>
              <w:ind w:left="57"/>
              <w:rPr>
                <w:rFonts w:ascii="Times New Roman" w:eastAsia="Times New Roman" w:hAnsi="Times New Roman" w:cs="Times New Roman"/>
                <w:spacing w:val="-2"/>
                <w:sz w:val="26"/>
                <w:szCs w:val="26"/>
                <w:lang w:eastAsia="lv-LV"/>
              </w:rPr>
            </w:pPr>
          </w:p>
        </w:tc>
      </w:tr>
      <w:tr w:rsidR="00032E8E" w:rsidRPr="00AC4171" w:rsidTr="00BF1427">
        <w:trPr>
          <w:cantSplit/>
          <w:trHeight w:val="671"/>
        </w:trPr>
        <w:tc>
          <w:tcPr>
            <w:tcW w:w="2250" w:type="dxa"/>
            <w:tcBorders>
              <w:top w:val="outset" w:sz="6" w:space="0" w:color="auto"/>
              <w:left w:val="outset" w:sz="6" w:space="0" w:color="auto"/>
              <w:bottom w:val="outset" w:sz="6" w:space="0" w:color="auto"/>
              <w:right w:val="outset" w:sz="6" w:space="0" w:color="auto"/>
            </w:tcBorders>
          </w:tcPr>
          <w:p w:rsidR="00032E8E" w:rsidRPr="00AC4171" w:rsidRDefault="00032E8E"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3.panta</w:t>
            </w:r>
          </w:p>
          <w:p w:rsidR="00032E8E" w:rsidRPr="00AC4171" w:rsidRDefault="00032E8E"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b)</w:t>
            </w:r>
            <w:r w:rsidR="00525BD4" w:rsidRPr="00AC4171">
              <w:rPr>
                <w:rFonts w:ascii="Times New Roman" w:eastAsia="Times New Roman" w:hAnsi="Times New Roman" w:cs="Times New Roman"/>
                <w:spacing w:val="-2"/>
                <w:sz w:val="26"/>
                <w:szCs w:val="26"/>
                <w:lang w:eastAsia="lv-LV"/>
              </w:rPr>
              <w:t xml:space="preserve"> </w:t>
            </w:r>
            <w:r w:rsidRPr="00AC4171">
              <w:rPr>
                <w:rFonts w:ascii="Times New Roman" w:eastAsia="Times New Roman" w:hAnsi="Times New Roman" w:cs="Times New Roman"/>
                <w:spacing w:val="-2"/>
                <w:sz w:val="26"/>
                <w:szCs w:val="26"/>
                <w:lang w:eastAsia="lv-LV"/>
              </w:rPr>
              <w:t>apakšpunkts</w:t>
            </w:r>
          </w:p>
        </w:tc>
        <w:tc>
          <w:tcPr>
            <w:tcW w:w="2145" w:type="dxa"/>
            <w:tcBorders>
              <w:top w:val="outset" w:sz="6" w:space="0" w:color="auto"/>
              <w:left w:val="outset" w:sz="6" w:space="0" w:color="auto"/>
              <w:bottom w:val="outset" w:sz="6" w:space="0" w:color="auto"/>
              <w:right w:val="outset" w:sz="6" w:space="0" w:color="auto"/>
            </w:tcBorders>
          </w:tcPr>
          <w:p w:rsidR="00032E8E" w:rsidRPr="00AC4171" w:rsidRDefault="00C82F40" w:rsidP="007010BF">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 xml:space="preserve">Projekta 3.punkts, </w:t>
            </w:r>
            <w:r w:rsidR="00032E8E" w:rsidRPr="00AC4171">
              <w:rPr>
                <w:rFonts w:ascii="Times New Roman" w:hAnsi="Times New Roman" w:cs="Times New Roman"/>
                <w:sz w:val="26"/>
                <w:szCs w:val="26"/>
              </w:rPr>
              <w:t>STPL 18.panta pirm</w:t>
            </w:r>
            <w:r w:rsidR="007010BF" w:rsidRPr="00AC4171">
              <w:rPr>
                <w:rFonts w:ascii="Times New Roman" w:hAnsi="Times New Roman" w:cs="Times New Roman"/>
                <w:sz w:val="26"/>
                <w:szCs w:val="26"/>
              </w:rPr>
              <w:t>ā</w:t>
            </w:r>
            <w:r w:rsidR="00032E8E" w:rsidRPr="00AC4171">
              <w:rPr>
                <w:rFonts w:ascii="Times New Roman" w:hAnsi="Times New Roman" w:cs="Times New Roman"/>
                <w:sz w:val="26"/>
                <w:szCs w:val="26"/>
              </w:rPr>
              <w:t xml:space="preserve"> daļ</w:t>
            </w:r>
            <w:r w:rsidR="007010BF" w:rsidRPr="00AC4171">
              <w:rPr>
                <w:rFonts w:ascii="Times New Roman" w:hAnsi="Times New Roman" w:cs="Times New Roman"/>
                <w:sz w:val="26"/>
                <w:szCs w:val="26"/>
              </w:rPr>
              <w:t>a</w:t>
            </w:r>
            <w:r w:rsidR="00525BD4" w:rsidRPr="00AC4171">
              <w:rPr>
                <w:rFonts w:ascii="Times New Roman" w:hAnsi="Times New Roman" w:cs="Times New Roman"/>
                <w:sz w:val="26"/>
                <w:szCs w:val="26"/>
              </w:rPr>
              <w:t>.</w:t>
            </w:r>
          </w:p>
        </w:tc>
        <w:tc>
          <w:tcPr>
            <w:tcW w:w="2426" w:type="dxa"/>
            <w:tcBorders>
              <w:top w:val="outset" w:sz="6" w:space="0" w:color="auto"/>
              <w:left w:val="outset" w:sz="6" w:space="0" w:color="auto"/>
              <w:bottom w:val="outset" w:sz="6" w:space="0" w:color="auto"/>
              <w:right w:val="outset" w:sz="6" w:space="0" w:color="auto"/>
            </w:tcBorders>
          </w:tcPr>
          <w:p w:rsidR="00032E8E" w:rsidRPr="00AC4171" w:rsidRDefault="00525BD4"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32E8E" w:rsidRPr="00AC4171" w:rsidRDefault="00032E8E" w:rsidP="004831A6">
            <w:pPr>
              <w:spacing w:after="0" w:line="240" w:lineRule="auto"/>
              <w:ind w:left="57"/>
              <w:rPr>
                <w:rFonts w:ascii="Times New Roman" w:eastAsia="Times New Roman" w:hAnsi="Times New Roman" w:cs="Times New Roman"/>
                <w:spacing w:val="-2"/>
                <w:sz w:val="26"/>
                <w:szCs w:val="26"/>
                <w:lang w:eastAsia="lv-LV"/>
              </w:rPr>
            </w:pPr>
          </w:p>
        </w:tc>
      </w:tr>
      <w:tr w:rsidR="00525BD4" w:rsidRPr="00AC4171" w:rsidTr="00BF1427">
        <w:trPr>
          <w:cantSplit/>
          <w:trHeight w:val="927"/>
        </w:trPr>
        <w:tc>
          <w:tcPr>
            <w:tcW w:w="2250" w:type="dxa"/>
            <w:tcBorders>
              <w:top w:val="outset" w:sz="6" w:space="0" w:color="auto"/>
              <w:left w:val="outset" w:sz="6" w:space="0" w:color="auto"/>
              <w:bottom w:val="outset" w:sz="6" w:space="0" w:color="auto"/>
              <w:right w:val="outset" w:sz="6" w:space="0" w:color="auto"/>
            </w:tcBorders>
          </w:tcPr>
          <w:p w:rsidR="00525BD4" w:rsidRPr="00AC4171" w:rsidRDefault="00525BD4"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4.pants</w:t>
            </w:r>
          </w:p>
        </w:tc>
        <w:tc>
          <w:tcPr>
            <w:tcW w:w="2145" w:type="dxa"/>
            <w:tcBorders>
              <w:top w:val="outset" w:sz="6" w:space="0" w:color="auto"/>
              <w:left w:val="outset" w:sz="6" w:space="0" w:color="auto"/>
              <w:bottom w:val="outset" w:sz="6" w:space="0" w:color="auto"/>
              <w:right w:val="outset" w:sz="6" w:space="0" w:color="auto"/>
            </w:tcBorders>
          </w:tcPr>
          <w:p w:rsidR="00525BD4" w:rsidRPr="00AC4171" w:rsidRDefault="007010BF" w:rsidP="007010BF">
            <w:pPr>
              <w:spacing w:after="120" w:line="240" w:lineRule="auto"/>
              <w:ind w:left="57"/>
              <w:jc w:val="both"/>
              <w:rPr>
                <w:rFonts w:ascii="Times New Roman" w:hAnsi="Times New Roman" w:cs="Times New Roman"/>
                <w:sz w:val="26"/>
                <w:szCs w:val="26"/>
              </w:rPr>
            </w:pPr>
            <w:r w:rsidRPr="00AC4171">
              <w:rPr>
                <w:rFonts w:ascii="Times New Roman" w:eastAsia="Times New Roman" w:hAnsi="Times New Roman" w:cs="Times New Roman"/>
                <w:sz w:val="26"/>
                <w:szCs w:val="26"/>
                <w:lang w:eastAsia="lv-LV"/>
              </w:rPr>
              <w:t>PIL 1.panta 10.punkts, SPSIL 1.panta 21.punkts</w:t>
            </w:r>
          </w:p>
        </w:tc>
        <w:tc>
          <w:tcPr>
            <w:tcW w:w="2426" w:type="dxa"/>
            <w:tcBorders>
              <w:top w:val="outset" w:sz="6" w:space="0" w:color="auto"/>
              <w:left w:val="outset" w:sz="6" w:space="0" w:color="auto"/>
              <w:bottom w:val="outset" w:sz="6" w:space="0" w:color="auto"/>
              <w:right w:val="outset" w:sz="6" w:space="0" w:color="auto"/>
            </w:tcBorders>
          </w:tcPr>
          <w:p w:rsidR="00525BD4" w:rsidRPr="00AC4171" w:rsidRDefault="007010BF"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525BD4" w:rsidRPr="00AC4171" w:rsidRDefault="00525BD4" w:rsidP="004831A6">
            <w:pPr>
              <w:spacing w:after="0" w:line="240" w:lineRule="auto"/>
              <w:ind w:left="57"/>
              <w:rPr>
                <w:rFonts w:ascii="Times New Roman" w:eastAsia="Times New Roman" w:hAnsi="Times New Roman" w:cs="Times New Roman"/>
                <w:spacing w:val="-2"/>
                <w:sz w:val="26"/>
                <w:szCs w:val="26"/>
                <w:lang w:eastAsia="lv-LV"/>
              </w:rPr>
            </w:pPr>
          </w:p>
        </w:tc>
      </w:tr>
      <w:tr w:rsidR="007010BF" w:rsidRPr="00AC4171" w:rsidTr="00BF1427">
        <w:trPr>
          <w:cantSplit/>
          <w:trHeight w:val="1096"/>
        </w:trPr>
        <w:tc>
          <w:tcPr>
            <w:tcW w:w="2250" w:type="dxa"/>
            <w:tcBorders>
              <w:top w:val="outset" w:sz="6" w:space="0" w:color="auto"/>
              <w:left w:val="outset" w:sz="6" w:space="0" w:color="auto"/>
              <w:bottom w:val="outset" w:sz="6" w:space="0" w:color="auto"/>
              <w:right w:val="outset" w:sz="6" w:space="0" w:color="auto"/>
            </w:tcBorders>
          </w:tcPr>
          <w:p w:rsidR="007010BF" w:rsidRPr="00AC4171" w:rsidRDefault="007010BF"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5.panta 1.punkts</w:t>
            </w:r>
          </w:p>
        </w:tc>
        <w:tc>
          <w:tcPr>
            <w:tcW w:w="2145" w:type="dxa"/>
            <w:tcBorders>
              <w:top w:val="outset" w:sz="6" w:space="0" w:color="auto"/>
              <w:left w:val="outset" w:sz="6" w:space="0" w:color="auto"/>
              <w:bottom w:val="outset" w:sz="6" w:space="0" w:color="auto"/>
              <w:right w:val="outset" w:sz="6" w:space="0" w:color="auto"/>
            </w:tcBorders>
          </w:tcPr>
          <w:p w:rsidR="007010BF" w:rsidRPr="00AC4171" w:rsidRDefault="007010BF" w:rsidP="007010BF">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PIL 46</w:t>
            </w:r>
            <w:r w:rsidRPr="00AC4171">
              <w:rPr>
                <w:rFonts w:ascii="Times New Roman" w:eastAsia="Times New Roman" w:hAnsi="Times New Roman" w:cs="Times New Roman"/>
                <w:sz w:val="26"/>
                <w:szCs w:val="26"/>
                <w:vertAlign w:val="superscript"/>
                <w:lang w:eastAsia="lv-LV"/>
              </w:rPr>
              <w:t>1</w:t>
            </w:r>
            <w:r w:rsidRPr="00AC4171">
              <w:rPr>
                <w:rFonts w:ascii="Times New Roman" w:eastAsia="Times New Roman" w:hAnsi="Times New Roman" w:cs="Times New Roman"/>
                <w:sz w:val="26"/>
                <w:szCs w:val="26"/>
                <w:lang w:eastAsia="lv-LV"/>
              </w:rPr>
              <w:t>.pants, SPSIL 19.pants, STPL 18.panta pirmā daļa.</w:t>
            </w:r>
          </w:p>
        </w:tc>
        <w:tc>
          <w:tcPr>
            <w:tcW w:w="2426" w:type="dxa"/>
            <w:tcBorders>
              <w:top w:val="outset" w:sz="6" w:space="0" w:color="auto"/>
              <w:left w:val="outset" w:sz="6" w:space="0" w:color="auto"/>
              <w:bottom w:val="outset" w:sz="6" w:space="0" w:color="auto"/>
              <w:right w:val="outset" w:sz="6" w:space="0" w:color="auto"/>
            </w:tcBorders>
          </w:tcPr>
          <w:p w:rsidR="007010BF" w:rsidRPr="00AC4171" w:rsidRDefault="007010BF"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7010BF" w:rsidRPr="00AC4171" w:rsidRDefault="007010BF" w:rsidP="004831A6">
            <w:pPr>
              <w:spacing w:after="0" w:line="240" w:lineRule="auto"/>
              <w:ind w:left="57"/>
              <w:rPr>
                <w:rFonts w:ascii="Times New Roman" w:eastAsia="Times New Roman" w:hAnsi="Times New Roman" w:cs="Times New Roman"/>
                <w:spacing w:val="-2"/>
                <w:sz w:val="26"/>
                <w:szCs w:val="26"/>
                <w:lang w:eastAsia="lv-LV"/>
              </w:rPr>
            </w:pPr>
          </w:p>
        </w:tc>
      </w:tr>
      <w:tr w:rsidR="007010BF"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7010BF" w:rsidRPr="00AC4171" w:rsidRDefault="007010BF"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lastRenderedPageBreak/>
              <w:t>5.panta 2.punkts</w:t>
            </w:r>
          </w:p>
        </w:tc>
        <w:tc>
          <w:tcPr>
            <w:tcW w:w="2145" w:type="dxa"/>
            <w:tcBorders>
              <w:top w:val="outset" w:sz="6" w:space="0" w:color="auto"/>
              <w:left w:val="outset" w:sz="6" w:space="0" w:color="auto"/>
              <w:bottom w:val="outset" w:sz="6" w:space="0" w:color="auto"/>
              <w:right w:val="outset" w:sz="6" w:space="0" w:color="auto"/>
            </w:tcBorders>
          </w:tcPr>
          <w:p w:rsidR="007010BF" w:rsidRPr="00AC4171" w:rsidRDefault="007010BF" w:rsidP="007B7879">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PIL 46</w:t>
            </w:r>
            <w:r w:rsidRPr="00AC4171">
              <w:rPr>
                <w:rFonts w:ascii="Times New Roman" w:eastAsia="Times New Roman" w:hAnsi="Times New Roman" w:cs="Times New Roman"/>
                <w:sz w:val="26"/>
                <w:szCs w:val="26"/>
                <w:vertAlign w:val="superscript"/>
                <w:lang w:eastAsia="lv-LV"/>
              </w:rPr>
              <w:t>1</w:t>
            </w:r>
            <w:r w:rsidRPr="00AC4171">
              <w:rPr>
                <w:rFonts w:ascii="Times New Roman" w:eastAsia="Times New Roman" w:hAnsi="Times New Roman" w:cs="Times New Roman"/>
                <w:sz w:val="26"/>
                <w:szCs w:val="26"/>
                <w:lang w:eastAsia="lv-LV"/>
              </w:rPr>
              <w:t>.pants, SPSIL 19.pants, STPL 18.panta pirmā daļa.</w:t>
            </w:r>
          </w:p>
        </w:tc>
        <w:tc>
          <w:tcPr>
            <w:tcW w:w="2426" w:type="dxa"/>
            <w:tcBorders>
              <w:top w:val="outset" w:sz="6" w:space="0" w:color="auto"/>
              <w:left w:val="outset" w:sz="6" w:space="0" w:color="auto"/>
              <w:bottom w:val="outset" w:sz="6" w:space="0" w:color="auto"/>
              <w:right w:val="outset" w:sz="6" w:space="0" w:color="auto"/>
            </w:tcBorders>
          </w:tcPr>
          <w:p w:rsidR="007010BF" w:rsidRPr="00AC4171" w:rsidRDefault="007010BF"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7010BF" w:rsidRPr="00AC4171" w:rsidRDefault="007010BF" w:rsidP="004831A6">
            <w:pPr>
              <w:spacing w:after="0" w:line="240" w:lineRule="auto"/>
              <w:ind w:left="57"/>
              <w:rPr>
                <w:rFonts w:ascii="Times New Roman" w:eastAsia="Times New Roman" w:hAnsi="Times New Roman" w:cs="Times New Roman"/>
                <w:spacing w:val="-2"/>
                <w:sz w:val="26"/>
                <w:szCs w:val="26"/>
                <w:lang w:eastAsia="lv-LV"/>
              </w:rPr>
            </w:pPr>
          </w:p>
        </w:tc>
      </w:tr>
      <w:tr w:rsidR="007010BF"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7010BF" w:rsidRPr="00AC4171" w:rsidRDefault="007010BF" w:rsidP="00032E8E">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5.panta 3.punkta a) apakšpunkts</w:t>
            </w:r>
          </w:p>
        </w:tc>
        <w:tc>
          <w:tcPr>
            <w:tcW w:w="2145" w:type="dxa"/>
            <w:tcBorders>
              <w:top w:val="outset" w:sz="6" w:space="0" w:color="auto"/>
              <w:left w:val="outset" w:sz="6" w:space="0" w:color="auto"/>
              <w:bottom w:val="outset" w:sz="6" w:space="0" w:color="auto"/>
              <w:right w:val="outset" w:sz="6" w:space="0" w:color="auto"/>
            </w:tcBorders>
          </w:tcPr>
          <w:p w:rsidR="007010BF" w:rsidRPr="00AC4171" w:rsidRDefault="007010BF" w:rsidP="007010BF">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Projekta 7.1.apakšpunkts,</w:t>
            </w:r>
            <w:r w:rsidRPr="00AC4171">
              <w:rPr>
                <w:sz w:val="26"/>
                <w:szCs w:val="26"/>
              </w:rPr>
              <w:t xml:space="preserve"> </w:t>
            </w:r>
            <w:r w:rsidRPr="00AC4171">
              <w:rPr>
                <w:rFonts w:ascii="Times New Roman" w:hAnsi="Times New Roman" w:cs="Times New Roman"/>
                <w:sz w:val="26"/>
                <w:szCs w:val="26"/>
              </w:rPr>
              <w:t>PIL 46.</w:t>
            </w:r>
            <w:r w:rsidRPr="00AC4171">
              <w:rPr>
                <w:rFonts w:ascii="Times New Roman" w:hAnsi="Times New Roman" w:cs="Times New Roman"/>
                <w:sz w:val="26"/>
                <w:szCs w:val="26"/>
                <w:vertAlign w:val="superscript"/>
              </w:rPr>
              <w:t>1</w:t>
            </w:r>
            <w:r w:rsidRPr="00AC4171">
              <w:rPr>
                <w:rFonts w:ascii="Times New Roman" w:hAnsi="Times New Roman" w:cs="Times New Roman"/>
                <w:sz w:val="26"/>
                <w:szCs w:val="26"/>
              </w:rPr>
              <w:t xml:space="preserve"> panta trešās daļas 1.punkts un SPSIL 19.panta trešās daļas 1.punkts.</w:t>
            </w:r>
          </w:p>
        </w:tc>
        <w:tc>
          <w:tcPr>
            <w:tcW w:w="2426" w:type="dxa"/>
            <w:tcBorders>
              <w:top w:val="outset" w:sz="6" w:space="0" w:color="auto"/>
              <w:left w:val="outset" w:sz="6" w:space="0" w:color="auto"/>
              <w:bottom w:val="outset" w:sz="6" w:space="0" w:color="auto"/>
              <w:right w:val="outset" w:sz="6" w:space="0" w:color="auto"/>
            </w:tcBorders>
          </w:tcPr>
          <w:p w:rsidR="007010BF" w:rsidRPr="00AC4171" w:rsidRDefault="007010BF"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7010BF" w:rsidRPr="00AC4171" w:rsidRDefault="007010BF" w:rsidP="004831A6">
            <w:pPr>
              <w:spacing w:after="0" w:line="240" w:lineRule="auto"/>
              <w:ind w:left="57"/>
              <w:rPr>
                <w:rFonts w:ascii="Times New Roman" w:eastAsia="Times New Roman" w:hAnsi="Times New Roman" w:cs="Times New Roman"/>
                <w:spacing w:val="-2"/>
                <w:sz w:val="26"/>
                <w:szCs w:val="26"/>
                <w:lang w:eastAsia="lv-LV"/>
              </w:rPr>
            </w:pPr>
          </w:p>
        </w:tc>
      </w:tr>
      <w:tr w:rsidR="007010BF"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7010BF" w:rsidRPr="00AC4171" w:rsidRDefault="007010BF" w:rsidP="007010BF">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5.panta 3.punkta b) apakšpunkts</w:t>
            </w:r>
          </w:p>
        </w:tc>
        <w:tc>
          <w:tcPr>
            <w:tcW w:w="2145" w:type="dxa"/>
            <w:tcBorders>
              <w:top w:val="outset" w:sz="6" w:space="0" w:color="auto"/>
              <w:left w:val="outset" w:sz="6" w:space="0" w:color="auto"/>
              <w:bottom w:val="outset" w:sz="6" w:space="0" w:color="auto"/>
              <w:right w:val="outset" w:sz="6" w:space="0" w:color="auto"/>
            </w:tcBorders>
          </w:tcPr>
          <w:p w:rsidR="007010BF" w:rsidRPr="00AC4171" w:rsidRDefault="00C82F40" w:rsidP="00C82F40">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hAnsi="Times New Roman" w:cs="Times New Roman"/>
                <w:sz w:val="26"/>
                <w:szCs w:val="26"/>
              </w:rPr>
              <w:t xml:space="preserve">Projekta 7.2.apakšpunkts, </w:t>
            </w:r>
            <w:r w:rsidR="007010BF" w:rsidRPr="00AC4171">
              <w:rPr>
                <w:rFonts w:ascii="Times New Roman" w:hAnsi="Times New Roman" w:cs="Times New Roman"/>
                <w:sz w:val="26"/>
                <w:szCs w:val="26"/>
              </w:rPr>
              <w:t>PIL 46.</w:t>
            </w:r>
            <w:r w:rsidR="007010BF" w:rsidRPr="00AC4171">
              <w:rPr>
                <w:rFonts w:ascii="Times New Roman" w:hAnsi="Times New Roman" w:cs="Times New Roman"/>
                <w:sz w:val="26"/>
                <w:szCs w:val="26"/>
                <w:vertAlign w:val="superscript"/>
              </w:rPr>
              <w:t>1</w:t>
            </w:r>
            <w:r w:rsidR="007010BF" w:rsidRPr="00AC4171">
              <w:rPr>
                <w:rFonts w:ascii="Times New Roman" w:hAnsi="Times New Roman" w:cs="Times New Roman"/>
                <w:sz w:val="26"/>
                <w:szCs w:val="26"/>
              </w:rPr>
              <w:t xml:space="preserve"> panta trešās daļas 2.punkt</w:t>
            </w:r>
            <w:r w:rsidRPr="00AC4171">
              <w:rPr>
                <w:rFonts w:ascii="Times New Roman" w:hAnsi="Times New Roman" w:cs="Times New Roman"/>
                <w:sz w:val="26"/>
                <w:szCs w:val="26"/>
              </w:rPr>
              <w:t>s</w:t>
            </w:r>
            <w:r w:rsidR="007010BF" w:rsidRPr="00AC4171">
              <w:rPr>
                <w:rFonts w:ascii="Times New Roman" w:hAnsi="Times New Roman" w:cs="Times New Roman"/>
                <w:sz w:val="26"/>
                <w:szCs w:val="26"/>
              </w:rPr>
              <w:t xml:space="preserve"> un SPSIL 19.panta trešās daļas 2.punkt</w:t>
            </w:r>
            <w:r w:rsidRPr="00AC4171">
              <w:rPr>
                <w:rFonts w:ascii="Times New Roman" w:hAnsi="Times New Roman" w:cs="Times New Roman"/>
                <w:sz w:val="26"/>
                <w:szCs w:val="26"/>
              </w:rPr>
              <w:t>s</w:t>
            </w:r>
            <w:r w:rsidR="007010BF" w:rsidRPr="00AC4171">
              <w:rPr>
                <w:rFonts w:ascii="Times New Roman" w:hAnsi="Times New Roman" w:cs="Times New Roman"/>
                <w:sz w:val="26"/>
                <w:szCs w:val="26"/>
              </w:rPr>
              <w:t>.</w:t>
            </w:r>
          </w:p>
        </w:tc>
        <w:tc>
          <w:tcPr>
            <w:tcW w:w="2426" w:type="dxa"/>
            <w:tcBorders>
              <w:top w:val="outset" w:sz="6" w:space="0" w:color="auto"/>
              <w:left w:val="outset" w:sz="6" w:space="0" w:color="auto"/>
              <w:bottom w:val="outset" w:sz="6" w:space="0" w:color="auto"/>
              <w:right w:val="outset" w:sz="6" w:space="0" w:color="auto"/>
            </w:tcBorders>
          </w:tcPr>
          <w:p w:rsidR="007010BF" w:rsidRPr="00AC4171" w:rsidRDefault="00C82F40"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7010BF" w:rsidRPr="00AC4171" w:rsidRDefault="007010BF" w:rsidP="004831A6">
            <w:pPr>
              <w:spacing w:after="0" w:line="240" w:lineRule="auto"/>
              <w:ind w:left="57"/>
              <w:rPr>
                <w:rFonts w:ascii="Times New Roman" w:eastAsia="Times New Roman" w:hAnsi="Times New Roman" w:cs="Times New Roman"/>
                <w:spacing w:val="-2"/>
                <w:sz w:val="26"/>
                <w:szCs w:val="26"/>
                <w:lang w:eastAsia="lv-LV"/>
              </w:rPr>
            </w:pPr>
          </w:p>
        </w:tc>
      </w:tr>
      <w:tr w:rsidR="00C82F40"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C82F40" w:rsidRPr="00AC4171" w:rsidRDefault="00C82F40" w:rsidP="007010BF">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1.punkts</w:t>
            </w:r>
          </w:p>
        </w:tc>
        <w:tc>
          <w:tcPr>
            <w:tcW w:w="2145" w:type="dxa"/>
            <w:tcBorders>
              <w:top w:val="outset" w:sz="6" w:space="0" w:color="auto"/>
              <w:left w:val="outset" w:sz="6" w:space="0" w:color="auto"/>
              <w:bottom w:val="outset" w:sz="6" w:space="0" w:color="auto"/>
              <w:right w:val="outset" w:sz="6" w:space="0" w:color="auto"/>
            </w:tcBorders>
          </w:tcPr>
          <w:p w:rsidR="00C82F40" w:rsidRPr="00AC4171" w:rsidRDefault="00C82F40" w:rsidP="00C82F40">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5.punkts.</w:t>
            </w:r>
          </w:p>
        </w:tc>
        <w:tc>
          <w:tcPr>
            <w:tcW w:w="2426" w:type="dxa"/>
            <w:tcBorders>
              <w:top w:val="outset" w:sz="6" w:space="0" w:color="auto"/>
              <w:left w:val="outset" w:sz="6" w:space="0" w:color="auto"/>
              <w:bottom w:val="outset" w:sz="6" w:space="0" w:color="auto"/>
              <w:right w:val="outset" w:sz="6" w:space="0" w:color="auto"/>
            </w:tcBorders>
          </w:tcPr>
          <w:p w:rsidR="00C82F40" w:rsidRPr="00AC4171" w:rsidRDefault="00C82F40"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C82F40" w:rsidRPr="00AC4171" w:rsidRDefault="00C82F40" w:rsidP="004831A6">
            <w:pPr>
              <w:spacing w:after="0" w:line="240" w:lineRule="auto"/>
              <w:ind w:left="57"/>
              <w:rPr>
                <w:rFonts w:ascii="Times New Roman" w:eastAsia="Times New Roman" w:hAnsi="Times New Roman" w:cs="Times New Roman"/>
                <w:spacing w:val="-2"/>
                <w:sz w:val="26"/>
                <w:szCs w:val="26"/>
                <w:lang w:eastAsia="lv-LV"/>
              </w:rPr>
            </w:pPr>
          </w:p>
        </w:tc>
      </w:tr>
      <w:tr w:rsidR="00C82F40"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C82F40" w:rsidRPr="00AC4171" w:rsidRDefault="00C82F40" w:rsidP="007010BF">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1.punkta a) apakšpunkta pirmais ievilkums</w:t>
            </w:r>
          </w:p>
        </w:tc>
        <w:tc>
          <w:tcPr>
            <w:tcW w:w="2145" w:type="dxa"/>
            <w:tcBorders>
              <w:top w:val="outset" w:sz="6" w:space="0" w:color="auto"/>
              <w:left w:val="outset" w:sz="6" w:space="0" w:color="auto"/>
              <w:bottom w:val="outset" w:sz="6" w:space="0" w:color="auto"/>
              <w:right w:val="outset" w:sz="6" w:space="0" w:color="auto"/>
            </w:tcBorders>
          </w:tcPr>
          <w:p w:rsidR="00C82F40" w:rsidRPr="00AC4171" w:rsidRDefault="00C82F40" w:rsidP="00C82F40">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8.punkts.</w:t>
            </w:r>
          </w:p>
        </w:tc>
        <w:tc>
          <w:tcPr>
            <w:tcW w:w="2426" w:type="dxa"/>
            <w:tcBorders>
              <w:top w:val="outset" w:sz="6" w:space="0" w:color="auto"/>
              <w:left w:val="outset" w:sz="6" w:space="0" w:color="auto"/>
              <w:bottom w:val="outset" w:sz="6" w:space="0" w:color="auto"/>
              <w:right w:val="outset" w:sz="6" w:space="0" w:color="auto"/>
            </w:tcBorders>
          </w:tcPr>
          <w:p w:rsidR="00C82F40" w:rsidRPr="00AC4171" w:rsidRDefault="00C82F40"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C82F40" w:rsidRPr="00AC4171" w:rsidRDefault="00C82F40" w:rsidP="004831A6">
            <w:pPr>
              <w:spacing w:after="0" w:line="240" w:lineRule="auto"/>
              <w:ind w:left="57"/>
              <w:rPr>
                <w:rFonts w:ascii="Times New Roman" w:eastAsia="Times New Roman" w:hAnsi="Times New Roman" w:cs="Times New Roman"/>
                <w:spacing w:val="-2"/>
                <w:sz w:val="26"/>
                <w:szCs w:val="26"/>
                <w:lang w:eastAsia="lv-LV"/>
              </w:rPr>
            </w:pPr>
          </w:p>
        </w:tc>
      </w:tr>
      <w:tr w:rsidR="00C82F40"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C82F40" w:rsidRPr="00AC4171" w:rsidRDefault="00C82F40" w:rsidP="00C82F40">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1.punkta a) apakšpunkta otrais ievilkums</w:t>
            </w:r>
          </w:p>
        </w:tc>
        <w:tc>
          <w:tcPr>
            <w:tcW w:w="2145" w:type="dxa"/>
            <w:tcBorders>
              <w:top w:val="outset" w:sz="6" w:space="0" w:color="auto"/>
              <w:left w:val="outset" w:sz="6" w:space="0" w:color="auto"/>
              <w:bottom w:val="outset" w:sz="6" w:space="0" w:color="auto"/>
              <w:right w:val="outset" w:sz="6" w:space="0" w:color="auto"/>
            </w:tcBorders>
          </w:tcPr>
          <w:p w:rsidR="00C82F40" w:rsidRPr="00AC4171" w:rsidRDefault="00C82F40" w:rsidP="00C82F40">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9.punkts.</w:t>
            </w:r>
          </w:p>
        </w:tc>
        <w:tc>
          <w:tcPr>
            <w:tcW w:w="2426" w:type="dxa"/>
            <w:tcBorders>
              <w:top w:val="outset" w:sz="6" w:space="0" w:color="auto"/>
              <w:left w:val="outset" w:sz="6" w:space="0" w:color="auto"/>
              <w:bottom w:val="outset" w:sz="6" w:space="0" w:color="auto"/>
              <w:right w:val="outset" w:sz="6" w:space="0" w:color="auto"/>
            </w:tcBorders>
          </w:tcPr>
          <w:p w:rsidR="00C82F40" w:rsidRPr="00AC4171" w:rsidRDefault="00C82F40"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C82F40" w:rsidRPr="00AC4171" w:rsidRDefault="00C82F40" w:rsidP="004831A6">
            <w:pPr>
              <w:spacing w:after="0" w:line="240" w:lineRule="auto"/>
              <w:ind w:left="57"/>
              <w:rPr>
                <w:rFonts w:ascii="Times New Roman" w:eastAsia="Times New Roman" w:hAnsi="Times New Roman" w:cs="Times New Roman"/>
                <w:spacing w:val="-2"/>
                <w:sz w:val="26"/>
                <w:szCs w:val="26"/>
                <w:lang w:eastAsia="lv-LV"/>
              </w:rPr>
            </w:pPr>
          </w:p>
        </w:tc>
      </w:tr>
      <w:tr w:rsidR="00C82F40"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C82F40" w:rsidRPr="00AC4171" w:rsidRDefault="00C82F40" w:rsidP="00C82F40">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1.punkta a) apakšpunkta trešais ievilkums</w:t>
            </w:r>
          </w:p>
        </w:tc>
        <w:tc>
          <w:tcPr>
            <w:tcW w:w="2145" w:type="dxa"/>
            <w:tcBorders>
              <w:top w:val="outset" w:sz="6" w:space="0" w:color="auto"/>
              <w:left w:val="outset" w:sz="6" w:space="0" w:color="auto"/>
              <w:bottom w:val="outset" w:sz="6" w:space="0" w:color="auto"/>
              <w:right w:val="outset" w:sz="6" w:space="0" w:color="auto"/>
            </w:tcBorders>
          </w:tcPr>
          <w:p w:rsidR="00C82F40" w:rsidRPr="00AC4171" w:rsidRDefault="00C82F40"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w:t>
            </w:r>
            <w:r w:rsidR="000D01D7" w:rsidRPr="00AC4171">
              <w:rPr>
                <w:rFonts w:ascii="Times New Roman" w:hAnsi="Times New Roman" w:cs="Times New Roman"/>
                <w:sz w:val="26"/>
                <w:szCs w:val="26"/>
              </w:rPr>
              <w:t>6</w:t>
            </w:r>
            <w:r w:rsidRPr="00AC4171">
              <w:rPr>
                <w:rFonts w:ascii="Times New Roman" w:hAnsi="Times New Roman" w:cs="Times New Roman"/>
                <w:sz w:val="26"/>
                <w:szCs w:val="26"/>
              </w:rPr>
              <w:t>.punkts.</w:t>
            </w:r>
          </w:p>
        </w:tc>
        <w:tc>
          <w:tcPr>
            <w:tcW w:w="2426" w:type="dxa"/>
            <w:tcBorders>
              <w:top w:val="outset" w:sz="6" w:space="0" w:color="auto"/>
              <w:left w:val="outset" w:sz="6" w:space="0" w:color="auto"/>
              <w:bottom w:val="outset" w:sz="6" w:space="0" w:color="auto"/>
              <w:right w:val="outset" w:sz="6" w:space="0" w:color="auto"/>
            </w:tcBorders>
          </w:tcPr>
          <w:p w:rsidR="00C82F40"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C82F40" w:rsidRPr="00AC4171" w:rsidRDefault="00C82F40"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1.punkta b) apakšpunkts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10.punkts.</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lastRenderedPageBreak/>
              <w:t>6.panta 1.punkta c) apakšpunkta pirmais ievilkums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11.punkts.</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1.punkta c) apakšpunkta otrais ievilkums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12.punkts.</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2.punkts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3. un 13.punkts.</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1214"/>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6.panta 3.punkts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w:t>
            </w:r>
            <w:r w:rsidRPr="00AC4171">
              <w:rPr>
                <w:rFonts w:ascii="Times New Roman" w:hAnsi="Times New Roman" w:cs="Times New Roman"/>
                <w:sz w:val="26"/>
                <w:szCs w:val="26"/>
              </w:rPr>
              <w:t xml:space="preserve"> 7.punkts.</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440"/>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7.pants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Nav jāpārņem.</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8.pants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Nav jāpārņem.</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9.pants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Nav jāpārņem.</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10.pants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0D01D7" w:rsidP="000D01D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Nav jāpārņem.</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0D01D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0D01D7" w:rsidRPr="00AC4171" w:rsidRDefault="00BF1427" w:rsidP="000D01D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11.panta 1.punkta pirmais ievilkums</w:t>
            </w:r>
          </w:p>
        </w:tc>
        <w:tc>
          <w:tcPr>
            <w:tcW w:w="2145" w:type="dxa"/>
            <w:tcBorders>
              <w:top w:val="outset" w:sz="6" w:space="0" w:color="auto"/>
              <w:left w:val="outset" w:sz="6" w:space="0" w:color="auto"/>
              <w:bottom w:val="outset" w:sz="6" w:space="0" w:color="auto"/>
              <w:right w:val="outset" w:sz="6" w:space="0" w:color="auto"/>
            </w:tcBorders>
          </w:tcPr>
          <w:p w:rsidR="000D01D7" w:rsidRPr="00AC4171" w:rsidRDefault="00BF1427" w:rsidP="00BF1427">
            <w:pPr>
              <w:spacing w:after="120" w:line="240" w:lineRule="auto"/>
              <w:ind w:left="57"/>
              <w:jc w:val="both"/>
              <w:rPr>
                <w:rFonts w:ascii="Times New Roman" w:hAnsi="Times New Roman" w:cs="Times New Roman"/>
                <w:sz w:val="26"/>
                <w:szCs w:val="26"/>
              </w:rPr>
            </w:pPr>
            <w:r w:rsidRPr="00AC4171">
              <w:rPr>
                <w:rFonts w:ascii="Times New Roman" w:hAnsi="Times New Roman" w:cs="Times New Roman"/>
                <w:sz w:val="26"/>
                <w:szCs w:val="26"/>
              </w:rPr>
              <w:t>Nav jāpārņem.</w:t>
            </w:r>
          </w:p>
        </w:tc>
        <w:tc>
          <w:tcPr>
            <w:tcW w:w="2426" w:type="dxa"/>
            <w:tcBorders>
              <w:top w:val="outset" w:sz="6" w:space="0" w:color="auto"/>
              <w:left w:val="outset" w:sz="6" w:space="0" w:color="auto"/>
              <w:bottom w:val="outset" w:sz="6" w:space="0" w:color="auto"/>
              <w:right w:val="outset" w:sz="6" w:space="0" w:color="auto"/>
            </w:tcBorders>
          </w:tcPr>
          <w:p w:rsidR="000D01D7" w:rsidRPr="00AC4171" w:rsidRDefault="000D01D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0D01D7" w:rsidRPr="00AC4171" w:rsidRDefault="000D01D7" w:rsidP="004831A6">
            <w:pPr>
              <w:spacing w:after="0" w:line="240" w:lineRule="auto"/>
              <w:ind w:left="57"/>
              <w:rPr>
                <w:rFonts w:ascii="Times New Roman" w:eastAsia="Times New Roman" w:hAnsi="Times New Roman" w:cs="Times New Roman"/>
                <w:spacing w:val="-2"/>
                <w:sz w:val="26"/>
                <w:szCs w:val="26"/>
                <w:lang w:eastAsia="lv-LV"/>
              </w:rPr>
            </w:pPr>
          </w:p>
        </w:tc>
      </w:tr>
      <w:tr w:rsidR="00BF142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BF1427" w:rsidRPr="00AC4171" w:rsidRDefault="00BF1427" w:rsidP="00BF142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11.panta 1.punkta otrais ievilkums</w:t>
            </w:r>
          </w:p>
        </w:tc>
        <w:tc>
          <w:tcPr>
            <w:tcW w:w="2145" w:type="dxa"/>
            <w:tcBorders>
              <w:top w:val="outset" w:sz="6" w:space="0" w:color="auto"/>
              <w:left w:val="outset" w:sz="6" w:space="0" w:color="auto"/>
              <w:bottom w:val="outset" w:sz="6" w:space="0" w:color="auto"/>
              <w:right w:val="outset" w:sz="6" w:space="0" w:color="auto"/>
            </w:tcBorders>
          </w:tcPr>
          <w:p w:rsidR="00BF1427" w:rsidRPr="00AC4171" w:rsidRDefault="00BF1427" w:rsidP="000D01D7">
            <w:pPr>
              <w:spacing w:after="120" w:line="240" w:lineRule="auto"/>
              <w:ind w:left="57"/>
              <w:jc w:val="both"/>
              <w:rPr>
                <w:rFonts w:ascii="Times New Roman" w:hAnsi="Times New Roman" w:cs="Times New Roman"/>
                <w:sz w:val="26"/>
                <w:szCs w:val="26"/>
              </w:rPr>
            </w:pPr>
            <w:r w:rsidRPr="00AC4171">
              <w:rPr>
                <w:rFonts w:ascii="Times New Roman" w:eastAsia="Times New Roman" w:hAnsi="Times New Roman" w:cs="Times New Roman"/>
                <w:sz w:val="26"/>
                <w:szCs w:val="26"/>
                <w:lang w:eastAsia="lv-LV"/>
              </w:rPr>
              <w:t>Informatīva atsauce uz Eiropas Savienības direktīvu.</w:t>
            </w:r>
          </w:p>
        </w:tc>
        <w:tc>
          <w:tcPr>
            <w:tcW w:w="2426" w:type="dxa"/>
            <w:tcBorders>
              <w:top w:val="outset" w:sz="6" w:space="0" w:color="auto"/>
              <w:left w:val="outset" w:sz="6" w:space="0" w:color="auto"/>
              <w:bottom w:val="outset" w:sz="6" w:space="0" w:color="auto"/>
              <w:right w:val="outset" w:sz="6" w:space="0" w:color="auto"/>
            </w:tcBorders>
          </w:tcPr>
          <w:p w:rsidR="00BF1427" w:rsidRPr="00AC4171" w:rsidRDefault="00BF142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BF1427" w:rsidRPr="00AC4171" w:rsidRDefault="00BF1427" w:rsidP="004831A6">
            <w:pPr>
              <w:spacing w:after="0" w:line="240" w:lineRule="auto"/>
              <w:ind w:left="57"/>
              <w:rPr>
                <w:rFonts w:ascii="Times New Roman" w:eastAsia="Times New Roman" w:hAnsi="Times New Roman" w:cs="Times New Roman"/>
                <w:spacing w:val="-2"/>
                <w:sz w:val="26"/>
                <w:szCs w:val="26"/>
                <w:lang w:eastAsia="lv-LV"/>
              </w:rPr>
            </w:pPr>
          </w:p>
        </w:tc>
      </w:tr>
      <w:tr w:rsidR="00BF142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BF1427" w:rsidRPr="00AC4171" w:rsidRDefault="00BF1427" w:rsidP="00BF142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11.panta 2.punkts</w:t>
            </w:r>
          </w:p>
        </w:tc>
        <w:tc>
          <w:tcPr>
            <w:tcW w:w="2145" w:type="dxa"/>
            <w:tcBorders>
              <w:top w:val="outset" w:sz="6" w:space="0" w:color="auto"/>
              <w:left w:val="outset" w:sz="6" w:space="0" w:color="auto"/>
              <w:bottom w:val="outset" w:sz="6" w:space="0" w:color="auto"/>
              <w:right w:val="outset" w:sz="6" w:space="0" w:color="auto"/>
            </w:tcBorders>
          </w:tcPr>
          <w:p w:rsidR="00BF1427" w:rsidRPr="00AC4171" w:rsidRDefault="00BF1427" w:rsidP="000D01D7">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 jāpārņem.</w:t>
            </w:r>
          </w:p>
        </w:tc>
        <w:tc>
          <w:tcPr>
            <w:tcW w:w="2426" w:type="dxa"/>
            <w:tcBorders>
              <w:top w:val="outset" w:sz="6" w:space="0" w:color="auto"/>
              <w:left w:val="outset" w:sz="6" w:space="0" w:color="auto"/>
              <w:bottom w:val="outset" w:sz="6" w:space="0" w:color="auto"/>
              <w:right w:val="outset" w:sz="6" w:space="0" w:color="auto"/>
            </w:tcBorders>
          </w:tcPr>
          <w:p w:rsidR="00BF1427" w:rsidRPr="00AC4171" w:rsidRDefault="00BF142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BF1427" w:rsidRPr="00AC4171" w:rsidRDefault="00BF1427" w:rsidP="004831A6">
            <w:pPr>
              <w:spacing w:after="0" w:line="240" w:lineRule="auto"/>
              <w:ind w:left="57"/>
              <w:rPr>
                <w:rFonts w:ascii="Times New Roman" w:eastAsia="Times New Roman" w:hAnsi="Times New Roman" w:cs="Times New Roman"/>
                <w:spacing w:val="-2"/>
                <w:sz w:val="26"/>
                <w:szCs w:val="26"/>
                <w:lang w:eastAsia="lv-LV"/>
              </w:rPr>
            </w:pPr>
          </w:p>
        </w:tc>
      </w:tr>
      <w:tr w:rsidR="00BF142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BF1427" w:rsidRPr="00AC4171" w:rsidRDefault="00BF1427" w:rsidP="00BF142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12.pants</w:t>
            </w:r>
          </w:p>
        </w:tc>
        <w:tc>
          <w:tcPr>
            <w:tcW w:w="2145" w:type="dxa"/>
            <w:tcBorders>
              <w:top w:val="outset" w:sz="6" w:space="0" w:color="auto"/>
              <w:left w:val="outset" w:sz="6" w:space="0" w:color="auto"/>
              <w:bottom w:val="outset" w:sz="6" w:space="0" w:color="auto"/>
              <w:right w:val="outset" w:sz="6" w:space="0" w:color="auto"/>
            </w:tcBorders>
          </w:tcPr>
          <w:p w:rsidR="00BF1427" w:rsidRPr="00AC4171" w:rsidRDefault="00BF1427" w:rsidP="000D01D7">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 jāpārņem.</w:t>
            </w:r>
          </w:p>
        </w:tc>
        <w:tc>
          <w:tcPr>
            <w:tcW w:w="2426" w:type="dxa"/>
            <w:tcBorders>
              <w:top w:val="outset" w:sz="6" w:space="0" w:color="auto"/>
              <w:left w:val="outset" w:sz="6" w:space="0" w:color="auto"/>
              <w:bottom w:val="outset" w:sz="6" w:space="0" w:color="auto"/>
              <w:right w:val="outset" w:sz="6" w:space="0" w:color="auto"/>
            </w:tcBorders>
          </w:tcPr>
          <w:p w:rsidR="00BF1427" w:rsidRPr="00AC4171" w:rsidRDefault="00BF142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BF1427" w:rsidRPr="00AC4171" w:rsidRDefault="00BF1427" w:rsidP="004831A6">
            <w:pPr>
              <w:spacing w:after="0" w:line="240" w:lineRule="auto"/>
              <w:ind w:left="57"/>
              <w:rPr>
                <w:rFonts w:ascii="Times New Roman" w:eastAsia="Times New Roman" w:hAnsi="Times New Roman" w:cs="Times New Roman"/>
                <w:spacing w:val="-2"/>
                <w:sz w:val="26"/>
                <w:szCs w:val="26"/>
                <w:lang w:eastAsia="lv-LV"/>
              </w:rPr>
            </w:pPr>
          </w:p>
        </w:tc>
      </w:tr>
      <w:tr w:rsidR="00BF142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BF1427" w:rsidRPr="00AC4171" w:rsidRDefault="00BF1427" w:rsidP="00BF142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13.pants</w:t>
            </w:r>
          </w:p>
        </w:tc>
        <w:tc>
          <w:tcPr>
            <w:tcW w:w="2145" w:type="dxa"/>
            <w:tcBorders>
              <w:top w:val="outset" w:sz="6" w:space="0" w:color="auto"/>
              <w:left w:val="outset" w:sz="6" w:space="0" w:color="auto"/>
              <w:bottom w:val="outset" w:sz="6" w:space="0" w:color="auto"/>
              <w:right w:val="outset" w:sz="6" w:space="0" w:color="auto"/>
            </w:tcBorders>
          </w:tcPr>
          <w:p w:rsidR="00BF1427" w:rsidRPr="00AC4171" w:rsidRDefault="00BF1427" w:rsidP="000D01D7">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 jāpārņem.</w:t>
            </w:r>
          </w:p>
        </w:tc>
        <w:tc>
          <w:tcPr>
            <w:tcW w:w="2426" w:type="dxa"/>
            <w:tcBorders>
              <w:top w:val="outset" w:sz="6" w:space="0" w:color="auto"/>
              <w:left w:val="outset" w:sz="6" w:space="0" w:color="auto"/>
              <w:bottom w:val="outset" w:sz="6" w:space="0" w:color="auto"/>
              <w:right w:val="outset" w:sz="6" w:space="0" w:color="auto"/>
            </w:tcBorders>
          </w:tcPr>
          <w:p w:rsidR="00BF1427" w:rsidRPr="00AC4171" w:rsidRDefault="00BF1427" w:rsidP="007B7879">
            <w:pPr>
              <w:spacing w:after="0" w:line="240" w:lineRule="auto"/>
              <w:ind w:left="57"/>
              <w:jc w:val="both"/>
              <w:rPr>
                <w:rFonts w:ascii="Times New Roman" w:eastAsia="Times New Roman" w:hAnsi="Times New Roman" w:cs="Times New Roman"/>
                <w:sz w:val="26"/>
                <w:szCs w:val="26"/>
                <w:lang w:eastAsia="lv-LV"/>
              </w:rPr>
            </w:pPr>
          </w:p>
        </w:tc>
        <w:tc>
          <w:tcPr>
            <w:tcW w:w="2677" w:type="dxa"/>
            <w:tcBorders>
              <w:top w:val="outset" w:sz="6" w:space="0" w:color="auto"/>
              <w:left w:val="outset" w:sz="6" w:space="0" w:color="auto"/>
              <w:bottom w:val="outset" w:sz="6" w:space="0" w:color="auto"/>
              <w:right w:val="outset" w:sz="6" w:space="0" w:color="auto"/>
            </w:tcBorders>
          </w:tcPr>
          <w:p w:rsidR="00BF1427" w:rsidRPr="00AC4171" w:rsidRDefault="00BF1427" w:rsidP="004831A6">
            <w:pPr>
              <w:spacing w:after="0" w:line="240" w:lineRule="auto"/>
              <w:ind w:left="57"/>
              <w:rPr>
                <w:rFonts w:ascii="Times New Roman" w:eastAsia="Times New Roman" w:hAnsi="Times New Roman" w:cs="Times New Roman"/>
                <w:spacing w:val="-2"/>
                <w:sz w:val="26"/>
                <w:szCs w:val="26"/>
                <w:lang w:eastAsia="lv-LV"/>
              </w:rPr>
            </w:pPr>
          </w:p>
        </w:tc>
      </w:tr>
      <w:tr w:rsidR="00BF1427" w:rsidRPr="00AC4171" w:rsidTr="00BF1427">
        <w:trPr>
          <w:cantSplit/>
          <w:trHeight w:val="348"/>
        </w:trPr>
        <w:tc>
          <w:tcPr>
            <w:tcW w:w="2250" w:type="dxa"/>
            <w:tcBorders>
              <w:top w:val="outset" w:sz="6" w:space="0" w:color="auto"/>
              <w:left w:val="outset" w:sz="6" w:space="0" w:color="auto"/>
              <w:bottom w:val="outset" w:sz="6" w:space="0" w:color="auto"/>
              <w:right w:val="outset" w:sz="6" w:space="0" w:color="auto"/>
            </w:tcBorders>
          </w:tcPr>
          <w:p w:rsidR="00BF1427" w:rsidRPr="00AC4171" w:rsidRDefault="00BF1427" w:rsidP="00BF1427">
            <w:pPr>
              <w:spacing w:after="0" w:line="240" w:lineRule="auto"/>
              <w:ind w:left="57"/>
              <w:rPr>
                <w:rFonts w:ascii="Times New Roman" w:eastAsia="Times New Roman" w:hAnsi="Times New Roman" w:cs="Times New Roman"/>
                <w:spacing w:val="-2"/>
                <w:sz w:val="26"/>
                <w:szCs w:val="26"/>
                <w:lang w:eastAsia="lv-LV"/>
              </w:rPr>
            </w:pPr>
            <w:r w:rsidRPr="00AC4171">
              <w:rPr>
                <w:rFonts w:ascii="Times New Roman" w:eastAsia="Times New Roman" w:hAnsi="Times New Roman" w:cs="Times New Roman"/>
                <w:spacing w:val="-2"/>
                <w:sz w:val="26"/>
                <w:szCs w:val="26"/>
                <w:lang w:eastAsia="lv-LV"/>
              </w:rPr>
              <w:t>Pielikums</w:t>
            </w:r>
          </w:p>
        </w:tc>
        <w:tc>
          <w:tcPr>
            <w:tcW w:w="2145" w:type="dxa"/>
            <w:tcBorders>
              <w:top w:val="outset" w:sz="6" w:space="0" w:color="auto"/>
              <w:left w:val="outset" w:sz="6" w:space="0" w:color="auto"/>
              <w:bottom w:val="outset" w:sz="6" w:space="0" w:color="auto"/>
              <w:right w:val="outset" w:sz="6" w:space="0" w:color="auto"/>
            </w:tcBorders>
          </w:tcPr>
          <w:p w:rsidR="00BF1427" w:rsidRPr="00AC4171" w:rsidRDefault="00BF1427" w:rsidP="000D01D7">
            <w:pPr>
              <w:spacing w:after="120" w:line="240" w:lineRule="auto"/>
              <w:ind w:left="57"/>
              <w:jc w:val="both"/>
              <w:rPr>
                <w:rFonts w:ascii="Times New Roman" w:eastAsia="Times New Roman" w:hAnsi="Times New Roman" w:cs="Times New Roman"/>
                <w:sz w:val="26"/>
                <w:szCs w:val="26"/>
                <w:lang w:eastAsia="lv-LV"/>
              </w:rPr>
            </w:pPr>
            <w:r w:rsidRPr="00AC4171">
              <w:rPr>
                <w:rFonts w:ascii="Times New Roman" w:hAnsi="Times New Roman" w:cs="Times New Roman"/>
                <w:sz w:val="26"/>
                <w:szCs w:val="26"/>
              </w:rPr>
              <w:t>Projekta 7.2.apakšpunkts un</w:t>
            </w:r>
            <w:r w:rsidRPr="00AC4171">
              <w:rPr>
                <w:rFonts w:ascii="Times New Roman" w:eastAsia="Times New Roman" w:hAnsi="Times New Roman" w:cs="Times New Roman"/>
                <w:sz w:val="26"/>
                <w:szCs w:val="26"/>
                <w:lang w:eastAsia="lv-LV"/>
              </w:rPr>
              <w:t xml:space="preserve"> MK noteikumu Nr.1184 pielikums.</w:t>
            </w:r>
          </w:p>
        </w:tc>
        <w:tc>
          <w:tcPr>
            <w:tcW w:w="2426" w:type="dxa"/>
            <w:tcBorders>
              <w:top w:val="outset" w:sz="6" w:space="0" w:color="auto"/>
              <w:left w:val="outset" w:sz="6" w:space="0" w:color="auto"/>
              <w:bottom w:val="outset" w:sz="6" w:space="0" w:color="auto"/>
              <w:right w:val="outset" w:sz="6" w:space="0" w:color="auto"/>
            </w:tcBorders>
          </w:tcPr>
          <w:p w:rsidR="00BF1427" w:rsidRPr="00AC4171" w:rsidRDefault="00BF1427" w:rsidP="007B7879">
            <w:pPr>
              <w:spacing w:after="0" w:line="240" w:lineRule="auto"/>
              <w:ind w:left="57"/>
              <w:jc w:val="both"/>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Pārņemts pilnībā.</w:t>
            </w:r>
          </w:p>
        </w:tc>
        <w:tc>
          <w:tcPr>
            <w:tcW w:w="2677" w:type="dxa"/>
            <w:tcBorders>
              <w:top w:val="outset" w:sz="6" w:space="0" w:color="auto"/>
              <w:left w:val="outset" w:sz="6" w:space="0" w:color="auto"/>
              <w:bottom w:val="outset" w:sz="6" w:space="0" w:color="auto"/>
              <w:right w:val="outset" w:sz="6" w:space="0" w:color="auto"/>
            </w:tcBorders>
          </w:tcPr>
          <w:p w:rsidR="00BF1427" w:rsidRPr="00AC4171" w:rsidRDefault="00BF1427" w:rsidP="004831A6">
            <w:pPr>
              <w:spacing w:after="0" w:line="240" w:lineRule="auto"/>
              <w:ind w:left="57"/>
              <w:rPr>
                <w:rFonts w:ascii="Times New Roman" w:eastAsia="Times New Roman" w:hAnsi="Times New Roman" w:cs="Times New Roman"/>
                <w:spacing w:val="-2"/>
                <w:sz w:val="26"/>
                <w:szCs w:val="26"/>
                <w:lang w:eastAsia="lv-LV"/>
              </w:rPr>
            </w:pPr>
          </w:p>
        </w:tc>
      </w:tr>
      <w:tr w:rsidR="004831A6" w:rsidRPr="00AC4171" w:rsidTr="00BF1427">
        <w:trPr>
          <w:cantSplit/>
          <w:trHeight w:val="281"/>
        </w:trPr>
        <w:tc>
          <w:tcPr>
            <w:tcW w:w="225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pacing w:val="-3"/>
                <w:sz w:val="26"/>
                <w:szCs w:val="26"/>
                <w:lang w:eastAsia="lv-LV"/>
              </w:rPr>
            </w:pPr>
            <w:r w:rsidRPr="00AC4171">
              <w:rPr>
                <w:rFonts w:ascii="Times New Roman" w:eastAsia="Times New Roman" w:hAnsi="Times New Roman" w:cs="Times New Roman"/>
                <w:spacing w:val="-3"/>
                <w:sz w:val="26"/>
                <w:szCs w:val="26"/>
                <w:lang w:eastAsia="lv-LV"/>
              </w:rPr>
              <w:lastRenderedPageBreak/>
              <w:t>Kā ir izmantota ES tiesību aktā paredzētā rīcības brīvība dalībvalstij pārņemt vai ieviest noteiktas ES tiesību akta normas?</w:t>
            </w:r>
          </w:p>
          <w:p w:rsidR="004831A6" w:rsidRPr="00AC4171" w:rsidRDefault="004831A6" w:rsidP="004831A6">
            <w:pPr>
              <w:spacing w:after="0" w:line="240" w:lineRule="auto"/>
              <w:ind w:left="57"/>
              <w:rPr>
                <w:rFonts w:ascii="Times New Roman" w:eastAsia="Times New Roman" w:hAnsi="Times New Roman" w:cs="Times New Roman"/>
                <w:spacing w:val="-3"/>
                <w:sz w:val="26"/>
                <w:szCs w:val="26"/>
                <w:lang w:eastAsia="lv-LV"/>
              </w:rPr>
            </w:pPr>
            <w:r w:rsidRPr="00AC4171">
              <w:rPr>
                <w:rFonts w:ascii="Times New Roman" w:eastAsia="Times New Roman" w:hAnsi="Times New Roman" w:cs="Times New Roman"/>
                <w:spacing w:val="-3"/>
                <w:sz w:val="26"/>
                <w:szCs w:val="26"/>
                <w:lang w:eastAsia="lv-LV"/>
              </w:rPr>
              <w:t>Kādēļ?</w:t>
            </w:r>
          </w:p>
        </w:tc>
        <w:tc>
          <w:tcPr>
            <w:tcW w:w="7248" w:type="dxa"/>
            <w:gridSpan w:val="3"/>
            <w:tcBorders>
              <w:top w:val="outset" w:sz="6" w:space="0" w:color="auto"/>
              <w:left w:val="outset" w:sz="6" w:space="0" w:color="auto"/>
              <w:bottom w:val="outset" w:sz="6" w:space="0" w:color="auto"/>
              <w:right w:val="outset" w:sz="6" w:space="0" w:color="auto"/>
            </w:tcBorders>
          </w:tcPr>
          <w:p w:rsidR="004831A6" w:rsidRPr="00AC4171" w:rsidRDefault="00BF1427"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rPr>
          <w:cantSplit/>
          <w:trHeight w:val="913"/>
        </w:trPr>
        <w:tc>
          <w:tcPr>
            <w:tcW w:w="225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pacing w:val="-3"/>
                <w:sz w:val="26"/>
                <w:szCs w:val="26"/>
                <w:lang w:eastAsia="lv-LV"/>
              </w:rPr>
            </w:pPr>
            <w:r w:rsidRPr="00AC4171">
              <w:rPr>
                <w:rFonts w:ascii="Times New Roman" w:eastAsia="Times New Roman" w:hAnsi="Times New Roman" w:cs="Times New Roman"/>
                <w:spacing w:val="-4"/>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48" w:type="dxa"/>
            <w:gridSpan w:val="3"/>
            <w:tcBorders>
              <w:top w:val="outset" w:sz="6" w:space="0" w:color="auto"/>
              <w:left w:val="outset" w:sz="6" w:space="0" w:color="auto"/>
              <w:bottom w:val="outset" w:sz="6" w:space="0" w:color="auto"/>
              <w:right w:val="outset" w:sz="6" w:space="0" w:color="auto"/>
            </w:tcBorders>
          </w:tcPr>
          <w:p w:rsidR="004831A6" w:rsidRPr="00AC4171" w:rsidRDefault="00BF1427"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rPr>
          <w:cantSplit/>
          <w:trHeight w:val="579"/>
        </w:trPr>
        <w:tc>
          <w:tcPr>
            <w:tcW w:w="2250" w:type="dxa"/>
            <w:tcBorders>
              <w:top w:val="outset" w:sz="6" w:space="0" w:color="auto"/>
              <w:left w:val="outset" w:sz="6" w:space="0" w:color="auto"/>
              <w:bottom w:val="outset" w:sz="6" w:space="0" w:color="auto"/>
              <w:right w:val="outset" w:sz="6" w:space="0" w:color="auto"/>
            </w:tcBorders>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Cita informācija</w:t>
            </w:r>
          </w:p>
        </w:tc>
        <w:tc>
          <w:tcPr>
            <w:tcW w:w="7248" w:type="dxa"/>
            <w:gridSpan w:val="3"/>
            <w:tcBorders>
              <w:top w:val="outset" w:sz="6" w:space="0" w:color="auto"/>
              <w:left w:val="outset" w:sz="6" w:space="0" w:color="auto"/>
              <w:bottom w:val="outset" w:sz="6" w:space="0" w:color="auto"/>
              <w:right w:val="outset" w:sz="6" w:space="0" w:color="auto"/>
            </w:tcBorders>
          </w:tcPr>
          <w:p w:rsidR="004831A6" w:rsidRPr="00AC4171" w:rsidRDefault="00BF1427"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w:t>
            </w:r>
          </w:p>
        </w:tc>
      </w:tr>
    </w:tbl>
    <w:p w:rsidR="004831A6" w:rsidRPr="00AC4171" w:rsidRDefault="004831A6" w:rsidP="004831A6">
      <w:pPr>
        <w:spacing w:after="0" w:line="240" w:lineRule="auto"/>
        <w:rPr>
          <w:rFonts w:ascii="Times New Roman" w:eastAsia="Times New Roman" w:hAnsi="Times New Roman" w:cs="Times New Roman"/>
          <w:sz w:val="26"/>
          <w:szCs w:val="26"/>
          <w:lang w:eastAsia="lv-LV"/>
        </w:rPr>
      </w:pPr>
    </w:p>
    <w:tbl>
      <w:tblPr>
        <w:tblW w:w="9498"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471"/>
        <w:gridCol w:w="7027"/>
      </w:tblGrid>
      <w:tr w:rsidR="004831A6" w:rsidRPr="00AC4171" w:rsidTr="00BF1427">
        <w:trPr>
          <w:trHeight w:val="20"/>
        </w:trPr>
        <w:tc>
          <w:tcPr>
            <w:tcW w:w="9498" w:type="dxa"/>
            <w:gridSpan w:val="2"/>
            <w:tcBorders>
              <w:top w:val="outset" w:sz="6" w:space="0" w:color="auto"/>
              <w:left w:val="outset" w:sz="6" w:space="0" w:color="auto"/>
              <w:bottom w:val="single" w:sz="4" w:space="0" w:color="auto"/>
              <w:right w:val="outset" w:sz="6" w:space="0" w:color="auto"/>
            </w:tcBorders>
            <w:vAlign w:val="center"/>
          </w:tcPr>
          <w:p w:rsidR="004831A6" w:rsidRPr="00AC4171" w:rsidRDefault="004831A6" w:rsidP="004831A6">
            <w:pPr>
              <w:spacing w:after="0" w:line="240" w:lineRule="auto"/>
              <w:ind w:left="57"/>
              <w:jc w:val="center"/>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2.tabula</w:t>
            </w:r>
          </w:p>
          <w:p w:rsidR="004831A6" w:rsidRPr="00AC4171" w:rsidRDefault="004831A6" w:rsidP="004831A6">
            <w:pPr>
              <w:spacing w:after="0" w:line="240" w:lineRule="auto"/>
              <w:ind w:left="57"/>
              <w:jc w:val="center"/>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Ar tiesību akta projektu izpildītās vai uzņemtās saistības, kas izriet no starptautiskajiem tiesību aktiem vai starptautiskas institūcijas vai organizācijas dokumentiem.</w:t>
            </w:r>
          </w:p>
          <w:p w:rsidR="004831A6" w:rsidRPr="00AC4171" w:rsidRDefault="004831A6" w:rsidP="004831A6">
            <w:pPr>
              <w:spacing w:after="0" w:line="240" w:lineRule="auto"/>
              <w:ind w:left="57"/>
              <w:jc w:val="center"/>
              <w:rPr>
                <w:rFonts w:ascii="Times New Roman" w:eastAsia="Times New Roman" w:hAnsi="Times New Roman" w:cs="Times New Roman"/>
                <w:b/>
                <w:sz w:val="26"/>
                <w:szCs w:val="26"/>
                <w:lang w:eastAsia="lv-LV"/>
              </w:rPr>
            </w:pPr>
            <w:r w:rsidRPr="00AC4171">
              <w:rPr>
                <w:rFonts w:ascii="Times New Roman" w:eastAsia="Times New Roman" w:hAnsi="Times New Roman" w:cs="Times New Roman"/>
                <w:b/>
                <w:sz w:val="26"/>
                <w:szCs w:val="26"/>
                <w:lang w:eastAsia="lv-LV"/>
              </w:rPr>
              <w:t>Pasākumi šo saistību izpildei</w:t>
            </w:r>
          </w:p>
        </w:tc>
      </w:tr>
      <w:tr w:rsidR="004831A6" w:rsidRPr="00AC4171" w:rsidTr="00BF1427">
        <w:trPr>
          <w:trHeight w:val="20"/>
        </w:trPr>
        <w:tc>
          <w:tcPr>
            <w:tcW w:w="2471" w:type="dxa"/>
            <w:tcBorders>
              <w:top w:val="single" w:sz="4" w:space="0" w:color="auto"/>
              <w:left w:val="single" w:sz="4" w:space="0" w:color="auto"/>
              <w:bottom w:val="single" w:sz="4" w:space="0" w:color="auto"/>
              <w:right w:val="nil"/>
            </w:tcBorders>
            <w:vAlign w:val="center"/>
          </w:tcPr>
          <w:p w:rsidR="004831A6" w:rsidRPr="00AC4171" w:rsidRDefault="004831A6" w:rsidP="004831A6">
            <w:pPr>
              <w:spacing w:after="0" w:line="240" w:lineRule="auto"/>
              <w:ind w:left="57"/>
              <w:rPr>
                <w:rFonts w:ascii="Times New Roman" w:eastAsia="Times New Roman" w:hAnsi="Times New Roman" w:cs="Times New Roman"/>
                <w:sz w:val="26"/>
                <w:szCs w:val="26"/>
                <w:lang w:eastAsia="lv-LV"/>
              </w:rPr>
            </w:pPr>
          </w:p>
        </w:tc>
        <w:tc>
          <w:tcPr>
            <w:tcW w:w="7027" w:type="dxa"/>
            <w:tcBorders>
              <w:top w:val="single" w:sz="4" w:space="0" w:color="auto"/>
              <w:left w:val="nil"/>
              <w:bottom w:val="single" w:sz="4" w:space="0" w:color="auto"/>
              <w:right w:val="single" w:sz="4" w:space="0" w:color="auto"/>
            </w:tcBorders>
          </w:tcPr>
          <w:p w:rsidR="004831A6" w:rsidRPr="00AC4171" w:rsidRDefault="00A53D41" w:rsidP="004831A6">
            <w:pPr>
              <w:spacing w:after="0" w:line="240" w:lineRule="auto"/>
              <w:ind w:lef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Projekts šo jomu neskar.</w:t>
            </w:r>
          </w:p>
        </w:tc>
      </w:tr>
    </w:tbl>
    <w:p w:rsidR="004831A6" w:rsidRPr="00AC4171" w:rsidRDefault="004831A6" w:rsidP="004831A6">
      <w:pPr>
        <w:spacing w:after="0" w:line="240" w:lineRule="auto"/>
        <w:ind w:firstLine="375"/>
        <w:jc w:val="center"/>
        <w:rPr>
          <w:rFonts w:ascii="Times New Roman" w:eastAsia="Times New Roman" w:hAnsi="Times New Roman" w:cs="Times New Roman"/>
          <w:b/>
          <w:sz w:val="26"/>
          <w:szCs w:val="26"/>
          <w:lang w:eastAsia="lv-LV"/>
        </w:rPr>
      </w:pPr>
    </w:p>
    <w:p w:rsidR="004831A6" w:rsidRPr="00AC4171" w:rsidRDefault="004831A6" w:rsidP="004831A6">
      <w:pPr>
        <w:spacing w:after="0" w:line="240" w:lineRule="auto"/>
        <w:ind w:firstLine="375"/>
        <w:jc w:val="both"/>
        <w:rPr>
          <w:rFonts w:ascii="Times New Roman" w:eastAsia="Times New Roman" w:hAnsi="Times New Roman" w:cs="Times New Roman"/>
          <w:sz w:val="26"/>
          <w:szCs w:val="26"/>
          <w:lang w:eastAsia="lv-LV"/>
        </w:rPr>
      </w:pPr>
    </w:p>
    <w:tbl>
      <w:tblPr>
        <w:tblW w:w="9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458"/>
        <w:gridCol w:w="4614"/>
      </w:tblGrid>
      <w:tr w:rsidR="004831A6" w:rsidRPr="00AC4171" w:rsidTr="00BF1427">
        <w:tc>
          <w:tcPr>
            <w:tcW w:w="9498" w:type="dxa"/>
            <w:gridSpan w:val="3"/>
            <w:tcBorders>
              <w:top w:val="single" w:sz="4" w:space="0" w:color="auto"/>
            </w:tcBorders>
          </w:tcPr>
          <w:p w:rsidR="004831A6" w:rsidRPr="00AC4171" w:rsidRDefault="004831A6" w:rsidP="004831A6">
            <w:pPr>
              <w:spacing w:after="0" w:line="240" w:lineRule="auto"/>
              <w:ind w:left="57" w:right="57"/>
              <w:jc w:val="center"/>
              <w:rPr>
                <w:rFonts w:ascii="Times New Roman" w:eastAsia="Times New Roman" w:hAnsi="Times New Roman" w:cs="Times New Roman"/>
                <w:b/>
                <w:bCs/>
                <w:sz w:val="26"/>
                <w:szCs w:val="26"/>
                <w:lang w:eastAsia="lv-LV"/>
              </w:rPr>
            </w:pPr>
            <w:r w:rsidRPr="00AC4171">
              <w:rPr>
                <w:rFonts w:ascii="Times New Roman" w:eastAsia="Times New Roman" w:hAnsi="Times New Roman" w:cs="Times New Roman"/>
                <w:b/>
                <w:bCs/>
                <w:sz w:val="26"/>
                <w:szCs w:val="26"/>
                <w:lang w:eastAsia="lv-LV"/>
              </w:rPr>
              <w:t>VII. Tiesību akta projekta izpildes nodrošināšana un tās ietekme uz institūcijām</w:t>
            </w:r>
          </w:p>
        </w:tc>
      </w:tr>
      <w:tr w:rsidR="004831A6" w:rsidRPr="00AC4171" w:rsidTr="00BF1427">
        <w:trPr>
          <w:trHeight w:val="427"/>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t>1.</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Projekta izpildē iesaistītās institūcijas </w:t>
            </w:r>
          </w:p>
        </w:tc>
        <w:tc>
          <w:tcPr>
            <w:tcW w:w="4614" w:type="dxa"/>
          </w:tcPr>
          <w:p w:rsidR="004831A6" w:rsidRPr="00AC4171" w:rsidRDefault="00344624"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t>Satiksmes ministrija, Valsts SIA „Autotransporta direkcija”</w:t>
            </w:r>
          </w:p>
        </w:tc>
      </w:tr>
      <w:tr w:rsidR="004831A6" w:rsidRPr="00AC4171" w:rsidTr="00BF1427">
        <w:trPr>
          <w:trHeight w:val="463"/>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t>2.</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 xml:space="preserve">Projekta izpildes ietekme uz pārvaldes funkcijām </w:t>
            </w:r>
          </w:p>
        </w:tc>
        <w:tc>
          <w:tcPr>
            <w:tcW w:w="4614" w:type="dxa"/>
          </w:tcPr>
          <w:p w:rsidR="004831A6" w:rsidRPr="00AC4171" w:rsidRDefault="00344624"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rPr>
          <w:trHeight w:val="725"/>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t>3.</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Projekta izpildes ietekme uz pārvaldes institucionālo struktūru.</w:t>
            </w:r>
          </w:p>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lastRenderedPageBreak/>
              <w:t>Jaunu institūciju izveide</w:t>
            </w:r>
          </w:p>
        </w:tc>
        <w:tc>
          <w:tcPr>
            <w:tcW w:w="4614" w:type="dxa"/>
          </w:tcPr>
          <w:p w:rsidR="004831A6" w:rsidRPr="00AC4171" w:rsidRDefault="00344624"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sz w:val="26"/>
                <w:szCs w:val="26"/>
                <w:lang w:eastAsia="lv-LV"/>
              </w:rPr>
              <w:lastRenderedPageBreak/>
              <w:t>Projekts šo jomu neskar.</w:t>
            </w:r>
          </w:p>
        </w:tc>
      </w:tr>
      <w:tr w:rsidR="004831A6" w:rsidRPr="00AC4171" w:rsidTr="00BF1427">
        <w:trPr>
          <w:trHeight w:val="780"/>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lastRenderedPageBreak/>
              <w:t>4.</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Projekta izpildes ietekme uz pārvaldes institucionālo struktūru.</w:t>
            </w:r>
          </w:p>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Esošu institūciju likvidācija</w:t>
            </w:r>
          </w:p>
        </w:tc>
        <w:tc>
          <w:tcPr>
            <w:tcW w:w="4614" w:type="dxa"/>
          </w:tcPr>
          <w:p w:rsidR="004831A6" w:rsidRPr="00AC4171" w:rsidRDefault="00344624"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rPr>
          <w:trHeight w:val="703"/>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bCs/>
                <w:sz w:val="26"/>
                <w:szCs w:val="26"/>
                <w:lang w:eastAsia="lv-LV"/>
              </w:rPr>
              <w:t>5.</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Projekta izpildes ietekme uz pārvaldes institucionālo struktūru.</w:t>
            </w:r>
          </w:p>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Esošu institūciju reorganizācija</w:t>
            </w:r>
          </w:p>
        </w:tc>
        <w:tc>
          <w:tcPr>
            <w:tcW w:w="4614" w:type="dxa"/>
          </w:tcPr>
          <w:p w:rsidR="004831A6" w:rsidRPr="00AC4171" w:rsidRDefault="00344624" w:rsidP="00344624">
            <w:pPr>
              <w:spacing w:after="0" w:line="240" w:lineRule="auto"/>
              <w:ind w:left="57" w:right="57"/>
              <w:rPr>
                <w:rFonts w:ascii="Times New Roman" w:eastAsia="Times New Roman" w:hAnsi="Times New Roman" w:cs="Times New Roman"/>
                <w:bCs/>
                <w:sz w:val="26"/>
                <w:szCs w:val="26"/>
                <w:lang w:eastAsia="lv-LV"/>
              </w:rPr>
            </w:pPr>
            <w:r w:rsidRPr="00AC4171">
              <w:rPr>
                <w:rFonts w:ascii="Times New Roman" w:eastAsia="Times New Roman" w:hAnsi="Times New Roman" w:cs="Times New Roman"/>
                <w:sz w:val="26"/>
                <w:szCs w:val="26"/>
                <w:lang w:eastAsia="lv-LV"/>
              </w:rPr>
              <w:t>Projekts šo jomu neskar.</w:t>
            </w:r>
          </w:p>
        </w:tc>
      </w:tr>
      <w:tr w:rsidR="004831A6" w:rsidRPr="00AC4171" w:rsidTr="00BF1427">
        <w:trPr>
          <w:trHeight w:val="476"/>
        </w:trPr>
        <w:tc>
          <w:tcPr>
            <w:tcW w:w="426"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6.</w:t>
            </w:r>
          </w:p>
        </w:tc>
        <w:tc>
          <w:tcPr>
            <w:tcW w:w="4458" w:type="dxa"/>
          </w:tcPr>
          <w:p w:rsidR="004831A6" w:rsidRPr="00AC4171" w:rsidRDefault="004831A6"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Cita informācija</w:t>
            </w:r>
          </w:p>
        </w:tc>
        <w:tc>
          <w:tcPr>
            <w:tcW w:w="4614" w:type="dxa"/>
          </w:tcPr>
          <w:p w:rsidR="004831A6" w:rsidRPr="00AC4171" w:rsidRDefault="00344624" w:rsidP="004831A6">
            <w:pPr>
              <w:spacing w:after="0" w:line="240" w:lineRule="auto"/>
              <w:ind w:left="57" w:right="57"/>
              <w:rPr>
                <w:rFonts w:ascii="Times New Roman" w:eastAsia="Times New Roman" w:hAnsi="Times New Roman" w:cs="Times New Roman"/>
                <w:sz w:val="26"/>
                <w:szCs w:val="26"/>
                <w:lang w:eastAsia="lv-LV"/>
              </w:rPr>
            </w:pPr>
            <w:r w:rsidRPr="00AC4171">
              <w:rPr>
                <w:rFonts w:ascii="Times New Roman" w:eastAsia="Times New Roman" w:hAnsi="Times New Roman" w:cs="Times New Roman"/>
                <w:sz w:val="26"/>
                <w:szCs w:val="26"/>
                <w:lang w:eastAsia="lv-LV"/>
              </w:rPr>
              <w:t>Nav.</w:t>
            </w:r>
          </w:p>
        </w:tc>
      </w:tr>
    </w:tbl>
    <w:p w:rsidR="004831A6" w:rsidRPr="00AC4171" w:rsidRDefault="004831A6" w:rsidP="00344624">
      <w:pPr>
        <w:tabs>
          <w:tab w:val="left" w:pos="6804"/>
        </w:tabs>
        <w:spacing w:after="0" w:line="240" w:lineRule="auto"/>
        <w:jc w:val="both"/>
        <w:rPr>
          <w:rFonts w:ascii="Times New Roman" w:eastAsia="Times New Roman" w:hAnsi="Times New Roman" w:cs="Times New Roman"/>
          <w:sz w:val="26"/>
          <w:szCs w:val="26"/>
          <w:lang w:eastAsia="lv-LV"/>
        </w:rPr>
      </w:pPr>
    </w:p>
    <w:p w:rsidR="00344624" w:rsidRPr="00AC4171" w:rsidRDefault="00344624" w:rsidP="00344624">
      <w:pPr>
        <w:spacing w:after="0" w:line="240" w:lineRule="auto"/>
        <w:ind w:firstLine="720"/>
        <w:rPr>
          <w:rFonts w:ascii="Times New Roman" w:eastAsia="Calibri" w:hAnsi="Times New Roman" w:cs="Times New Roman"/>
          <w:sz w:val="26"/>
          <w:szCs w:val="26"/>
        </w:rPr>
      </w:pPr>
      <w:r w:rsidRPr="00AC4171">
        <w:rPr>
          <w:rFonts w:ascii="Times New Roman" w:eastAsia="Calibri" w:hAnsi="Times New Roman" w:cs="Times New Roman"/>
          <w:sz w:val="26"/>
          <w:szCs w:val="26"/>
        </w:rPr>
        <w:t xml:space="preserve">Anotācijas III, </w:t>
      </w:r>
      <w:r w:rsidRPr="00AC4171">
        <w:rPr>
          <w:rFonts w:ascii="Times New Roman" w:eastAsia="Times New Roman" w:hAnsi="Times New Roman" w:cs="Times New Roman"/>
          <w:sz w:val="26"/>
          <w:szCs w:val="26"/>
          <w:lang w:eastAsia="lv-LV"/>
        </w:rPr>
        <w:t xml:space="preserve">IV un VI </w:t>
      </w:r>
      <w:r w:rsidRPr="00AC4171">
        <w:rPr>
          <w:rFonts w:ascii="Times New Roman" w:eastAsia="Calibri" w:hAnsi="Times New Roman" w:cs="Times New Roman"/>
          <w:sz w:val="26"/>
          <w:szCs w:val="26"/>
        </w:rPr>
        <w:t>sadaļa – projekts šo jomu neskar.</w:t>
      </w:r>
    </w:p>
    <w:p w:rsidR="00344624" w:rsidRPr="00AC4171" w:rsidRDefault="00344624" w:rsidP="00344624">
      <w:pPr>
        <w:spacing w:after="0" w:line="240" w:lineRule="auto"/>
        <w:ind w:firstLine="720"/>
        <w:rPr>
          <w:rFonts w:ascii="Times New Roman" w:eastAsia="Calibri" w:hAnsi="Times New Roman" w:cs="Times New Roman"/>
          <w:sz w:val="26"/>
          <w:szCs w:val="26"/>
        </w:rPr>
      </w:pPr>
    </w:p>
    <w:p w:rsidR="00344624" w:rsidRPr="00AC4171" w:rsidRDefault="00344624" w:rsidP="00344624">
      <w:pPr>
        <w:spacing w:after="0" w:line="240" w:lineRule="auto"/>
        <w:ind w:firstLine="720"/>
        <w:rPr>
          <w:rFonts w:ascii="Times New Roman" w:eastAsia="Calibri" w:hAnsi="Times New Roman" w:cs="Times New Roman"/>
          <w:sz w:val="26"/>
          <w:szCs w:val="26"/>
        </w:rPr>
      </w:pPr>
    </w:p>
    <w:p w:rsidR="00344624" w:rsidRPr="00AC4171" w:rsidRDefault="00344624" w:rsidP="00344624">
      <w:pPr>
        <w:keepNext/>
        <w:tabs>
          <w:tab w:val="left" w:pos="6840"/>
        </w:tabs>
        <w:spacing w:after="0" w:line="240" w:lineRule="auto"/>
        <w:outlineLvl w:val="2"/>
        <w:rPr>
          <w:rFonts w:ascii="Times New Roman" w:eastAsia="Times New Roman" w:hAnsi="Times New Roman" w:cs="Times New Roman"/>
          <w:bCs/>
          <w:sz w:val="26"/>
          <w:szCs w:val="26"/>
        </w:rPr>
      </w:pPr>
      <w:r w:rsidRPr="00AC4171">
        <w:rPr>
          <w:rFonts w:ascii="Times New Roman" w:eastAsia="Times New Roman" w:hAnsi="Times New Roman" w:cs="Times New Roman"/>
          <w:bCs/>
          <w:sz w:val="26"/>
          <w:szCs w:val="26"/>
        </w:rPr>
        <w:t>Satiksmes ministrs</w:t>
      </w:r>
      <w:r w:rsidRPr="00AC4171">
        <w:rPr>
          <w:rFonts w:ascii="Times New Roman" w:eastAsia="Times New Roman" w:hAnsi="Times New Roman" w:cs="Times New Roman"/>
          <w:bCs/>
          <w:sz w:val="26"/>
          <w:szCs w:val="26"/>
        </w:rPr>
        <w:tab/>
        <w:t>A.Matīss</w:t>
      </w:r>
    </w:p>
    <w:p w:rsidR="00344624" w:rsidRPr="00AC4171" w:rsidRDefault="00344624" w:rsidP="00344624">
      <w:pPr>
        <w:tabs>
          <w:tab w:val="center" w:pos="4536"/>
          <w:tab w:val="right" w:pos="8306"/>
        </w:tabs>
        <w:spacing w:after="0" w:line="240" w:lineRule="auto"/>
        <w:rPr>
          <w:rFonts w:ascii="Times New Roman" w:eastAsia="Times New Roman" w:hAnsi="Times New Roman" w:cs="Times New Roman"/>
          <w:sz w:val="26"/>
          <w:szCs w:val="26"/>
          <w:lang w:eastAsia="lv-LV"/>
        </w:rPr>
      </w:pPr>
    </w:p>
    <w:p w:rsidR="00344624" w:rsidRPr="00AC4171" w:rsidRDefault="00344624" w:rsidP="00344624">
      <w:pPr>
        <w:tabs>
          <w:tab w:val="center" w:pos="4536"/>
          <w:tab w:val="right" w:pos="8306"/>
        </w:tabs>
        <w:spacing w:after="0" w:line="240" w:lineRule="auto"/>
        <w:rPr>
          <w:rFonts w:ascii="Times New Roman" w:eastAsia="Times New Roman" w:hAnsi="Times New Roman" w:cs="Times New Roman"/>
          <w:sz w:val="26"/>
          <w:szCs w:val="26"/>
          <w:lang w:eastAsia="lv-LV"/>
        </w:rPr>
      </w:pPr>
    </w:p>
    <w:p w:rsidR="00344624" w:rsidRPr="00AC4171" w:rsidRDefault="00344624" w:rsidP="00344624">
      <w:pPr>
        <w:keepNext/>
        <w:tabs>
          <w:tab w:val="left" w:pos="6840"/>
        </w:tabs>
        <w:spacing w:after="0" w:line="240" w:lineRule="auto"/>
        <w:outlineLvl w:val="2"/>
        <w:rPr>
          <w:rFonts w:ascii="Times New Roman" w:eastAsia="Times New Roman" w:hAnsi="Times New Roman" w:cs="Times New Roman"/>
          <w:bCs/>
          <w:sz w:val="26"/>
          <w:szCs w:val="26"/>
        </w:rPr>
      </w:pPr>
      <w:r w:rsidRPr="00AC4171">
        <w:rPr>
          <w:rFonts w:ascii="Times New Roman" w:eastAsia="Times New Roman" w:hAnsi="Times New Roman" w:cs="Times New Roman"/>
          <w:bCs/>
          <w:sz w:val="26"/>
          <w:szCs w:val="26"/>
        </w:rPr>
        <w:t>Vīza: Valsts sekretār</w:t>
      </w:r>
      <w:r w:rsidR="00AC4171" w:rsidRPr="00AC4171">
        <w:rPr>
          <w:rFonts w:ascii="Times New Roman" w:eastAsia="Times New Roman" w:hAnsi="Times New Roman" w:cs="Times New Roman"/>
          <w:bCs/>
          <w:sz w:val="26"/>
          <w:szCs w:val="26"/>
        </w:rPr>
        <w:t>s</w:t>
      </w:r>
      <w:r w:rsidR="00AC4171" w:rsidRPr="00AC4171">
        <w:rPr>
          <w:rFonts w:ascii="Times New Roman" w:eastAsia="Times New Roman" w:hAnsi="Times New Roman" w:cs="Times New Roman"/>
          <w:bCs/>
          <w:sz w:val="26"/>
          <w:szCs w:val="26"/>
        </w:rPr>
        <w:tab/>
        <w:t>K.Ozoliņš</w:t>
      </w:r>
    </w:p>
    <w:p w:rsidR="00344624" w:rsidRPr="00AC4171" w:rsidRDefault="00344624" w:rsidP="00344624">
      <w:pPr>
        <w:tabs>
          <w:tab w:val="left" w:pos="720"/>
        </w:tabs>
        <w:spacing w:after="0" w:line="240" w:lineRule="auto"/>
        <w:rPr>
          <w:rFonts w:ascii="Times New Roman" w:eastAsia="Times New Roman" w:hAnsi="Times New Roman" w:cs="Times New Roman"/>
          <w:sz w:val="26"/>
          <w:szCs w:val="26"/>
          <w:lang w:eastAsia="lv-LV"/>
        </w:rPr>
      </w:pPr>
    </w:p>
    <w:p w:rsidR="00344624" w:rsidRPr="00AC4171" w:rsidRDefault="00344624" w:rsidP="00344624">
      <w:pPr>
        <w:tabs>
          <w:tab w:val="left" w:pos="720"/>
        </w:tabs>
        <w:spacing w:after="0" w:line="240" w:lineRule="auto"/>
        <w:rPr>
          <w:rFonts w:ascii="Times New Roman" w:eastAsia="Times New Roman" w:hAnsi="Times New Roman" w:cs="Times New Roman"/>
          <w:sz w:val="26"/>
          <w:szCs w:val="26"/>
          <w:lang w:eastAsia="lv-LV"/>
        </w:rPr>
      </w:pPr>
    </w:p>
    <w:p w:rsidR="00344624" w:rsidRPr="00AC4171" w:rsidRDefault="00344624" w:rsidP="00344624">
      <w:pPr>
        <w:tabs>
          <w:tab w:val="left" w:pos="720"/>
        </w:tabs>
        <w:spacing w:after="0" w:line="240" w:lineRule="auto"/>
        <w:rPr>
          <w:rFonts w:ascii="Times New Roman" w:eastAsia="Times New Roman" w:hAnsi="Times New Roman" w:cs="Times New Roman"/>
          <w:sz w:val="26"/>
          <w:szCs w:val="26"/>
          <w:lang w:eastAsia="lv-LV"/>
        </w:rPr>
      </w:pPr>
    </w:p>
    <w:p w:rsidR="00344624" w:rsidRPr="00AC4171" w:rsidRDefault="00344624" w:rsidP="00344624">
      <w:pPr>
        <w:spacing w:after="0" w:line="240" w:lineRule="auto"/>
        <w:jc w:val="both"/>
        <w:rPr>
          <w:rFonts w:ascii="Times New Roman" w:eastAsia="Times New Roman" w:hAnsi="Times New Roman" w:cs="Times New Roman"/>
          <w:sz w:val="20"/>
          <w:szCs w:val="20"/>
          <w:lang w:val="en-US"/>
        </w:rPr>
      </w:pPr>
      <w:r w:rsidRPr="00AC4171">
        <w:rPr>
          <w:rFonts w:ascii="Times New Roman" w:eastAsia="Times New Roman" w:hAnsi="Times New Roman" w:cs="Times New Roman"/>
          <w:sz w:val="20"/>
          <w:szCs w:val="20"/>
          <w:lang w:val="en-US"/>
        </w:rPr>
        <w:t>28.05.2013 15:45</w:t>
      </w:r>
    </w:p>
    <w:p w:rsidR="00344624" w:rsidRPr="00AC4171" w:rsidRDefault="00AC4171" w:rsidP="0034462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1648</w:t>
      </w:r>
    </w:p>
    <w:p w:rsidR="00344624" w:rsidRPr="00AC4171" w:rsidRDefault="00344624" w:rsidP="00344624">
      <w:pPr>
        <w:spacing w:after="0" w:line="240" w:lineRule="auto"/>
        <w:jc w:val="both"/>
        <w:rPr>
          <w:rFonts w:ascii="Times New Roman" w:eastAsia="Times New Roman" w:hAnsi="Times New Roman" w:cs="Times New Roman"/>
          <w:sz w:val="20"/>
          <w:szCs w:val="20"/>
          <w:lang w:val="en-US"/>
        </w:rPr>
      </w:pPr>
      <w:proofErr w:type="spellStart"/>
      <w:r w:rsidRPr="00AC4171">
        <w:rPr>
          <w:rFonts w:ascii="Times New Roman" w:eastAsia="Times New Roman" w:hAnsi="Times New Roman" w:cs="Times New Roman"/>
          <w:sz w:val="20"/>
          <w:szCs w:val="20"/>
          <w:lang w:val="en-US"/>
        </w:rPr>
        <w:t>I.Girucka</w:t>
      </w:r>
      <w:proofErr w:type="spellEnd"/>
      <w:r w:rsidRPr="00AC4171">
        <w:rPr>
          <w:rFonts w:ascii="Times New Roman" w:eastAsia="Times New Roman" w:hAnsi="Times New Roman" w:cs="Times New Roman"/>
          <w:sz w:val="20"/>
          <w:szCs w:val="20"/>
          <w:lang w:val="en-US"/>
        </w:rPr>
        <w:t>, 67028381</w:t>
      </w:r>
    </w:p>
    <w:p w:rsidR="00344624" w:rsidRPr="00AC4171" w:rsidRDefault="00344624" w:rsidP="00344624">
      <w:pPr>
        <w:spacing w:after="0" w:line="240" w:lineRule="auto"/>
        <w:jc w:val="both"/>
        <w:rPr>
          <w:rFonts w:ascii="Times New Roman" w:eastAsia="Times New Roman" w:hAnsi="Times New Roman" w:cs="Times New Roman"/>
          <w:sz w:val="20"/>
          <w:szCs w:val="20"/>
          <w:lang w:val="en-US"/>
        </w:rPr>
      </w:pPr>
      <w:r w:rsidRPr="00AC4171">
        <w:rPr>
          <w:rFonts w:ascii="Times New Roman" w:eastAsia="Times New Roman" w:hAnsi="Times New Roman" w:cs="Times New Roman"/>
          <w:sz w:val="20"/>
          <w:szCs w:val="20"/>
          <w:lang w:val="en-US"/>
        </w:rPr>
        <w:t>iveta.girucka@sam.gov.lv</w:t>
      </w:r>
    </w:p>
    <w:p w:rsidR="00344624" w:rsidRPr="00AC4171" w:rsidRDefault="00344624" w:rsidP="00344624">
      <w:pPr>
        <w:spacing w:after="0" w:line="240" w:lineRule="auto"/>
        <w:jc w:val="both"/>
        <w:rPr>
          <w:rFonts w:ascii="Times New Roman" w:eastAsia="Times New Roman" w:hAnsi="Times New Roman" w:cs="Times New Roman"/>
          <w:b/>
          <w:sz w:val="20"/>
          <w:szCs w:val="20"/>
          <w:u w:val="single"/>
          <w:lang w:val="en-US"/>
        </w:rPr>
      </w:pPr>
      <w:proofErr w:type="spellStart"/>
      <w:r w:rsidRPr="00AC4171">
        <w:rPr>
          <w:rFonts w:ascii="Times New Roman" w:eastAsia="Times New Roman" w:hAnsi="Times New Roman" w:cs="Times New Roman"/>
          <w:sz w:val="20"/>
          <w:szCs w:val="20"/>
          <w:lang w:val="en-US"/>
        </w:rPr>
        <w:t>S.Mince</w:t>
      </w:r>
      <w:proofErr w:type="spellEnd"/>
      <w:r w:rsidRPr="00AC4171">
        <w:rPr>
          <w:rFonts w:ascii="Times New Roman" w:eastAsia="Times New Roman" w:hAnsi="Times New Roman" w:cs="Times New Roman"/>
          <w:sz w:val="20"/>
          <w:szCs w:val="20"/>
          <w:lang w:val="en-US"/>
        </w:rPr>
        <w:t>, 67686494,</w:t>
      </w:r>
      <w:r w:rsidRPr="00AC4171">
        <w:rPr>
          <w:rFonts w:ascii="Times New Roman" w:eastAsia="Times New Roman" w:hAnsi="Times New Roman" w:cs="Times New Roman"/>
          <w:b/>
          <w:sz w:val="20"/>
          <w:szCs w:val="20"/>
          <w:u w:val="single"/>
          <w:lang w:val="en-US"/>
        </w:rPr>
        <w:t xml:space="preserve"> </w:t>
      </w:r>
    </w:p>
    <w:p w:rsidR="00344624" w:rsidRPr="00AC4171" w:rsidRDefault="00344624" w:rsidP="00344624">
      <w:pPr>
        <w:spacing w:after="0" w:line="240" w:lineRule="auto"/>
        <w:jc w:val="both"/>
        <w:rPr>
          <w:rFonts w:ascii="Times New Roman" w:eastAsia="Times New Roman" w:hAnsi="Times New Roman" w:cs="Times New Roman"/>
          <w:sz w:val="20"/>
          <w:szCs w:val="20"/>
          <w:lang w:val="en-US"/>
        </w:rPr>
      </w:pPr>
      <w:r w:rsidRPr="00AC4171">
        <w:rPr>
          <w:rFonts w:ascii="Times New Roman" w:eastAsia="Times New Roman" w:hAnsi="Times New Roman" w:cs="Times New Roman"/>
          <w:sz w:val="20"/>
          <w:szCs w:val="20"/>
          <w:lang w:val="en-US"/>
        </w:rPr>
        <w:t>sanita.mince@atd.lv</w:t>
      </w:r>
    </w:p>
    <w:p w:rsidR="00344624" w:rsidRPr="00AC4171" w:rsidRDefault="00344624" w:rsidP="00344624">
      <w:pPr>
        <w:tabs>
          <w:tab w:val="left" w:pos="720"/>
        </w:tabs>
        <w:spacing w:after="0" w:line="240" w:lineRule="auto"/>
        <w:rPr>
          <w:rFonts w:ascii="Times New Roman" w:eastAsia="Times New Roman" w:hAnsi="Times New Roman" w:cs="Times New Roman"/>
          <w:sz w:val="26"/>
          <w:szCs w:val="26"/>
          <w:lang w:val="en-US" w:eastAsia="lv-LV"/>
        </w:rPr>
      </w:pPr>
    </w:p>
    <w:p w:rsidR="00BF1427" w:rsidRPr="00AC4171" w:rsidRDefault="00BF1427">
      <w:pPr>
        <w:rPr>
          <w:sz w:val="26"/>
          <w:szCs w:val="26"/>
          <w:lang w:val="en-US"/>
        </w:rPr>
      </w:pPr>
    </w:p>
    <w:sectPr w:rsidR="00BF1427" w:rsidRPr="00AC4171" w:rsidSect="004831A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ED" w:rsidRDefault="001C18ED">
      <w:pPr>
        <w:spacing w:after="0" w:line="240" w:lineRule="auto"/>
      </w:pPr>
      <w:r>
        <w:separator/>
      </w:r>
    </w:p>
  </w:endnote>
  <w:endnote w:type="continuationSeparator" w:id="0">
    <w:p w:rsidR="001C18ED" w:rsidRDefault="001C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1" w:rsidRDefault="00AC4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27" w:rsidRPr="00344624" w:rsidRDefault="00BF1427" w:rsidP="00344624">
    <w:pPr>
      <w:pStyle w:val="Footer"/>
      <w:jc w:val="both"/>
      <w:rPr>
        <w:sz w:val="20"/>
        <w:szCs w:val="20"/>
      </w:rPr>
    </w:pPr>
    <w:r w:rsidRPr="00344624">
      <w:rPr>
        <w:sz w:val="20"/>
        <w:szCs w:val="20"/>
      </w:rPr>
      <w:t>SAManot_</w:t>
    </w:r>
    <w:r w:rsidR="00C22051">
      <w:rPr>
        <w:sz w:val="20"/>
        <w:szCs w:val="20"/>
      </w:rPr>
      <w:t>1</w:t>
    </w:r>
    <w:r w:rsidRPr="00344624">
      <w:rPr>
        <w:sz w:val="20"/>
        <w:szCs w:val="20"/>
      </w:rPr>
      <w:t>80</w:t>
    </w:r>
    <w:r w:rsidR="00C22051">
      <w:rPr>
        <w:sz w:val="20"/>
        <w:szCs w:val="20"/>
      </w:rPr>
      <w:t>6</w:t>
    </w:r>
    <w:r w:rsidRPr="00344624">
      <w:rPr>
        <w:sz w:val="20"/>
        <w:szCs w:val="20"/>
      </w:rPr>
      <w:t>13; Ministru kabineta noteikumu projekta Sabiedrisko autotransporta līdzekļu iepirkuma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27" w:rsidRPr="00344624" w:rsidRDefault="00BF1427" w:rsidP="004A76C9">
    <w:pPr>
      <w:pStyle w:val="Footer"/>
      <w:jc w:val="both"/>
      <w:rPr>
        <w:sz w:val="20"/>
        <w:szCs w:val="20"/>
      </w:rPr>
    </w:pPr>
    <w:r w:rsidRPr="00344624">
      <w:rPr>
        <w:sz w:val="20"/>
        <w:szCs w:val="20"/>
      </w:rPr>
      <w:t>SAManot_</w:t>
    </w:r>
    <w:r w:rsidR="00C22051">
      <w:rPr>
        <w:sz w:val="20"/>
        <w:szCs w:val="20"/>
      </w:rPr>
      <w:t>1</w:t>
    </w:r>
    <w:r w:rsidRPr="00344624">
      <w:rPr>
        <w:sz w:val="20"/>
        <w:szCs w:val="20"/>
      </w:rPr>
      <w:t>80</w:t>
    </w:r>
    <w:r w:rsidR="00C22051">
      <w:rPr>
        <w:sz w:val="20"/>
        <w:szCs w:val="20"/>
      </w:rPr>
      <w:t>6</w:t>
    </w:r>
    <w:r w:rsidRPr="00344624">
      <w:rPr>
        <w:sz w:val="20"/>
        <w:szCs w:val="20"/>
      </w:rPr>
      <w:t>13; Ministru kabineta noteikumu projekta Sabiedrisko autotransporta līdzekļu iepirkuma noteikumi” sākotnējās ietekmes novērtējuma ziņojums (anotācija)</w:t>
    </w:r>
  </w:p>
  <w:p w:rsidR="00BF1427" w:rsidRPr="004A76C9" w:rsidRDefault="00BF1427" w:rsidP="004A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ED" w:rsidRDefault="001C18ED">
      <w:pPr>
        <w:spacing w:after="0" w:line="240" w:lineRule="auto"/>
      </w:pPr>
      <w:r>
        <w:separator/>
      </w:r>
    </w:p>
  </w:footnote>
  <w:footnote w:type="continuationSeparator" w:id="0">
    <w:p w:rsidR="001C18ED" w:rsidRDefault="001C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27" w:rsidRDefault="00E244F9" w:rsidP="00BF1427">
    <w:pPr>
      <w:pStyle w:val="Header"/>
      <w:framePr w:wrap="around" w:vAnchor="text" w:hAnchor="margin" w:xAlign="center" w:y="1"/>
      <w:rPr>
        <w:rStyle w:val="PageNumber"/>
      </w:rPr>
    </w:pPr>
    <w:r>
      <w:rPr>
        <w:rStyle w:val="PageNumber"/>
      </w:rPr>
      <w:fldChar w:fldCharType="begin"/>
    </w:r>
    <w:r w:rsidR="00BF1427">
      <w:rPr>
        <w:rStyle w:val="PageNumber"/>
      </w:rPr>
      <w:instrText xml:space="preserve">PAGE  </w:instrText>
    </w:r>
    <w:r>
      <w:rPr>
        <w:rStyle w:val="PageNumber"/>
      </w:rPr>
      <w:fldChar w:fldCharType="end"/>
    </w:r>
  </w:p>
  <w:p w:rsidR="00BF1427" w:rsidRDefault="00BF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27" w:rsidRDefault="00E244F9" w:rsidP="00BF1427">
    <w:pPr>
      <w:pStyle w:val="Header"/>
      <w:framePr w:wrap="around" w:vAnchor="text" w:hAnchor="margin" w:xAlign="center" w:y="1"/>
      <w:rPr>
        <w:rStyle w:val="PageNumber"/>
      </w:rPr>
    </w:pPr>
    <w:r>
      <w:rPr>
        <w:rStyle w:val="PageNumber"/>
      </w:rPr>
      <w:fldChar w:fldCharType="begin"/>
    </w:r>
    <w:r w:rsidR="00BF1427">
      <w:rPr>
        <w:rStyle w:val="PageNumber"/>
      </w:rPr>
      <w:instrText xml:space="preserve">PAGE  </w:instrText>
    </w:r>
    <w:r>
      <w:rPr>
        <w:rStyle w:val="PageNumber"/>
      </w:rPr>
      <w:fldChar w:fldCharType="separate"/>
    </w:r>
    <w:r w:rsidR="005506F9">
      <w:rPr>
        <w:rStyle w:val="PageNumber"/>
        <w:noProof/>
      </w:rPr>
      <w:t>11</w:t>
    </w:r>
    <w:r>
      <w:rPr>
        <w:rStyle w:val="PageNumber"/>
      </w:rPr>
      <w:fldChar w:fldCharType="end"/>
    </w:r>
  </w:p>
  <w:p w:rsidR="00BF1427" w:rsidRDefault="00BF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1" w:rsidRDefault="00AC4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DD3"/>
    <w:multiLevelType w:val="hybridMultilevel"/>
    <w:tmpl w:val="8B106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70781C"/>
    <w:multiLevelType w:val="hybridMultilevel"/>
    <w:tmpl w:val="9D16EF86"/>
    <w:lvl w:ilvl="0" w:tplc="3BA0BA1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C655944"/>
    <w:multiLevelType w:val="hybridMultilevel"/>
    <w:tmpl w:val="39BAE57E"/>
    <w:lvl w:ilvl="0" w:tplc="F90AA97A">
      <w:start w:val="1"/>
      <w:numFmt w:val="decimal"/>
      <w:lvlText w:val="%1)"/>
      <w:lvlJc w:val="left"/>
      <w:pPr>
        <w:ind w:left="1662" w:hanging="109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E4B018E"/>
    <w:multiLevelType w:val="multilevel"/>
    <w:tmpl w:val="8D4E4EE4"/>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B9D058D"/>
    <w:multiLevelType w:val="hybridMultilevel"/>
    <w:tmpl w:val="FF04F8C0"/>
    <w:lvl w:ilvl="0" w:tplc="FE9A021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A6"/>
    <w:rsid w:val="00032E8E"/>
    <w:rsid w:val="00056E87"/>
    <w:rsid w:val="000D01D7"/>
    <w:rsid w:val="001C18ED"/>
    <w:rsid w:val="00244FEE"/>
    <w:rsid w:val="0025132B"/>
    <w:rsid w:val="002B132B"/>
    <w:rsid w:val="00344624"/>
    <w:rsid w:val="00361949"/>
    <w:rsid w:val="00431E90"/>
    <w:rsid w:val="004831A6"/>
    <w:rsid w:val="0049660D"/>
    <w:rsid w:val="004A76C9"/>
    <w:rsid w:val="00525BD4"/>
    <w:rsid w:val="005506F9"/>
    <w:rsid w:val="00622D3D"/>
    <w:rsid w:val="0069508A"/>
    <w:rsid w:val="007010BF"/>
    <w:rsid w:val="007B7879"/>
    <w:rsid w:val="00812CAC"/>
    <w:rsid w:val="008473E1"/>
    <w:rsid w:val="00850772"/>
    <w:rsid w:val="008A3180"/>
    <w:rsid w:val="00907DF4"/>
    <w:rsid w:val="00944024"/>
    <w:rsid w:val="00A53D41"/>
    <w:rsid w:val="00AA4808"/>
    <w:rsid w:val="00AA65FD"/>
    <w:rsid w:val="00AC4171"/>
    <w:rsid w:val="00B17A1E"/>
    <w:rsid w:val="00BB0D0D"/>
    <w:rsid w:val="00BB1359"/>
    <w:rsid w:val="00BF1427"/>
    <w:rsid w:val="00C22051"/>
    <w:rsid w:val="00C45496"/>
    <w:rsid w:val="00C82F40"/>
    <w:rsid w:val="00D20053"/>
    <w:rsid w:val="00E244F9"/>
    <w:rsid w:val="00E47CA4"/>
    <w:rsid w:val="00E72082"/>
    <w:rsid w:val="00EC385B"/>
    <w:rsid w:val="00F747F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A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831A6"/>
    <w:rPr>
      <w:rFonts w:ascii="Times New Roman" w:eastAsia="Times New Roman" w:hAnsi="Times New Roman" w:cs="Times New Roman"/>
      <w:sz w:val="24"/>
      <w:szCs w:val="24"/>
      <w:lang w:eastAsia="lv-LV"/>
    </w:rPr>
  </w:style>
  <w:style w:type="character" w:styleId="PageNumber">
    <w:name w:val="page number"/>
    <w:basedOn w:val="DefaultParagraphFont"/>
    <w:rsid w:val="004831A6"/>
  </w:style>
  <w:style w:type="paragraph" w:styleId="Footer">
    <w:name w:val="footer"/>
    <w:basedOn w:val="Normal"/>
    <w:link w:val="FooterChar"/>
    <w:rsid w:val="004831A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831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B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A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831A6"/>
    <w:rPr>
      <w:rFonts w:ascii="Times New Roman" w:eastAsia="Times New Roman" w:hAnsi="Times New Roman" w:cs="Times New Roman"/>
      <w:sz w:val="24"/>
      <w:szCs w:val="24"/>
      <w:lang w:eastAsia="lv-LV"/>
    </w:rPr>
  </w:style>
  <w:style w:type="character" w:styleId="PageNumber">
    <w:name w:val="page number"/>
    <w:basedOn w:val="DefaultParagraphFont"/>
    <w:rsid w:val="004831A6"/>
  </w:style>
  <w:style w:type="paragraph" w:styleId="Footer">
    <w:name w:val="footer"/>
    <w:basedOn w:val="Normal"/>
    <w:link w:val="FooterChar"/>
    <w:rsid w:val="004831A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831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B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9074</Words>
  <Characters>5173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Sabiedrisko autotransporta līdzekļu iepirkuma noteikumi</vt:lpstr>
    </vt:vector>
  </TitlesOfParts>
  <Company>Satiksmes ministrija</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Sabiedrisko autotransporta līdzekļu iepirkuma noteikumi</dc:title>
  <dc:subject>Anotācija</dc:subject>
  <dc:creator>Iveta Girucka</dc:creator>
  <dc:description>iveta.girucka@sam.gov.lv_x000d_
67028381</dc:description>
  <cp:lastModifiedBy>Iveta Girucka</cp:lastModifiedBy>
  <cp:revision>6</cp:revision>
  <dcterms:created xsi:type="dcterms:W3CDTF">2013-06-19T06:20:00Z</dcterms:created>
  <dcterms:modified xsi:type="dcterms:W3CDTF">2013-06-21T08:01:00Z</dcterms:modified>
</cp:coreProperties>
</file>