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60" w:rsidRPr="00A5661E" w:rsidRDefault="00422B60" w:rsidP="004D6C3C">
      <w:pPr>
        <w:spacing w:line="240" w:lineRule="auto"/>
        <w:rPr>
          <w:rFonts w:ascii="Times New Roman" w:hAnsi="Times New Roman"/>
          <w:b/>
          <w:sz w:val="28"/>
          <w:szCs w:val="28"/>
        </w:rPr>
      </w:pPr>
      <w:r w:rsidRPr="00A5661E">
        <w:rPr>
          <w:rFonts w:ascii="Times New Roman" w:hAnsi="Times New Roman"/>
          <w:b/>
          <w:sz w:val="28"/>
          <w:szCs w:val="28"/>
        </w:rPr>
        <w:t>Likumprojekta</w:t>
      </w:r>
    </w:p>
    <w:p w:rsidR="00422B60" w:rsidRPr="00A5661E" w:rsidRDefault="00422B60" w:rsidP="004D6C3C">
      <w:pPr>
        <w:spacing w:line="240" w:lineRule="auto"/>
        <w:rPr>
          <w:rFonts w:ascii="Times New Roman" w:hAnsi="Times New Roman"/>
          <w:b/>
          <w:sz w:val="28"/>
          <w:szCs w:val="28"/>
        </w:rPr>
      </w:pPr>
      <w:r w:rsidRPr="00A5661E">
        <w:rPr>
          <w:rFonts w:ascii="Times New Roman" w:hAnsi="Times New Roman"/>
          <w:b/>
          <w:sz w:val="28"/>
          <w:szCs w:val="28"/>
        </w:rPr>
        <w:t xml:space="preserve">„Grozījumi </w:t>
      </w:r>
      <w:r>
        <w:rPr>
          <w:rFonts w:ascii="Times New Roman" w:hAnsi="Times New Roman"/>
          <w:b/>
          <w:sz w:val="28"/>
          <w:szCs w:val="28"/>
        </w:rPr>
        <w:t>„</w:t>
      </w:r>
      <w:r w:rsidRPr="00A5661E">
        <w:rPr>
          <w:rFonts w:ascii="Times New Roman" w:hAnsi="Times New Roman"/>
          <w:b/>
          <w:sz w:val="28"/>
          <w:szCs w:val="28"/>
        </w:rPr>
        <w:t>Autopārvadājumu likumā”</w:t>
      </w:r>
      <w:r>
        <w:rPr>
          <w:rFonts w:ascii="Times New Roman" w:hAnsi="Times New Roman"/>
          <w:b/>
          <w:sz w:val="28"/>
          <w:szCs w:val="28"/>
        </w:rPr>
        <w:t>”</w:t>
      </w:r>
    </w:p>
    <w:p w:rsidR="00422B60" w:rsidRPr="002F70AE" w:rsidRDefault="00422B60" w:rsidP="004D6C3C">
      <w:pPr>
        <w:tabs>
          <w:tab w:val="center" w:pos="4535"/>
          <w:tab w:val="left" w:pos="6945"/>
        </w:tabs>
        <w:spacing w:line="240" w:lineRule="auto"/>
        <w:rPr>
          <w:rFonts w:ascii="Times New Roman" w:hAnsi="Times New Roman"/>
          <w:b/>
          <w:bCs/>
          <w:sz w:val="28"/>
          <w:szCs w:val="28"/>
        </w:rPr>
      </w:pPr>
      <w:r>
        <w:rPr>
          <w:rFonts w:ascii="Times New Roman" w:hAnsi="Times New Roman"/>
          <w:b/>
          <w:bCs/>
          <w:sz w:val="28"/>
          <w:szCs w:val="28"/>
        </w:rPr>
        <w:t>s</w:t>
      </w:r>
      <w:r w:rsidRPr="00A5661E">
        <w:rPr>
          <w:rFonts w:ascii="Times New Roman" w:hAnsi="Times New Roman"/>
          <w:b/>
          <w:bCs/>
          <w:sz w:val="28"/>
          <w:szCs w:val="28"/>
        </w:rPr>
        <w:t>ākotnējā</w:t>
      </w:r>
      <w:r>
        <w:rPr>
          <w:rFonts w:ascii="Times New Roman" w:hAnsi="Times New Roman"/>
          <w:b/>
          <w:bCs/>
          <w:sz w:val="28"/>
          <w:szCs w:val="28"/>
        </w:rPr>
        <w:t>s</w:t>
      </w:r>
      <w:r w:rsidRPr="00A5661E">
        <w:rPr>
          <w:rFonts w:ascii="Times New Roman" w:hAnsi="Times New Roman"/>
          <w:b/>
          <w:bCs/>
          <w:sz w:val="28"/>
          <w:szCs w:val="28"/>
        </w:rPr>
        <w:t xml:space="preserve"> ietekmes novērtējuma </w:t>
      </w:r>
      <w:smartTag w:uri="schemas-tilde-lv/tildestengine" w:element="veidnes">
        <w:smartTagPr>
          <w:attr w:name="id" w:val="-1"/>
          <w:attr w:name="baseform" w:val="ziņojums"/>
          <w:attr w:name="text" w:val="ziņojums"/>
        </w:smartTagPr>
        <w:r w:rsidRPr="00A5661E">
          <w:rPr>
            <w:rFonts w:ascii="Times New Roman" w:hAnsi="Times New Roman"/>
            <w:b/>
            <w:bCs/>
            <w:sz w:val="28"/>
            <w:szCs w:val="28"/>
          </w:rPr>
          <w:t>ziņojums</w:t>
        </w:r>
      </w:smartTag>
      <w:r w:rsidRPr="00A5661E">
        <w:rPr>
          <w:rFonts w:ascii="Times New Roman" w:hAnsi="Times New Roman"/>
          <w:b/>
          <w:bCs/>
          <w:sz w:val="28"/>
          <w:szCs w:val="28"/>
        </w:rPr>
        <w:t xml:space="preserve"> (anotācija)</w:t>
      </w:r>
    </w:p>
    <w:p w:rsidR="00422B60" w:rsidRPr="002C561E" w:rsidRDefault="00422B60" w:rsidP="004D6C3C">
      <w:pPr>
        <w:tabs>
          <w:tab w:val="center" w:pos="4535"/>
          <w:tab w:val="left" w:pos="6945"/>
        </w:tabs>
        <w:spacing w:line="240" w:lineRule="auto"/>
        <w:jc w:val="both"/>
        <w:rPr>
          <w:rFonts w:ascii="Times New Roman" w:hAnsi="Times New Roman"/>
          <w:sz w:val="28"/>
          <w:szCs w:val="28"/>
          <w:lang w:eastAsia="lv-LV"/>
        </w:rPr>
      </w:pPr>
    </w:p>
    <w:tbl>
      <w:tblPr>
        <w:tblW w:w="9627" w:type="dxa"/>
        <w:jc w:val="center"/>
        <w:tblCellSpacing w:w="0" w:type="dxa"/>
        <w:tblInd w:w="-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512"/>
        <w:gridCol w:w="2260"/>
        <w:gridCol w:w="6855"/>
      </w:tblGrid>
      <w:tr w:rsidR="00422B60" w:rsidRPr="00031BC7" w:rsidTr="00B76A80">
        <w:trPr>
          <w:trHeight w:val="249"/>
          <w:tblCellSpacing w:w="0" w:type="dxa"/>
          <w:jc w:val="center"/>
        </w:trPr>
        <w:tc>
          <w:tcPr>
            <w:tcW w:w="9627" w:type="dxa"/>
            <w:gridSpan w:val="3"/>
            <w:tcBorders>
              <w:top w:val="single" w:sz="4" w:space="0" w:color="auto"/>
              <w:left w:val="single" w:sz="4" w:space="0" w:color="auto"/>
              <w:bottom w:val="single" w:sz="4" w:space="0" w:color="auto"/>
              <w:right w:val="single" w:sz="4" w:space="0" w:color="auto"/>
            </w:tcBorders>
            <w:vAlign w:val="center"/>
          </w:tcPr>
          <w:p w:rsidR="00422B60" w:rsidRPr="00031BC7" w:rsidRDefault="00422B60" w:rsidP="00B76A80">
            <w:pPr>
              <w:spacing w:before="94" w:after="94" w:line="240" w:lineRule="auto"/>
              <w:rPr>
                <w:rFonts w:ascii="Times New Roman" w:hAnsi="Times New Roman"/>
                <w:sz w:val="24"/>
                <w:szCs w:val="24"/>
                <w:lang w:eastAsia="lv-LV"/>
              </w:rPr>
            </w:pPr>
            <w:r w:rsidRPr="00031BC7">
              <w:rPr>
                <w:rFonts w:ascii="Times New Roman" w:hAnsi="Times New Roman"/>
                <w:b/>
                <w:bCs/>
                <w:sz w:val="24"/>
                <w:szCs w:val="24"/>
                <w:lang w:eastAsia="lv-LV"/>
              </w:rPr>
              <w:t>I. Tiesību akta projekta izstrādes nepieciešamība</w:t>
            </w:r>
          </w:p>
        </w:tc>
      </w:tr>
      <w:tr w:rsidR="00422B60" w:rsidRPr="00B76A80" w:rsidTr="00B76A80">
        <w:trPr>
          <w:trHeight w:val="630"/>
          <w:tblCellSpacing w:w="0" w:type="dxa"/>
          <w:jc w:val="center"/>
        </w:trPr>
        <w:tc>
          <w:tcPr>
            <w:tcW w:w="512" w:type="dxa"/>
            <w:tcBorders>
              <w:top w:val="single" w:sz="4" w:space="0" w:color="auto"/>
              <w:left w:val="single" w:sz="4" w:space="0" w:color="auto"/>
              <w:bottom w:val="single" w:sz="4" w:space="0" w:color="auto"/>
              <w:right w:val="single" w:sz="4" w:space="0" w:color="auto"/>
            </w:tcBorders>
          </w:tcPr>
          <w:p w:rsidR="00422B60" w:rsidRPr="00B76A80" w:rsidRDefault="00422B60" w:rsidP="00E53999">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 1.</w:t>
            </w:r>
          </w:p>
        </w:tc>
        <w:tc>
          <w:tcPr>
            <w:tcW w:w="2260" w:type="dxa"/>
            <w:tcBorders>
              <w:top w:val="single" w:sz="4" w:space="0" w:color="auto"/>
              <w:left w:val="single" w:sz="4" w:space="0" w:color="auto"/>
              <w:bottom w:val="single" w:sz="4" w:space="0" w:color="auto"/>
              <w:right w:val="single" w:sz="4" w:space="0" w:color="auto"/>
            </w:tcBorders>
          </w:tcPr>
          <w:p w:rsidR="00422B60" w:rsidRPr="00B76A80" w:rsidRDefault="00422B60" w:rsidP="00B76A80">
            <w:pPr>
              <w:spacing w:before="94" w:after="94" w:line="240" w:lineRule="auto"/>
              <w:jc w:val="both"/>
              <w:rPr>
                <w:rFonts w:ascii="Times New Roman" w:hAnsi="Times New Roman"/>
                <w:sz w:val="26"/>
                <w:szCs w:val="26"/>
                <w:lang w:eastAsia="lv-LV"/>
              </w:rPr>
            </w:pPr>
            <w:r w:rsidRPr="00B76A80">
              <w:rPr>
                <w:rFonts w:ascii="Times New Roman" w:hAnsi="Times New Roman"/>
                <w:sz w:val="26"/>
                <w:szCs w:val="26"/>
                <w:lang w:eastAsia="lv-LV"/>
              </w:rPr>
              <w:t>Pamatojums</w:t>
            </w:r>
          </w:p>
        </w:tc>
        <w:tc>
          <w:tcPr>
            <w:tcW w:w="6855" w:type="dxa"/>
            <w:tcBorders>
              <w:top w:val="single" w:sz="4" w:space="0" w:color="auto"/>
              <w:left w:val="single" w:sz="4" w:space="0" w:color="auto"/>
              <w:bottom w:val="single" w:sz="4" w:space="0" w:color="auto"/>
              <w:right w:val="single" w:sz="4" w:space="0" w:color="auto"/>
            </w:tcBorders>
          </w:tcPr>
          <w:p w:rsidR="00422B60" w:rsidRPr="00B76A80" w:rsidRDefault="00422B60" w:rsidP="00B76A80">
            <w:pPr>
              <w:spacing w:line="240" w:lineRule="auto"/>
              <w:jc w:val="both"/>
              <w:rPr>
                <w:rFonts w:ascii="Times New Roman" w:hAnsi="Times New Roman"/>
                <w:bCs/>
                <w:color w:val="000000"/>
                <w:sz w:val="26"/>
                <w:szCs w:val="26"/>
              </w:rPr>
            </w:pPr>
            <w:r w:rsidRPr="00B76A80">
              <w:rPr>
                <w:rFonts w:ascii="Times New Roman" w:hAnsi="Times New Roman"/>
                <w:sz w:val="26"/>
                <w:szCs w:val="26"/>
              </w:rPr>
              <w:t xml:space="preserve">Likumprojektā „Par valsts budžetu 2012.gadam” paredzētais finansējuma samazinājums sabiedriskā transporta pakalpojumu sniedzēju zaudējumu kompensēšanai </w:t>
            </w:r>
            <w:r w:rsidRPr="00B76A80">
              <w:rPr>
                <w:rFonts w:ascii="Times New Roman" w:hAnsi="Times New Roman"/>
                <w:color w:val="000000"/>
                <w:sz w:val="26"/>
                <w:szCs w:val="26"/>
              </w:rPr>
              <w:t>2012.gadā</w:t>
            </w:r>
            <w:r>
              <w:rPr>
                <w:rFonts w:ascii="Times New Roman" w:hAnsi="Times New Roman"/>
                <w:color w:val="000000"/>
                <w:sz w:val="26"/>
                <w:szCs w:val="26"/>
              </w:rPr>
              <w:t xml:space="preserve"> </w:t>
            </w:r>
            <w:r w:rsidRPr="00B76A80">
              <w:rPr>
                <w:rFonts w:ascii="Times New Roman" w:hAnsi="Times New Roman"/>
                <w:color w:val="000000"/>
                <w:sz w:val="26"/>
                <w:szCs w:val="26"/>
              </w:rPr>
              <w:t xml:space="preserve"> </w:t>
            </w:r>
            <w:r>
              <w:rPr>
                <w:rFonts w:ascii="Times New Roman" w:hAnsi="Times New Roman"/>
                <w:bCs/>
                <w:color w:val="000000"/>
                <w:sz w:val="26"/>
                <w:szCs w:val="26"/>
              </w:rPr>
              <w:t>5.0</w:t>
            </w:r>
            <w:r w:rsidRPr="00B76A80">
              <w:rPr>
                <w:rFonts w:ascii="Times New Roman" w:hAnsi="Times New Roman"/>
                <w:bCs/>
                <w:color w:val="000000"/>
                <w:sz w:val="26"/>
                <w:szCs w:val="26"/>
              </w:rPr>
              <w:t xml:space="preserve"> milj. LVL apmērā.</w:t>
            </w:r>
          </w:p>
          <w:p w:rsidR="00422B60" w:rsidRPr="00B76A80" w:rsidRDefault="00422B60" w:rsidP="00B76A80">
            <w:pPr>
              <w:spacing w:before="94" w:after="94" w:line="240" w:lineRule="auto"/>
              <w:jc w:val="both"/>
              <w:rPr>
                <w:rFonts w:ascii="Times New Roman" w:hAnsi="Times New Roman"/>
                <w:sz w:val="26"/>
                <w:szCs w:val="26"/>
                <w:lang w:eastAsia="lv-LV"/>
              </w:rPr>
            </w:pPr>
            <w:r>
              <w:rPr>
                <w:rFonts w:ascii="Times New Roman" w:hAnsi="Times New Roman"/>
                <w:sz w:val="26"/>
                <w:szCs w:val="26"/>
              </w:rPr>
              <w:t>Veicot normatīvo aktu sakārtošanu, kas noteiks kārtību kāda veicami neregulārie pārvadājumi,</w:t>
            </w:r>
            <w:r w:rsidRPr="00B76A80">
              <w:rPr>
                <w:rFonts w:ascii="Times New Roman" w:hAnsi="Times New Roman"/>
                <w:sz w:val="26"/>
                <w:szCs w:val="26"/>
              </w:rPr>
              <w:t xml:space="preserve"> </w:t>
            </w:r>
            <w:r>
              <w:rPr>
                <w:rFonts w:ascii="Times New Roman" w:hAnsi="Times New Roman"/>
                <w:sz w:val="26"/>
                <w:szCs w:val="26"/>
              </w:rPr>
              <w:t>p</w:t>
            </w:r>
            <w:r w:rsidRPr="00B76A80">
              <w:rPr>
                <w:rFonts w:ascii="Times New Roman" w:hAnsi="Times New Roman"/>
                <w:sz w:val="26"/>
                <w:szCs w:val="26"/>
              </w:rPr>
              <w:t>aredzamais ieņēmumu palielinājums</w:t>
            </w:r>
            <w:r>
              <w:rPr>
                <w:rFonts w:ascii="Times New Roman" w:hAnsi="Times New Roman"/>
                <w:sz w:val="26"/>
                <w:szCs w:val="26"/>
              </w:rPr>
              <w:t xml:space="preserve"> sabiedriskā transporta pakalpojumu veicējiem, kas saņem valsts dotācijas, </w:t>
            </w:r>
            <w:r w:rsidRPr="00B76A80">
              <w:rPr>
                <w:rFonts w:ascii="Times New Roman" w:hAnsi="Times New Roman"/>
                <w:sz w:val="26"/>
                <w:szCs w:val="26"/>
              </w:rPr>
              <w:t>varētu sasniegt līdz 1,2 milj. LVL gadā.</w:t>
            </w:r>
          </w:p>
        </w:tc>
      </w:tr>
      <w:tr w:rsidR="00422B60" w:rsidRPr="00B76A80" w:rsidTr="00B76A80">
        <w:trPr>
          <w:trHeight w:val="7717"/>
          <w:tblCellSpacing w:w="0" w:type="dxa"/>
          <w:jc w:val="center"/>
        </w:trPr>
        <w:tc>
          <w:tcPr>
            <w:tcW w:w="512" w:type="dxa"/>
            <w:tcBorders>
              <w:top w:val="single" w:sz="4" w:space="0" w:color="auto"/>
              <w:left w:val="single" w:sz="4" w:space="0" w:color="auto"/>
              <w:bottom w:val="single" w:sz="4" w:space="0" w:color="auto"/>
              <w:right w:val="single" w:sz="4" w:space="0" w:color="auto"/>
            </w:tcBorders>
          </w:tcPr>
          <w:p w:rsidR="00422B60" w:rsidRPr="00B76A80" w:rsidRDefault="00422B60" w:rsidP="00E53999">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 2.</w:t>
            </w:r>
          </w:p>
        </w:tc>
        <w:tc>
          <w:tcPr>
            <w:tcW w:w="2260" w:type="dxa"/>
            <w:tcBorders>
              <w:top w:val="single" w:sz="4" w:space="0" w:color="auto"/>
              <w:left w:val="single" w:sz="4" w:space="0" w:color="auto"/>
              <w:bottom w:val="single" w:sz="4" w:space="0" w:color="auto"/>
              <w:right w:val="single" w:sz="4" w:space="0" w:color="auto"/>
            </w:tcBorders>
          </w:tcPr>
          <w:p w:rsidR="00422B60" w:rsidRPr="00B76A80" w:rsidRDefault="00422B60" w:rsidP="00B76A80">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Pašreizējā situācija un problēmas</w:t>
            </w:r>
          </w:p>
          <w:p w:rsidR="00422B60" w:rsidRPr="00B76A80" w:rsidRDefault="00422B60" w:rsidP="00E53999">
            <w:pPr>
              <w:jc w:val="right"/>
              <w:rPr>
                <w:rFonts w:ascii="Times New Roman" w:hAnsi="Times New Roman"/>
                <w:sz w:val="26"/>
                <w:szCs w:val="26"/>
                <w:lang w:eastAsia="lv-LV"/>
              </w:rPr>
            </w:pPr>
          </w:p>
        </w:tc>
        <w:tc>
          <w:tcPr>
            <w:tcW w:w="6855" w:type="dxa"/>
            <w:tcBorders>
              <w:top w:val="single" w:sz="4" w:space="0" w:color="auto"/>
              <w:left w:val="single" w:sz="4" w:space="0" w:color="auto"/>
              <w:bottom w:val="single" w:sz="4" w:space="0" w:color="auto"/>
              <w:right w:val="single" w:sz="4" w:space="0" w:color="auto"/>
            </w:tcBorders>
          </w:tcPr>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 xml:space="preserve">Saskaņā ar Autopārvadājuma likuma 1.panta 23.punktu- </w:t>
            </w:r>
            <w:r w:rsidRPr="00B76A80">
              <w:rPr>
                <w:rFonts w:ascii="Times New Roman" w:hAnsi="Times New Roman"/>
                <w:b/>
                <w:bCs/>
                <w:sz w:val="26"/>
                <w:szCs w:val="26"/>
              </w:rPr>
              <w:t>pasažieru neregulārie pārvadājumi</w:t>
            </w:r>
            <w:r w:rsidRPr="00B76A80">
              <w:rPr>
                <w:rFonts w:ascii="Times New Roman" w:hAnsi="Times New Roman"/>
                <w:sz w:val="26"/>
                <w:szCs w:val="26"/>
              </w:rPr>
              <w:t xml:space="preserve"> — regulāro pārvadājumu (arī speciālo regulāro pārvadājumu) definīcijai neatbilstoši pasažieru pārvadājumi, kuros pārvadā pasažieru grupas, kas izveidotas pēc pasūtītāja vai paša pārvadātāja iniciatīvas. Šie pārvadājumi nezaudē neregulāro pārvadājumu statusu tikai tāpēc, ka tiek veikti noteiktos laika intervālos.</w:t>
            </w:r>
          </w:p>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Ņemot vērā Autopārvadājumu likumā ietverto definīciju, ir jāsecina, ka neviens normatīvais akts šobrīd neregulē kārtību, kādā veicami pasažieru neregulārie pārvadājumi Latvijas teritorijā. Autopārvadājumu likumā ir ietverts tikai „pasažieru neregulāro pārvadājumu” termina skaidrojums. Tādēļ nepieciešams izstrādāt detalizētus noteikumus, kuros būtu noteikta pasažieru neregulāro pārvadājumu veikšanas kārtība.</w:t>
            </w:r>
          </w:p>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Jau ilgstoši pastāv problēma ar nelegālajiem pasažieru pārvadājumiem, ko veic juridiskas un fiziskas personas ar autobusiem. Šie pārvadātāji ir saņēmuši licences komercpārvadājumu veikšanai, taču tas nedod viņiem tiesības veikt regulāros pasažieru pārvadājumus, jo nav noslēgts sabiedriskā transporta pakalpojumu pasūtījuma līgums un saņemts sabiedriskā transporta pakalpojumu sniegšanas tiesību apliecinājums.</w:t>
            </w:r>
          </w:p>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Būtībā šie pārvadājumi ir maskēti pasažieru regulārie pārvadājumi, jo ir noteikts maršruts, brauciena maksa un atiešanas laiki no galapunkta (kas uzzināmi, piezvanot dispečerei). No regulārajiem pasažieru pārvadājumiem minētie pārvadājumi atšķiras tikai ar to, ka maršruta sākums un beigas nav autoosta, bet pārvadātājs pats nosaka pasažieru apmaiņas vietas galapunktos, maksu par braucienu iekasē autobusa vadītājs, pasažierim ne vienmēr izsniedzot braucienu apliecinošu dokumentu, kā arī pārvadājumi netiek veikti saskaņā ar apstiprinātu kustības sarakstu.</w:t>
            </w:r>
          </w:p>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 xml:space="preserve">No 2007.gada 15.jūlija ir spēkā Sabiedriskā transporta pakalpojumu likums, kas nosaka kārtību kādā ir veicami sabiedriskā transporta pakalpojumu pasūtījumi Latvijas iekšzemes sabiedriskajā transportā, kā arī nosaka valsts un pašvaldību dotāciju piešķiršanas kārtību un apjomu par sniegtajiem sabiedriskā transporta pakalpojumiem. </w:t>
            </w:r>
          </w:p>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 xml:space="preserve">Nav atbalstāma situācija, ka līdztekus dotējamiem sabiedriskajiem pasažieru pārvadājumiem tajos pašos maršrutos tiek veikti dažāda veida pasažieru pārvadājumi uz komerciālajiem principiem, kurus veic juridiskās un fiziskās personas pēc savas iniciatīvas, raksturojot tos kā neregulārie pasažieru pārvadājumi un neievērojot virkni normatīvo aktu prasības. Turklāt, likumdevējs ir strikti noteicis, ka iekšzemes komerciālie pasažieru pārvadājumi Latvijas teritorijā var pastāvēt līdztekus dotējamiem sabiedriskā transporta pakalpojumiem ne ilgāk kā līdz 2011.gada 31.decembrim (Sabiedriskā transporta pakalpojumu likuma Pārejas noteikumu 10.punkts). </w:t>
            </w:r>
          </w:p>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Jāatzīmē, ka neregulārie (nelegālie) pasažieru pārvadātāji rada ievērojamus zaudējumus pārvadātājiem, ar kuriem ir noslēgti sabiedriskā transporta pakalpojumu pasūtījuma līgumi, kā rezultātā tiek radīti zaudējumi gan valsts, gan pašvaldību budžetiem, jo samazinoties biļešu ieņēmumiem, pārvadātājiem palielinās zaudējumi, līdz ar to valsts un pašvaldības ir spiestas palielināt dotāciju apjomu no valsts un pašvaldību budžeta līdzekļiem, kā arī veikt cita veida ierobežojošus pasākumus (pasūtījuma apjoma samazināšana, tarifu celšanu u.c.).</w:t>
            </w:r>
          </w:p>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 xml:space="preserve">Jau šobrīd par iecienītiem neregulāro (nelegālo) pārvadātāju maršrutiem ir kļuvuši tādi maršruti, kā Rīga- Bauska, Rīga- Liepāja, Rīga- Kalnciems, Rīga- Sloka, u.c. Pārvadātāju negūtie ieņēmumi minētajos maršrutos, pēc provizoriskiem aprēķiniem, gadā varētu sastādīt Ls 1.2 miljoni gadā. Par pamatu provizoriskajam aprēķinam tika ņemts iespējamais reisu skaits maršrutā un iespējamie pārvadātie pasažieri. </w:t>
            </w:r>
          </w:p>
        </w:tc>
      </w:tr>
      <w:tr w:rsidR="00422B60" w:rsidRPr="00B76A80" w:rsidTr="00B76A80">
        <w:trPr>
          <w:trHeight w:val="787"/>
          <w:tblCellSpacing w:w="0" w:type="dxa"/>
          <w:jc w:val="center"/>
        </w:trPr>
        <w:tc>
          <w:tcPr>
            <w:tcW w:w="512" w:type="dxa"/>
            <w:tcBorders>
              <w:top w:val="single" w:sz="4" w:space="0" w:color="auto"/>
              <w:left w:val="single" w:sz="4" w:space="0" w:color="auto"/>
              <w:bottom w:val="single" w:sz="4" w:space="0" w:color="auto"/>
              <w:right w:val="single" w:sz="4" w:space="0" w:color="auto"/>
            </w:tcBorders>
          </w:tcPr>
          <w:p w:rsidR="00422B60" w:rsidRPr="00B76A80" w:rsidRDefault="00422B60" w:rsidP="00E53999">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 3.</w:t>
            </w:r>
          </w:p>
        </w:tc>
        <w:tc>
          <w:tcPr>
            <w:tcW w:w="2260" w:type="dxa"/>
            <w:tcBorders>
              <w:top w:val="single" w:sz="4" w:space="0" w:color="auto"/>
              <w:left w:val="single" w:sz="4" w:space="0" w:color="auto"/>
              <w:bottom w:val="single" w:sz="4" w:space="0" w:color="auto"/>
              <w:right w:val="single" w:sz="4" w:space="0" w:color="auto"/>
            </w:tcBorders>
          </w:tcPr>
          <w:p w:rsidR="00422B60" w:rsidRPr="00B76A80" w:rsidRDefault="00422B60" w:rsidP="00371EA8">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Saistītie politikas ietekmes novērtējumi un pētījumi</w:t>
            </w:r>
          </w:p>
        </w:tc>
        <w:tc>
          <w:tcPr>
            <w:tcW w:w="6855" w:type="dxa"/>
            <w:tcBorders>
              <w:top w:val="single" w:sz="4" w:space="0" w:color="auto"/>
              <w:left w:val="single" w:sz="4" w:space="0" w:color="auto"/>
              <w:bottom w:val="single" w:sz="4" w:space="0" w:color="auto"/>
              <w:right w:val="single" w:sz="4" w:space="0" w:color="auto"/>
            </w:tcBorders>
          </w:tcPr>
          <w:p w:rsidR="00422B60" w:rsidRPr="00B76A80" w:rsidRDefault="00422B60" w:rsidP="00B76A80">
            <w:pPr>
              <w:spacing w:before="94" w:after="94" w:line="240" w:lineRule="auto"/>
              <w:jc w:val="both"/>
              <w:rPr>
                <w:rFonts w:ascii="Times New Roman" w:hAnsi="Times New Roman"/>
                <w:sz w:val="26"/>
                <w:szCs w:val="26"/>
                <w:lang w:eastAsia="lv-LV"/>
              </w:rPr>
            </w:pPr>
            <w:r w:rsidRPr="00B76A80">
              <w:rPr>
                <w:rFonts w:ascii="Times New Roman" w:hAnsi="Times New Roman"/>
                <w:sz w:val="26"/>
                <w:szCs w:val="26"/>
                <w:lang w:eastAsia="lv-LV"/>
              </w:rPr>
              <w:t>Projekts šo jomu neskar.</w:t>
            </w:r>
          </w:p>
        </w:tc>
      </w:tr>
      <w:tr w:rsidR="00422B60" w:rsidRPr="00B76A80" w:rsidTr="00B76A80">
        <w:trPr>
          <w:trHeight w:val="384"/>
          <w:tblCellSpacing w:w="0" w:type="dxa"/>
          <w:jc w:val="center"/>
        </w:trPr>
        <w:tc>
          <w:tcPr>
            <w:tcW w:w="512" w:type="dxa"/>
            <w:tcBorders>
              <w:top w:val="single" w:sz="4" w:space="0" w:color="auto"/>
              <w:left w:val="single" w:sz="4" w:space="0" w:color="auto"/>
              <w:bottom w:val="single" w:sz="4" w:space="0" w:color="auto"/>
              <w:right w:val="single" w:sz="4" w:space="0" w:color="auto"/>
            </w:tcBorders>
          </w:tcPr>
          <w:p w:rsidR="00422B60" w:rsidRPr="00B76A80" w:rsidRDefault="00422B60" w:rsidP="00E53999">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 4.</w:t>
            </w:r>
          </w:p>
        </w:tc>
        <w:tc>
          <w:tcPr>
            <w:tcW w:w="2260" w:type="dxa"/>
            <w:tcBorders>
              <w:top w:val="single" w:sz="4" w:space="0" w:color="auto"/>
              <w:left w:val="single" w:sz="4" w:space="0" w:color="auto"/>
              <w:bottom w:val="single" w:sz="4" w:space="0" w:color="auto"/>
              <w:right w:val="single" w:sz="4" w:space="0" w:color="auto"/>
            </w:tcBorders>
          </w:tcPr>
          <w:p w:rsidR="00422B60" w:rsidRPr="00B76A80" w:rsidRDefault="00422B60" w:rsidP="00371EA8">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Tiesiskā regulējuma mērķis un būtība</w:t>
            </w:r>
          </w:p>
        </w:tc>
        <w:tc>
          <w:tcPr>
            <w:tcW w:w="6855" w:type="dxa"/>
            <w:tcBorders>
              <w:top w:val="single" w:sz="4" w:space="0" w:color="auto"/>
              <w:left w:val="single" w:sz="4" w:space="0" w:color="auto"/>
              <w:bottom w:val="single" w:sz="4" w:space="0" w:color="auto"/>
              <w:right w:val="single" w:sz="4" w:space="0" w:color="auto"/>
            </w:tcBorders>
          </w:tcPr>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Neviens normatīvais akts šobrīd neregulē kārtību, kādā veicami pasažieru neregulārie pārvadājumi Latvijas teritorijā. Autopārvadājumu likumā ir ietverts tikai „pasažieru neregulāro pārvadājumu” termina skaidrojums. Tādēļ nepieciešams izstrādāt detalizētus noteikumus, kuros būtu noteikta pasažieru neregulāro pārvadājumu veikšanas kārtība.</w:t>
            </w:r>
          </w:p>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Ar izstrādāto likumprojektu tiek precizēta pasažieru neregulāro pārvadājumu definīcija un ietverts deleģējums Ministru kabinetam izdot noteikumus, kas noteiks k</w:t>
            </w:r>
            <w:r w:rsidRPr="00B76A80">
              <w:rPr>
                <w:rFonts w:ascii="Times New Roman" w:hAnsi="Times New Roman"/>
                <w:sz w:val="26"/>
                <w:szCs w:val="26"/>
                <w:lang w:eastAsia="lv-LV"/>
              </w:rPr>
              <w:t>ārtību, kādā veicami pasažieru neregulārie pārvadājumi Latvijas teritorijā.</w:t>
            </w:r>
          </w:p>
          <w:p w:rsidR="00422B60" w:rsidRPr="00B76A80" w:rsidRDefault="00422B60" w:rsidP="00B76A80">
            <w:pPr>
              <w:autoSpaceDE w:val="0"/>
              <w:autoSpaceDN w:val="0"/>
              <w:adjustRightInd w:val="0"/>
              <w:spacing w:line="240" w:lineRule="auto"/>
              <w:jc w:val="both"/>
              <w:rPr>
                <w:rFonts w:ascii="Times New Roman" w:hAnsi="Times New Roman"/>
                <w:sz w:val="26"/>
                <w:szCs w:val="26"/>
              </w:rPr>
            </w:pPr>
          </w:p>
        </w:tc>
      </w:tr>
      <w:tr w:rsidR="00422B60" w:rsidRPr="00B76A80" w:rsidTr="00B76A80">
        <w:trPr>
          <w:trHeight w:val="476"/>
          <w:tblCellSpacing w:w="0" w:type="dxa"/>
          <w:jc w:val="center"/>
        </w:trPr>
        <w:tc>
          <w:tcPr>
            <w:tcW w:w="512" w:type="dxa"/>
            <w:tcBorders>
              <w:top w:val="single" w:sz="4" w:space="0" w:color="auto"/>
              <w:left w:val="single" w:sz="4" w:space="0" w:color="auto"/>
              <w:bottom w:val="single" w:sz="4" w:space="0" w:color="auto"/>
              <w:right w:val="single" w:sz="4" w:space="0" w:color="auto"/>
            </w:tcBorders>
          </w:tcPr>
          <w:p w:rsidR="00422B60" w:rsidRPr="00B76A80" w:rsidRDefault="00422B60" w:rsidP="00E53999">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 5.</w:t>
            </w:r>
          </w:p>
        </w:tc>
        <w:tc>
          <w:tcPr>
            <w:tcW w:w="2260" w:type="dxa"/>
            <w:tcBorders>
              <w:top w:val="single" w:sz="4" w:space="0" w:color="auto"/>
              <w:left w:val="single" w:sz="4" w:space="0" w:color="auto"/>
              <w:bottom w:val="single" w:sz="4" w:space="0" w:color="auto"/>
              <w:right w:val="single" w:sz="4" w:space="0" w:color="auto"/>
            </w:tcBorders>
          </w:tcPr>
          <w:p w:rsidR="00422B60" w:rsidRPr="00B76A80" w:rsidRDefault="00422B60" w:rsidP="00371EA8">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Projekta izstrādē iesaistītās institūcijas</w:t>
            </w:r>
          </w:p>
        </w:tc>
        <w:tc>
          <w:tcPr>
            <w:tcW w:w="6855" w:type="dxa"/>
            <w:tcBorders>
              <w:top w:val="single" w:sz="4" w:space="0" w:color="auto"/>
              <w:left w:val="single" w:sz="4" w:space="0" w:color="auto"/>
              <w:bottom w:val="single" w:sz="4" w:space="0" w:color="auto"/>
              <w:right w:val="single" w:sz="4" w:space="0" w:color="auto"/>
            </w:tcBorders>
          </w:tcPr>
          <w:p w:rsidR="00422B60" w:rsidRPr="00B76A80" w:rsidRDefault="00422B60" w:rsidP="00B76A80">
            <w:pPr>
              <w:autoSpaceDE w:val="0"/>
              <w:autoSpaceDN w:val="0"/>
              <w:adjustRightInd w:val="0"/>
              <w:spacing w:line="240" w:lineRule="auto"/>
              <w:ind w:right="170"/>
              <w:jc w:val="both"/>
              <w:rPr>
                <w:rFonts w:ascii="Times New Roman" w:hAnsi="Times New Roman"/>
                <w:sz w:val="26"/>
                <w:szCs w:val="26"/>
              </w:rPr>
            </w:pPr>
            <w:r w:rsidRPr="00B76A80">
              <w:rPr>
                <w:rFonts w:ascii="Times New Roman" w:hAnsi="Times New Roman"/>
                <w:sz w:val="26"/>
                <w:szCs w:val="26"/>
              </w:rPr>
              <w:t>Satiksmes ministrija un valsts sabiedrība ar ierobežotu atbildību „Autotransporta direkcija”.</w:t>
            </w:r>
          </w:p>
        </w:tc>
      </w:tr>
      <w:tr w:rsidR="00422B60" w:rsidRPr="00B76A80" w:rsidTr="00B76A80">
        <w:trPr>
          <w:trHeight w:val="1340"/>
          <w:tblCellSpacing w:w="0" w:type="dxa"/>
          <w:jc w:val="center"/>
        </w:trPr>
        <w:tc>
          <w:tcPr>
            <w:tcW w:w="512" w:type="dxa"/>
            <w:tcBorders>
              <w:top w:val="single" w:sz="4" w:space="0" w:color="auto"/>
              <w:left w:val="single" w:sz="4" w:space="0" w:color="auto"/>
              <w:bottom w:val="single" w:sz="4" w:space="0" w:color="auto"/>
              <w:right w:val="single" w:sz="4" w:space="0" w:color="auto"/>
            </w:tcBorders>
          </w:tcPr>
          <w:p w:rsidR="00422B60" w:rsidRPr="00B76A80" w:rsidRDefault="00422B60" w:rsidP="00E53999">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 6.</w:t>
            </w:r>
          </w:p>
        </w:tc>
        <w:tc>
          <w:tcPr>
            <w:tcW w:w="2260" w:type="dxa"/>
            <w:tcBorders>
              <w:top w:val="single" w:sz="4" w:space="0" w:color="auto"/>
              <w:left w:val="single" w:sz="4" w:space="0" w:color="auto"/>
              <w:bottom w:val="single" w:sz="4" w:space="0" w:color="auto"/>
              <w:right w:val="single" w:sz="4" w:space="0" w:color="auto"/>
            </w:tcBorders>
          </w:tcPr>
          <w:p w:rsidR="00422B60" w:rsidRPr="00B76A80" w:rsidRDefault="00422B60" w:rsidP="00371EA8">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Iemesli, kādēļ netika nodrošināta sabiedrības līdzdalība</w:t>
            </w:r>
          </w:p>
        </w:tc>
        <w:tc>
          <w:tcPr>
            <w:tcW w:w="6855" w:type="dxa"/>
            <w:tcBorders>
              <w:top w:val="single" w:sz="4" w:space="0" w:color="auto"/>
              <w:left w:val="single" w:sz="4" w:space="0" w:color="auto"/>
              <w:bottom w:val="single" w:sz="4" w:space="0" w:color="auto"/>
              <w:right w:val="single" w:sz="4" w:space="0" w:color="auto"/>
            </w:tcBorders>
          </w:tcPr>
          <w:p w:rsidR="00422B60" w:rsidRPr="00B76A80" w:rsidRDefault="00422B60" w:rsidP="00B76A80">
            <w:pPr>
              <w:spacing w:line="240" w:lineRule="auto"/>
              <w:jc w:val="both"/>
              <w:rPr>
                <w:rFonts w:ascii="Times New Roman" w:hAnsi="Times New Roman"/>
                <w:b/>
                <w:sz w:val="26"/>
                <w:szCs w:val="26"/>
              </w:rPr>
            </w:pPr>
            <w:r w:rsidRPr="00B76A80">
              <w:rPr>
                <w:rFonts w:ascii="Times New Roman" w:hAnsi="Times New Roman"/>
                <w:sz w:val="26"/>
                <w:szCs w:val="26"/>
              </w:rPr>
              <w:t xml:space="preserve">Likumprojekta izstrādi atbalsta Latvijas Pašvaldību savienība un Latvijas Pasažieru pārvadātāju asociācija. </w:t>
            </w:r>
          </w:p>
        </w:tc>
      </w:tr>
      <w:tr w:rsidR="00422B60" w:rsidRPr="00B76A80" w:rsidTr="00B76A80">
        <w:trPr>
          <w:tblCellSpacing w:w="0" w:type="dxa"/>
          <w:jc w:val="center"/>
        </w:trPr>
        <w:tc>
          <w:tcPr>
            <w:tcW w:w="512" w:type="dxa"/>
            <w:tcBorders>
              <w:top w:val="single" w:sz="4" w:space="0" w:color="auto"/>
              <w:left w:val="single" w:sz="4" w:space="0" w:color="auto"/>
              <w:bottom w:val="single" w:sz="4" w:space="0" w:color="auto"/>
              <w:right w:val="single" w:sz="4" w:space="0" w:color="auto"/>
            </w:tcBorders>
          </w:tcPr>
          <w:p w:rsidR="00422B60" w:rsidRPr="00B76A80" w:rsidRDefault="00422B60" w:rsidP="00E53999">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 7.</w:t>
            </w:r>
          </w:p>
        </w:tc>
        <w:tc>
          <w:tcPr>
            <w:tcW w:w="2260" w:type="dxa"/>
            <w:tcBorders>
              <w:top w:val="single" w:sz="4" w:space="0" w:color="auto"/>
              <w:left w:val="single" w:sz="4" w:space="0" w:color="auto"/>
              <w:bottom w:val="single" w:sz="4" w:space="0" w:color="auto"/>
              <w:right w:val="single" w:sz="4" w:space="0" w:color="auto"/>
            </w:tcBorders>
          </w:tcPr>
          <w:p w:rsidR="00422B60" w:rsidRPr="00B76A80" w:rsidRDefault="00422B60" w:rsidP="00371EA8">
            <w:pPr>
              <w:spacing w:before="94" w:after="94" w:line="240" w:lineRule="auto"/>
              <w:jc w:val="left"/>
              <w:rPr>
                <w:rFonts w:ascii="Times New Roman" w:hAnsi="Times New Roman"/>
                <w:sz w:val="26"/>
                <w:szCs w:val="26"/>
                <w:lang w:eastAsia="lv-LV"/>
              </w:rPr>
            </w:pPr>
            <w:r w:rsidRPr="00B76A80">
              <w:rPr>
                <w:rFonts w:ascii="Times New Roman" w:hAnsi="Times New Roman"/>
                <w:sz w:val="26"/>
                <w:szCs w:val="26"/>
                <w:lang w:eastAsia="lv-LV"/>
              </w:rPr>
              <w:t>Cita informācija</w:t>
            </w:r>
          </w:p>
        </w:tc>
        <w:tc>
          <w:tcPr>
            <w:tcW w:w="6855" w:type="dxa"/>
            <w:tcBorders>
              <w:top w:val="single" w:sz="4" w:space="0" w:color="auto"/>
              <w:left w:val="single" w:sz="4" w:space="0" w:color="auto"/>
              <w:bottom w:val="single" w:sz="4" w:space="0" w:color="auto"/>
              <w:right w:val="single" w:sz="4" w:space="0" w:color="auto"/>
            </w:tcBorders>
          </w:tcPr>
          <w:p w:rsidR="00422B60" w:rsidRPr="00B76A80" w:rsidRDefault="00422B60" w:rsidP="00E53999">
            <w:pPr>
              <w:spacing w:before="94" w:after="94" w:line="240" w:lineRule="auto"/>
              <w:jc w:val="both"/>
              <w:rPr>
                <w:rFonts w:ascii="Times New Roman" w:hAnsi="Times New Roman"/>
                <w:sz w:val="26"/>
                <w:szCs w:val="26"/>
                <w:lang w:eastAsia="lv-LV"/>
              </w:rPr>
            </w:pPr>
            <w:r w:rsidRPr="00B76A80">
              <w:rPr>
                <w:rFonts w:ascii="Times New Roman" w:hAnsi="Times New Roman"/>
                <w:sz w:val="26"/>
                <w:szCs w:val="26"/>
                <w:lang w:eastAsia="lv-LV"/>
              </w:rPr>
              <w:t> Nav.</w:t>
            </w:r>
          </w:p>
        </w:tc>
      </w:tr>
    </w:tbl>
    <w:p w:rsidR="00422B60" w:rsidRPr="00B76A80" w:rsidRDefault="00422B60" w:rsidP="004D6C3C">
      <w:pPr>
        <w:spacing w:before="100" w:beforeAutospacing="1" w:after="100" w:afterAutospacing="1" w:line="240" w:lineRule="auto"/>
        <w:jc w:val="left"/>
        <w:rPr>
          <w:rFonts w:ascii="Times New Roman" w:hAnsi="Times New Roman"/>
          <w:sz w:val="26"/>
          <w:szCs w:val="26"/>
        </w:rPr>
      </w:pPr>
    </w:p>
    <w:tbl>
      <w:tblPr>
        <w:tblW w:w="491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96"/>
        <w:gridCol w:w="4122"/>
        <w:gridCol w:w="5461"/>
      </w:tblGrid>
      <w:tr w:rsidR="00422B60" w:rsidRPr="00B76A80" w:rsidTr="00E53999">
        <w:tc>
          <w:tcPr>
            <w:tcW w:w="5000" w:type="pct"/>
            <w:gridSpan w:val="3"/>
            <w:vAlign w:val="center"/>
          </w:tcPr>
          <w:p w:rsidR="00422B60" w:rsidRPr="00B76A80" w:rsidRDefault="00422B60" w:rsidP="00E53999">
            <w:pPr>
              <w:spacing w:before="100" w:beforeAutospacing="1" w:after="100" w:afterAutospacing="1" w:line="240" w:lineRule="auto"/>
              <w:jc w:val="left"/>
              <w:rPr>
                <w:rFonts w:ascii="Times New Roman" w:hAnsi="Times New Roman"/>
                <w:b/>
                <w:bCs/>
                <w:sz w:val="26"/>
                <w:szCs w:val="26"/>
              </w:rPr>
            </w:pPr>
            <w:r w:rsidRPr="00B76A80">
              <w:rPr>
                <w:rFonts w:ascii="Times New Roman" w:hAnsi="Times New Roman"/>
                <w:b/>
                <w:bCs/>
                <w:sz w:val="26"/>
                <w:szCs w:val="26"/>
              </w:rPr>
              <w:t>II. Tiesību akta projekta ietekme uz sabiedrību</w:t>
            </w:r>
          </w:p>
        </w:tc>
      </w:tr>
      <w:tr w:rsidR="00422B60" w:rsidRPr="00B76A80" w:rsidTr="00E53999">
        <w:tc>
          <w:tcPr>
            <w:tcW w:w="246"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1.</w:t>
            </w:r>
          </w:p>
        </w:tc>
        <w:tc>
          <w:tcPr>
            <w:tcW w:w="2045" w:type="pct"/>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Sabiedrības mērķgrupa</w:t>
            </w:r>
          </w:p>
        </w:tc>
        <w:tc>
          <w:tcPr>
            <w:tcW w:w="2709" w:type="pct"/>
          </w:tcPr>
          <w:p w:rsidR="00422B60" w:rsidRPr="00B76A80" w:rsidRDefault="00422B60" w:rsidP="00E53999">
            <w:pPr>
              <w:pStyle w:val="naiskr"/>
              <w:spacing w:before="0" w:after="0"/>
              <w:ind w:right="170"/>
              <w:rPr>
                <w:sz w:val="26"/>
                <w:szCs w:val="26"/>
              </w:rPr>
            </w:pPr>
            <w:r w:rsidRPr="00B76A80">
              <w:rPr>
                <w:iCs/>
                <w:sz w:val="26"/>
                <w:szCs w:val="26"/>
              </w:rPr>
              <w:t>Sabiedriskā transporta pakalpojumu lietotāji.</w:t>
            </w:r>
          </w:p>
        </w:tc>
      </w:tr>
      <w:tr w:rsidR="00422B60" w:rsidRPr="00B76A80" w:rsidTr="00E53999">
        <w:tc>
          <w:tcPr>
            <w:tcW w:w="246"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2.</w:t>
            </w:r>
          </w:p>
        </w:tc>
        <w:tc>
          <w:tcPr>
            <w:tcW w:w="2045" w:type="pct"/>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Citas sabiedrības grupas (bez mērķgrupas), kuras tiesiskais regulējums arī ietekmē vai varētu ietekmēt</w:t>
            </w:r>
          </w:p>
        </w:tc>
        <w:tc>
          <w:tcPr>
            <w:tcW w:w="2709"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Projekts šo jomu neskar.</w:t>
            </w:r>
          </w:p>
        </w:tc>
      </w:tr>
      <w:tr w:rsidR="00422B60" w:rsidRPr="00B76A80" w:rsidTr="00E53999">
        <w:tc>
          <w:tcPr>
            <w:tcW w:w="246"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3.</w:t>
            </w:r>
          </w:p>
        </w:tc>
        <w:tc>
          <w:tcPr>
            <w:tcW w:w="2045" w:type="pct"/>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Tiesiskā regulējuma finansiālā ietekme</w:t>
            </w:r>
          </w:p>
        </w:tc>
        <w:tc>
          <w:tcPr>
            <w:tcW w:w="2709" w:type="pct"/>
          </w:tcPr>
          <w:p w:rsidR="00422B60" w:rsidRPr="00B76A80" w:rsidRDefault="00422B60" w:rsidP="00B76A80">
            <w:pPr>
              <w:spacing w:line="240" w:lineRule="auto"/>
              <w:jc w:val="both"/>
              <w:rPr>
                <w:rFonts w:ascii="Times New Roman" w:hAnsi="Times New Roman"/>
                <w:sz w:val="26"/>
                <w:szCs w:val="26"/>
              </w:rPr>
            </w:pPr>
            <w:r w:rsidRPr="00B76A80">
              <w:rPr>
                <w:rFonts w:ascii="Times New Roman" w:hAnsi="Times New Roman"/>
                <w:sz w:val="26"/>
                <w:szCs w:val="26"/>
              </w:rPr>
              <w:t xml:space="preserve">Palielināsies pārvadātāju ieņēmumi un tā rezultātā samazināsies zaudējumi tiem pārvadātājiem, ar kuriem ir noslēgti sabiedriskā transporta pakalpojuma pasūtījuma līgumi, kā rezultātā samazināsies valsts un pašvaldību budžetiem radītie zaudējumi. </w:t>
            </w:r>
          </w:p>
        </w:tc>
      </w:tr>
      <w:tr w:rsidR="00422B60" w:rsidRPr="00B76A80" w:rsidTr="00E53999">
        <w:tc>
          <w:tcPr>
            <w:tcW w:w="246"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4.</w:t>
            </w:r>
          </w:p>
        </w:tc>
        <w:tc>
          <w:tcPr>
            <w:tcW w:w="2045" w:type="pct"/>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Tiesiskā regulējuma nefinansiālā ietekme</w:t>
            </w:r>
          </w:p>
        </w:tc>
        <w:tc>
          <w:tcPr>
            <w:tcW w:w="2709"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Projekts šo jomu neskar.</w:t>
            </w:r>
          </w:p>
        </w:tc>
      </w:tr>
      <w:tr w:rsidR="00422B60" w:rsidRPr="00B76A80" w:rsidTr="00E53999">
        <w:tc>
          <w:tcPr>
            <w:tcW w:w="246"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5.</w:t>
            </w:r>
          </w:p>
        </w:tc>
        <w:tc>
          <w:tcPr>
            <w:tcW w:w="2045" w:type="pct"/>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Administratīvās procedūras raksturojums</w:t>
            </w:r>
          </w:p>
        </w:tc>
        <w:tc>
          <w:tcPr>
            <w:tcW w:w="2709"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Projekts šo jomu neskar.</w:t>
            </w:r>
          </w:p>
        </w:tc>
      </w:tr>
      <w:tr w:rsidR="00422B60" w:rsidRPr="00B76A80" w:rsidTr="00E53999">
        <w:tc>
          <w:tcPr>
            <w:tcW w:w="246"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6.</w:t>
            </w:r>
          </w:p>
        </w:tc>
        <w:tc>
          <w:tcPr>
            <w:tcW w:w="2045" w:type="pct"/>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Administratīvo izmaksu monetārs novērtējums</w:t>
            </w:r>
          </w:p>
        </w:tc>
        <w:tc>
          <w:tcPr>
            <w:tcW w:w="2709"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Projekts šo jomu neskar.</w:t>
            </w:r>
          </w:p>
        </w:tc>
      </w:tr>
      <w:tr w:rsidR="00422B60" w:rsidRPr="00B76A80" w:rsidTr="00E53999">
        <w:tc>
          <w:tcPr>
            <w:tcW w:w="246"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7.</w:t>
            </w:r>
          </w:p>
        </w:tc>
        <w:tc>
          <w:tcPr>
            <w:tcW w:w="2045" w:type="pct"/>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Cita informācija</w:t>
            </w:r>
          </w:p>
        </w:tc>
        <w:tc>
          <w:tcPr>
            <w:tcW w:w="2709" w:type="pct"/>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Nav</w:t>
            </w:r>
          </w:p>
        </w:tc>
      </w:tr>
    </w:tbl>
    <w:p w:rsidR="00422B60" w:rsidRPr="00ED6873" w:rsidRDefault="00422B60" w:rsidP="002570C3">
      <w:pPr>
        <w:spacing w:before="136" w:after="136"/>
        <w:jc w:val="left"/>
        <w:rPr>
          <w:rFonts w:ascii="Times New Roman" w:hAnsi="Times New Roman"/>
          <w:b/>
          <w:bCs/>
          <w:sz w:val="26"/>
          <w:szCs w:val="26"/>
          <w:lang w:eastAsia="lv-LV"/>
        </w:rPr>
      </w:pPr>
      <w:r w:rsidRPr="00ED6873">
        <w:rPr>
          <w:rFonts w:ascii="Times New Roman" w:hAnsi="Times New Roman"/>
          <w:sz w:val="26"/>
          <w:szCs w:val="26"/>
          <w:lang w:eastAsia="lv-LV"/>
        </w:rPr>
        <w:t xml:space="preserve">Anotācijas III sadaļa – </w:t>
      </w:r>
      <w:r w:rsidRPr="00ED6873">
        <w:rPr>
          <w:rFonts w:ascii="Times New Roman" w:hAnsi="Times New Roman"/>
          <w:sz w:val="26"/>
          <w:szCs w:val="26"/>
        </w:rPr>
        <w:t>projekts šo jomu neskar.</w:t>
      </w:r>
    </w:p>
    <w:tbl>
      <w:tblPr>
        <w:tblW w:w="492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
        <w:gridCol w:w="504"/>
        <w:gridCol w:w="542"/>
        <w:gridCol w:w="3599"/>
        <w:gridCol w:w="49"/>
        <w:gridCol w:w="5411"/>
      </w:tblGrid>
      <w:tr w:rsidR="00422B60" w:rsidRPr="00ED6873" w:rsidTr="002570C3">
        <w:tc>
          <w:tcPr>
            <w:tcW w:w="5000" w:type="pct"/>
            <w:gridSpan w:val="6"/>
            <w:tcBorders>
              <w:top w:val="outset" w:sz="6" w:space="0" w:color="000000"/>
              <w:bottom w:val="outset" w:sz="6" w:space="0" w:color="000000"/>
            </w:tcBorders>
          </w:tcPr>
          <w:p w:rsidR="00422B60" w:rsidRPr="00ED6873" w:rsidRDefault="00422B60" w:rsidP="002570C3">
            <w:pPr>
              <w:spacing w:before="100" w:beforeAutospacing="1" w:after="100" w:afterAutospacing="1" w:line="240" w:lineRule="auto"/>
              <w:jc w:val="both"/>
              <w:rPr>
                <w:rFonts w:ascii="Times New Roman" w:hAnsi="Times New Roman"/>
                <w:b/>
                <w:bCs/>
                <w:sz w:val="26"/>
                <w:szCs w:val="26"/>
              </w:rPr>
            </w:pPr>
            <w:r w:rsidRPr="00ED6873">
              <w:rPr>
                <w:rFonts w:ascii="Times New Roman" w:hAnsi="Times New Roman"/>
                <w:b/>
                <w:bCs/>
                <w:sz w:val="26"/>
                <w:szCs w:val="26"/>
              </w:rPr>
              <w:t> IV. Tiesību akta projekta ietekme uz spēkā esošo tiesību normu sistēmu</w:t>
            </w:r>
          </w:p>
        </w:tc>
      </w:tr>
      <w:tr w:rsidR="00422B60" w:rsidRPr="00ED6873" w:rsidTr="002570C3">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A0"/>
        </w:tblPrEx>
        <w:trPr>
          <w:gridBefore w:val="1"/>
          <w:wBefore w:w="5" w:type="pct"/>
          <w:tblCellSpacing w:w="0" w:type="dxa"/>
        </w:trPr>
        <w:tc>
          <w:tcPr>
            <w:tcW w:w="517" w:type="pct"/>
            <w:gridSpan w:val="2"/>
            <w:tcBorders>
              <w:top w:val="outset" w:sz="6" w:space="0" w:color="auto"/>
              <w:bottom w:val="outset" w:sz="6" w:space="0" w:color="auto"/>
              <w:right w:val="outset" w:sz="6" w:space="0" w:color="auto"/>
            </w:tcBorders>
          </w:tcPr>
          <w:p w:rsidR="00422B60" w:rsidRPr="00ED6873" w:rsidRDefault="00422B60" w:rsidP="002570C3">
            <w:pPr>
              <w:spacing w:before="68" w:after="68" w:line="240" w:lineRule="auto"/>
              <w:jc w:val="both"/>
              <w:rPr>
                <w:rFonts w:ascii="Times New Roman" w:hAnsi="Times New Roman"/>
                <w:sz w:val="26"/>
                <w:szCs w:val="26"/>
                <w:lang w:eastAsia="lv-LV"/>
              </w:rPr>
            </w:pPr>
            <w:r w:rsidRPr="00ED6873">
              <w:rPr>
                <w:rFonts w:ascii="Times New Roman" w:hAnsi="Times New Roman"/>
                <w:sz w:val="26"/>
                <w:szCs w:val="26"/>
                <w:lang w:eastAsia="lv-LV"/>
              </w:rPr>
              <w:t> 1.</w:t>
            </w:r>
          </w:p>
        </w:tc>
        <w:tc>
          <w:tcPr>
            <w:tcW w:w="1803" w:type="pct"/>
            <w:gridSpan w:val="2"/>
            <w:tcBorders>
              <w:top w:val="outset" w:sz="6" w:space="0" w:color="auto"/>
              <w:left w:val="outset" w:sz="6" w:space="0" w:color="auto"/>
              <w:bottom w:val="outset" w:sz="6" w:space="0" w:color="auto"/>
              <w:right w:val="outset" w:sz="6" w:space="0" w:color="auto"/>
            </w:tcBorders>
          </w:tcPr>
          <w:p w:rsidR="00422B60" w:rsidRPr="00ED6873" w:rsidRDefault="00422B60" w:rsidP="002570C3">
            <w:pPr>
              <w:spacing w:before="68" w:after="68" w:line="240" w:lineRule="auto"/>
              <w:jc w:val="both"/>
              <w:rPr>
                <w:rFonts w:ascii="Times New Roman" w:hAnsi="Times New Roman"/>
                <w:sz w:val="26"/>
                <w:szCs w:val="26"/>
                <w:lang w:eastAsia="lv-LV"/>
              </w:rPr>
            </w:pPr>
            <w:r w:rsidRPr="00ED6873">
              <w:rPr>
                <w:rFonts w:ascii="Times New Roman" w:hAnsi="Times New Roman"/>
                <w:sz w:val="26"/>
                <w:szCs w:val="26"/>
                <w:lang w:eastAsia="lv-LV"/>
              </w:rPr>
              <w:t> Nepieciešamie saistītie tiesību aktu projekti</w:t>
            </w:r>
          </w:p>
        </w:tc>
        <w:tc>
          <w:tcPr>
            <w:tcW w:w="2674" w:type="pct"/>
            <w:tcBorders>
              <w:top w:val="outset" w:sz="6" w:space="0" w:color="auto"/>
              <w:left w:val="outset" w:sz="6" w:space="0" w:color="auto"/>
              <w:bottom w:val="outset" w:sz="6" w:space="0" w:color="auto"/>
            </w:tcBorders>
          </w:tcPr>
          <w:p w:rsidR="00422B60" w:rsidRPr="00ED6873" w:rsidRDefault="00422B60" w:rsidP="00ED6873">
            <w:pPr>
              <w:spacing w:line="240" w:lineRule="auto"/>
              <w:jc w:val="both"/>
              <w:rPr>
                <w:rFonts w:ascii="Times New Roman" w:hAnsi="Times New Roman"/>
                <w:sz w:val="26"/>
                <w:szCs w:val="26"/>
                <w:lang w:eastAsia="lv-LV"/>
              </w:rPr>
            </w:pPr>
            <w:r w:rsidRPr="00ED6873">
              <w:rPr>
                <w:rFonts w:ascii="Times New Roman" w:hAnsi="Times New Roman"/>
                <w:sz w:val="26"/>
                <w:szCs w:val="26"/>
              </w:rPr>
              <w:t>Likumprojekts paredz deleģējumu Ministru kabinetam ministru kabineta noteikumu izstrādei, kas noteiks k</w:t>
            </w:r>
            <w:r w:rsidRPr="00ED6873">
              <w:rPr>
                <w:rFonts w:ascii="Times New Roman" w:hAnsi="Times New Roman"/>
                <w:sz w:val="26"/>
                <w:szCs w:val="26"/>
                <w:lang w:eastAsia="lv-LV"/>
              </w:rPr>
              <w:t>ārtību, kādā veicami pasažieru neregulārie pārvadājumi Latvijas teritorijā.</w:t>
            </w:r>
          </w:p>
          <w:p w:rsidR="00422B60" w:rsidRPr="00ED6873" w:rsidRDefault="00422B60" w:rsidP="00ED6873">
            <w:pPr>
              <w:spacing w:line="240" w:lineRule="auto"/>
              <w:jc w:val="both"/>
              <w:rPr>
                <w:rFonts w:ascii="Times New Roman" w:hAnsi="Times New Roman"/>
                <w:sz w:val="26"/>
                <w:szCs w:val="26"/>
                <w:lang w:eastAsia="lv-LV"/>
              </w:rPr>
            </w:pPr>
            <w:r w:rsidRPr="00ED6873">
              <w:rPr>
                <w:rFonts w:ascii="Times New Roman" w:hAnsi="Times New Roman"/>
                <w:sz w:val="26"/>
                <w:szCs w:val="26"/>
                <w:lang w:eastAsia="lv-LV"/>
              </w:rPr>
              <w:t>Ministru kabineta noteikumos tiks iestrādātas normas, kas:</w:t>
            </w:r>
          </w:p>
          <w:p w:rsidR="00422B60" w:rsidRPr="00ED6873" w:rsidRDefault="00422B60" w:rsidP="00ED6873">
            <w:pPr>
              <w:pStyle w:val="ListParagraph"/>
              <w:numPr>
                <w:ilvl w:val="0"/>
                <w:numId w:val="1"/>
              </w:numPr>
              <w:jc w:val="both"/>
              <w:rPr>
                <w:sz w:val="26"/>
                <w:szCs w:val="26"/>
              </w:rPr>
            </w:pPr>
            <w:r w:rsidRPr="00ED6873">
              <w:rPr>
                <w:sz w:val="26"/>
                <w:szCs w:val="26"/>
              </w:rPr>
              <w:t>Noteiks nepieciešamo dokumentu (piemēram, licences, speciālās atļaujas u.c.) apjomu, kas nepieciešams, lai pārvadātājs varētu izpildīt neregulāros pārvadājumus;</w:t>
            </w:r>
          </w:p>
          <w:p w:rsidR="00422B60" w:rsidRPr="00ED6873" w:rsidRDefault="00422B60" w:rsidP="00ED6873">
            <w:pPr>
              <w:pStyle w:val="ListParagraph"/>
              <w:numPr>
                <w:ilvl w:val="0"/>
                <w:numId w:val="1"/>
              </w:numPr>
              <w:jc w:val="both"/>
              <w:rPr>
                <w:sz w:val="26"/>
                <w:szCs w:val="26"/>
              </w:rPr>
            </w:pPr>
            <w:r w:rsidRPr="00ED6873">
              <w:rPr>
                <w:sz w:val="26"/>
                <w:szCs w:val="26"/>
              </w:rPr>
              <w:t>Noteiks kārtību, kādā tiek nokomplektēta neregulāro pārvadājumu grupa;</w:t>
            </w:r>
          </w:p>
          <w:p w:rsidR="00422B60" w:rsidRPr="00ED6873" w:rsidRDefault="00422B60" w:rsidP="00ED6873">
            <w:pPr>
              <w:pStyle w:val="ListParagraph"/>
              <w:numPr>
                <w:ilvl w:val="0"/>
                <w:numId w:val="1"/>
              </w:numPr>
              <w:jc w:val="both"/>
              <w:rPr>
                <w:sz w:val="26"/>
                <w:szCs w:val="26"/>
              </w:rPr>
            </w:pPr>
            <w:r w:rsidRPr="00ED6873">
              <w:rPr>
                <w:sz w:val="26"/>
                <w:szCs w:val="26"/>
              </w:rPr>
              <w:t>Noteiks neregulāro pārvadājumu pasūtījuma līgumā iekļaujamo pamata informāciju;</w:t>
            </w:r>
          </w:p>
          <w:p w:rsidR="00422B60" w:rsidRPr="00ED6873" w:rsidRDefault="00422B60" w:rsidP="00ED6873">
            <w:pPr>
              <w:pStyle w:val="ListParagraph"/>
              <w:numPr>
                <w:ilvl w:val="0"/>
                <w:numId w:val="1"/>
              </w:numPr>
              <w:jc w:val="both"/>
              <w:rPr>
                <w:sz w:val="26"/>
                <w:szCs w:val="26"/>
              </w:rPr>
            </w:pPr>
            <w:r w:rsidRPr="00ED6873">
              <w:rPr>
                <w:sz w:val="26"/>
                <w:szCs w:val="26"/>
              </w:rPr>
              <w:t>Noteiks kārtību, kādā tiks veikti norēķini par neregulārā pārvadājuma pakalpojumu, tai skaitā bezskaidras naudas norēķinu kārtību.</w:t>
            </w:r>
          </w:p>
          <w:p w:rsidR="00422B60" w:rsidRPr="00ED6873" w:rsidRDefault="00422B60" w:rsidP="002570C3">
            <w:pPr>
              <w:spacing w:before="68" w:after="68" w:line="240" w:lineRule="auto"/>
              <w:jc w:val="both"/>
              <w:rPr>
                <w:rFonts w:ascii="Times New Roman" w:hAnsi="Times New Roman"/>
                <w:color w:val="FF6600"/>
                <w:sz w:val="26"/>
                <w:szCs w:val="26"/>
                <w:lang w:eastAsia="lv-LV"/>
              </w:rPr>
            </w:pPr>
          </w:p>
        </w:tc>
      </w:tr>
      <w:tr w:rsidR="00422B60" w:rsidRPr="00BD701C" w:rsidTr="00ED6873">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A0"/>
        </w:tblPrEx>
        <w:trPr>
          <w:gridBefore w:val="1"/>
          <w:wBefore w:w="5" w:type="pct"/>
          <w:trHeight w:val="636"/>
          <w:tblCellSpacing w:w="0" w:type="dxa"/>
        </w:trPr>
        <w:tc>
          <w:tcPr>
            <w:tcW w:w="517" w:type="pct"/>
            <w:gridSpan w:val="2"/>
            <w:tcBorders>
              <w:top w:val="outset" w:sz="6" w:space="0" w:color="auto"/>
              <w:bottom w:val="outset" w:sz="6" w:space="0" w:color="auto"/>
              <w:right w:val="outset" w:sz="6" w:space="0" w:color="auto"/>
            </w:tcBorders>
          </w:tcPr>
          <w:p w:rsidR="00422B60" w:rsidRPr="002570C3" w:rsidRDefault="00422B60" w:rsidP="002570C3">
            <w:pPr>
              <w:spacing w:before="68" w:after="68" w:line="240" w:lineRule="auto"/>
              <w:jc w:val="both"/>
              <w:rPr>
                <w:rFonts w:ascii="Times New Roman" w:hAnsi="Times New Roman"/>
                <w:sz w:val="28"/>
                <w:szCs w:val="28"/>
                <w:lang w:eastAsia="lv-LV"/>
              </w:rPr>
            </w:pPr>
            <w:r w:rsidRPr="002570C3">
              <w:rPr>
                <w:rFonts w:ascii="Times New Roman" w:hAnsi="Times New Roman"/>
                <w:sz w:val="28"/>
                <w:szCs w:val="28"/>
                <w:lang w:eastAsia="lv-LV"/>
              </w:rPr>
              <w:t> 2.</w:t>
            </w:r>
          </w:p>
        </w:tc>
        <w:tc>
          <w:tcPr>
            <w:tcW w:w="1803" w:type="pct"/>
            <w:gridSpan w:val="2"/>
            <w:tcBorders>
              <w:top w:val="outset" w:sz="6" w:space="0" w:color="auto"/>
              <w:left w:val="outset" w:sz="6" w:space="0" w:color="auto"/>
              <w:bottom w:val="outset" w:sz="6" w:space="0" w:color="auto"/>
              <w:right w:val="outset" w:sz="6" w:space="0" w:color="auto"/>
            </w:tcBorders>
          </w:tcPr>
          <w:p w:rsidR="00422B60" w:rsidRPr="008713B7" w:rsidRDefault="00422B60" w:rsidP="002570C3">
            <w:pPr>
              <w:spacing w:before="68" w:after="68" w:line="240" w:lineRule="auto"/>
              <w:jc w:val="both"/>
              <w:rPr>
                <w:rFonts w:ascii="Times New Roman" w:hAnsi="Times New Roman"/>
                <w:sz w:val="26"/>
                <w:szCs w:val="26"/>
                <w:lang w:eastAsia="lv-LV"/>
              </w:rPr>
            </w:pPr>
            <w:r w:rsidRPr="008713B7">
              <w:rPr>
                <w:rFonts w:ascii="Times New Roman" w:hAnsi="Times New Roman"/>
                <w:color w:val="FF6600"/>
                <w:sz w:val="26"/>
                <w:szCs w:val="26"/>
                <w:lang w:eastAsia="lv-LV"/>
              </w:rPr>
              <w:t> </w:t>
            </w:r>
            <w:r w:rsidRPr="008713B7">
              <w:rPr>
                <w:rFonts w:ascii="Times New Roman" w:hAnsi="Times New Roman"/>
                <w:sz w:val="26"/>
                <w:szCs w:val="26"/>
                <w:lang w:eastAsia="lv-LV"/>
              </w:rPr>
              <w:t>Cita informācija</w:t>
            </w:r>
          </w:p>
        </w:tc>
        <w:tc>
          <w:tcPr>
            <w:tcW w:w="2674" w:type="pct"/>
            <w:tcBorders>
              <w:top w:val="outset" w:sz="6" w:space="0" w:color="auto"/>
              <w:left w:val="outset" w:sz="6" w:space="0" w:color="auto"/>
              <w:bottom w:val="outset" w:sz="6" w:space="0" w:color="auto"/>
            </w:tcBorders>
          </w:tcPr>
          <w:p w:rsidR="00422B60" w:rsidRPr="008713B7" w:rsidRDefault="00422B60" w:rsidP="002570C3">
            <w:pPr>
              <w:spacing w:before="68" w:after="68" w:line="240" w:lineRule="auto"/>
              <w:jc w:val="both"/>
              <w:rPr>
                <w:rFonts w:ascii="Times New Roman" w:hAnsi="Times New Roman"/>
                <w:sz w:val="26"/>
                <w:szCs w:val="26"/>
                <w:lang w:eastAsia="lv-LV"/>
              </w:rPr>
            </w:pPr>
            <w:r w:rsidRPr="008713B7">
              <w:rPr>
                <w:rFonts w:ascii="Times New Roman" w:hAnsi="Times New Roman"/>
                <w:sz w:val="26"/>
                <w:szCs w:val="26"/>
                <w:lang w:eastAsia="lv-LV"/>
              </w:rPr>
              <w:t>Nav</w:t>
            </w:r>
          </w:p>
        </w:tc>
      </w:tr>
      <w:tr w:rsidR="00422B60" w:rsidRPr="00B76A80" w:rsidTr="002570C3">
        <w:tc>
          <w:tcPr>
            <w:tcW w:w="5000" w:type="pct"/>
            <w:gridSpan w:val="6"/>
            <w:tcBorders>
              <w:top w:val="outset" w:sz="6" w:space="0" w:color="000000"/>
              <w:bottom w:val="outset" w:sz="6" w:space="0" w:color="000000"/>
            </w:tcBorders>
          </w:tcPr>
          <w:p w:rsidR="00422B60" w:rsidRPr="00B76A80" w:rsidRDefault="00422B60" w:rsidP="00E53999">
            <w:pPr>
              <w:spacing w:before="100" w:beforeAutospacing="1" w:after="100" w:afterAutospacing="1" w:line="240" w:lineRule="auto"/>
              <w:jc w:val="left"/>
              <w:rPr>
                <w:rFonts w:ascii="Times New Roman" w:hAnsi="Times New Roman"/>
                <w:b/>
                <w:bCs/>
                <w:sz w:val="26"/>
                <w:szCs w:val="26"/>
              </w:rPr>
            </w:pPr>
            <w:r w:rsidRPr="00B76A80">
              <w:rPr>
                <w:rFonts w:ascii="Times New Roman" w:hAnsi="Times New Roman"/>
                <w:b/>
                <w:bCs/>
                <w:sz w:val="26"/>
                <w:szCs w:val="26"/>
              </w:rPr>
              <w:t>VII. Tiesību akta projekta izpildes nodrošināšana un tās ietekme uz institūcijām</w:t>
            </w:r>
          </w:p>
        </w:tc>
      </w:tr>
      <w:tr w:rsidR="00422B60" w:rsidRPr="00B76A80" w:rsidTr="002570C3">
        <w:tc>
          <w:tcPr>
            <w:tcW w:w="254" w:type="pct"/>
            <w:gridSpan w:val="2"/>
            <w:tcBorders>
              <w:top w:val="outset" w:sz="6" w:space="0" w:color="000000"/>
              <w:bottom w:val="outset" w:sz="6" w:space="0" w:color="000000"/>
              <w:right w:val="outset" w:sz="6" w:space="0" w:color="000000"/>
            </w:tcBorders>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1.</w:t>
            </w:r>
          </w:p>
        </w:tc>
        <w:tc>
          <w:tcPr>
            <w:tcW w:w="2047" w:type="pct"/>
            <w:gridSpan w:val="2"/>
            <w:tcBorders>
              <w:top w:val="outset" w:sz="6" w:space="0" w:color="000000"/>
              <w:left w:val="outset" w:sz="6" w:space="0" w:color="000000"/>
              <w:bottom w:val="outset" w:sz="6" w:space="0" w:color="000000"/>
              <w:right w:val="outset" w:sz="6" w:space="0" w:color="000000"/>
            </w:tcBorders>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Projekta izpildē iesaistītās institūcijas</w:t>
            </w:r>
          </w:p>
        </w:tc>
        <w:tc>
          <w:tcPr>
            <w:tcW w:w="2699" w:type="pct"/>
            <w:gridSpan w:val="2"/>
            <w:tcBorders>
              <w:top w:val="outset" w:sz="6" w:space="0" w:color="000000"/>
              <w:left w:val="outset" w:sz="6" w:space="0" w:color="000000"/>
              <w:bottom w:val="outset" w:sz="6" w:space="0" w:color="000000"/>
            </w:tcBorders>
          </w:tcPr>
          <w:p w:rsidR="00422B60" w:rsidRPr="00B76A80" w:rsidRDefault="00422B60" w:rsidP="00E53999">
            <w:pPr>
              <w:spacing w:before="100" w:beforeAutospacing="1" w:after="100" w:afterAutospacing="1" w:line="240" w:lineRule="auto"/>
              <w:jc w:val="both"/>
              <w:rPr>
                <w:rFonts w:ascii="Times New Roman" w:hAnsi="Times New Roman"/>
                <w:sz w:val="26"/>
                <w:szCs w:val="26"/>
              </w:rPr>
            </w:pPr>
            <w:r w:rsidRPr="00B76A80">
              <w:rPr>
                <w:rFonts w:ascii="Times New Roman" w:hAnsi="Times New Roman"/>
                <w:sz w:val="26"/>
                <w:szCs w:val="26"/>
              </w:rPr>
              <w:t>Satiksmes ministrija, Valsts sabiedrība ar ierobežotu atbildību</w:t>
            </w:r>
            <w:r w:rsidRPr="00B76A80">
              <w:rPr>
                <w:rFonts w:ascii="Times New Roman" w:hAnsi="Times New Roman"/>
                <w:iCs/>
                <w:sz w:val="26"/>
                <w:szCs w:val="26"/>
              </w:rPr>
              <w:t xml:space="preserve"> „Autotransporta direkcija.</w:t>
            </w:r>
          </w:p>
        </w:tc>
      </w:tr>
      <w:tr w:rsidR="00422B60" w:rsidRPr="00B76A80" w:rsidTr="002570C3">
        <w:tc>
          <w:tcPr>
            <w:tcW w:w="254" w:type="pct"/>
            <w:gridSpan w:val="2"/>
            <w:tcBorders>
              <w:top w:val="outset" w:sz="6" w:space="0" w:color="000000"/>
              <w:bottom w:val="outset" w:sz="6" w:space="0" w:color="000000"/>
              <w:right w:val="outset" w:sz="6" w:space="0" w:color="000000"/>
            </w:tcBorders>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2.</w:t>
            </w:r>
          </w:p>
        </w:tc>
        <w:tc>
          <w:tcPr>
            <w:tcW w:w="2047" w:type="pct"/>
            <w:gridSpan w:val="2"/>
            <w:tcBorders>
              <w:top w:val="outset" w:sz="6" w:space="0" w:color="000000"/>
              <w:left w:val="outset" w:sz="6" w:space="0" w:color="000000"/>
              <w:bottom w:val="outset" w:sz="6" w:space="0" w:color="000000"/>
              <w:right w:val="outset" w:sz="6" w:space="0" w:color="000000"/>
            </w:tcBorders>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Projekta izpildes ietekme uz pārvaldes funkcijām</w:t>
            </w:r>
          </w:p>
        </w:tc>
        <w:tc>
          <w:tcPr>
            <w:tcW w:w="2699" w:type="pct"/>
            <w:gridSpan w:val="2"/>
            <w:tcBorders>
              <w:top w:val="outset" w:sz="6" w:space="0" w:color="000000"/>
              <w:left w:val="outset" w:sz="6" w:space="0" w:color="000000"/>
              <w:bottom w:val="outset" w:sz="6" w:space="0" w:color="000000"/>
            </w:tcBorders>
          </w:tcPr>
          <w:p w:rsidR="00422B60" w:rsidRPr="00B76A80" w:rsidRDefault="00422B60" w:rsidP="00E53999">
            <w:pPr>
              <w:spacing w:before="100" w:beforeAutospacing="1" w:after="100" w:afterAutospacing="1" w:line="240" w:lineRule="auto"/>
              <w:jc w:val="both"/>
              <w:rPr>
                <w:rFonts w:ascii="Times New Roman" w:hAnsi="Times New Roman"/>
                <w:sz w:val="26"/>
                <w:szCs w:val="26"/>
              </w:rPr>
            </w:pPr>
            <w:r w:rsidRPr="00B76A80">
              <w:rPr>
                <w:rFonts w:ascii="Times New Roman" w:hAnsi="Times New Roman"/>
                <w:iCs/>
                <w:sz w:val="26"/>
                <w:szCs w:val="26"/>
              </w:rPr>
              <w:t>Noteikumu projekts neietekmēs pārvaldes funkcijas.</w:t>
            </w:r>
          </w:p>
        </w:tc>
      </w:tr>
      <w:tr w:rsidR="00422B60" w:rsidRPr="00B76A80" w:rsidTr="002570C3">
        <w:tc>
          <w:tcPr>
            <w:tcW w:w="254" w:type="pct"/>
            <w:gridSpan w:val="2"/>
            <w:tcBorders>
              <w:top w:val="outset" w:sz="6" w:space="0" w:color="000000"/>
              <w:bottom w:val="outset" w:sz="6" w:space="0" w:color="000000"/>
              <w:right w:val="outset" w:sz="6" w:space="0" w:color="000000"/>
            </w:tcBorders>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3.</w:t>
            </w:r>
          </w:p>
        </w:tc>
        <w:tc>
          <w:tcPr>
            <w:tcW w:w="2047" w:type="pct"/>
            <w:gridSpan w:val="2"/>
            <w:tcBorders>
              <w:top w:val="outset" w:sz="6" w:space="0" w:color="000000"/>
              <w:left w:val="outset" w:sz="6" w:space="0" w:color="000000"/>
              <w:bottom w:val="outset" w:sz="6" w:space="0" w:color="000000"/>
              <w:right w:val="outset" w:sz="6" w:space="0" w:color="000000"/>
            </w:tcBorders>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Projekta izpildes ietekme uz pārvaldes institucionālo struktūru.</w:t>
            </w:r>
          </w:p>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Jaunu institūciju izveide</w:t>
            </w:r>
          </w:p>
        </w:tc>
        <w:tc>
          <w:tcPr>
            <w:tcW w:w="2699" w:type="pct"/>
            <w:gridSpan w:val="2"/>
            <w:tcBorders>
              <w:top w:val="outset" w:sz="6" w:space="0" w:color="000000"/>
              <w:left w:val="outset" w:sz="6" w:space="0" w:color="000000"/>
              <w:bottom w:val="outset" w:sz="6" w:space="0" w:color="000000"/>
            </w:tcBorders>
          </w:tcPr>
          <w:p w:rsidR="00422B60" w:rsidRPr="00B76A80" w:rsidRDefault="00422B60" w:rsidP="00E53999">
            <w:pPr>
              <w:spacing w:before="100" w:beforeAutospacing="1" w:after="100" w:afterAutospacing="1" w:line="240" w:lineRule="auto"/>
              <w:jc w:val="both"/>
              <w:rPr>
                <w:rFonts w:ascii="Times New Roman" w:hAnsi="Times New Roman"/>
                <w:sz w:val="26"/>
                <w:szCs w:val="26"/>
              </w:rPr>
            </w:pPr>
            <w:r w:rsidRPr="00B76A80">
              <w:rPr>
                <w:rFonts w:ascii="Times New Roman" w:hAnsi="Times New Roman"/>
                <w:sz w:val="26"/>
                <w:szCs w:val="26"/>
              </w:rPr>
              <w:t>Noteikumu projekts neietekmē pārvaldes institucionālo struktūru. Noteikumu projekts neparedz jaunu institūciju izveidi.</w:t>
            </w:r>
          </w:p>
        </w:tc>
      </w:tr>
      <w:tr w:rsidR="00422B60" w:rsidRPr="00B76A80" w:rsidTr="002570C3">
        <w:tc>
          <w:tcPr>
            <w:tcW w:w="254" w:type="pct"/>
            <w:gridSpan w:val="2"/>
            <w:tcBorders>
              <w:top w:val="outset" w:sz="6" w:space="0" w:color="000000"/>
              <w:bottom w:val="outset" w:sz="6" w:space="0" w:color="000000"/>
              <w:right w:val="outset" w:sz="6" w:space="0" w:color="000000"/>
            </w:tcBorders>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4.</w:t>
            </w:r>
          </w:p>
        </w:tc>
        <w:tc>
          <w:tcPr>
            <w:tcW w:w="2047" w:type="pct"/>
            <w:gridSpan w:val="2"/>
            <w:tcBorders>
              <w:top w:val="outset" w:sz="6" w:space="0" w:color="000000"/>
              <w:left w:val="outset" w:sz="6" w:space="0" w:color="000000"/>
              <w:bottom w:val="outset" w:sz="6" w:space="0" w:color="000000"/>
              <w:right w:val="outset" w:sz="6" w:space="0" w:color="000000"/>
            </w:tcBorders>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Projekta izpildes ietekme uz pārvaldes institucionālo struktūru.</w:t>
            </w:r>
          </w:p>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Esošu institūciju likvidācija</w:t>
            </w:r>
          </w:p>
        </w:tc>
        <w:tc>
          <w:tcPr>
            <w:tcW w:w="2699" w:type="pct"/>
            <w:gridSpan w:val="2"/>
            <w:tcBorders>
              <w:top w:val="outset" w:sz="6" w:space="0" w:color="000000"/>
              <w:left w:val="outset" w:sz="6" w:space="0" w:color="000000"/>
              <w:bottom w:val="outset" w:sz="6" w:space="0" w:color="000000"/>
            </w:tcBorders>
          </w:tcPr>
          <w:p w:rsidR="00422B60" w:rsidRPr="00B76A80" w:rsidRDefault="00422B60" w:rsidP="00E53999">
            <w:pPr>
              <w:spacing w:before="100" w:beforeAutospacing="1" w:after="100" w:afterAutospacing="1" w:line="240" w:lineRule="auto"/>
              <w:jc w:val="both"/>
              <w:rPr>
                <w:rFonts w:ascii="Times New Roman" w:hAnsi="Times New Roman"/>
                <w:sz w:val="26"/>
                <w:szCs w:val="26"/>
              </w:rPr>
            </w:pPr>
            <w:r w:rsidRPr="00B76A80">
              <w:rPr>
                <w:rFonts w:ascii="Times New Roman" w:hAnsi="Times New Roman"/>
                <w:sz w:val="26"/>
                <w:szCs w:val="26"/>
              </w:rPr>
              <w:t>Noteikumu projekts neietekmē pārvaldes institucionālo struktūru. Noteikumu projekts neparedz esošu institūciju likvidāciju.</w:t>
            </w:r>
          </w:p>
        </w:tc>
      </w:tr>
      <w:tr w:rsidR="00422B60" w:rsidRPr="00B76A80" w:rsidTr="002570C3">
        <w:tc>
          <w:tcPr>
            <w:tcW w:w="254" w:type="pct"/>
            <w:gridSpan w:val="2"/>
            <w:tcBorders>
              <w:top w:val="outset" w:sz="6" w:space="0" w:color="000000"/>
              <w:bottom w:val="outset" w:sz="6" w:space="0" w:color="000000"/>
              <w:right w:val="outset" w:sz="6" w:space="0" w:color="000000"/>
            </w:tcBorders>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5.</w:t>
            </w:r>
          </w:p>
        </w:tc>
        <w:tc>
          <w:tcPr>
            <w:tcW w:w="2047" w:type="pct"/>
            <w:gridSpan w:val="2"/>
            <w:tcBorders>
              <w:top w:val="outset" w:sz="6" w:space="0" w:color="000000"/>
              <w:left w:val="outset" w:sz="6" w:space="0" w:color="000000"/>
              <w:bottom w:val="outset" w:sz="6" w:space="0" w:color="000000"/>
              <w:right w:val="outset" w:sz="6" w:space="0" w:color="000000"/>
            </w:tcBorders>
          </w:tcPr>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Projekta izpildes ietekme uz pārvaldes institucionālo struktūru.</w:t>
            </w:r>
          </w:p>
          <w:p w:rsidR="00422B60" w:rsidRPr="00B76A80" w:rsidRDefault="00422B60" w:rsidP="00B76A80">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Esošu institūciju reorganizācija</w:t>
            </w:r>
          </w:p>
        </w:tc>
        <w:tc>
          <w:tcPr>
            <w:tcW w:w="2699" w:type="pct"/>
            <w:gridSpan w:val="2"/>
            <w:tcBorders>
              <w:top w:val="outset" w:sz="6" w:space="0" w:color="000000"/>
              <w:left w:val="outset" w:sz="6" w:space="0" w:color="000000"/>
              <w:bottom w:val="outset" w:sz="6" w:space="0" w:color="000000"/>
            </w:tcBorders>
          </w:tcPr>
          <w:p w:rsidR="00422B60" w:rsidRPr="00B76A80" w:rsidRDefault="00422B60" w:rsidP="00E53999">
            <w:pPr>
              <w:spacing w:before="100" w:beforeAutospacing="1" w:after="100" w:afterAutospacing="1" w:line="240" w:lineRule="auto"/>
              <w:jc w:val="both"/>
              <w:rPr>
                <w:rFonts w:ascii="Times New Roman" w:hAnsi="Times New Roman"/>
                <w:sz w:val="26"/>
                <w:szCs w:val="26"/>
              </w:rPr>
            </w:pPr>
            <w:r w:rsidRPr="00B76A80">
              <w:rPr>
                <w:rFonts w:ascii="Times New Roman" w:hAnsi="Times New Roman"/>
                <w:sz w:val="26"/>
                <w:szCs w:val="26"/>
              </w:rPr>
              <w:t>Noteikumu projekts neietekmē pārvaldes institucionālo struktūru. Noteikumu projekts neparedz esošu institūciju reorganizāciju.</w:t>
            </w:r>
          </w:p>
        </w:tc>
      </w:tr>
      <w:tr w:rsidR="00422B60" w:rsidRPr="00B76A80" w:rsidTr="002570C3">
        <w:tc>
          <w:tcPr>
            <w:tcW w:w="254" w:type="pct"/>
            <w:gridSpan w:val="2"/>
            <w:tcBorders>
              <w:top w:val="outset" w:sz="6" w:space="0" w:color="000000"/>
              <w:bottom w:val="outset" w:sz="6" w:space="0" w:color="000000"/>
              <w:right w:val="outset" w:sz="6" w:space="0" w:color="000000"/>
            </w:tcBorders>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6.</w:t>
            </w:r>
          </w:p>
        </w:tc>
        <w:tc>
          <w:tcPr>
            <w:tcW w:w="2047" w:type="pct"/>
            <w:gridSpan w:val="2"/>
            <w:tcBorders>
              <w:top w:val="outset" w:sz="6" w:space="0" w:color="000000"/>
              <w:left w:val="outset" w:sz="6" w:space="0" w:color="000000"/>
              <w:bottom w:val="outset" w:sz="6" w:space="0" w:color="000000"/>
              <w:right w:val="outset" w:sz="6" w:space="0" w:color="000000"/>
            </w:tcBorders>
          </w:tcPr>
          <w:p w:rsidR="00422B60" w:rsidRPr="00B76A80" w:rsidRDefault="00422B60" w:rsidP="008713B7">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Cita informācija</w:t>
            </w:r>
          </w:p>
        </w:tc>
        <w:tc>
          <w:tcPr>
            <w:tcW w:w="2699" w:type="pct"/>
            <w:gridSpan w:val="2"/>
            <w:tcBorders>
              <w:top w:val="outset" w:sz="6" w:space="0" w:color="000000"/>
              <w:left w:val="outset" w:sz="6" w:space="0" w:color="000000"/>
              <w:bottom w:val="outset" w:sz="6" w:space="0" w:color="000000"/>
            </w:tcBorders>
          </w:tcPr>
          <w:p w:rsidR="00422B60" w:rsidRPr="00B76A80" w:rsidRDefault="00422B60" w:rsidP="00E53999">
            <w:pPr>
              <w:spacing w:before="100" w:beforeAutospacing="1" w:after="100" w:afterAutospacing="1" w:line="240" w:lineRule="auto"/>
              <w:jc w:val="left"/>
              <w:rPr>
                <w:rFonts w:ascii="Times New Roman" w:hAnsi="Times New Roman"/>
                <w:sz w:val="26"/>
                <w:szCs w:val="26"/>
              </w:rPr>
            </w:pPr>
            <w:r w:rsidRPr="00B76A80">
              <w:rPr>
                <w:rFonts w:ascii="Times New Roman" w:hAnsi="Times New Roman"/>
                <w:sz w:val="26"/>
                <w:szCs w:val="26"/>
              </w:rPr>
              <w:t>Nav</w:t>
            </w:r>
          </w:p>
        </w:tc>
      </w:tr>
    </w:tbl>
    <w:p w:rsidR="00422B60" w:rsidRPr="00B76A80" w:rsidRDefault="00422B60" w:rsidP="004D6C3C">
      <w:pPr>
        <w:pStyle w:val="naisf"/>
        <w:ind w:firstLine="0"/>
        <w:rPr>
          <w:sz w:val="26"/>
          <w:szCs w:val="26"/>
        </w:rPr>
      </w:pPr>
      <w:r w:rsidRPr="00B76A80">
        <w:rPr>
          <w:sz w:val="26"/>
          <w:szCs w:val="26"/>
        </w:rPr>
        <w:tab/>
      </w:r>
    </w:p>
    <w:p w:rsidR="00422B60" w:rsidRPr="00B76A80" w:rsidRDefault="00422B60" w:rsidP="004D6C3C">
      <w:pPr>
        <w:pStyle w:val="naisf"/>
        <w:ind w:firstLine="720"/>
        <w:rPr>
          <w:sz w:val="26"/>
          <w:szCs w:val="26"/>
        </w:rPr>
      </w:pPr>
      <w:r>
        <w:rPr>
          <w:sz w:val="26"/>
          <w:szCs w:val="26"/>
        </w:rPr>
        <w:t>Anotācijas</w:t>
      </w:r>
      <w:r w:rsidRPr="00B76A80">
        <w:rPr>
          <w:sz w:val="26"/>
          <w:szCs w:val="26"/>
        </w:rPr>
        <w:t xml:space="preserve"> V un VI sadaļa – projekts šo jomu neskar.</w:t>
      </w:r>
    </w:p>
    <w:p w:rsidR="00422B60" w:rsidRPr="00B76A80" w:rsidRDefault="00422B60" w:rsidP="004D6C3C">
      <w:pPr>
        <w:pStyle w:val="naisf"/>
        <w:ind w:firstLine="720"/>
        <w:rPr>
          <w:sz w:val="26"/>
          <w:szCs w:val="26"/>
        </w:rPr>
      </w:pPr>
    </w:p>
    <w:p w:rsidR="00422B60" w:rsidRPr="00B76A80" w:rsidRDefault="00422B60" w:rsidP="004D6C3C">
      <w:pPr>
        <w:spacing w:line="240" w:lineRule="auto"/>
        <w:jc w:val="both"/>
        <w:rPr>
          <w:rFonts w:ascii="Times New Roman" w:hAnsi="Times New Roman"/>
          <w:sz w:val="26"/>
          <w:szCs w:val="26"/>
        </w:rPr>
      </w:pPr>
    </w:p>
    <w:p w:rsidR="00422B60" w:rsidRPr="00B76A80" w:rsidRDefault="00422B60" w:rsidP="004D6C3C">
      <w:pPr>
        <w:spacing w:line="240" w:lineRule="auto"/>
        <w:jc w:val="both"/>
        <w:rPr>
          <w:rFonts w:ascii="Times New Roman" w:hAnsi="Times New Roman"/>
          <w:sz w:val="26"/>
          <w:szCs w:val="26"/>
        </w:rPr>
      </w:pPr>
      <w:r w:rsidRPr="00B76A80">
        <w:rPr>
          <w:rFonts w:ascii="Times New Roman" w:hAnsi="Times New Roman"/>
          <w:sz w:val="26"/>
          <w:szCs w:val="26"/>
        </w:rPr>
        <w:tab/>
        <w:t>Satiksmes ministrs</w:t>
      </w:r>
      <w:r w:rsidRPr="00B76A80">
        <w:rPr>
          <w:rFonts w:ascii="Times New Roman" w:hAnsi="Times New Roman"/>
          <w:sz w:val="26"/>
          <w:szCs w:val="26"/>
        </w:rPr>
        <w:tab/>
      </w:r>
      <w:r w:rsidRPr="00B76A80">
        <w:rPr>
          <w:rFonts w:ascii="Times New Roman" w:hAnsi="Times New Roman"/>
          <w:sz w:val="26"/>
          <w:szCs w:val="26"/>
        </w:rPr>
        <w:tab/>
      </w:r>
      <w:r w:rsidRPr="00B76A80">
        <w:rPr>
          <w:rFonts w:ascii="Times New Roman" w:hAnsi="Times New Roman"/>
          <w:sz w:val="26"/>
          <w:szCs w:val="26"/>
        </w:rPr>
        <w:tab/>
      </w:r>
      <w:r w:rsidRPr="00B76A80">
        <w:rPr>
          <w:rFonts w:ascii="Times New Roman" w:hAnsi="Times New Roman"/>
          <w:sz w:val="26"/>
          <w:szCs w:val="26"/>
        </w:rPr>
        <w:tab/>
      </w:r>
      <w:r w:rsidRPr="00B76A80">
        <w:rPr>
          <w:rFonts w:ascii="Times New Roman" w:hAnsi="Times New Roman"/>
          <w:sz w:val="26"/>
          <w:szCs w:val="26"/>
        </w:rPr>
        <w:tab/>
      </w:r>
      <w:r w:rsidRPr="00B76A80">
        <w:rPr>
          <w:rFonts w:ascii="Times New Roman" w:hAnsi="Times New Roman"/>
          <w:sz w:val="26"/>
          <w:szCs w:val="26"/>
        </w:rPr>
        <w:tab/>
      </w:r>
      <w:r w:rsidRPr="00B76A80">
        <w:rPr>
          <w:rFonts w:ascii="Times New Roman" w:hAnsi="Times New Roman"/>
          <w:sz w:val="26"/>
          <w:szCs w:val="26"/>
        </w:rPr>
        <w:tab/>
      </w:r>
      <w:r w:rsidRPr="00B76A80">
        <w:rPr>
          <w:rFonts w:ascii="Times New Roman" w:hAnsi="Times New Roman"/>
          <w:sz w:val="26"/>
          <w:szCs w:val="26"/>
        </w:rPr>
        <w:tab/>
        <w:t>A.Ronis</w:t>
      </w:r>
    </w:p>
    <w:p w:rsidR="00422B60" w:rsidRPr="00B76A80" w:rsidRDefault="00422B60" w:rsidP="004D6C3C">
      <w:pPr>
        <w:spacing w:line="240" w:lineRule="auto"/>
        <w:jc w:val="both"/>
        <w:rPr>
          <w:rFonts w:ascii="Times New Roman" w:hAnsi="Times New Roman"/>
          <w:sz w:val="26"/>
          <w:szCs w:val="26"/>
        </w:rPr>
      </w:pPr>
    </w:p>
    <w:p w:rsidR="00422B60" w:rsidRPr="00B76A80" w:rsidRDefault="00422B60" w:rsidP="004D6C3C">
      <w:pPr>
        <w:pStyle w:val="StyleRight"/>
        <w:spacing w:after="0"/>
        <w:ind w:left="720" w:firstLine="0"/>
        <w:jc w:val="both"/>
        <w:rPr>
          <w:sz w:val="26"/>
          <w:szCs w:val="26"/>
        </w:rPr>
      </w:pPr>
    </w:p>
    <w:p w:rsidR="00422B60" w:rsidRPr="00B76A80" w:rsidRDefault="00422B60" w:rsidP="004D6C3C">
      <w:pPr>
        <w:pStyle w:val="StyleRight"/>
        <w:spacing w:after="0"/>
        <w:ind w:left="720" w:firstLine="0"/>
        <w:jc w:val="both"/>
        <w:rPr>
          <w:sz w:val="26"/>
          <w:szCs w:val="26"/>
        </w:rPr>
      </w:pPr>
      <w:r w:rsidRPr="00B76A80">
        <w:rPr>
          <w:sz w:val="26"/>
          <w:szCs w:val="26"/>
        </w:rPr>
        <w:t xml:space="preserve">Vīza: </w:t>
      </w:r>
    </w:p>
    <w:p w:rsidR="00422B60" w:rsidRPr="00B76A80" w:rsidRDefault="00422B60" w:rsidP="004D6C3C">
      <w:pPr>
        <w:pStyle w:val="StyleRight"/>
        <w:spacing w:after="0"/>
        <w:ind w:left="720" w:firstLine="0"/>
        <w:jc w:val="both"/>
        <w:rPr>
          <w:sz w:val="26"/>
          <w:szCs w:val="26"/>
        </w:rPr>
      </w:pPr>
      <w:r w:rsidRPr="00B76A80">
        <w:rPr>
          <w:sz w:val="26"/>
          <w:szCs w:val="26"/>
        </w:rPr>
        <w:t>Valsts sekretārs</w:t>
      </w:r>
      <w:r w:rsidRPr="00B76A80">
        <w:rPr>
          <w:sz w:val="26"/>
          <w:szCs w:val="26"/>
        </w:rPr>
        <w:tab/>
      </w:r>
      <w:r w:rsidRPr="00B76A80">
        <w:rPr>
          <w:sz w:val="26"/>
          <w:szCs w:val="26"/>
        </w:rPr>
        <w:tab/>
      </w:r>
      <w:r w:rsidRPr="00B76A80">
        <w:rPr>
          <w:sz w:val="26"/>
          <w:szCs w:val="26"/>
        </w:rPr>
        <w:tab/>
      </w:r>
      <w:r w:rsidRPr="00B76A80">
        <w:rPr>
          <w:sz w:val="26"/>
          <w:szCs w:val="26"/>
        </w:rPr>
        <w:tab/>
      </w:r>
      <w:r w:rsidRPr="00B76A80">
        <w:rPr>
          <w:sz w:val="26"/>
          <w:szCs w:val="26"/>
        </w:rPr>
        <w:tab/>
      </w:r>
      <w:r w:rsidRPr="00B76A80">
        <w:rPr>
          <w:sz w:val="26"/>
          <w:szCs w:val="26"/>
        </w:rPr>
        <w:tab/>
      </w:r>
      <w:r w:rsidRPr="00B76A80">
        <w:rPr>
          <w:sz w:val="26"/>
          <w:szCs w:val="26"/>
        </w:rPr>
        <w:tab/>
      </w:r>
      <w:r w:rsidRPr="00B76A80">
        <w:rPr>
          <w:sz w:val="26"/>
          <w:szCs w:val="26"/>
        </w:rPr>
        <w:tab/>
        <w:t>A.Matīss</w:t>
      </w:r>
    </w:p>
    <w:p w:rsidR="00422B60" w:rsidRPr="00B76A80" w:rsidRDefault="00422B60" w:rsidP="004D6C3C">
      <w:pPr>
        <w:spacing w:line="240" w:lineRule="auto"/>
        <w:ind w:left="360"/>
        <w:jc w:val="both"/>
        <w:rPr>
          <w:rFonts w:ascii="Times New Roman" w:hAnsi="Times New Roman"/>
          <w:noProof/>
          <w:sz w:val="26"/>
          <w:szCs w:val="26"/>
        </w:rPr>
      </w:pPr>
    </w:p>
    <w:p w:rsidR="00422B60" w:rsidRPr="00B76A80" w:rsidRDefault="00422B60" w:rsidP="004D6C3C">
      <w:pPr>
        <w:spacing w:line="240" w:lineRule="auto"/>
        <w:jc w:val="both"/>
        <w:rPr>
          <w:rFonts w:ascii="Times New Roman" w:hAnsi="Times New Roman"/>
          <w:noProof/>
          <w:sz w:val="26"/>
          <w:szCs w:val="26"/>
        </w:rPr>
      </w:pPr>
    </w:p>
    <w:p w:rsidR="00422B60" w:rsidRDefault="00422B60" w:rsidP="004D6C3C">
      <w:pPr>
        <w:spacing w:line="240" w:lineRule="auto"/>
        <w:jc w:val="both"/>
        <w:rPr>
          <w:rFonts w:ascii="Times New Roman" w:hAnsi="Times New Roman"/>
          <w:noProof/>
          <w:sz w:val="20"/>
          <w:szCs w:val="20"/>
        </w:rPr>
      </w:pPr>
    </w:p>
    <w:p w:rsidR="00422B60" w:rsidRDefault="00422B60" w:rsidP="004D6C3C">
      <w:pPr>
        <w:spacing w:line="240" w:lineRule="auto"/>
        <w:jc w:val="both"/>
        <w:rPr>
          <w:rFonts w:ascii="Times New Roman" w:hAnsi="Times New Roman"/>
          <w:noProof/>
          <w:sz w:val="20"/>
          <w:szCs w:val="20"/>
        </w:rPr>
      </w:pPr>
    </w:p>
    <w:p w:rsidR="00422B60" w:rsidRPr="008713B7" w:rsidRDefault="00422B60" w:rsidP="004D6C3C">
      <w:pPr>
        <w:spacing w:line="240" w:lineRule="auto"/>
        <w:ind w:left="720"/>
        <w:jc w:val="both"/>
        <w:rPr>
          <w:rFonts w:ascii="Times New Roman" w:hAnsi="Times New Roman"/>
          <w:sz w:val="20"/>
          <w:szCs w:val="20"/>
        </w:rPr>
      </w:pPr>
      <w:r>
        <w:rPr>
          <w:rFonts w:ascii="Times New Roman" w:hAnsi="Times New Roman"/>
          <w:noProof/>
          <w:sz w:val="20"/>
          <w:szCs w:val="20"/>
        </w:rPr>
        <w:t>21.11</w:t>
      </w:r>
      <w:r w:rsidRPr="008713B7">
        <w:rPr>
          <w:rFonts w:ascii="Times New Roman" w:hAnsi="Times New Roman"/>
          <w:noProof/>
          <w:sz w:val="20"/>
          <w:szCs w:val="20"/>
        </w:rPr>
        <w:t>.2011</w:t>
      </w:r>
      <w:r>
        <w:rPr>
          <w:rFonts w:ascii="Times New Roman" w:hAnsi="Times New Roman"/>
          <w:color w:val="FF6600"/>
          <w:sz w:val="20"/>
          <w:szCs w:val="20"/>
        </w:rPr>
        <w:t xml:space="preserve">. </w:t>
      </w:r>
      <w:r w:rsidRPr="008713B7">
        <w:rPr>
          <w:rFonts w:ascii="Times New Roman" w:hAnsi="Times New Roman"/>
          <w:sz w:val="20"/>
          <w:szCs w:val="20"/>
        </w:rPr>
        <w:t xml:space="preserve">10:11 </w:t>
      </w:r>
    </w:p>
    <w:p w:rsidR="00422B60" w:rsidRPr="008713B7" w:rsidRDefault="00422B60" w:rsidP="004D6C3C">
      <w:pPr>
        <w:spacing w:line="240" w:lineRule="auto"/>
        <w:ind w:left="720"/>
        <w:jc w:val="both"/>
        <w:rPr>
          <w:rFonts w:ascii="Times New Roman" w:hAnsi="Times New Roman"/>
          <w:sz w:val="20"/>
          <w:szCs w:val="20"/>
        </w:rPr>
      </w:pPr>
      <w:r w:rsidRPr="008713B7">
        <w:rPr>
          <w:rFonts w:ascii="Times New Roman" w:hAnsi="Times New Roman"/>
          <w:sz w:val="20"/>
          <w:szCs w:val="20"/>
        </w:rPr>
        <w:t>959</w:t>
      </w:r>
    </w:p>
    <w:p w:rsidR="00422B60" w:rsidRPr="00EE469E" w:rsidRDefault="00422B60" w:rsidP="004D6C3C">
      <w:pPr>
        <w:spacing w:line="240" w:lineRule="auto"/>
        <w:ind w:left="720"/>
        <w:jc w:val="both"/>
        <w:rPr>
          <w:rFonts w:ascii="Times New Roman" w:hAnsi="Times New Roman"/>
          <w:sz w:val="20"/>
          <w:szCs w:val="20"/>
        </w:rPr>
      </w:pPr>
      <w:r>
        <w:rPr>
          <w:rFonts w:ascii="Times New Roman" w:hAnsi="Times New Roman"/>
          <w:sz w:val="20"/>
          <w:szCs w:val="20"/>
        </w:rPr>
        <w:t>I.Puķīte; 67028323</w:t>
      </w:r>
      <w:bookmarkStart w:id="0" w:name="_GoBack"/>
      <w:bookmarkEnd w:id="0"/>
    </w:p>
    <w:p w:rsidR="00422B60" w:rsidRDefault="00422B60" w:rsidP="004D6C3C">
      <w:pPr>
        <w:spacing w:line="240" w:lineRule="auto"/>
        <w:ind w:left="720"/>
        <w:jc w:val="both"/>
        <w:rPr>
          <w:rFonts w:ascii="Times New Roman" w:hAnsi="Times New Roman"/>
          <w:sz w:val="20"/>
          <w:szCs w:val="20"/>
        </w:rPr>
      </w:pPr>
      <w:hyperlink r:id="rId7" w:history="1">
        <w:r w:rsidRPr="005B644C">
          <w:rPr>
            <w:rStyle w:val="Hyperlink"/>
            <w:rFonts w:ascii="Times New Roman" w:hAnsi="Times New Roman"/>
            <w:sz w:val="20"/>
            <w:szCs w:val="20"/>
          </w:rPr>
          <w:t>ilona.pukite@sam.gov.lv</w:t>
        </w:r>
      </w:hyperlink>
    </w:p>
    <w:p w:rsidR="00422B60" w:rsidRDefault="00422B60" w:rsidP="004D6C3C">
      <w:pPr>
        <w:jc w:val="both"/>
      </w:pPr>
    </w:p>
    <w:p w:rsidR="00422B60" w:rsidRDefault="00422B60" w:rsidP="004D6C3C">
      <w:pPr>
        <w:jc w:val="both"/>
      </w:pPr>
    </w:p>
    <w:p w:rsidR="00422B60" w:rsidRDefault="00422B60" w:rsidP="004D6C3C">
      <w:pPr>
        <w:jc w:val="both"/>
      </w:pPr>
    </w:p>
    <w:sectPr w:rsidR="00422B60" w:rsidSect="009846AE">
      <w:headerReference w:type="even" r:id="rId8"/>
      <w:headerReference w:type="default" r:id="rId9"/>
      <w:footerReference w:type="default" r:id="rId10"/>
      <w:footerReference w:type="first" r:id="rId11"/>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60" w:rsidRDefault="00422B60" w:rsidP="004D6C3C">
      <w:pPr>
        <w:spacing w:line="240" w:lineRule="auto"/>
      </w:pPr>
      <w:r>
        <w:separator/>
      </w:r>
    </w:p>
  </w:endnote>
  <w:endnote w:type="continuationSeparator" w:id="0">
    <w:p w:rsidR="00422B60" w:rsidRDefault="00422B60" w:rsidP="004D6C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60" w:rsidRPr="004D6C3C" w:rsidRDefault="00422B60" w:rsidP="004D6C3C">
    <w:pPr>
      <w:pStyle w:val="Footer"/>
      <w:jc w:val="both"/>
      <w:rPr>
        <w:rFonts w:ascii="Times New Roman" w:hAnsi="Times New Roman"/>
        <w:sz w:val="18"/>
        <w:szCs w:val="18"/>
      </w:rPr>
    </w:pPr>
    <w:r>
      <w:rPr>
        <w:rFonts w:ascii="Times New Roman" w:hAnsi="Times New Roman"/>
        <w:sz w:val="18"/>
        <w:szCs w:val="18"/>
      </w:rPr>
      <w:t>SAManot_211111_groz.autoparv</w:t>
    </w:r>
    <w:r w:rsidRPr="004D6C3C">
      <w:rPr>
        <w:rFonts w:ascii="Times New Roman" w:hAnsi="Times New Roman"/>
        <w:sz w:val="18"/>
        <w:szCs w:val="18"/>
      </w:rPr>
      <w:t xml:space="preserve">. Likumprojekta „Grozījumi </w:t>
    </w:r>
    <w:r>
      <w:rPr>
        <w:rFonts w:ascii="Times New Roman" w:hAnsi="Times New Roman"/>
        <w:sz w:val="18"/>
        <w:szCs w:val="18"/>
      </w:rPr>
      <w:t>„</w:t>
    </w:r>
    <w:r w:rsidRPr="004D6C3C">
      <w:rPr>
        <w:rFonts w:ascii="Times New Roman" w:hAnsi="Times New Roman"/>
        <w:sz w:val="18"/>
        <w:szCs w:val="18"/>
      </w:rPr>
      <w:t>Autopārvadājumu likumā”</w:t>
    </w:r>
    <w:r>
      <w:rPr>
        <w:rFonts w:ascii="Times New Roman" w:hAnsi="Times New Roman"/>
        <w:sz w:val="18"/>
        <w:szCs w:val="18"/>
      </w:rPr>
      <w:t>”</w:t>
    </w:r>
    <w:r w:rsidRPr="004D6C3C">
      <w:rPr>
        <w:rFonts w:ascii="Times New Roman" w:hAnsi="Times New Roman"/>
        <w:sz w:val="18"/>
        <w:szCs w:val="18"/>
      </w:rPr>
      <w:t xml:space="preserve"> sākotnējā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60" w:rsidRPr="0026181B" w:rsidRDefault="00422B60" w:rsidP="009C3836">
    <w:pPr>
      <w:pStyle w:val="Footer"/>
      <w:jc w:val="both"/>
      <w:rPr>
        <w:rFonts w:ascii="Times New Roman" w:hAnsi="Times New Roman"/>
        <w:sz w:val="20"/>
        <w:szCs w:val="20"/>
      </w:rPr>
    </w:pPr>
    <w:r w:rsidRPr="0026181B">
      <w:rPr>
        <w:rFonts w:ascii="Times New Roman" w:hAnsi="Times New Roman"/>
        <w:sz w:val="20"/>
        <w:szCs w:val="20"/>
      </w:rPr>
      <w:t>SAManot_211111_groz.autoparv”; Likumprojekta „Grozījumi „Autopārvadājumu likumā”” sākotnējā sākotnējās ietekmes novērtējuma ziņojums (anotācija)</w:t>
    </w:r>
  </w:p>
  <w:p w:rsidR="00422B60" w:rsidRPr="009C3836" w:rsidRDefault="00422B60" w:rsidP="009C3836">
    <w:pPr>
      <w:pStyle w:val="Footer"/>
      <w:jc w:val="lef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60" w:rsidRDefault="00422B60" w:rsidP="004D6C3C">
      <w:pPr>
        <w:spacing w:line="240" w:lineRule="auto"/>
      </w:pPr>
      <w:r>
        <w:separator/>
      </w:r>
    </w:p>
  </w:footnote>
  <w:footnote w:type="continuationSeparator" w:id="0">
    <w:p w:rsidR="00422B60" w:rsidRDefault="00422B60" w:rsidP="004D6C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60" w:rsidRDefault="00422B60" w:rsidP="006267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B60" w:rsidRDefault="00422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60" w:rsidRDefault="00422B60" w:rsidP="006267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2B60" w:rsidRDefault="00422B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F595B"/>
    <w:multiLevelType w:val="hybridMultilevel"/>
    <w:tmpl w:val="FC607414"/>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C3C"/>
    <w:rsid w:val="00031BC7"/>
    <w:rsid w:val="0005449C"/>
    <w:rsid w:val="00100CAE"/>
    <w:rsid w:val="00150A06"/>
    <w:rsid w:val="001B6FAF"/>
    <w:rsid w:val="002570C3"/>
    <w:rsid w:val="0026181B"/>
    <w:rsid w:val="00263835"/>
    <w:rsid w:val="0029212E"/>
    <w:rsid w:val="002C561E"/>
    <w:rsid w:val="002C77C2"/>
    <w:rsid w:val="002F70AE"/>
    <w:rsid w:val="002F757C"/>
    <w:rsid w:val="00314790"/>
    <w:rsid w:val="00371EA8"/>
    <w:rsid w:val="003B102B"/>
    <w:rsid w:val="00422B60"/>
    <w:rsid w:val="004D6C3C"/>
    <w:rsid w:val="005163E8"/>
    <w:rsid w:val="005B644C"/>
    <w:rsid w:val="00626709"/>
    <w:rsid w:val="00642C9A"/>
    <w:rsid w:val="006B07BB"/>
    <w:rsid w:val="006F70C8"/>
    <w:rsid w:val="007046FA"/>
    <w:rsid w:val="007B66C3"/>
    <w:rsid w:val="00823E4F"/>
    <w:rsid w:val="00831C00"/>
    <w:rsid w:val="00853F87"/>
    <w:rsid w:val="008713B7"/>
    <w:rsid w:val="00877FE9"/>
    <w:rsid w:val="009846AE"/>
    <w:rsid w:val="009A6C2A"/>
    <w:rsid w:val="009A7BBD"/>
    <w:rsid w:val="009C3836"/>
    <w:rsid w:val="009E4FDB"/>
    <w:rsid w:val="00A5661E"/>
    <w:rsid w:val="00B46474"/>
    <w:rsid w:val="00B7110C"/>
    <w:rsid w:val="00B76A80"/>
    <w:rsid w:val="00BD701C"/>
    <w:rsid w:val="00C14CDB"/>
    <w:rsid w:val="00C21E2B"/>
    <w:rsid w:val="00C475EE"/>
    <w:rsid w:val="00C64962"/>
    <w:rsid w:val="00CB22B0"/>
    <w:rsid w:val="00D6489B"/>
    <w:rsid w:val="00DC06D1"/>
    <w:rsid w:val="00E53999"/>
    <w:rsid w:val="00ED6873"/>
    <w:rsid w:val="00EE469E"/>
    <w:rsid w:val="00F046D3"/>
    <w:rsid w:val="00FB4237"/>
    <w:rsid w:val="00FD664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3C"/>
    <w:pPr>
      <w:spacing w:line="36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D6C3C"/>
    <w:rPr>
      <w:rFonts w:cs="Times New Roman"/>
      <w:color w:val="0000FF"/>
      <w:u w:val="single"/>
    </w:rPr>
  </w:style>
  <w:style w:type="paragraph" w:customStyle="1" w:styleId="naiskr">
    <w:name w:val="naiskr"/>
    <w:basedOn w:val="Normal"/>
    <w:uiPriority w:val="99"/>
    <w:rsid w:val="004D6C3C"/>
    <w:pPr>
      <w:spacing w:before="75" w:after="75" w:line="240" w:lineRule="auto"/>
      <w:jc w:val="left"/>
    </w:pPr>
    <w:rPr>
      <w:rFonts w:ascii="Times New Roman" w:hAnsi="Times New Roman"/>
      <w:sz w:val="24"/>
      <w:szCs w:val="24"/>
      <w:lang w:eastAsia="lv-LV"/>
    </w:rPr>
  </w:style>
  <w:style w:type="paragraph" w:customStyle="1" w:styleId="naisf">
    <w:name w:val="naisf"/>
    <w:basedOn w:val="Normal"/>
    <w:uiPriority w:val="99"/>
    <w:rsid w:val="004D6C3C"/>
    <w:pPr>
      <w:spacing w:before="75" w:after="75" w:line="240" w:lineRule="auto"/>
      <w:ind w:firstLine="375"/>
      <w:jc w:val="both"/>
    </w:pPr>
    <w:rPr>
      <w:rFonts w:ascii="Times New Roman" w:hAnsi="Times New Roman"/>
      <w:sz w:val="24"/>
      <w:szCs w:val="24"/>
      <w:lang w:eastAsia="lv-LV"/>
    </w:rPr>
  </w:style>
  <w:style w:type="paragraph" w:customStyle="1" w:styleId="StyleRight">
    <w:name w:val="Style Right"/>
    <w:basedOn w:val="Normal"/>
    <w:uiPriority w:val="99"/>
    <w:rsid w:val="004D6C3C"/>
    <w:pPr>
      <w:spacing w:after="120" w:line="240" w:lineRule="auto"/>
      <w:ind w:firstLine="720"/>
      <w:jc w:val="right"/>
    </w:pPr>
    <w:rPr>
      <w:rFonts w:ascii="Times New Roman" w:hAnsi="Times New Roman"/>
      <w:sz w:val="28"/>
      <w:szCs w:val="28"/>
    </w:rPr>
  </w:style>
  <w:style w:type="paragraph" w:styleId="Header">
    <w:name w:val="header"/>
    <w:basedOn w:val="Normal"/>
    <w:link w:val="HeaderChar"/>
    <w:uiPriority w:val="99"/>
    <w:rsid w:val="004D6C3C"/>
    <w:pPr>
      <w:tabs>
        <w:tab w:val="center" w:pos="4153"/>
        <w:tab w:val="right" w:pos="8306"/>
      </w:tabs>
      <w:spacing w:line="240" w:lineRule="auto"/>
    </w:pPr>
  </w:style>
  <w:style w:type="character" w:customStyle="1" w:styleId="HeaderChar">
    <w:name w:val="Header Char"/>
    <w:basedOn w:val="DefaultParagraphFont"/>
    <w:link w:val="Header"/>
    <w:uiPriority w:val="99"/>
    <w:locked/>
    <w:rsid w:val="004D6C3C"/>
    <w:rPr>
      <w:rFonts w:ascii="Calibri" w:hAnsi="Calibri" w:cs="Times New Roman"/>
    </w:rPr>
  </w:style>
  <w:style w:type="paragraph" w:styleId="Footer">
    <w:name w:val="footer"/>
    <w:basedOn w:val="Normal"/>
    <w:link w:val="FooterChar"/>
    <w:uiPriority w:val="99"/>
    <w:rsid w:val="004D6C3C"/>
    <w:pPr>
      <w:tabs>
        <w:tab w:val="center" w:pos="4153"/>
        <w:tab w:val="right" w:pos="8306"/>
      </w:tabs>
      <w:spacing w:line="240" w:lineRule="auto"/>
    </w:pPr>
  </w:style>
  <w:style w:type="character" w:customStyle="1" w:styleId="FooterChar">
    <w:name w:val="Footer Char"/>
    <w:basedOn w:val="DefaultParagraphFont"/>
    <w:link w:val="Footer"/>
    <w:uiPriority w:val="99"/>
    <w:locked/>
    <w:rsid w:val="004D6C3C"/>
    <w:rPr>
      <w:rFonts w:ascii="Calibri" w:hAnsi="Calibri" w:cs="Times New Roman"/>
    </w:rPr>
  </w:style>
  <w:style w:type="paragraph" w:styleId="BalloonText">
    <w:name w:val="Balloon Text"/>
    <w:basedOn w:val="Normal"/>
    <w:link w:val="BalloonTextChar"/>
    <w:uiPriority w:val="99"/>
    <w:semiHidden/>
    <w:rsid w:val="004D6C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3C"/>
    <w:rPr>
      <w:rFonts w:ascii="Tahoma" w:hAnsi="Tahoma" w:cs="Tahoma"/>
      <w:sz w:val="16"/>
      <w:szCs w:val="16"/>
    </w:rPr>
  </w:style>
  <w:style w:type="character" w:styleId="PageNumber">
    <w:name w:val="page number"/>
    <w:basedOn w:val="DefaultParagraphFont"/>
    <w:uiPriority w:val="99"/>
    <w:rsid w:val="009846AE"/>
    <w:rPr>
      <w:rFonts w:cs="Times New Roman"/>
    </w:rPr>
  </w:style>
  <w:style w:type="paragraph" w:styleId="ListParagraph">
    <w:name w:val="List Paragraph"/>
    <w:basedOn w:val="Normal"/>
    <w:uiPriority w:val="99"/>
    <w:qFormat/>
    <w:rsid w:val="00ED6873"/>
    <w:pPr>
      <w:spacing w:line="240" w:lineRule="auto"/>
      <w:ind w:left="720"/>
      <w:contextualSpacing/>
      <w:jc w:val="left"/>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ona.pukite@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5302</Words>
  <Characters>3023</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"Grzoījumi "Autopārvadājumu likumā""sākotnējās ietekmes novērtējuma ziņojums (anotācija)</dc:title>
  <dc:subject>anotācija</dc:subject>
  <dc:creator>Satiksmes ministrija Sauszemes transporta departamenta vecāka'referente I.Puķīte</dc:creator>
  <cp:keywords/>
  <dc:description>ilona.pukite@sam.gov.lv67028323</dc:description>
  <cp:lastModifiedBy>Ilona Pukite</cp:lastModifiedBy>
  <cp:revision>7</cp:revision>
  <cp:lastPrinted>2011-11-21T10:23:00Z</cp:lastPrinted>
  <dcterms:created xsi:type="dcterms:W3CDTF">2011-11-21T08:33:00Z</dcterms:created>
  <dcterms:modified xsi:type="dcterms:W3CDTF">2011-11-22T09:56:00Z</dcterms:modified>
</cp:coreProperties>
</file>