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8A" w:rsidRPr="004F1142" w:rsidRDefault="005D6B8A" w:rsidP="00AF5EAE">
      <w:pPr>
        <w:jc w:val="center"/>
        <w:rPr>
          <w:b/>
          <w:sz w:val="28"/>
          <w:szCs w:val="28"/>
        </w:rPr>
      </w:pPr>
      <w:bookmarkStart w:id="0" w:name="OLE_LINK3"/>
      <w:bookmarkStart w:id="1" w:name="OLE_LINK4"/>
      <w:bookmarkStart w:id="2" w:name="OLE_LINK1"/>
      <w:r w:rsidRPr="004F1142">
        <w:rPr>
          <w:b/>
          <w:sz w:val="28"/>
          <w:szCs w:val="28"/>
        </w:rPr>
        <w:t>Ministru kabineta rīkojuma projekta</w:t>
      </w:r>
    </w:p>
    <w:p w:rsidR="00585B7B" w:rsidRPr="004F1142" w:rsidRDefault="005D6B8A" w:rsidP="00AF5EAE">
      <w:pPr>
        <w:jc w:val="center"/>
        <w:rPr>
          <w:b/>
          <w:sz w:val="28"/>
          <w:szCs w:val="28"/>
        </w:rPr>
      </w:pPr>
      <w:r w:rsidRPr="004F1142">
        <w:rPr>
          <w:b/>
          <w:sz w:val="28"/>
          <w:szCs w:val="28"/>
        </w:rPr>
        <w:t xml:space="preserve">„Par finanšu līdzekļu piešķiršanu no valsts budžeta programmas „Līdzekļi neparedzētiem gadījumiem”” </w:t>
      </w:r>
      <w:r w:rsidR="00585B7B" w:rsidRPr="004F1142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="00585B7B" w:rsidRPr="004F1142">
          <w:rPr>
            <w:b/>
            <w:sz w:val="28"/>
            <w:szCs w:val="28"/>
          </w:rPr>
          <w:t>ziņojums</w:t>
        </w:r>
      </w:smartTag>
      <w:r w:rsidR="00585B7B" w:rsidRPr="004F1142">
        <w:rPr>
          <w:b/>
          <w:sz w:val="28"/>
          <w:szCs w:val="28"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98"/>
        <w:gridCol w:w="2409"/>
        <w:gridCol w:w="5670"/>
      </w:tblGrid>
      <w:tr w:rsidR="00585B7B" w:rsidRPr="004F1142" w:rsidTr="00E938B9">
        <w:trPr>
          <w:trHeight w:val="416"/>
        </w:trPr>
        <w:tc>
          <w:tcPr>
            <w:tcW w:w="9077" w:type="dxa"/>
            <w:gridSpan w:val="3"/>
            <w:vAlign w:val="center"/>
          </w:tcPr>
          <w:bookmarkEnd w:id="0"/>
          <w:bookmarkEnd w:id="1"/>
          <w:bookmarkEnd w:id="2"/>
          <w:p w:rsidR="00585B7B" w:rsidRPr="004F1142" w:rsidRDefault="00585B7B" w:rsidP="00194A0F">
            <w:pPr>
              <w:pStyle w:val="naisnod"/>
              <w:spacing w:before="0" w:after="0"/>
              <w:rPr>
                <w:b w:val="0"/>
              </w:rPr>
            </w:pPr>
            <w:r w:rsidRPr="004F1142">
              <w:rPr>
                <w:b w:val="0"/>
              </w:rPr>
              <w:t>I. Tiesību akta projekta izstrādes nepieciešamība</w:t>
            </w:r>
          </w:p>
        </w:tc>
      </w:tr>
      <w:tr w:rsidR="00585B7B" w:rsidRPr="00B56449" w:rsidTr="00E938B9">
        <w:trPr>
          <w:trHeight w:val="630"/>
        </w:trPr>
        <w:tc>
          <w:tcPr>
            <w:tcW w:w="998" w:type="dxa"/>
          </w:tcPr>
          <w:p w:rsidR="00585B7B" w:rsidRPr="004F1142" w:rsidRDefault="00585B7B" w:rsidP="00194A0F">
            <w:pPr>
              <w:pStyle w:val="naiskr"/>
              <w:spacing w:before="0" w:after="0"/>
            </w:pPr>
            <w:r w:rsidRPr="004F1142">
              <w:t>1.</w:t>
            </w:r>
          </w:p>
        </w:tc>
        <w:tc>
          <w:tcPr>
            <w:tcW w:w="2409" w:type="dxa"/>
          </w:tcPr>
          <w:p w:rsidR="00585B7B" w:rsidRPr="004F1142" w:rsidRDefault="00585B7B" w:rsidP="00194A0F">
            <w:pPr>
              <w:pStyle w:val="naiskr"/>
              <w:spacing w:before="0" w:after="0"/>
              <w:ind w:hanging="10"/>
            </w:pPr>
            <w:r w:rsidRPr="004F1142">
              <w:t>Pamatojums</w:t>
            </w:r>
          </w:p>
        </w:tc>
        <w:tc>
          <w:tcPr>
            <w:tcW w:w="5670" w:type="dxa"/>
          </w:tcPr>
          <w:p w:rsidR="00195B8B" w:rsidRPr="00B56449" w:rsidRDefault="001E0DBE" w:rsidP="003F52B5">
            <w:pPr>
              <w:jc w:val="both"/>
            </w:pPr>
            <w:r w:rsidRPr="00B56449">
              <w:t xml:space="preserve">Projekts izstrādāts, </w:t>
            </w:r>
            <w:r w:rsidR="000643E9" w:rsidRPr="00B56449">
              <w:t xml:space="preserve">lai izpildītu </w:t>
            </w:r>
            <w:r w:rsidR="00195B8B" w:rsidRPr="00B56449">
              <w:rPr>
                <w:color w:val="000000"/>
              </w:rPr>
              <w:t xml:space="preserve">Ministru kabineta 2004.gada 27.aprīļa noteikumu Nr.433 „Iesniegumu iesniegšanas un izskatīšanas, darba garantiju un sociālo garantiju atjaunošanas un zaudējumu atlīdzības izmaksas kārtība” 5.punktā Tieslietu ministrijai uzlikto pienākumu. </w:t>
            </w:r>
          </w:p>
          <w:p w:rsidR="003F52B5" w:rsidRPr="005806A8" w:rsidRDefault="005806A8" w:rsidP="003F52B5">
            <w:pPr>
              <w:jc w:val="both"/>
            </w:pPr>
            <w:r>
              <w:t xml:space="preserve">Atbilstoši </w:t>
            </w:r>
            <w:r w:rsidR="00B56449" w:rsidRPr="00B56449">
              <w:t>likuma „Par izziņas iestādes, prokuratūras vai tiesas nepamatotas vai nelikumīgas rīcības</w:t>
            </w:r>
            <w:r w:rsidR="00D618ED">
              <w:t xml:space="preserve"> rezultātā</w:t>
            </w:r>
            <w:r w:rsidR="00B56449" w:rsidRPr="00B56449">
              <w:t xml:space="preserve"> nodarīto zaudējumu atlīdzināšanu” </w:t>
            </w:r>
            <w:r w:rsidR="00B56449">
              <w:t>7.panta ceturt</w:t>
            </w:r>
            <w:r>
              <w:t>ajā</w:t>
            </w:r>
            <w:r w:rsidR="00B56449">
              <w:t xml:space="preserve"> daļ</w:t>
            </w:r>
            <w:r>
              <w:t>ā noteiktajam</w:t>
            </w:r>
            <w:r w:rsidR="00B56449">
              <w:t xml:space="preserve"> z</w:t>
            </w:r>
            <w:r w:rsidR="00B56449" w:rsidRPr="00B56449">
              <w:t>audējumu atlīdzības izmaksas kārtību, kā arī sociālo un darba garantiju atjaunošanas kārtību nosaka Ministru kabinets</w:t>
            </w:r>
            <w:r w:rsidR="00B56449">
              <w:t xml:space="preserve">. </w:t>
            </w:r>
            <w:r w:rsidR="003F52B5" w:rsidRPr="00B56449">
              <w:rPr>
                <w:color w:val="000000"/>
              </w:rPr>
              <w:t xml:space="preserve">Saskaņā ar Ministru kabineta 2004.gada 27.aprīļa noteikumu Nr.433 „Iesniegumu iesniegšanas un izskatīšanas, darba garantiju un sociālo garantiju atjaunošanas un zaudējumu atlīdzības izmaksas kārtība” 5.punktu zaudējumu atlīdzību izmaksā Tieslietu ministrija </w:t>
            </w:r>
            <w:r>
              <w:rPr>
                <w:color w:val="000000"/>
              </w:rPr>
              <w:t xml:space="preserve">no Tieslietu </w:t>
            </w:r>
            <w:r w:rsidRPr="005806A8">
              <w:t>ministrijai šiem mērķiem paredzētajiem valsts pamatbudžeta līdzekļiem.</w:t>
            </w:r>
          </w:p>
          <w:p w:rsidR="008F3268" w:rsidRDefault="00195B8B" w:rsidP="008F3268">
            <w:pPr>
              <w:jc w:val="both"/>
              <w:rPr>
                <w:color w:val="000000"/>
              </w:rPr>
            </w:pPr>
            <w:r w:rsidRPr="005806A8">
              <w:rPr>
                <w:color w:val="000000"/>
              </w:rPr>
              <w:t>Valsts budžeta programmas 18.00.00 „Zaudējumu atlīdzība</w:t>
            </w:r>
            <w:r w:rsidRPr="00B56449">
              <w:rPr>
                <w:color w:val="000000"/>
              </w:rPr>
              <w:t xml:space="preserve"> nepamatoti aizturētajām, arestētajām un notiesātajām personām” </w:t>
            </w:r>
            <w:r w:rsidR="003F52B5" w:rsidRPr="00B56449">
              <w:rPr>
                <w:color w:val="000000"/>
              </w:rPr>
              <w:t>nodrošināšanai likuma „Par valsts budžetu 20</w:t>
            </w:r>
            <w:r w:rsidR="00CE1539" w:rsidRPr="00B56449">
              <w:rPr>
                <w:color w:val="000000"/>
              </w:rPr>
              <w:t>1</w:t>
            </w:r>
            <w:r w:rsidR="00FF66ED">
              <w:rPr>
                <w:color w:val="000000"/>
              </w:rPr>
              <w:t>2</w:t>
            </w:r>
            <w:r w:rsidR="003F52B5" w:rsidRPr="00B56449">
              <w:rPr>
                <w:color w:val="000000"/>
              </w:rPr>
              <w:t xml:space="preserve">.gadam” ietvaros </w:t>
            </w:r>
            <w:r w:rsidR="006806DE" w:rsidRPr="00B56449">
              <w:rPr>
                <w:color w:val="000000"/>
              </w:rPr>
              <w:t xml:space="preserve">Tieslietu ministrijai </w:t>
            </w:r>
            <w:r w:rsidR="003F52B5" w:rsidRPr="00B56449">
              <w:rPr>
                <w:color w:val="000000"/>
              </w:rPr>
              <w:t xml:space="preserve">tika piešķirta dotācija no vispārējiem ieņēmumiem </w:t>
            </w:r>
            <w:r w:rsidR="00CE1539" w:rsidRPr="00B56449">
              <w:rPr>
                <w:color w:val="000000"/>
              </w:rPr>
              <w:t>45 556</w:t>
            </w:r>
            <w:r w:rsidR="003F52B5" w:rsidRPr="00B56449">
              <w:rPr>
                <w:color w:val="000000"/>
              </w:rPr>
              <w:t xml:space="preserve"> latu apmērā. </w:t>
            </w:r>
            <w:r w:rsidR="008F3268">
              <w:rPr>
                <w:color w:val="000000"/>
              </w:rPr>
              <w:t>Budžeta programmas finansējums uz 2012.gada 22.maiju ir izlietots 44490,70 latu</w:t>
            </w:r>
            <w:r w:rsidR="00FF66ED">
              <w:rPr>
                <w:color w:val="000000"/>
              </w:rPr>
              <w:t xml:space="preserve"> apmērā</w:t>
            </w:r>
            <w:r w:rsidR="008F3268">
              <w:rPr>
                <w:color w:val="000000"/>
              </w:rPr>
              <w:t xml:space="preserve">, jeb 98%, konta atlikums – 1065,30 lati. </w:t>
            </w:r>
          </w:p>
          <w:p w:rsidR="00DA3291" w:rsidRPr="00BA71DA" w:rsidRDefault="008F3268" w:rsidP="00363092">
            <w:pPr>
              <w:jc w:val="both"/>
              <w:rPr>
                <w:color w:val="000000"/>
              </w:rPr>
            </w:pPr>
            <w:r w:rsidRPr="008F3268">
              <w:rPr>
                <w:color w:val="000000"/>
              </w:rPr>
              <w:t xml:space="preserve">Pamatojoties uz Tieslietu ministrijas un Ģenerālprokuratūras lēmumiem un tiesu spriedumiem zaudējumu atlīdzināšanas lietās, kā arī saņemtajiem iesniegumiem/prasījumiem zaudējumu atlīdzības saņemšanai, Tieslietu ministrijai </w:t>
            </w:r>
            <w:r>
              <w:rPr>
                <w:color w:val="000000"/>
              </w:rPr>
              <w:t xml:space="preserve">2012.gadā </w:t>
            </w:r>
            <w:r w:rsidRPr="008F3268">
              <w:rPr>
                <w:color w:val="000000"/>
              </w:rPr>
              <w:t xml:space="preserve">fiziskajām personām mantiskie un nemantiskie zaudējumi provizoriski būtu jāatlīdzina </w:t>
            </w:r>
            <w:r>
              <w:rPr>
                <w:color w:val="000000"/>
              </w:rPr>
              <w:t xml:space="preserve">vismaz </w:t>
            </w:r>
            <w:r w:rsidRPr="008F3268">
              <w:rPr>
                <w:color w:val="000000"/>
              </w:rPr>
              <w:t xml:space="preserve">44 </w:t>
            </w:r>
            <w:r w:rsidR="00363092" w:rsidRPr="008F3268">
              <w:rPr>
                <w:color w:val="000000"/>
              </w:rPr>
              <w:t>52</w:t>
            </w:r>
            <w:r w:rsidR="00363092">
              <w:rPr>
                <w:color w:val="000000"/>
              </w:rPr>
              <w:t>3</w:t>
            </w:r>
            <w:r w:rsidR="00363092" w:rsidRPr="008F3268">
              <w:rPr>
                <w:color w:val="000000"/>
              </w:rPr>
              <w:t xml:space="preserve"> </w:t>
            </w:r>
            <w:r w:rsidRPr="008F3268">
              <w:rPr>
                <w:color w:val="000000"/>
              </w:rPr>
              <w:t>latu apmērā.</w:t>
            </w:r>
          </w:p>
        </w:tc>
      </w:tr>
      <w:tr w:rsidR="00585B7B" w:rsidRPr="004F1142" w:rsidTr="00E938B9">
        <w:trPr>
          <w:trHeight w:val="472"/>
        </w:trPr>
        <w:tc>
          <w:tcPr>
            <w:tcW w:w="998" w:type="dxa"/>
          </w:tcPr>
          <w:p w:rsidR="00585B7B" w:rsidRPr="004F1142" w:rsidRDefault="00585B7B" w:rsidP="00194A0F">
            <w:pPr>
              <w:pStyle w:val="naiskr"/>
              <w:spacing w:before="0" w:after="0"/>
            </w:pPr>
            <w:r w:rsidRPr="004F1142">
              <w:t>2.</w:t>
            </w:r>
          </w:p>
        </w:tc>
        <w:tc>
          <w:tcPr>
            <w:tcW w:w="2409" w:type="dxa"/>
          </w:tcPr>
          <w:p w:rsidR="00585B7B" w:rsidRPr="004F1142" w:rsidRDefault="00585B7B" w:rsidP="00194A0F">
            <w:pPr>
              <w:pStyle w:val="naiskr"/>
              <w:tabs>
                <w:tab w:val="left" w:pos="170"/>
              </w:tabs>
              <w:spacing w:before="0" w:after="0"/>
            </w:pPr>
            <w:r w:rsidRPr="004F1142">
              <w:t>Pašreizējā situācija un problēmas</w:t>
            </w:r>
          </w:p>
        </w:tc>
        <w:tc>
          <w:tcPr>
            <w:tcW w:w="5670" w:type="dxa"/>
          </w:tcPr>
          <w:p w:rsidR="00C55762" w:rsidRPr="004F1142" w:rsidRDefault="00F42C04" w:rsidP="009A28E1">
            <w:pPr>
              <w:jc w:val="both"/>
              <w:rPr>
                <w:color w:val="000000"/>
              </w:rPr>
            </w:pPr>
            <w:r w:rsidRPr="004F1142">
              <w:t>Tieslietu ministrija</w:t>
            </w:r>
            <w:r w:rsidR="001E0DBE" w:rsidRPr="004F1142">
              <w:t xml:space="preserve">i nav nepieciešamo finanšu resursu </w:t>
            </w:r>
            <w:r w:rsidR="00CE1539" w:rsidRPr="003609C7">
              <w:rPr>
                <w:color w:val="000000"/>
              </w:rPr>
              <w:t>Ministru kabineta 2004.gada 27.aprīļa noteikumu Nr.433 „Iesniegumu iesniegšanas un izskatīšanas, darba garantiju un sociālo garantiju atjaunošanas un zaudējumu atlīdzības izmaksas kārtība” 5.punkt</w:t>
            </w:r>
            <w:r w:rsidR="00CE1539">
              <w:rPr>
                <w:color w:val="000000"/>
              </w:rPr>
              <w:t>ā noteikt</w:t>
            </w:r>
            <w:r w:rsidR="006806DE">
              <w:rPr>
                <w:color w:val="000000"/>
              </w:rPr>
              <w:t>ā uzdevuma</w:t>
            </w:r>
            <w:r w:rsidR="008E5C3F" w:rsidRPr="004F1142">
              <w:t xml:space="preserve"> </w:t>
            </w:r>
            <w:r w:rsidR="001E0DBE" w:rsidRPr="004F1142">
              <w:t>izpildei.</w:t>
            </w:r>
          </w:p>
        </w:tc>
      </w:tr>
      <w:tr w:rsidR="00585B7B" w:rsidRPr="004F1142" w:rsidTr="00E938B9">
        <w:trPr>
          <w:trHeight w:val="1071"/>
        </w:trPr>
        <w:tc>
          <w:tcPr>
            <w:tcW w:w="998" w:type="dxa"/>
          </w:tcPr>
          <w:p w:rsidR="00585B7B" w:rsidRPr="004F1142" w:rsidRDefault="00585B7B" w:rsidP="00194A0F">
            <w:pPr>
              <w:pStyle w:val="naiskr"/>
              <w:spacing w:before="0" w:after="0"/>
            </w:pPr>
            <w:r w:rsidRPr="004F1142">
              <w:t>3.</w:t>
            </w:r>
          </w:p>
        </w:tc>
        <w:tc>
          <w:tcPr>
            <w:tcW w:w="2409" w:type="dxa"/>
          </w:tcPr>
          <w:p w:rsidR="00585B7B" w:rsidRDefault="00585B7B" w:rsidP="00194A0F">
            <w:pPr>
              <w:pStyle w:val="naiskr"/>
              <w:spacing w:before="0" w:after="0"/>
            </w:pPr>
            <w:r w:rsidRPr="004F1142">
              <w:t>Saistītie politikas ietekmes novērtējumi un pētījumi</w:t>
            </w:r>
          </w:p>
          <w:p w:rsidR="00656562" w:rsidRPr="004F1142" w:rsidRDefault="00656562" w:rsidP="00194A0F">
            <w:pPr>
              <w:pStyle w:val="naiskr"/>
              <w:spacing w:before="0" w:after="0"/>
            </w:pPr>
          </w:p>
        </w:tc>
        <w:tc>
          <w:tcPr>
            <w:tcW w:w="5670" w:type="dxa"/>
          </w:tcPr>
          <w:p w:rsidR="00585B7B" w:rsidRPr="004F1142" w:rsidRDefault="00585B7B" w:rsidP="00131A15">
            <w:pPr>
              <w:pStyle w:val="FootnoteText"/>
              <w:ind w:firstLine="82"/>
              <w:rPr>
                <w:sz w:val="24"/>
                <w:szCs w:val="24"/>
              </w:rPr>
            </w:pPr>
            <w:r w:rsidRPr="004F1142">
              <w:rPr>
                <w:sz w:val="24"/>
                <w:szCs w:val="24"/>
              </w:rPr>
              <w:t>Nav attiecināms</w:t>
            </w:r>
            <w:r w:rsidR="004C4300">
              <w:rPr>
                <w:sz w:val="24"/>
                <w:szCs w:val="24"/>
              </w:rPr>
              <w:t>.</w:t>
            </w:r>
          </w:p>
        </w:tc>
      </w:tr>
      <w:tr w:rsidR="00585B7B" w:rsidRPr="004F1142" w:rsidTr="00E938B9">
        <w:trPr>
          <w:trHeight w:val="1915"/>
        </w:trPr>
        <w:tc>
          <w:tcPr>
            <w:tcW w:w="998" w:type="dxa"/>
          </w:tcPr>
          <w:p w:rsidR="00585B7B" w:rsidRPr="004F1142" w:rsidRDefault="00585B7B" w:rsidP="00194A0F">
            <w:pPr>
              <w:pStyle w:val="naiskr"/>
              <w:spacing w:before="0" w:after="0"/>
            </w:pPr>
            <w:r w:rsidRPr="004F1142">
              <w:lastRenderedPageBreak/>
              <w:t>4.</w:t>
            </w:r>
          </w:p>
        </w:tc>
        <w:tc>
          <w:tcPr>
            <w:tcW w:w="2409" w:type="dxa"/>
          </w:tcPr>
          <w:p w:rsidR="00585B7B" w:rsidRPr="004F1142" w:rsidRDefault="00585B7B" w:rsidP="00194A0F">
            <w:pPr>
              <w:pStyle w:val="naiskr"/>
              <w:spacing w:before="0" w:after="0"/>
            </w:pPr>
            <w:r w:rsidRPr="004F1142">
              <w:t>Tiesiskā regulējuma mērķis un būtība</w:t>
            </w:r>
          </w:p>
        </w:tc>
        <w:tc>
          <w:tcPr>
            <w:tcW w:w="5670" w:type="dxa"/>
          </w:tcPr>
          <w:p w:rsidR="00186804" w:rsidRPr="00DA3291" w:rsidRDefault="0030111D" w:rsidP="00186804">
            <w:pPr>
              <w:jc w:val="both"/>
              <w:rPr>
                <w:color w:val="000000"/>
              </w:rPr>
            </w:pPr>
            <w:r w:rsidRPr="004F1142">
              <w:t xml:space="preserve">Projekts </w:t>
            </w:r>
            <w:r w:rsidR="000643E9" w:rsidRPr="003609C7">
              <w:t xml:space="preserve">„Par finanšu līdzekļu piešķiršanu no valsts budžeta apakšprogrammas "Līdzekļi neparedzētiem gadījumiem"'' paredz uzdot Finanšu ministrijai </w:t>
            </w:r>
            <w:r w:rsidR="000643E9" w:rsidRPr="003609C7">
              <w:rPr>
                <w:color w:val="000000"/>
              </w:rPr>
              <w:t xml:space="preserve">piešķirt Tieslietu ministrijai </w:t>
            </w:r>
            <w:r w:rsidR="000643E9" w:rsidRPr="003609C7">
              <w:t xml:space="preserve">no valsts budžeta apakšprogrammas „Līdzekļi neparedzētiem gadījumiem” </w:t>
            </w:r>
            <w:r w:rsidR="006463EE">
              <w:rPr>
                <w:bCs/>
              </w:rPr>
              <w:t>44 </w:t>
            </w:r>
            <w:r w:rsidR="00363092">
              <w:rPr>
                <w:bCs/>
              </w:rPr>
              <w:t>523</w:t>
            </w:r>
            <w:r w:rsidR="00363092">
              <w:rPr>
                <w:b/>
                <w:bCs/>
              </w:rPr>
              <w:t xml:space="preserve"> </w:t>
            </w:r>
            <w:r w:rsidR="000643E9" w:rsidRPr="003609C7">
              <w:rPr>
                <w:color w:val="000000"/>
              </w:rPr>
              <w:t>latus programmas 18.00.00 „Zaudējumu atlīdzība nepamatoti aizturētajām, arestētajām un notiesātajām personām” izpildei</w:t>
            </w:r>
            <w:r w:rsidR="006463EE">
              <w:rPr>
                <w:color w:val="000000"/>
              </w:rPr>
              <w:t>.</w:t>
            </w:r>
          </w:p>
          <w:p w:rsidR="00043F62" w:rsidRPr="004F1142" w:rsidRDefault="0030111D" w:rsidP="00363092">
            <w:pPr>
              <w:jc w:val="both"/>
            </w:pPr>
            <w:r w:rsidRPr="004F1142">
              <w:t xml:space="preserve">Lai izpildītu </w:t>
            </w:r>
            <w:r w:rsidR="006806DE" w:rsidRPr="003609C7">
              <w:rPr>
                <w:color w:val="000000"/>
              </w:rPr>
              <w:t>Ministru kabineta 2004.gada 27.aprīļa noteikumu Nr.433 „Iesniegumu iesniegšanas un izskatīšanas, darba garantiju un sociālo garantiju atjaunošanas un zaudējumu atlīdzības izmaksas kārtība” 5.punkt</w:t>
            </w:r>
            <w:r w:rsidR="006806DE">
              <w:rPr>
                <w:color w:val="000000"/>
              </w:rPr>
              <w:t>ā</w:t>
            </w:r>
            <w:r w:rsidR="006806DE" w:rsidRPr="004F1142">
              <w:t xml:space="preserve"> </w:t>
            </w:r>
            <w:r w:rsidRPr="004F1142">
              <w:t xml:space="preserve">noteikto, nepieciešams </w:t>
            </w:r>
            <w:r w:rsidRPr="004F1142">
              <w:rPr>
                <w:color w:val="000000"/>
              </w:rPr>
              <w:t xml:space="preserve">no valsts budžeta programmas </w:t>
            </w:r>
            <w:r w:rsidR="009A28E1">
              <w:rPr>
                <w:color w:val="000000"/>
              </w:rPr>
              <w:t>02</w:t>
            </w:r>
            <w:r w:rsidRPr="004F1142">
              <w:rPr>
                <w:color w:val="000000"/>
              </w:rPr>
              <w:t xml:space="preserve">.00.00 „Līdzekļi neparedzētiem gadījumiem” </w:t>
            </w:r>
            <w:r w:rsidR="009A28E1">
              <w:t>piešķir</w:t>
            </w:r>
            <w:r w:rsidR="00BA71DA">
              <w:t>t</w:t>
            </w:r>
            <w:r w:rsidR="0027108E">
              <w:t xml:space="preserve"> papildu</w:t>
            </w:r>
            <w:r w:rsidRPr="004F1142">
              <w:t xml:space="preserve"> finanšu resursus Tieslietu ministrijai </w:t>
            </w:r>
            <w:r w:rsidR="00363092">
              <w:t xml:space="preserve">44523 </w:t>
            </w:r>
            <w:r w:rsidRPr="004F1142">
              <w:t>latu apmērā</w:t>
            </w:r>
            <w:r w:rsidR="006463EE">
              <w:t xml:space="preserve">. </w:t>
            </w:r>
            <w:r w:rsidRPr="004F1142">
              <w:t xml:space="preserve">Minētie finanšu resursi tiks </w:t>
            </w:r>
            <w:r w:rsidR="006806DE">
              <w:t>izlietoti zaudējumu atlīdzības izmaksā</w:t>
            </w:r>
            <w:r w:rsidR="005806A8">
              <w:t>m</w:t>
            </w:r>
            <w:r w:rsidR="006806DE">
              <w:t xml:space="preserve"> nepamatoti aizturētajām, arestētajām un notiesātajām personām.</w:t>
            </w:r>
          </w:p>
        </w:tc>
      </w:tr>
      <w:tr w:rsidR="00585B7B" w:rsidRPr="004F1142" w:rsidTr="00E938B9">
        <w:trPr>
          <w:trHeight w:val="476"/>
        </w:trPr>
        <w:tc>
          <w:tcPr>
            <w:tcW w:w="998" w:type="dxa"/>
          </w:tcPr>
          <w:p w:rsidR="00585B7B" w:rsidRPr="004F1142" w:rsidRDefault="00585B7B" w:rsidP="00194A0F">
            <w:pPr>
              <w:pStyle w:val="naiskr"/>
              <w:spacing w:before="0" w:after="0"/>
            </w:pPr>
            <w:r w:rsidRPr="004F1142">
              <w:t>5.</w:t>
            </w:r>
          </w:p>
        </w:tc>
        <w:tc>
          <w:tcPr>
            <w:tcW w:w="2409" w:type="dxa"/>
          </w:tcPr>
          <w:p w:rsidR="00585B7B" w:rsidRPr="004F1142" w:rsidRDefault="00585B7B" w:rsidP="00194A0F">
            <w:pPr>
              <w:pStyle w:val="naiskr"/>
              <w:spacing w:before="0" w:after="0"/>
            </w:pPr>
            <w:r w:rsidRPr="004F1142">
              <w:t>Projekta izstrādē iesaistītās institūcijas</w:t>
            </w:r>
          </w:p>
        </w:tc>
        <w:tc>
          <w:tcPr>
            <w:tcW w:w="5670" w:type="dxa"/>
          </w:tcPr>
          <w:p w:rsidR="00585B7B" w:rsidRPr="004F1142" w:rsidRDefault="001E0DBE" w:rsidP="006806DE">
            <w:pPr>
              <w:spacing w:before="75" w:after="75"/>
              <w:ind w:left="82" w:right="141"/>
              <w:jc w:val="both"/>
            </w:pPr>
            <w:r w:rsidRPr="004F1142">
              <w:t>Tieslietu ministrija</w:t>
            </w:r>
            <w:r w:rsidR="004C4300">
              <w:t>.</w:t>
            </w:r>
          </w:p>
        </w:tc>
      </w:tr>
      <w:tr w:rsidR="00585B7B" w:rsidRPr="004F1142" w:rsidTr="00E938B9">
        <w:trPr>
          <w:trHeight w:val="416"/>
        </w:trPr>
        <w:tc>
          <w:tcPr>
            <w:tcW w:w="998" w:type="dxa"/>
          </w:tcPr>
          <w:p w:rsidR="00585B7B" w:rsidRPr="004F1142" w:rsidRDefault="00585B7B" w:rsidP="00194A0F">
            <w:pPr>
              <w:pStyle w:val="naiskr"/>
              <w:spacing w:before="0" w:after="0"/>
            </w:pPr>
            <w:r w:rsidRPr="004F1142">
              <w:t>6.</w:t>
            </w:r>
          </w:p>
        </w:tc>
        <w:tc>
          <w:tcPr>
            <w:tcW w:w="2409" w:type="dxa"/>
          </w:tcPr>
          <w:p w:rsidR="00585B7B" w:rsidRPr="004F1142" w:rsidRDefault="00585B7B" w:rsidP="00194A0F">
            <w:pPr>
              <w:pStyle w:val="naiskr"/>
              <w:spacing w:before="0" w:after="0"/>
              <w:rPr>
                <w:i/>
                <w:highlight w:val="yellow"/>
              </w:rPr>
            </w:pPr>
            <w:r w:rsidRPr="004F1142">
              <w:t>Iemesli, kādēļ netika nodrošināta sabiedrības līdzdalība</w:t>
            </w:r>
          </w:p>
        </w:tc>
        <w:tc>
          <w:tcPr>
            <w:tcW w:w="5670" w:type="dxa"/>
          </w:tcPr>
          <w:p w:rsidR="00585B7B" w:rsidRPr="004F1142" w:rsidRDefault="00F535A5" w:rsidP="00131A15">
            <w:pPr>
              <w:pStyle w:val="FootnoteText"/>
              <w:ind w:firstLine="82"/>
              <w:jc w:val="both"/>
              <w:rPr>
                <w:sz w:val="24"/>
                <w:szCs w:val="24"/>
              </w:rPr>
            </w:pPr>
            <w:r w:rsidRPr="004F1142">
              <w:rPr>
                <w:sz w:val="24"/>
                <w:szCs w:val="24"/>
              </w:rPr>
              <w:t>Nav attiecināms</w:t>
            </w:r>
            <w:r w:rsidR="004C4300">
              <w:rPr>
                <w:sz w:val="24"/>
                <w:szCs w:val="24"/>
              </w:rPr>
              <w:t>.</w:t>
            </w:r>
          </w:p>
        </w:tc>
      </w:tr>
      <w:tr w:rsidR="00585B7B" w:rsidRPr="004F1142" w:rsidTr="00E938B9">
        <w:tc>
          <w:tcPr>
            <w:tcW w:w="998" w:type="dxa"/>
          </w:tcPr>
          <w:p w:rsidR="00585B7B" w:rsidRPr="004F1142" w:rsidRDefault="00585B7B" w:rsidP="00194A0F">
            <w:pPr>
              <w:pStyle w:val="naiskr"/>
              <w:spacing w:before="0" w:after="0"/>
            </w:pPr>
            <w:r w:rsidRPr="004F1142">
              <w:t>7.</w:t>
            </w:r>
          </w:p>
        </w:tc>
        <w:tc>
          <w:tcPr>
            <w:tcW w:w="2409" w:type="dxa"/>
          </w:tcPr>
          <w:p w:rsidR="00585B7B" w:rsidRPr="004F1142" w:rsidRDefault="00585B7B" w:rsidP="00194A0F">
            <w:pPr>
              <w:pStyle w:val="naiskr"/>
              <w:spacing w:before="0" w:after="0"/>
            </w:pPr>
            <w:r w:rsidRPr="004F1142">
              <w:t>Cita informācija</w:t>
            </w:r>
          </w:p>
        </w:tc>
        <w:tc>
          <w:tcPr>
            <w:tcW w:w="5670" w:type="dxa"/>
          </w:tcPr>
          <w:p w:rsidR="001E0DBE" w:rsidRPr="004F1142" w:rsidRDefault="001E0DBE" w:rsidP="009547CC">
            <w:pPr>
              <w:jc w:val="both"/>
            </w:pPr>
          </w:p>
        </w:tc>
      </w:tr>
    </w:tbl>
    <w:p w:rsidR="00E15795" w:rsidRDefault="00E15795" w:rsidP="00E15795">
      <w:pPr>
        <w:rPr>
          <w:rFonts w:eastAsia="Times New Roman"/>
        </w:rPr>
      </w:pPr>
    </w:p>
    <w:tbl>
      <w:tblPr>
        <w:tblW w:w="9139" w:type="dxa"/>
        <w:jc w:val="center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7"/>
        <w:gridCol w:w="1394"/>
        <w:gridCol w:w="1487"/>
        <w:gridCol w:w="1487"/>
        <w:gridCol w:w="1487"/>
        <w:gridCol w:w="1407"/>
      </w:tblGrid>
      <w:tr w:rsidR="009A28E1" w:rsidRPr="0022444A" w:rsidTr="00E938B9">
        <w:trPr>
          <w:trHeight w:val="255"/>
          <w:jc w:val="center"/>
        </w:trPr>
        <w:tc>
          <w:tcPr>
            <w:tcW w:w="9139" w:type="dxa"/>
            <w:gridSpan w:val="6"/>
          </w:tcPr>
          <w:p w:rsidR="009A28E1" w:rsidRPr="0022444A" w:rsidRDefault="009A28E1" w:rsidP="00DA3291">
            <w:pPr>
              <w:pStyle w:val="naisnod"/>
              <w:spacing w:before="0" w:after="0"/>
              <w:ind w:left="162" w:hanging="162"/>
              <w:rPr>
                <w:i/>
              </w:rPr>
            </w:pPr>
            <w:r w:rsidRPr="0022444A">
              <w:br w:type="page"/>
              <w:t>III. Tiesību akta projekta ietekme uz valsts budžetu un pašvaldību budžetiem</w:t>
            </w:r>
          </w:p>
        </w:tc>
      </w:tr>
      <w:tr w:rsidR="009A28E1" w:rsidRPr="0022444A" w:rsidTr="00AF5EAE">
        <w:trPr>
          <w:jc w:val="center"/>
        </w:trPr>
        <w:tc>
          <w:tcPr>
            <w:tcW w:w="1877" w:type="dxa"/>
            <w:vMerge w:val="restart"/>
            <w:vAlign w:val="center"/>
          </w:tcPr>
          <w:p w:rsidR="009A28E1" w:rsidRPr="0022444A" w:rsidRDefault="009A28E1" w:rsidP="00DA3291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22444A">
              <w:rPr>
                <w:b/>
              </w:rPr>
              <w:t>Rādītāji</w:t>
            </w:r>
          </w:p>
        </w:tc>
        <w:tc>
          <w:tcPr>
            <w:tcW w:w="2881" w:type="dxa"/>
            <w:gridSpan w:val="2"/>
            <w:vMerge w:val="restart"/>
            <w:vAlign w:val="center"/>
          </w:tcPr>
          <w:p w:rsidR="009A28E1" w:rsidRPr="0022444A" w:rsidRDefault="009A28E1" w:rsidP="006463EE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22444A">
              <w:rPr>
                <w:b/>
              </w:rPr>
              <w:t>201</w:t>
            </w:r>
            <w:r w:rsidR="006463EE">
              <w:rPr>
                <w:b/>
              </w:rPr>
              <w:t>2</w:t>
            </w:r>
            <w:r w:rsidRPr="0022444A">
              <w:rPr>
                <w:b/>
              </w:rPr>
              <w:t>.gads</w:t>
            </w:r>
          </w:p>
        </w:tc>
        <w:tc>
          <w:tcPr>
            <w:tcW w:w="4381" w:type="dxa"/>
            <w:gridSpan w:val="3"/>
            <w:vAlign w:val="center"/>
          </w:tcPr>
          <w:p w:rsidR="009A28E1" w:rsidRPr="0022444A" w:rsidRDefault="009A28E1" w:rsidP="00DA3291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22444A">
              <w:t>Turpmākie trīs gadi (tūkst</w:t>
            </w: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."/>
                <w:attr w:name="currency_text" w:val="latu"/>
              </w:smartTagPr>
              <w:r w:rsidRPr="0022444A">
                <w:t>. latu</w:t>
              </w:r>
            </w:smartTag>
            <w:r w:rsidRPr="0022444A">
              <w:t>)</w:t>
            </w:r>
          </w:p>
        </w:tc>
      </w:tr>
      <w:tr w:rsidR="009A28E1" w:rsidRPr="0022444A" w:rsidTr="00AF5EAE">
        <w:trPr>
          <w:jc w:val="center"/>
        </w:trPr>
        <w:tc>
          <w:tcPr>
            <w:tcW w:w="1877" w:type="dxa"/>
            <w:vMerge/>
            <w:vAlign w:val="center"/>
          </w:tcPr>
          <w:p w:rsidR="009A28E1" w:rsidRPr="0022444A" w:rsidRDefault="009A28E1" w:rsidP="00DA3291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881" w:type="dxa"/>
            <w:gridSpan w:val="2"/>
            <w:vMerge/>
            <w:vAlign w:val="center"/>
          </w:tcPr>
          <w:p w:rsidR="009A28E1" w:rsidRPr="0022444A" w:rsidRDefault="009A28E1" w:rsidP="00DA3291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487" w:type="dxa"/>
            <w:vAlign w:val="center"/>
          </w:tcPr>
          <w:p w:rsidR="009A28E1" w:rsidRPr="0022444A" w:rsidRDefault="009A28E1" w:rsidP="006463EE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22444A">
              <w:rPr>
                <w:b/>
                <w:bCs/>
              </w:rPr>
              <w:t>201</w:t>
            </w:r>
            <w:r w:rsidR="006463EE">
              <w:rPr>
                <w:b/>
                <w:bCs/>
              </w:rPr>
              <w:t>3</w:t>
            </w:r>
          </w:p>
        </w:tc>
        <w:tc>
          <w:tcPr>
            <w:tcW w:w="1487" w:type="dxa"/>
            <w:vAlign w:val="center"/>
          </w:tcPr>
          <w:p w:rsidR="009A28E1" w:rsidRPr="0022444A" w:rsidRDefault="009A28E1" w:rsidP="006463EE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22444A">
              <w:rPr>
                <w:b/>
                <w:bCs/>
              </w:rPr>
              <w:t>201</w:t>
            </w:r>
            <w:r w:rsidR="006463EE">
              <w:rPr>
                <w:b/>
                <w:bCs/>
              </w:rPr>
              <w:t>4</w:t>
            </w:r>
          </w:p>
        </w:tc>
        <w:tc>
          <w:tcPr>
            <w:tcW w:w="1407" w:type="dxa"/>
            <w:vAlign w:val="center"/>
          </w:tcPr>
          <w:p w:rsidR="009A28E1" w:rsidRPr="0022444A" w:rsidRDefault="009A28E1" w:rsidP="006463EE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22444A">
              <w:rPr>
                <w:b/>
                <w:bCs/>
              </w:rPr>
              <w:t>201</w:t>
            </w:r>
            <w:r w:rsidR="006463EE">
              <w:rPr>
                <w:b/>
                <w:bCs/>
              </w:rPr>
              <w:t>5</w:t>
            </w:r>
          </w:p>
        </w:tc>
      </w:tr>
      <w:tr w:rsidR="009A28E1" w:rsidRPr="0022444A" w:rsidTr="00AF5EAE">
        <w:trPr>
          <w:jc w:val="center"/>
        </w:trPr>
        <w:tc>
          <w:tcPr>
            <w:tcW w:w="1877" w:type="dxa"/>
            <w:vMerge/>
            <w:vAlign w:val="center"/>
          </w:tcPr>
          <w:p w:rsidR="009A28E1" w:rsidRPr="0022444A" w:rsidRDefault="009A28E1" w:rsidP="00DA329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94" w:type="dxa"/>
            <w:vAlign w:val="center"/>
          </w:tcPr>
          <w:p w:rsidR="009A28E1" w:rsidRPr="0022444A" w:rsidRDefault="009A28E1" w:rsidP="00DA3291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22444A">
              <w:t>Saskaņā ar valsts budžetu kārtējam gadam</w:t>
            </w:r>
          </w:p>
        </w:tc>
        <w:tc>
          <w:tcPr>
            <w:tcW w:w="1487" w:type="dxa"/>
            <w:vAlign w:val="center"/>
          </w:tcPr>
          <w:p w:rsidR="009A28E1" w:rsidRPr="0022444A" w:rsidRDefault="009A28E1" w:rsidP="00DA3291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22444A">
              <w:t>Izmaiņas kārtējā gadā, salīdzinot ar budžetu kārtējam gadam</w:t>
            </w:r>
          </w:p>
        </w:tc>
        <w:tc>
          <w:tcPr>
            <w:tcW w:w="1487" w:type="dxa"/>
            <w:vAlign w:val="center"/>
          </w:tcPr>
          <w:p w:rsidR="009A28E1" w:rsidRPr="0022444A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22444A">
              <w:t>Izmaiņas, salīdzinot ar kārtējo (</w:t>
            </w:r>
            <w:r w:rsidR="00BA30EC" w:rsidRPr="0022444A">
              <w:t>201</w:t>
            </w:r>
            <w:r w:rsidR="00BA30EC">
              <w:t>2</w:t>
            </w:r>
            <w:r w:rsidRPr="0022444A">
              <w:t>)</w:t>
            </w:r>
          </w:p>
          <w:p w:rsidR="009A28E1" w:rsidRPr="0022444A" w:rsidRDefault="009A28E1" w:rsidP="00DA3291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22444A">
              <w:t>gadu</w:t>
            </w:r>
          </w:p>
        </w:tc>
        <w:tc>
          <w:tcPr>
            <w:tcW w:w="1487" w:type="dxa"/>
            <w:vAlign w:val="center"/>
          </w:tcPr>
          <w:p w:rsidR="009A28E1" w:rsidRPr="0022444A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22444A">
              <w:t>Izmaiņas, salīdzinot ar kārtējo (</w:t>
            </w:r>
            <w:r w:rsidR="00BA30EC" w:rsidRPr="0022444A">
              <w:t>201</w:t>
            </w:r>
            <w:r w:rsidR="00BA30EC">
              <w:t>2</w:t>
            </w:r>
            <w:r w:rsidRPr="0022444A">
              <w:t>)</w:t>
            </w:r>
          </w:p>
          <w:p w:rsidR="009A28E1" w:rsidRPr="0022444A" w:rsidRDefault="009A28E1" w:rsidP="00DA3291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22444A">
              <w:t>gadu</w:t>
            </w:r>
          </w:p>
        </w:tc>
        <w:tc>
          <w:tcPr>
            <w:tcW w:w="1407" w:type="dxa"/>
            <w:vAlign w:val="center"/>
          </w:tcPr>
          <w:p w:rsidR="009A28E1" w:rsidRPr="0022444A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22444A">
              <w:t>Izmaiņas, salīdzinot ar kārtējo (</w:t>
            </w:r>
            <w:r w:rsidR="00BA30EC" w:rsidRPr="0022444A">
              <w:t>201</w:t>
            </w:r>
            <w:r w:rsidR="00BA30EC">
              <w:t>2</w:t>
            </w:r>
            <w:r w:rsidRPr="0022444A">
              <w:t>)</w:t>
            </w:r>
          </w:p>
          <w:p w:rsidR="009A28E1" w:rsidRPr="0022444A" w:rsidRDefault="009A28E1" w:rsidP="00DA3291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22444A">
              <w:t>gadu</w:t>
            </w:r>
          </w:p>
        </w:tc>
      </w:tr>
      <w:tr w:rsidR="009A28E1" w:rsidRPr="0022444A" w:rsidTr="00AF5EAE">
        <w:trPr>
          <w:jc w:val="center"/>
        </w:trPr>
        <w:tc>
          <w:tcPr>
            <w:tcW w:w="1877" w:type="dxa"/>
            <w:vAlign w:val="center"/>
          </w:tcPr>
          <w:p w:rsidR="009A28E1" w:rsidRPr="0022444A" w:rsidRDefault="009A28E1" w:rsidP="00DA3291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22444A">
              <w:rPr>
                <w:bCs/>
              </w:rPr>
              <w:t>1</w:t>
            </w:r>
          </w:p>
        </w:tc>
        <w:tc>
          <w:tcPr>
            <w:tcW w:w="1394" w:type="dxa"/>
            <w:vAlign w:val="center"/>
          </w:tcPr>
          <w:p w:rsidR="009A28E1" w:rsidRPr="0022444A" w:rsidRDefault="009A28E1" w:rsidP="00DA3291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22444A">
              <w:rPr>
                <w:bCs/>
              </w:rPr>
              <w:t>2</w:t>
            </w:r>
          </w:p>
        </w:tc>
        <w:tc>
          <w:tcPr>
            <w:tcW w:w="1487" w:type="dxa"/>
            <w:vAlign w:val="center"/>
          </w:tcPr>
          <w:p w:rsidR="009A28E1" w:rsidRPr="0022444A" w:rsidRDefault="009A28E1" w:rsidP="00DA3291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22444A">
              <w:rPr>
                <w:bCs/>
              </w:rPr>
              <w:t>3</w:t>
            </w:r>
          </w:p>
        </w:tc>
        <w:tc>
          <w:tcPr>
            <w:tcW w:w="1487" w:type="dxa"/>
            <w:vAlign w:val="center"/>
          </w:tcPr>
          <w:p w:rsidR="009A28E1" w:rsidRPr="0022444A" w:rsidRDefault="009A28E1" w:rsidP="00DA3291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22444A">
              <w:rPr>
                <w:bCs/>
              </w:rPr>
              <w:t>4</w:t>
            </w:r>
          </w:p>
        </w:tc>
        <w:tc>
          <w:tcPr>
            <w:tcW w:w="1487" w:type="dxa"/>
            <w:vAlign w:val="center"/>
          </w:tcPr>
          <w:p w:rsidR="009A28E1" w:rsidRPr="0022444A" w:rsidRDefault="009A28E1" w:rsidP="00DA3291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22444A">
              <w:rPr>
                <w:bCs/>
              </w:rPr>
              <w:t>5</w:t>
            </w:r>
          </w:p>
        </w:tc>
        <w:tc>
          <w:tcPr>
            <w:tcW w:w="1407" w:type="dxa"/>
            <w:vAlign w:val="center"/>
          </w:tcPr>
          <w:p w:rsidR="009A28E1" w:rsidRPr="0022444A" w:rsidRDefault="009A28E1" w:rsidP="00DA3291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22444A">
              <w:rPr>
                <w:bCs/>
              </w:rPr>
              <w:t>6</w:t>
            </w:r>
          </w:p>
        </w:tc>
      </w:tr>
      <w:tr w:rsidR="009A28E1" w:rsidRPr="0022444A" w:rsidTr="00AF5EAE">
        <w:trPr>
          <w:jc w:val="center"/>
        </w:trPr>
        <w:tc>
          <w:tcPr>
            <w:tcW w:w="1877" w:type="dxa"/>
          </w:tcPr>
          <w:p w:rsidR="009A28E1" w:rsidRPr="0022444A" w:rsidRDefault="009A28E1" w:rsidP="00DA3291">
            <w:pPr>
              <w:pStyle w:val="naisf"/>
              <w:spacing w:before="0" w:after="0"/>
              <w:ind w:firstLine="0"/>
              <w:jc w:val="left"/>
              <w:rPr>
                <w:i/>
              </w:rPr>
            </w:pPr>
            <w:r w:rsidRPr="0022444A">
              <w:t>1. Budžeta ieņēmumi:</w:t>
            </w:r>
          </w:p>
        </w:tc>
        <w:tc>
          <w:tcPr>
            <w:tcW w:w="1394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>
              <w:t>45,6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F220E7">
              <w:t>0</w:t>
            </w:r>
          </w:p>
        </w:tc>
        <w:tc>
          <w:tcPr>
            <w:tcW w:w="140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F220E7">
              <w:t>0</w:t>
            </w:r>
          </w:p>
        </w:tc>
      </w:tr>
      <w:tr w:rsidR="009A28E1" w:rsidRPr="0022444A" w:rsidTr="00AF5EAE">
        <w:trPr>
          <w:trHeight w:val="1422"/>
          <w:jc w:val="center"/>
        </w:trPr>
        <w:tc>
          <w:tcPr>
            <w:tcW w:w="1877" w:type="dxa"/>
          </w:tcPr>
          <w:p w:rsidR="009A28E1" w:rsidRPr="003E7BA3" w:rsidRDefault="009A28E1" w:rsidP="00DA3291">
            <w:pPr>
              <w:pStyle w:val="naisf"/>
              <w:spacing w:before="0" w:after="0"/>
              <w:ind w:firstLine="0"/>
            </w:pPr>
            <w:r w:rsidRPr="0022444A">
              <w:t>1.1. valsts pamatbudžets, tai skaitā ieņēmumi no maksas pakalpojumiem un citi pašu ieņēmumi</w:t>
            </w:r>
          </w:p>
        </w:tc>
        <w:tc>
          <w:tcPr>
            <w:tcW w:w="1394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>
              <w:t>45,6</w:t>
            </w: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40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</w:tc>
      </w:tr>
      <w:tr w:rsidR="009A28E1" w:rsidRPr="0022444A" w:rsidTr="00AF5EAE">
        <w:trPr>
          <w:jc w:val="center"/>
        </w:trPr>
        <w:tc>
          <w:tcPr>
            <w:tcW w:w="1877" w:type="dxa"/>
          </w:tcPr>
          <w:p w:rsidR="009A28E1" w:rsidRPr="0022444A" w:rsidRDefault="009A28E1" w:rsidP="00DA3291">
            <w:pPr>
              <w:pStyle w:val="naisf"/>
              <w:spacing w:before="0" w:after="0"/>
              <w:ind w:firstLine="0"/>
              <w:rPr>
                <w:i/>
              </w:rPr>
            </w:pPr>
            <w:r w:rsidRPr="0022444A">
              <w:t>1.2. valsts speciālais budžets</w:t>
            </w:r>
          </w:p>
        </w:tc>
        <w:tc>
          <w:tcPr>
            <w:tcW w:w="1394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0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</w:tr>
      <w:tr w:rsidR="009A28E1" w:rsidRPr="0022444A" w:rsidTr="00AF5EAE">
        <w:trPr>
          <w:jc w:val="center"/>
        </w:trPr>
        <w:tc>
          <w:tcPr>
            <w:tcW w:w="1877" w:type="dxa"/>
          </w:tcPr>
          <w:p w:rsidR="009A28E1" w:rsidRPr="0022444A" w:rsidRDefault="009A28E1" w:rsidP="00DA3291">
            <w:pPr>
              <w:pStyle w:val="naisf"/>
              <w:spacing w:before="0" w:after="0"/>
              <w:ind w:firstLine="0"/>
              <w:rPr>
                <w:i/>
              </w:rPr>
            </w:pPr>
            <w:r w:rsidRPr="0022444A">
              <w:t>1.3. pašvaldību budžets</w:t>
            </w:r>
          </w:p>
        </w:tc>
        <w:tc>
          <w:tcPr>
            <w:tcW w:w="1394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0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</w:tr>
      <w:tr w:rsidR="009A28E1" w:rsidRPr="0022444A" w:rsidTr="00AF5EAE">
        <w:trPr>
          <w:jc w:val="center"/>
        </w:trPr>
        <w:tc>
          <w:tcPr>
            <w:tcW w:w="1877" w:type="dxa"/>
          </w:tcPr>
          <w:p w:rsidR="009A28E1" w:rsidRPr="0022444A" w:rsidRDefault="009A28E1" w:rsidP="00DA3291">
            <w:pPr>
              <w:jc w:val="both"/>
            </w:pPr>
            <w:r w:rsidRPr="0022444A">
              <w:lastRenderedPageBreak/>
              <w:t>2. Budžeta izdevumi:</w:t>
            </w:r>
          </w:p>
        </w:tc>
        <w:tc>
          <w:tcPr>
            <w:tcW w:w="1394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>
              <w:t>45,6</w:t>
            </w:r>
          </w:p>
        </w:tc>
        <w:tc>
          <w:tcPr>
            <w:tcW w:w="1487" w:type="dxa"/>
          </w:tcPr>
          <w:p w:rsidR="009A28E1" w:rsidRPr="00F220E7" w:rsidRDefault="00BA30EC" w:rsidP="00BA30EC">
            <w:pPr>
              <w:pStyle w:val="naisf"/>
              <w:spacing w:before="0" w:after="0"/>
              <w:ind w:firstLine="0"/>
              <w:jc w:val="center"/>
            </w:pPr>
            <w:r>
              <w:t>44,5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0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</w:tr>
      <w:tr w:rsidR="009A28E1" w:rsidRPr="0022444A" w:rsidTr="00AF5EAE">
        <w:trPr>
          <w:trHeight w:val="467"/>
          <w:jc w:val="center"/>
        </w:trPr>
        <w:tc>
          <w:tcPr>
            <w:tcW w:w="1877" w:type="dxa"/>
          </w:tcPr>
          <w:p w:rsidR="009A28E1" w:rsidRPr="0022444A" w:rsidRDefault="009A28E1" w:rsidP="00DA3291">
            <w:pPr>
              <w:jc w:val="both"/>
            </w:pPr>
            <w:r w:rsidRPr="0022444A">
              <w:t>2.1. valsts pamatbudžets</w:t>
            </w:r>
          </w:p>
        </w:tc>
        <w:tc>
          <w:tcPr>
            <w:tcW w:w="1394" w:type="dxa"/>
          </w:tcPr>
          <w:p w:rsidR="009A28E1" w:rsidRPr="00F220E7" w:rsidRDefault="009A28E1" w:rsidP="009A28E1">
            <w:pPr>
              <w:pStyle w:val="naisf"/>
              <w:spacing w:before="0" w:after="0"/>
              <w:ind w:firstLine="0"/>
              <w:jc w:val="center"/>
            </w:pPr>
            <w:r>
              <w:t>45,6</w:t>
            </w: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487" w:type="dxa"/>
          </w:tcPr>
          <w:p w:rsidR="009A28E1" w:rsidRPr="00F220E7" w:rsidRDefault="00BA30EC" w:rsidP="009A28E1">
            <w:pPr>
              <w:pStyle w:val="naisf"/>
              <w:spacing w:before="0" w:after="0"/>
              <w:ind w:firstLine="0"/>
              <w:jc w:val="center"/>
            </w:pPr>
            <w:r>
              <w:t>44,5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0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</w:tr>
      <w:tr w:rsidR="009A28E1" w:rsidRPr="0022444A" w:rsidTr="00AF5EAE">
        <w:trPr>
          <w:jc w:val="center"/>
        </w:trPr>
        <w:tc>
          <w:tcPr>
            <w:tcW w:w="1877" w:type="dxa"/>
          </w:tcPr>
          <w:p w:rsidR="009A28E1" w:rsidRPr="0022444A" w:rsidRDefault="009A28E1" w:rsidP="00DA3291">
            <w:pPr>
              <w:jc w:val="both"/>
            </w:pPr>
            <w:r w:rsidRPr="0022444A">
              <w:t>2.2. valsts speciālais budžets</w:t>
            </w:r>
          </w:p>
        </w:tc>
        <w:tc>
          <w:tcPr>
            <w:tcW w:w="1394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>
              <w:t>0</w:t>
            </w: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>
              <w:t>0</w:t>
            </w: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>
              <w:t>0</w:t>
            </w: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40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>
              <w:t>0</w:t>
            </w: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</w:tc>
      </w:tr>
      <w:tr w:rsidR="009A28E1" w:rsidRPr="0022444A" w:rsidTr="00AF5EAE">
        <w:trPr>
          <w:jc w:val="center"/>
        </w:trPr>
        <w:tc>
          <w:tcPr>
            <w:tcW w:w="1877" w:type="dxa"/>
          </w:tcPr>
          <w:p w:rsidR="009A28E1" w:rsidRPr="0022444A" w:rsidRDefault="009A28E1" w:rsidP="00DA3291">
            <w:pPr>
              <w:jc w:val="both"/>
            </w:pPr>
            <w:r w:rsidRPr="0022444A">
              <w:t xml:space="preserve">2.3. pašvaldību budžets </w:t>
            </w:r>
          </w:p>
        </w:tc>
        <w:tc>
          <w:tcPr>
            <w:tcW w:w="1394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0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</w:tr>
      <w:tr w:rsidR="009A28E1" w:rsidRPr="0022444A" w:rsidTr="00AF5EAE">
        <w:trPr>
          <w:jc w:val="center"/>
        </w:trPr>
        <w:tc>
          <w:tcPr>
            <w:tcW w:w="1877" w:type="dxa"/>
          </w:tcPr>
          <w:p w:rsidR="009A28E1" w:rsidRPr="0022444A" w:rsidRDefault="009A28E1" w:rsidP="00DA3291">
            <w:pPr>
              <w:jc w:val="both"/>
            </w:pPr>
            <w:r w:rsidRPr="0022444A">
              <w:t>3. Finansiālā ietekme:</w:t>
            </w:r>
          </w:p>
        </w:tc>
        <w:tc>
          <w:tcPr>
            <w:tcW w:w="1394" w:type="dxa"/>
            <w:shd w:val="clear" w:color="auto" w:fill="auto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BA30EC">
            <w:pPr>
              <w:pStyle w:val="naisf"/>
              <w:spacing w:before="0" w:after="0"/>
              <w:ind w:firstLine="0"/>
              <w:jc w:val="center"/>
            </w:pPr>
            <w:r>
              <w:t xml:space="preserve">- </w:t>
            </w:r>
            <w:r w:rsidR="00BA30EC">
              <w:t>44,5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0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</w:tr>
      <w:tr w:rsidR="009A28E1" w:rsidRPr="0022444A" w:rsidTr="00AF5EAE">
        <w:trPr>
          <w:jc w:val="center"/>
        </w:trPr>
        <w:tc>
          <w:tcPr>
            <w:tcW w:w="1877" w:type="dxa"/>
          </w:tcPr>
          <w:p w:rsidR="009A28E1" w:rsidRPr="0022444A" w:rsidRDefault="009A28E1" w:rsidP="00DA3291">
            <w:pPr>
              <w:jc w:val="both"/>
            </w:pPr>
            <w:r w:rsidRPr="0022444A">
              <w:t>3.1. valsts pamatbudžets</w:t>
            </w:r>
          </w:p>
        </w:tc>
        <w:tc>
          <w:tcPr>
            <w:tcW w:w="1394" w:type="dxa"/>
            <w:shd w:val="clear" w:color="auto" w:fill="auto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BA30EC">
            <w:pPr>
              <w:pStyle w:val="naisf"/>
              <w:spacing w:before="0" w:after="0"/>
              <w:ind w:firstLine="0"/>
              <w:jc w:val="center"/>
            </w:pPr>
            <w:r>
              <w:t>- </w:t>
            </w:r>
            <w:r w:rsidR="00BA30EC">
              <w:t>44,5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0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</w:tr>
      <w:tr w:rsidR="009A28E1" w:rsidRPr="0022444A" w:rsidTr="00AF5EAE">
        <w:trPr>
          <w:jc w:val="center"/>
        </w:trPr>
        <w:tc>
          <w:tcPr>
            <w:tcW w:w="1877" w:type="dxa"/>
          </w:tcPr>
          <w:p w:rsidR="009A28E1" w:rsidRPr="0022444A" w:rsidRDefault="009A28E1" w:rsidP="00DA3291">
            <w:pPr>
              <w:jc w:val="both"/>
            </w:pPr>
            <w:r w:rsidRPr="0022444A">
              <w:t>3.2. speciālais budžets</w:t>
            </w:r>
          </w:p>
        </w:tc>
        <w:tc>
          <w:tcPr>
            <w:tcW w:w="1394" w:type="dxa"/>
            <w:shd w:val="clear" w:color="auto" w:fill="auto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>
              <w:t>0</w:t>
            </w:r>
          </w:p>
        </w:tc>
        <w:tc>
          <w:tcPr>
            <w:tcW w:w="140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>
              <w:t>0</w:t>
            </w:r>
          </w:p>
        </w:tc>
      </w:tr>
      <w:tr w:rsidR="009A28E1" w:rsidRPr="0022444A" w:rsidTr="00AF5EAE">
        <w:trPr>
          <w:jc w:val="center"/>
        </w:trPr>
        <w:tc>
          <w:tcPr>
            <w:tcW w:w="1877" w:type="dxa"/>
          </w:tcPr>
          <w:p w:rsidR="009A28E1" w:rsidRPr="0022444A" w:rsidRDefault="009A28E1" w:rsidP="00DA3291">
            <w:pPr>
              <w:jc w:val="both"/>
            </w:pPr>
            <w:r w:rsidRPr="0022444A">
              <w:t xml:space="preserve">3.3. pašvaldību budžets </w:t>
            </w:r>
          </w:p>
        </w:tc>
        <w:tc>
          <w:tcPr>
            <w:tcW w:w="1394" w:type="dxa"/>
            <w:shd w:val="clear" w:color="auto" w:fill="auto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0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</w:tr>
      <w:tr w:rsidR="009A28E1" w:rsidRPr="0022444A" w:rsidTr="00AF5EAE">
        <w:trPr>
          <w:jc w:val="center"/>
        </w:trPr>
        <w:tc>
          <w:tcPr>
            <w:tcW w:w="1877" w:type="dxa"/>
            <w:vMerge w:val="restart"/>
          </w:tcPr>
          <w:p w:rsidR="009A28E1" w:rsidRDefault="009A28E1" w:rsidP="00DA3291">
            <w:pPr>
              <w:jc w:val="both"/>
            </w:pPr>
            <w:r w:rsidRPr="0022444A">
              <w:t>4. Finanšu līdzekļi papildu izde</w:t>
            </w:r>
            <w:r w:rsidRPr="0022444A">
              <w:softHyphen/>
              <w:t>vumu finansēšanai (kompensējošu izdevumu samazinājumu norāda ar "+" zīmi)</w:t>
            </w:r>
          </w:p>
          <w:p w:rsidR="00656562" w:rsidRPr="0022444A" w:rsidRDefault="00656562" w:rsidP="00DA3291">
            <w:pPr>
              <w:jc w:val="both"/>
            </w:pPr>
          </w:p>
        </w:tc>
        <w:tc>
          <w:tcPr>
            <w:tcW w:w="1394" w:type="dxa"/>
            <w:vMerge w:val="restart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X</w:t>
            </w:r>
          </w:p>
        </w:tc>
        <w:tc>
          <w:tcPr>
            <w:tcW w:w="1487" w:type="dxa"/>
            <w:vMerge w:val="restart"/>
          </w:tcPr>
          <w:p w:rsidR="009A28E1" w:rsidRPr="00F220E7" w:rsidRDefault="009A28E1" w:rsidP="00BA30EC">
            <w:pPr>
              <w:pStyle w:val="naisf"/>
              <w:spacing w:before="0" w:after="0"/>
              <w:ind w:firstLine="0"/>
              <w:jc w:val="center"/>
            </w:pPr>
            <w:r>
              <w:t>+ </w:t>
            </w:r>
            <w:r w:rsidR="00BA30EC">
              <w:t>44,5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0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</w:tr>
      <w:tr w:rsidR="009A28E1" w:rsidRPr="0022444A" w:rsidTr="00AF5EAE">
        <w:trPr>
          <w:jc w:val="center"/>
        </w:trPr>
        <w:tc>
          <w:tcPr>
            <w:tcW w:w="1877" w:type="dxa"/>
            <w:vMerge/>
          </w:tcPr>
          <w:p w:rsidR="009A28E1" w:rsidRPr="0022444A" w:rsidRDefault="009A28E1" w:rsidP="00DA3291">
            <w:pPr>
              <w:jc w:val="both"/>
            </w:pPr>
          </w:p>
        </w:tc>
        <w:tc>
          <w:tcPr>
            <w:tcW w:w="1394" w:type="dxa"/>
            <w:vMerge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487" w:type="dxa"/>
            <w:vMerge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0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</w:tr>
      <w:tr w:rsidR="009A28E1" w:rsidRPr="0022444A" w:rsidTr="00AF5EAE">
        <w:trPr>
          <w:jc w:val="center"/>
        </w:trPr>
        <w:tc>
          <w:tcPr>
            <w:tcW w:w="1877" w:type="dxa"/>
            <w:vMerge/>
          </w:tcPr>
          <w:p w:rsidR="009A28E1" w:rsidRPr="0022444A" w:rsidRDefault="009A28E1" w:rsidP="00DA3291">
            <w:pPr>
              <w:jc w:val="both"/>
            </w:pPr>
          </w:p>
        </w:tc>
        <w:tc>
          <w:tcPr>
            <w:tcW w:w="1394" w:type="dxa"/>
            <w:vMerge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487" w:type="dxa"/>
            <w:vMerge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>
              <w:t>0</w:t>
            </w: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>
              <w:t>0</w:t>
            </w: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40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>
              <w:t>0</w:t>
            </w: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</w:tc>
      </w:tr>
      <w:tr w:rsidR="009A28E1" w:rsidRPr="0022444A" w:rsidTr="00AF5EAE">
        <w:trPr>
          <w:jc w:val="center"/>
        </w:trPr>
        <w:tc>
          <w:tcPr>
            <w:tcW w:w="1877" w:type="dxa"/>
          </w:tcPr>
          <w:p w:rsidR="009A28E1" w:rsidRPr="0022444A" w:rsidRDefault="009A28E1" w:rsidP="00DA3291">
            <w:pPr>
              <w:jc w:val="both"/>
            </w:pPr>
            <w:r w:rsidRPr="0022444A">
              <w:t>5. Precizēta finansiālā ietekme:</w:t>
            </w:r>
          </w:p>
        </w:tc>
        <w:tc>
          <w:tcPr>
            <w:tcW w:w="1394" w:type="dxa"/>
            <w:vMerge w:val="restart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X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0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</w:tr>
      <w:tr w:rsidR="009A28E1" w:rsidRPr="0022444A" w:rsidTr="00AF5EAE">
        <w:trPr>
          <w:jc w:val="center"/>
        </w:trPr>
        <w:tc>
          <w:tcPr>
            <w:tcW w:w="1877" w:type="dxa"/>
          </w:tcPr>
          <w:p w:rsidR="009A28E1" w:rsidRPr="0022444A" w:rsidRDefault="009A28E1" w:rsidP="00DA3291">
            <w:pPr>
              <w:jc w:val="both"/>
            </w:pPr>
            <w:r w:rsidRPr="0022444A">
              <w:t>5.1. valsts pamatbudžets</w:t>
            </w:r>
          </w:p>
        </w:tc>
        <w:tc>
          <w:tcPr>
            <w:tcW w:w="1394" w:type="dxa"/>
            <w:vMerge/>
            <w:vAlign w:val="center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0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</w:tr>
      <w:tr w:rsidR="009A28E1" w:rsidRPr="0022444A" w:rsidTr="00AF5EAE">
        <w:trPr>
          <w:jc w:val="center"/>
        </w:trPr>
        <w:tc>
          <w:tcPr>
            <w:tcW w:w="1877" w:type="dxa"/>
          </w:tcPr>
          <w:p w:rsidR="009A28E1" w:rsidRPr="0022444A" w:rsidRDefault="009A28E1" w:rsidP="00DA3291">
            <w:pPr>
              <w:jc w:val="both"/>
            </w:pPr>
            <w:r w:rsidRPr="0022444A">
              <w:t>5.2. speciālais budžets</w:t>
            </w:r>
          </w:p>
        </w:tc>
        <w:tc>
          <w:tcPr>
            <w:tcW w:w="1394" w:type="dxa"/>
            <w:vMerge/>
            <w:vAlign w:val="center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0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</w:tr>
      <w:tr w:rsidR="009A28E1" w:rsidRPr="0022444A" w:rsidTr="00AF5EAE">
        <w:trPr>
          <w:jc w:val="center"/>
        </w:trPr>
        <w:tc>
          <w:tcPr>
            <w:tcW w:w="1877" w:type="dxa"/>
          </w:tcPr>
          <w:p w:rsidR="009A28E1" w:rsidRDefault="009A28E1" w:rsidP="00DA3291">
            <w:pPr>
              <w:jc w:val="both"/>
            </w:pPr>
            <w:r w:rsidRPr="0022444A">
              <w:t xml:space="preserve">5.3. pašvaldību budžets </w:t>
            </w:r>
          </w:p>
          <w:p w:rsidR="00656562" w:rsidRPr="0022444A" w:rsidRDefault="00656562" w:rsidP="00DA3291">
            <w:pPr>
              <w:jc w:val="both"/>
            </w:pPr>
          </w:p>
        </w:tc>
        <w:tc>
          <w:tcPr>
            <w:tcW w:w="1394" w:type="dxa"/>
            <w:vMerge/>
            <w:vAlign w:val="center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0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</w:tr>
      <w:tr w:rsidR="009A28E1" w:rsidRPr="0022444A" w:rsidTr="00AF5EAE">
        <w:trPr>
          <w:jc w:val="center"/>
        </w:trPr>
        <w:tc>
          <w:tcPr>
            <w:tcW w:w="1877" w:type="dxa"/>
          </w:tcPr>
          <w:p w:rsidR="009A28E1" w:rsidRPr="0022444A" w:rsidRDefault="009A28E1" w:rsidP="00DA3291">
            <w:pPr>
              <w:jc w:val="both"/>
            </w:pPr>
            <w:r w:rsidRPr="0022444A">
              <w:t>6. Detalizēts ieņēmumu un izdevu</w:t>
            </w:r>
            <w:r w:rsidRPr="0022444A"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7262" w:type="dxa"/>
            <w:gridSpan w:val="5"/>
            <w:vMerge w:val="restart"/>
          </w:tcPr>
          <w:p w:rsidR="009A28E1" w:rsidRDefault="009A28E1" w:rsidP="009A28E1">
            <w:pPr>
              <w:jc w:val="both"/>
            </w:pPr>
            <w:r>
              <w:t xml:space="preserve">Anotācijas pielikumā pievienota informācija par līdzekļu nepieciešamības finansiālo pamatojumu un informācija par apropriācijas izmaiņām valsts </w:t>
            </w:r>
            <w:r w:rsidRPr="001D65E2">
              <w:t>pamatbudžetā (APRO veidlapa, 1.pielikums Ministru kabineta 2009.gada 22.decembra noteikumiem Nr.1644 „Kārtība, kādā pieprasa un izlieto budžeta programmas „Līdzekļi nepar</w:t>
            </w:r>
            <w:r>
              <w:t>edzētiem gadījumiem” līdzekļus”</w:t>
            </w:r>
            <w:r w:rsidRPr="001D65E2">
              <w:t>)</w:t>
            </w:r>
            <w:r>
              <w:t>.</w:t>
            </w:r>
          </w:p>
          <w:p w:rsidR="00DD2381" w:rsidRDefault="00DD2381" w:rsidP="009A28E1">
            <w:pPr>
              <w:jc w:val="both"/>
            </w:pPr>
          </w:p>
          <w:p w:rsidR="00DD2381" w:rsidRDefault="00DD2381" w:rsidP="009A28E1">
            <w:pPr>
              <w:jc w:val="both"/>
            </w:pPr>
          </w:p>
          <w:p w:rsidR="00DD2381" w:rsidRDefault="00DD2381" w:rsidP="009A28E1">
            <w:pPr>
              <w:jc w:val="both"/>
            </w:pPr>
          </w:p>
          <w:p w:rsidR="00DD2381" w:rsidRDefault="00DD2381" w:rsidP="009A28E1">
            <w:pPr>
              <w:jc w:val="both"/>
            </w:pPr>
          </w:p>
          <w:p w:rsidR="00DD2381" w:rsidRDefault="00DD2381" w:rsidP="009A28E1">
            <w:pPr>
              <w:jc w:val="both"/>
            </w:pPr>
          </w:p>
          <w:p w:rsidR="00DD2381" w:rsidRDefault="00DD2381" w:rsidP="009A28E1">
            <w:pPr>
              <w:jc w:val="both"/>
            </w:pPr>
          </w:p>
          <w:p w:rsidR="00DD2381" w:rsidRPr="00934BFC" w:rsidRDefault="00DD2381" w:rsidP="009A28E1">
            <w:pPr>
              <w:jc w:val="both"/>
              <w:rPr>
                <w:color w:val="2A2A2A"/>
              </w:rPr>
            </w:pPr>
          </w:p>
        </w:tc>
      </w:tr>
      <w:tr w:rsidR="009A28E1" w:rsidRPr="0022444A" w:rsidTr="00AF5EAE">
        <w:trPr>
          <w:jc w:val="center"/>
        </w:trPr>
        <w:tc>
          <w:tcPr>
            <w:tcW w:w="1877" w:type="dxa"/>
          </w:tcPr>
          <w:p w:rsidR="009A28E1" w:rsidRPr="0022444A" w:rsidRDefault="009A28E1" w:rsidP="00DA3291">
            <w:pPr>
              <w:jc w:val="both"/>
            </w:pPr>
            <w:r w:rsidRPr="0022444A">
              <w:t xml:space="preserve">6.1. detalizēts </w:t>
            </w:r>
            <w:r w:rsidRPr="0022444A">
              <w:lastRenderedPageBreak/>
              <w:t>ieņēmumu aprēķins</w:t>
            </w:r>
          </w:p>
        </w:tc>
        <w:tc>
          <w:tcPr>
            <w:tcW w:w="7262" w:type="dxa"/>
            <w:gridSpan w:val="5"/>
            <w:vMerge/>
          </w:tcPr>
          <w:p w:rsidR="009A28E1" w:rsidRPr="0022444A" w:rsidRDefault="009A28E1" w:rsidP="00DA329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9A28E1" w:rsidRPr="0022444A" w:rsidTr="00AF5EAE">
        <w:trPr>
          <w:jc w:val="center"/>
        </w:trPr>
        <w:tc>
          <w:tcPr>
            <w:tcW w:w="1877" w:type="dxa"/>
          </w:tcPr>
          <w:p w:rsidR="009A28E1" w:rsidRPr="0022444A" w:rsidRDefault="009A28E1" w:rsidP="00DA3291">
            <w:pPr>
              <w:jc w:val="both"/>
            </w:pPr>
            <w:r w:rsidRPr="0022444A">
              <w:lastRenderedPageBreak/>
              <w:t>6.2. detalizēts izdevumu aprēķins</w:t>
            </w:r>
          </w:p>
        </w:tc>
        <w:tc>
          <w:tcPr>
            <w:tcW w:w="7262" w:type="dxa"/>
            <w:gridSpan w:val="5"/>
            <w:vMerge/>
          </w:tcPr>
          <w:p w:rsidR="009A28E1" w:rsidRPr="0022444A" w:rsidRDefault="009A28E1" w:rsidP="00DA329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9A28E1" w:rsidRPr="0022444A" w:rsidTr="00AF5EAE">
        <w:trPr>
          <w:jc w:val="center"/>
        </w:trPr>
        <w:tc>
          <w:tcPr>
            <w:tcW w:w="1877" w:type="dxa"/>
          </w:tcPr>
          <w:p w:rsidR="009A28E1" w:rsidRPr="0022444A" w:rsidRDefault="009A28E1" w:rsidP="00DA3291">
            <w:pPr>
              <w:jc w:val="both"/>
            </w:pPr>
            <w:r w:rsidRPr="0022444A">
              <w:t>7. Cita informācija</w:t>
            </w:r>
          </w:p>
        </w:tc>
        <w:tc>
          <w:tcPr>
            <w:tcW w:w="7262" w:type="dxa"/>
            <w:gridSpan w:val="5"/>
          </w:tcPr>
          <w:p w:rsidR="009A28E1" w:rsidRPr="0022444A" w:rsidRDefault="009A28E1" w:rsidP="009A28E1">
            <w:pPr>
              <w:pStyle w:val="naisf"/>
              <w:tabs>
                <w:tab w:val="left" w:pos="4644"/>
              </w:tabs>
              <w:spacing w:before="0" w:after="0"/>
              <w:ind w:firstLine="0"/>
            </w:pPr>
            <w:r w:rsidRPr="0022444A">
              <w:t xml:space="preserve"> Izdevumus sedz no valsts budžeta programmas </w:t>
            </w:r>
            <w:r>
              <w:t>02</w:t>
            </w:r>
            <w:r w:rsidRPr="0022444A">
              <w:t>.00.00 „Līdzekļi neparedzētiem gadījumiem”.</w:t>
            </w:r>
          </w:p>
        </w:tc>
      </w:tr>
    </w:tbl>
    <w:p w:rsidR="00F14FA0" w:rsidRDefault="00F14FA0" w:rsidP="00E15795">
      <w:pPr>
        <w:rPr>
          <w:rFonts w:eastAsia="Times New Roman"/>
        </w:rPr>
      </w:pPr>
    </w:p>
    <w:tbl>
      <w:tblPr>
        <w:tblW w:w="9199" w:type="dxa"/>
        <w:jc w:val="center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0"/>
        <w:gridCol w:w="4518"/>
        <w:gridCol w:w="4191"/>
      </w:tblGrid>
      <w:tr w:rsidR="00585B7B" w:rsidRPr="00507926" w:rsidTr="00E938B9">
        <w:trPr>
          <w:jc w:val="center"/>
        </w:trPr>
        <w:tc>
          <w:tcPr>
            <w:tcW w:w="9199" w:type="dxa"/>
            <w:gridSpan w:val="3"/>
          </w:tcPr>
          <w:p w:rsidR="00585B7B" w:rsidRPr="00507926" w:rsidRDefault="00585B7B" w:rsidP="003637A7">
            <w:pPr>
              <w:pStyle w:val="naisnod"/>
              <w:spacing w:before="0" w:after="0"/>
            </w:pPr>
            <w:r w:rsidRPr="00507926">
              <w:t>VII. Tiesību akta projekta izpildes nodrošināšana un tās ietekme uz institūcijām</w:t>
            </w:r>
          </w:p>
        </w:tc>
      </w:tr>
      <w:tr w:rsidR="00585B7B" w:rsidRPr="00507926" w:rsidTr="00AF5EAE">
        <w:trPr>
          <w:trHeight w:val="427"/>
          <w:jc w:val="center"/>
        </w:trPr>
        <w:tc>
          <w:tcPr>
            <w:tcW w:w="490" w:type="dxa"/>
          </w:tcPr>
          <w:p w:rsidR="00585B7B" w:rsidRPr="00507926" w:rsidRDefault="00585B7B" w:rsidP="003637A7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507926">
              <w:rPr>
                <w:b w:val="0"/>
              </w:rPr>
              <w:t>1.</w:t>
            </w:r>
          </w:p>
        </w:tc>
        <w:tc>
          <w:tcPr>
            <w:tcW w:w="4518" w:type="dxa"/>
          </w:tcPr>
          <w:p w:rsidR="00585B7B" w:rsidRPr="00507926" w:rsidRDefault="00585B7B" w:rsidP="003637A7">
            <w:pPr>
              <w:pStyle w:val="naisf"/>
              <w:spacing w:before="0" w:after="0"/>
              <w:ind w:firstLine="0"/>
              <w:jc w:val="left"/>
            </w:pPr>
            <w:r w:rsidRPr="00507926">
              <w:t xml:space="preserve">Projekta izpildē iesaistītās institūcijas </w:t>
            </w:r>
          </w:p>
        </w:tc>
        <w:tc>
          <w:tcPr>
            <w:tcW w:w="4191" w:type="dxa"/>
          </w:tcPr>
          <w:p w:rsidR="00585B7B" w:rsidRPr="00507926" w:rsidRDefault="0067139C" w:rsidP="003637A7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9547CC">
              <w:rPr>
                <w:b w:val="0"/>
              </w:rPr>
              <w:t>Tieslietu ministrija</w:t>
            </w:r>
            <w:r w:rsidR="004C4300">
              <w:rPr>
                <w:b w:val="0"/>
              </w:rPr>
              <w:t>.</w:t>
            </w:r>
          </w:p>
        </w:tc>
      </w:tr>
      <w:tr w:rsidR="00585B7B" w:rsidRPr="00507926" w:rsidTr="00AF5EAE">
        <w:trPr>
          <w:trHeight w:val="528"/>
          <w:jc w:val="center"/>
        </w:trPr>
        <w:tc>
          <w:tcPr>
            <w:tcW w:w="490" w:type="dxa"/>
          </w:tcPr>
          <w:p w:rsidR="00585B7B" w:rsidRPr="00507926" w:rsidRDefault="00585B7B" w:rsidP="003637A7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507926">
              <w:rPr>
                <w:b w:val="0"/>
              </w:rPr>
              <w:t>2.</w:t>
            </w:r>
          </w:p>
        </w:tc>
        <w:tc>
          <w:tcPr>
            <w:tcW w:w="4518" w:type="dxa"/>
          </w:tcPr>
          <w:p w:rsidR="00585B7B" w:rsidRPr="00507926" w:rsidRDefault="00585B7B" w:rsidP="003637A7">
            <w:pPr>
              <w:pStyle w:val="naisf"/>
              <w:spacing w:before="0" w:after="0"/>
              <w:ind w:firstLine="0"/>
              <w:jc w:val="left"/>
            </w:pPr>
            <w:r w:rsidRPr="00507926">
              <w:t xml:space="preserve">Projekta izpildes ietekme uz pārvaldes funkcijām </w:t>
            </w:r>
          </w:p>
        </w:tc>
        <w:tc>
          <w:tcPr>
            <w:tcW w:w="4191" w:type="dxa"/>
          </w:tcPr>
          <w:p w:rsidR="00585B7B" w:rsidRPr="00507926" w:rsidRDefault="00585B7B" w:rsidP="003637A7">
            <w:pPr>
              <w:pStyle w:val="BodyTextIndent2"/>
              <w:spacing w:after="0" w:line="240" w:lineRule="auto"/>
              <w:ind w:left="0"/>
              <w:jc w:val="both"/>
              <w:rPr>
                <w:b/>
              </w:rPr>
            </w:pPr>
            <w:r w:rsidRPr="00507926">
              <w:t>Netiek paplašinātas esošo institūciju funkcijas.</w:t>
            </w:r>
          </w:p>
        </w:tc>
      </w:tr>
      <w:tr w:rsidR="00585B7B" w:rsidRPr="00507926" w:rsidTr="003637A7">
        <w:trPr>
          <w:trHeight w:val="924"/>
          <w:jc w:val="center"/>
        </w:trPr>
        <w:tc>
          <w:tcPr>
            <w:tcW w:w="490" w:type="dxa"/>
          </w:tcPr>
          <w:p w:rsidR="00585B7B" w:rsidRPr="00507926" w:rsidRDefault="00585B7B" w:rsidP="003637A7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507926">
              <w:rPr>
                <w:b w:val="0"/>
              </w:rPr>
              <w:t>3.</w:t>
            </w:r>
          </w:p>
        </w:tc>
        <w:tc>
          <w:tcPr>
            <w:tcW w:w="4518" w:type="dxa"/>
          </w:tcPr>
          <w:p w:rsidR="00585B7B" w:rsidRPr="00507926" w:rsidRDefault="00585B7B" w:rsidP="003637A7">
            <w:pPr>
              <w:pStyle w:val="naisf"/>
              <w:spacing w:before="0" w:after="0"/>
              <w:ind w:firstLine="0"/>
              <w:jc w:val="left"/>
            </w:pPr>
            <w:r w:rsidRPr="00507926">
              <w:t>Projekta izpildes ietekme uz pārvaldes institucionālo struktūru.</w:t>
            </w:r>
          </w:p>
          <w:p w:rsidR="00AF5EAE" w:rsidRPr="00507926" w:rsidRDefault="00585B7B" w:rsidP="003637A7">
            <w:pPr>
              <w:pStyle w:val="naisf"/>
              <w:spacing w:before="0" w:after="0"/>
              <w:ind w:firstLine="0"/>
              <w:jc w:val="left"/>
            </w:pPr>
            <w:r w:rsidRPr="00507926">
              <w:t>Jaunu institūciju izveide</w:t>
            </w:r>
          </w:p>
        </w:tc>
        <w:tc>
          <w:tcPr>
            <w:tcW w:w="4191" w:type="dxa"/>
          </w:tcPr>
          <w:p w:rsidR="00585B7B" w:rsidRPr="00507926" w:rsidRDefault="00585B7B" w:rsidP="003637A7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507926">
              <w:rPr>
                <w:b w:val="0"/>
              </w:rPr>
              <w:t>Jaunas valsts institūcijas netiek radītas.</w:t>
            </w:r>
          </w:p>
        </w:tc>
      </w:tr>
      <w:tr w:rsidR="00585B7B" w:rsidRPr="00507926" w:rsidTr="003637A7">
        <w:trPr>
          <w:trHeight w:val="814"/>
          <w:jc w:val="center"/>
        </w:trPr>
        <w:tc>
          <w:tcPr>
            <w:tcW w:w="490" w:type="dxa"/>
          </w:tcPr>
          <w:p w:rsidR="00585B7B" w:rsidRPr="00507926" w:rsidRDefault="00585B7B" w:rsidP="003637A7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507926">
              <w:rPr>
                <w:b w:val="0"/>
              </w:rPr>
              <w:t>4.</w:t>
            </w:r>
          </w:p>
        </w:tc>
        <w:tc>
          <w:tcPr>
            <w:tcW w:w="4518" w:type="dxa"/>
          </w:tcPr>
          <w:p w:rsidR="00585B7B" w:rsidRPr="00507926" w:rsidRDefault="00585B7B" w:rsidP="003637A7">
            <w:pPr>
              <w:pStyle w:val="naisf"/>
              <w:spacing w:before="0" w:after="0"/>
              <w:ind w:firstLine="0"/>
              <w:jc w:val="left"/>
            </w:pPr>
            <w:r w:rsidRPr="00507926">
              <w:t>Projekta izpildes ietekme uz pārvaldes institucionālo struktūru.</w:t>
            </w:r>
          </w:p>
          <w:p w:rsidR="00585B7B" w:rsidRPr="00507926" w:rsidRDefault="00585B7B" w:rsidP="003637A7">
            <w:pPr>
              <w:pStyle w:val="naisf"/>
              <w:spacing w:before="0" w:after="0"/>
              <w:ind w:firstLine="0"/>
              <w:jc w:val="left"/>
            </w:pPr>
            <w:r w:rsidRPr="00507926">
              <w:t>Esošu institūciju likvidācija</w:t>
            </w:r>
          </w:p>
        </w:tc>
        <w:tc>
          <w:tcPr>
            <w:tcW w:w="4191" w:type="dxa"/>
          </w:tcPr>
          <w:p w:rsidR="00585B7B" w:rsidRPr="00507926" w:rsidRDefault="00585B7B" w:rsidP="003637A7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507926">
              <w:rPr>
                <w:b w:val="0"/>
                <w:iCs/>
              </w:rPr>
              <w:t>Nav</w:t>
            </w:r>
            <w:r w:rsidR="00CE1A38">
              <w:rPr>
                <w:b w:val="0"/>
                <w:iCs/>
              </w:rPr>
              <w:t xml:space="preserve"> attiecināms</w:t>
            </w:r>
            <w:r w:rsidR="004C4300">
              <w:rPr>
                <w:b w:val="0"/>
                <w:iCs/>
              </w:rPr>
              <w:t>.</w:t>
            </w:r>
          </w:p>
        </w:tc>
      </w:tr>
      <w:tr w:rsidR="00585B7B" w:rsidRPr="00507926" w:rsidTr="003637A7">
        <w:trPr>
          <w:trHeight w:val="830"/>
          <w:jc w:val="center"/>
        </w:trPr>
        <w:tc>
          <w:tcPr>
            <w:tcW w:w="490" w:type="dxa"/>
          </w:tcPr>
          <w:p w:rsidR="00585B7B" w:rsidRPr="00507926" w:rsidRDefault="00585B7B" w:rsidP="003637A7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507926">
              <w:rPr>
                <w:b w:val="0"/>
              </w:rPr>
              <w:t>5.</w:t>
            </w:r>
          </w:p>
        </w:tc>
        <w:tc>
          <w:tcPr>
            <w:tcW w:w="4518" w:type="dxa"/>
          </w:tcPr>
          <w:p w:rsidR="00585B7B" w:rsidRPr="00507926" w:rsidRDefault="00585B7B" w:rsidP="003637A7">
            <w:pPr>
              <w:pStyle w:val="naisf"/>
              <w:spacing w:before="0" w:after="0"/>
              <w:ind w:firstLine="0"/>
              <w:jc w:val="left"/>
            </w:pPr>
            <w:r w:rsidRPr="00507926">
              <w:t>Projekta izpildes ietekme uz pārvaldes institucionālo struktūru.</w:t>
            </w:r>
          </w:p>
          <w:p w:rsidR="00585B7B" w:rsidRPr="00507926" w:rsidRDefault="00585B7B" w:rsidP="003637A7">
            <w:pPr>
              <w:pStyle w:val="naisf"/>
              <w:spacing w:before="0" w:after="0"/>
              <w:ind w:firstLine="0"/>
              <w:jc w:val="left"/>
            </w:pPr>
            <w:r w:rsidRPr="00507926">
              <w:t>Esošu institūciju reorganizācija</w:t>
            </w:r>
          </w:p>
        </w:tc>
        <w:tc>
          <w:tcPr>
            <w:tcW w:w="4191" w:type="dxa"/>
          </w:tcPr>
          <w:p w:rsidR="00585B7B" w:rsidRPr="00507926" w:rsidRDefault="00585B7B" w:rsidP="003637A7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507926">
              <w:rPr>
                <w:b w:val="0"/>
                <w:iCs/>
              </w:rPr>
              <w:t>Nav</w:t>
            </w:r>
            <w:r w:rsidR="00CE1A38">
              <w:rPr>
                <w:b w:val="0"/>
                <w:iCs/>
              </w:rPr>
              <w:t xml:space="preserve"> attiecināms</w:t>
            </w:r>
            <w:r w:rsidR="004C4300">
              <w:rPr>
                <w:b w:val="0"/>
                <w:iCs/>
              </w:rPr>
              <w:t>.</w:t>
            </w:r>
          </w:p>
        </w:tc>
      </w:tr>
      <w:tr w:rsidR="00585B7B" w:rsidRPr="00507926" w:rsidTr="003637A7">
        <w:trPr>
          <w:trHeight w:val="251"/>
          <w:jc w:val="center"/>
        </w:trPr>
        <w:tc>
          <w:tcPr>
            <w:tcW w:w="490" w:type="dxa"/>
          </w:tcPr>
          <w:p w:rsidR="00585B7B" w:rsidRPr="00507926" w:rsidRDefault="00585B7B" w:rsidP="003637A7">
            <w:pPr>
              <w:pStyle w:val="naiskr"/>
              <w:spacing w:before="0" w:after="0"/>
            </w:pPr>
            <w:r w:rsidRPr="00507926">
              <w:t>6.</w:t>
            </w:r>
          </w:p>
        </w:tc>
        <w:tc>
          <w:tcPr>
            <w:tcW w:w="4518" w:type="dxa"/>
          </w:tcPr>
          <w:p w:rsidR="00585B7B" w:rsidRPr="00507926" w:rsidRDefault="00585B7B" w:rsidP="003637A7">
            <w:pPr>
              <w:pStyle w:val="naiskr"/>
              <w:spacing w:before="0" w:after="0"/>
            </w:pPr>
            <w:r w:rsidRPr="00507926">
              <w:t>Cita informācija</w:t>
            </w:r>
          </w:p>
        </w:tc>
        <w:tc>
          <w:tcPr>
            <w:tcW w:w="4191" w:type="dxa"/>
          </w:tcPr>
          <w:p w:rsidR="00585B7B" w:rsidRPr="00507926" w:rsidRDefault="00585B7B" w:rsidP="003637A7">
            <w:pPr>
              <w:pStyle w:val="naiskr"/>
              <w:spacing w:before="0" w:after="0"/>
            </w:pPr>
            <w:r w:rsidRPr="00507926">
              <w:t>Nav</w:t>
            </w:r>
            <w:r w:rsidR="004C4300">
              <w:t>.</w:t>
            </w:r>
          </w:p>
        </w:tc>
      </w:tr>
    </w:tbl>
    <w:p w:rsidR="003C5D6D" w:rsidRDefault="003C5D6D" w:rsidP="003C5D6D">
      <w:pPr>
        <w:rPr>
          <w:rFonts w:eastAsia="Times New Roman"/>
        </w:rPr>
      </w:pPr>
      <w:r w:rsidRPr="00661A10">
        <w:rPr>
          <w:rFonts w:eastAsia="Times New Roman"/>
        </w:rPr>
        <w:t xml:space="preserve">Anotācijas </w:t>
      </w:r>
      <w:r>
        <w:rPr>
          <w:rFonts w:eastAsia="Times New Roman"/>
        </w:rPr>
        <w:t xml:space="preserve">II, IV, V un VI </w:t>
      </w:r>
      <w:r w:rsidRPr="00661A10">
        <w:rPr>
          <w:rFonts w:eastAsia="Times New Roman"/>
        </w:rPr>
        <w:t>sadaļa – projekts šo jomu neskar.</w:t>
      </w:r>
    </w:p>
    <w:p w:rsidR="00947B39" w:rsidRDefault="00947B39" w:rsidP="00587C74">
      <w:pPr>
        <w:pStyle w:val="BodyText2"/>
        <w:spacing w:after="0" w:line="240" w:lineRule="auto"/>
        <w:jc w:val="both"/>
        <w:rPr>
          <w:sz w:val="26"/>
          <w:szCs w:val="26"/>
        </w:rPr>
      </w:pPr>
    </w:p>
    <w:p w:rsidR="003637A7" w:rsidRDefault="003637A7" w:rsidP="00587C74">
      <w:pPr>
        <w:pStyle w:val="BodyText2"/>
        <w:spacing w:after="0" w:line="240" w:lineRule="auto"/>
        <w:jc w:val="both"/>
        <w:rPr>
          <w:sz w:val="26"/>
          <w:szCs w:val="26"/>
        </w:rPr>
      </w:pPr>
    </w:p>
    <w:p w:rsidR="002C5129" w:rsidRDefault="00947B39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4E5F79" w:rsidRPr="00853AEA">
        <w:rPr>
          <w:sz w:val="26"/>
          <w:szCs w:val="26"/>
        </w:rPr>
        <w:t>ieslietu</w:t>
      </w:r>
      <w:r w:rsidR="007E5064">
        <w:rPr>
          <w:sz w:val="26"/>
          <w:szCs w:val="26"/>
        </w:rPr>
        <w:t xml:space="preserve"> ministra p.i.</w:t>
      </w:r>
    </w:p>
    <w:p w:rsidR="002C5129" w:rsidRDefault="008D21F0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kultūras ministre</w:t>
      </w:r>
      <w:r w:rsidR="007E5064">
        <w:rPr>
          <w:sz w:val="26"/>
          <w:szCs w:val="26"/>
        </w:rPr>
        <w:tab/>
      </w:r>
      <w:r w:rsidR="007E5064">
        <w:rPr>
          <w:sz w:val="26"/>
          <w:szCs w:val="26"/>
        </w:rPr>
        <w:tab/>
      </w:r>
      <w:r w:rsidR="007E5064">
        <w:rPr>
          <w:sz w:val="26"/>
          <w:szCs w:val="26"/>
        </w:rPr>
        <w:tab/>
      </w:r>
      <w:r w:rsidR="007E5064">
        <w:rPr>
          <w:sz w:val="26"/>
          <w:szCs w:val="26"/>
        </w:rPr>
        <w:tab/>
      </w:r>
      <w:r w:rsidR="007E5064">
        <w:rPr>
          <w:sz w:val="26"/>
          <w:szCs w:val="26"/>
        </w:rPr>
        <w:tab/>
      </w:r>
      <w:r w:rsidR="007E5064">
        <w:rPr>
          <w:sz w:val="26"/>
          <w:szCs w:val="26"/>
        </w:rPr>
        <w:tab/>
        <w:t>Ž.Jaunzeme-Grende</w:t>
      </w:r>
    </w:p>
    <w:p w:rsidR="00585B7B" w:rsidRPr="00853AEA" w:rsidRDefault="00585B7B" w:rsidP="00D96FCD">
      <w:pPr>
        <w:rPr>
          <w:sz w:val="26"/>
          <w:szCs w:val="26"/>
        </w:rPr>
      </w:pPr>
    </w:p>
    <w:p w:rsidR="00B42A40" w:rsidRDefault="00B42A40" w:rsidP="005D6B8A"/>
    <w:p w:rsidR="00062FE3" w:rsidRDefault="007E5064" w:rsidP="005D6B8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28</w:t>
      </w:r>
      <w:r w:rsidR="00247A9F">
        <w:rPr>
          <w:color w:val="000000"/>
          <w:sz w:val="20"/>
          <w:szCs w:val="20"/>
        </w:rPr>
        <w:t>.06.</w:t>
      </w:r>
      <w:r w:rsidR="005D6B8A" w:rsidRPr="006E69BE">
        <w:rPr>
          <w:color w:val="000000"/>
          <w:sz w:val="20"/>
          <w:szCs w:val="20"/>
        </w:rPr>
        <w:t>20</w:t>
      </w:r>
      <w:r w:rsidR="00BB61E2">
        <w:rPr>
          <w:color w:val="000000"/>
          <w:sz w:val="20"/>
          <w:szCs w:val="20"/>
        </w:rPr>
        <w:t>1</w:t>
      </w:r>
      <w:r w:rsidR="006463EE">
        <w:rPr>
          <w:color w:val="000000"/>
          <w:sz w:val="20"/>
          <w:szCs w:val="20"/>
        </w:rPr>
        <w:t>2</w:t>
      </w:r>
      <w:r w:rsidR="005D6B8A" w:rsidRPr="006E69BE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9</w:t>
      </w:r>
      <w:r w:rsidR="0027108E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05</w:t>
      </w:r>
      <w:bookmarkStart w:id="3" w:name="_GoBack"/>
      <w:bookmarkEnd w:id="3"/>
    </w:p>
    <w:p w:rsidR="00853AEA" w:rsidRPr="006E69BE" w:rsidRDefault="008D21F0" w:rsidP="005D6B8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780</w:t>
      </w:r>
    </w:p>
    <w:p w:rsidR="005D6B8A" w:rsidRPr="006E69BE" w:rsidRDefault="007E5064" w:rsidP="005D6B8A">
      <w:pPr>
        <w:rPr>
          <w:color w:val="000000"/>
          <w:sz w:val="20"/>
          <w:szCs w:val="20"/>
        </w:rPr>
      </w:pPr>
      <w:bookmarkStart w:id="4" w:name="OLE_LINK7"/>
      <w:bookmarkStart w:id="5" w:name="OLE_LINK8"/>
      <w:bookmarkStart w:id="6" w:name="OLE_LINK9"/>
      <w:bookmarkStart w:id="7" w:name="OLE_LINK12"/>
      <w:bookmarkStart w:id="8" w:name="OLE_LINK13"/>
      <w:r>
        <w:rPr>
          <w:color w:val="000000"/>
          <w:sz w:val="20"/>
          <w:szCs w:val="20"/>
        </w:rPr>
        <w:t>L.Dilba</w:t>
      </w:r>
    </w:p>
    <w:p w:rsidR="006463EE" w:rsidRDefault="006D6BB4" w:rsidP="00441B1D">
      <w:pPr>
        <w:rPr>
          <w:color w:val="000000"/>
          <w:sz w:val="20"/>
          <w:szCs w:val="20"/>
        </w:rPr>
      </w:pPr>
      <w:r w:rsidRPr="006E69BE">
        <w:rPr>
          <w:color w:val="000000"/>
          <w:sz w:val="20"/>
          <w:szCs w:val="20"/>
        </w:rPr>
        <w:t>670</w:t>
      </w:r>
      <w:r w:rsidR="004E5F79" w:rsidRPr="006E69BE">
        <w:rPr>
          <w:color w:val="000000"/>
          <w:sz w:val="20"/>
          <w:szCs w:val="20"/>
        </w:rPr>
        <w:t>36</w:t>
      </w:r>
      <w:r w:rsidR="007E5064">
        <w:rPr>
          <w:color w:val="000000"/>
          <w:sz w:val="20"/>
          <w:szCs w:val="20"/>
        </w:rPr>
        <w:t>736</w:t>
      </w:r>
      <w:r w:rsidR="005D6B8A" w:rsidRPr="006E69BE">
        <w:rPr>
          <w:color w:val="000000"/>
          <w:sz w:val="20"/>
          <w:szCs w:val="20"/>
        </w:rPr>
        <w:t xml:space="preserve">, </w:t>
      </w:r>
      <w:r w:rsidR="007E5064">
        <w:rPr>
          <w:color w:val="000000"/>
          <w:sz w:val="20"/>
          <w:szCs w:val="20"/>
        </w:rPr>
        <w:t>Lasma.Dilba</w:t>
      </w:r>
      <w:r w:rsidR="004E5F79" w:rsidRPr="006E69BE">
        <w:rPr>
          <w:color w:val="000000"/>
          <w:sz w:val="20"/>
          <w:szCs w:val="20"/>
        </w:rPr>
        <w:t>@t</w:t>
      </w:r>
      <w:r w:rsidR="005D6B8A" w:rsidRPr="006E69BE">
        <w:rPr>
          <w:color w:val="000000"/>
          <w:sz w:val="20"/>
          <w:szCs w:val="20"/>
        </w:rPr>
        <w:t>m.gov.lv</w:t>
      </w:r>
      <w:bookmarkEnd w:id="4"/>
      <w:bookmarkEnd w:id="5"/>
      <w:bookmarkEnd w:id="6"/>
      <w:bookmarkEnd w:id="7"/>
      <w:bookmarkEnd w:id="8"/>
    </w:p>
    <w:p w:rsidR="006463EE" w:rsidRDefault="006463EE" w:rsidP="006463EE">
      <w:pPr>
        <w:rPr>
          <w:sz w:val="20"/>
          <w:szCs w:val="20"/>
        </w:rPr>
      </w:pPr>
    </w:p>
    <w:p w:rsidR="00585B7B" w:rsidRPr="006463EE" w:rsidRDefault="006463EE" w:rsidP="006463EE">
      <w:pPr>
        <w:tabs>
          <w:tab w:val="left" w:pos="302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585B7B" w:rsidRPr="006463EE" w:rsidSect="00E938B9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ACB" w:rsidRDefault="008E1ACB" w:rsidP="00123E9B">
      <w:r>
        <w:separator/>
      </w:r>
    </w:p>
  </w:endnote>
  <w:endnote w:type="continuationSeparator" w:id="0">
    <w:p w:rsidR="008E1ACB" w:rsidRDefault="008E1ACB" w:rsidP="00123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BA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129" w:rsidRDefault="002C5129">
    <w:pPr>
      <w:jc w:val="both"/>
    </w:pPr>
    <w:fldSimple w:instr=" FILENAME   \* MERGEFORMAT ">
      <w:r w:rsidR="00E15795">
        <w:rPr>
          <w:noProof/>
          <w:sz w:val="20"/>
          <w:szCs w:val="20"/>
        </w:rPr>
        <w:t>TMAnot_010612_finlidz</w:t>
      </w:r>
    </w:fldSimple>
    <w:r w:rsidR="00E15795" w:rsidRPr="00D618ED">
      <w:rPr>
        <w:sz w:val="20"/>
        <w:szCs w:val="20"/>
      </w:rPr>
      <w:t xml:space="preserve">; Ministru kabineta rīkojuma projekta „Par finanšu līdzekļu piešķiršanu no valsts budžeta programmas „Līdzekļi neparedzētiem gadījumiem””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="00E15795" w:rsidRPr="00D618ED">
        <w:rPr>
          <w:sz w:val="20"/>
          <w:szCs w:val="20"/>
        </w:rPr>
        <w:t>ziņojums</w:t>
      </w:r>
    </w:smartTag>
    <w:r w:rsidR="00E15795" w:rsidRPr="00D618ED">
      <w:rPr>
        <w:sz w:val="20"/>
        <w:szCs w:val="20"/>
      </w:rPr>
      <w:t xml:space="preserve">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795" w:rsidRPr="00D618ED" w:rsidRDefault="002C5129" w:rsidP="006D6BB4">
    <w:pPr>
      <w:jc w:val="both"/>
      <w:rPr>
        <w:sz w:val="20"/>
        <w:szCs w:val="20"/>
      </w:rPr>
    </w:pPr>
    <w:fldSimple w:instr=" FILENAME   \* MERGEFORMAT ">
      <w:r w:rsidR="00E15795">
        <w:rPr>
          <w:noProof/>
          <w:sz w:val="20"/>
          <w:szCs w:val="20"/>
        </w:rPr>
        <w:t>TMAnot_010612_finlidz</w:t>
      </w:r>
    </w:fldSimple>
    <w:r w:rsidR="00E15795" w:rsidRPr="00D618ED">
      <w:rPr>
        <w:sz w:val="20"/>
        <w:szCs w:val="20"/>
      </w:rPr>
      <w:t xml:space="preserve">; Ministru kabineta rīkojuma projekta „Par finanšu līdzekļu piešķiršanu no valsts budžeta programmas „Līdzekļi neparedzētiem gadījumiem””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="00E15795" w:rsidRPr="00D618ED">
        <w:rPr>
          <w:sz w:val="20"/>
          <w:szCs w:val="20"/>
        </w:rPr>
        <w:t>ziņojums</w:t>
      </w:r>
    </w:smartTag>
    <w:r w:rsidR="00E15795" w:rsidRPr="00D618ED">
      <w:rPr>
        <w:sz w:val="20"/>
        <w:szCs w:val="20"/>
      </w:rPr>
      <w:t xml:space="preserve"> (anotācija)</w:t>
    </w:r>
  </w:p>
  <w:p w:rsidR="00E15795" w:rsidRPr="005D6B8A" w:rsidRDefault="00E15795" w:rsidP="006D6BB4">
    <w:pPr>
      <w:jc w:val="both"/>
    </w:pPr>
  </w:p>
  <w:p w:rsidR="00E15795" w:rsidRPr="006D6BB4" w:rsidRDefault="00E15795" w:rsidP="006D6B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ACB" w:rsidRDefault="008E1ACB" w:rsidP="00123E9B">
      <w:r>
        <w:separator/>
      </w:r>
    </w:p>
  </w:footnote>
  <w:footnote w:type="continuationSeparator" w:id="0">
    <w:p w:rsidR="008E1ACB" w:rsidRDefault="008E1ACB" w:rsidP="00123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795" w:rsidRDefault="002C5129">
    <w:pPr>
      <w:pStyle w:val="Header"/>
      <w:jc w:val="center"/>
    </w:pPr>
    <w:fldSimple w:instr=" PAGE   \* MERGEFORMAT ">
      <w:r w:rsidR="0090181D">
        <w:rPr>
          <w:noProof/>
        </w:rPr>
        <w:t>4</w:t>
      </w:r>
    </w:fldSimple>
  </w:p>
  <w:p w:rsidR="00E15795" w:rsidRDefault="00E15795">
    <w:pPr>
      <w:pStyle w:val="Header"/>
      <w:jc w:val="center"/>
    </w:pPr>
  </w:p>
  <w:p w:rsidR="00E15795" w:rsidRDefault="00E1579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36D55"/>
    <w:multiLevelType w:val="hybridMultilevel"/>
    <w:tmpl w:val="E9A632B6"/>
    <w:lvl w:ilvl="0" w:tplc="08AE7862">
      <w:start w:val="1"/>
      <w:numFmt w:val="decimal"/>
      <w:lvlText w:val="%1)"/>
      <w:lvlJc w:val="left"/>
      <w:pPr>
        <w:ind w:left="506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1" w:hanging="360"/>
      </w:pPr>
    </w:lvl>
    <w:lvl w:ilvl="2" w:tplc="0426001B" w:tentative="1">
      <w:start w:val="1"/>
      <w:numFmt w:val="lowerRoman"/>
      <w:lvlText w:val="%3."/>
      <w:lvlJc w:val="right"/>
      <w:pPr>
        <w:ind w:left="1871" w:hanging="180"/>
      </w:pPr>
    </w:lvl>
    <w:lvl w:ilvl="3" w:tplc="0426000F" w:tentative="1">
      <w:start w:val="1"/>
      <w:numFmt w:val="decimal"/>
      <w:lvlText w:val="%4."/>
      <w:lvlJc w:val="left"/>
      <w:pPr>
        <w:ind w:left="2591" w:hanging="360"/>
      </w:pPr>
    </w:lvl>
    <w:lvl w:ilvl="4" w:tplc="04260019" w:tentative="1">
      <w:start w:val="1"/>
      <w:numFmt w:val="lowerLetter"/>
      <w:lvlText w:val="%5."/>
      <w:lvlJc w:val="left"/>
      <w:pPr>
        <w:ind w:left="3311" w:hanging="360"/>
      </w:pPr>
    </w:lvl>
    <w:lvl w:ilvl="5" w:tplc="0426001B" w:tentative="1">
      <w:start w:val="1"/>
      <w:numFmt w:val="lowerRoman"/>
      <w:lvlText w:val="%6."/>
      <w:lvlJc w:val="right"/>
      <w:pPr>
        <w:ind w:left="4031" w:hanging="180"/>
      </w:pPr>
    </w:lvl>
    <w:lvl w:ilvl="6" w:tplc="0426000F" w:tentative="1">
      <w:start w:val="1"/>
      <w:numFmt w:val="decimal"/>
      <w:lvlText w:val="%7."/>
      <w:lvlJc w:val="left"/>
      <w:pPr>
        <w:ind w:left="4751" w:hanging="360"/>
      </w:pPr>
    </w:lvl>
    <w:lvl w:ilvl="7" w:tplc="04260019" w:tentative="1">
      <w:start w:val="1"/>
      <w:numFmt w:val="lowerLetter"/>
      <w:lvlText w:val="%8."/>
      <w:lvlJc w:val="left"/>
      <w:pPr>
        <w:ind w:left="5471" w:hanging="360"/>
      </w:pPr>
    </w:lvl>
    <w:lvl w:ilvl="8" w:tplc="0426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">
    <w:nsid w:val="58E63E71"/>
    <w:multiLevelType w:val="multilevel"/>
    <w:tmpl w:val="9EAA6D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5B9E0AED"/>
    <w:multiLevelType w:val="multilevel"/>
    <w:tmpl w:val="67AC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D96FCD"/>
    <w:rsid w:val="00000DEA"/>
    <w:rsid w:val="0000524B"/>
    <w:rsid w:val="00010590"/>
    <w:rsid w:val="00012EAE"/>
    <w:rsid w:val="00015833"/>
    <w:rsid w:val="00020CBF"/>
    <w:rsid w:val="0002374A"/>
    <w:rsid w:val="00033013"/>
    <w:rsid w:val="00033324"/>
    <w:rsid w:val="0003640B"/>
    <w:rsid w:val="00037B73"/>
    <w:rsid w:val="0004297E"/>
    <w:rsid w:val="00043F62"/>
    <w:rsid w:val="000463C5"/>
    <w:rsid w:val="000463EE"/>
    <w:rsid w:val="00046CDE"/>
    <w:rsid w:val="00047FE8"/>
    <w:rsid w:val="000550AE"/>
    <w:rsid w:val="00062FE3"/>
    <w:rsid w:val="000643E9"/>
    <w:rsid w:val="0006651A"/>
    <w:rsid w:val="00072B98"/>
    <w:rsid w:val="00074B8C"/>
    <w:rsid w:val="00083698"/>
    <w:rsid w:val="000849C2"/>
    <w:rsid w:val="000934D5"/>
    <w:rsid w:val="000A4403"/>
    <w:rsid w:val="000B0E68"/>
    <w:rsid w:val="000B3B3C"/>
    <w:rsid w:val="000C0BAF"/>
    <w:rsid w:val="000E3B94"/>
    <w:rsid w:val="000E5FDF"/>
    <w:rsid w:val="000E6393"/>
    <w:rsid w:val="00113501"/>
    <w:rsid w:val="00116669"/>
    <w:rsid w:val="00123E9B"/>
    <w:rsid w:val="001244A7"/>
    <w:rsid w:val="0012791B"/>
    <w:rsid w:val="00131A15"/>
    <w:rsid w:val="00132D10"/>
    <w:rsid w:val="001413A9"/>
    <w:rsid w:val="00147D9A"/>
    <w:rsid w:val="001720A2"/>
    <w:rsid w:val="00181D00"/>
    <w:rsid w:val="001824F8"/>
    <w:rsid w:val="0018329D"/>
    <w:rsid w:val="00186804"/>
    <w:rsid w:val="00186DF5"/>
    <w:rsid w:val="001904B3"/>
    <w:rsid w:val="00194A0F"/>
    <w:rsid w:val="00195B8B"/>
    <w:rsid w:val="001A6E9C"/>
    <w:rsid w:val="001B08CD"/>
    <w:rsid w:val="001B32BB"/>
    <w:rsid w:val="001C15CD"/>
    <w:rsid w:val="001C60B1"/>
    <w:rsid w:val="001D7C74"/>
    <w:rsid w:val="001E0DBE"/>
    <w:rsid w:val="001E4EFD"/>
    <w:rsid w:val="001E707B"/>
    <w:rsid w:val="002005CA"/>
    <w:rsid w:val="0020083C"/>
    <w:rsid w:val="002054CB"/>
    <w:rsid w:val="002143D3"/>
    <w:rsid w:val="0021458D"/>
    <w:rsid w:val="00247A9F"/>
    <w:rsid w:val="002637C0"/>
    <w:rsid w:val="00264277"/>
    <w:rsid w:val="002671AA"/>
    <w:rsid w:val="00270E39"/>
    <w:rsid w:val="0027108E"/>
    <w:rsid w:val="00272248"/>
    <w:rsid w:val="0028791A"/>
    <w:rsid w:val="00295345"/>
    <w:rsid w:val="002B54F6"/>
    <w:rsid w:val="002C5129"/>
    <w:rsid w:val="002E011D"/>
    <w:rsid w:val="002E0592"/>
    <w:rsid w:val="002E22C2"/>
    <w:rsid w:val="002E35E0"/>
    <w:rsid w:val="0030111D"/>
    <w:rsid w:val="0030752F"/>
    <w:rsid w:val="00310664"/>
    <w:rsid w:val="003135BA"/>
    <w:rsid w:val="0032217C"/>
    <w:rsid w:val="00326649"/>
    <w:rsid w:val="00326FFD"/>
    <w:rsid w:val="00357A2C"/>
    <w:rsid w:val="00363092"/>
    <w:rsid w:val="003637A7"/>
    <w:rsid w:val="003859C0"/>
    <w:rsid w:val="003906FF"/>
    <w:rsid w:val="003A193D"/>
    <w:rsid w:val="003A6F5B"/>
    <w:rsid w:val="003B465C"/>
    <w:rsid w:val="003C2A60"/>
    <w:rsid w:val="003C5D6D"/>
    <w:rsid w:val="003F43C8"/>
    <w:rsid w:val="003F52B5"/>
    <w:rsid w:val="003F786B"/>
    <w:rsid w:val="00411CF0"/>
    <w:rsid w:val="00441B1D"/>
    <w:rsid w:val="00453435"/>
    <w:rsid w:val="004560F5"/>
    <w:rsid w:val="00476508"/>
    <w:rsid w:val="004804CE"/>
    <w:rsid w:val="004940B7"/>
    <w:rsid w:val="004B617C"/>
    <w:rsid w:val="004C4300"/>
    <w:rsid w:val="004E5F79"/>
    <w:rsid w:val="004E7946"/>
    <w:rsid w:val="004F1142"/>
    <w:rsid w:val="00507926"/>
    <w:rsid w:val="005176CE"/>
    <w:rsid w:val="0054282E"/>
    <w:rsid w:val="00565777"/>
    <w:rsid w:val="00575786"/>
    <w:rsid w:val="005806A8"/>
    <w:rsid w:val="00585B7B"/>
    <w:rsid w:val="00587C74"/>
    <w:rsid w:val="00590DD0"/>
    <w:rsid w:val="0059354C"/>
    <w:rsid w:val="005A02DC"/>
    <w:rsid w:val="005A7608"/>
    <w:rsid w:val="005C1641"/>
    <w:rsid w:val="005C278A"/>
    <w:rsid w:val="005D1FD0"/>
    <w:rsid w:val="005D4A0C"/>
    <w:rsid w:val="005D6B8A"/>
    <w:rsid w:val="00615FD8"/>
    <w:rsid w:val="00616477"/>
    <w:rsid w:val="0062334B"/>
    <w:rsid w:val="006337E8"/>
    <w:rsid w:val="00634A70"/>
    <w:rsid w:val="006463EE"/>
    <w:rsid w:val="00654274"/>
    <w:rsid w:val="00656562"/>
    <w:rsid w:val="0065692E"/>
    <w:rsid w:val="0067139C"/>
    <w:rsid w:val="00676573"/>
    <w:rsid w:val="006806DE"/>
    <w:rsid w:val="00684A2E"/>
    <w:rsid w:val="00685380"/>
    <w:rsid w:val="00691229"/>
    <w:rsid w:val="00693E2C"/>
    <w:rsid w:val="006A20B2"/>
    <w:rsid w:val="006A5B29"/>
    <w:rsid w:val="006A795C"/>
    <w:rsid w:val="006A7A10"/>
    <w:rsid w:val="006B0228"/>
    <w:rsid w:val="006B1961"/>
    <w:rsid w:val="006B232C"/>
    <w:rsid w:val="006D512D"/>
    <w:rsid w:val="006D5A81"/>
    <w:rsid w:val="006D6BB4"/>
    <w:rsid w:val="006D759A"/>
    <w:rsid w:val="006E6160"/>
    <w:rsid w:val="006E69BE"/>
    <w:rsid w:val="006E768C"/>
    <w:rsid w:val="006F3DD2"/>
    <w:rsid w:val="00701770"/>
    <w:rsid w:val="00714715"/>
    <w:rsid w:val="007213F1"/>
    <w:rsid w:val="0072336C"/>
    <w:rsid w:val="0075045D"/>
    <w:rsid w:val="00775647"/>
    <w:rsid w:val="00776EE1"/>
    <w:rsid w:val="00782A74"/>
    <w:rsid w:val="0078305D"/>
    <w:rsid w:val="0079317A"/>
    <w:rsid w:val="007A7E67"/>
    <w:rsid w:val="007C0F2C"/>
    <w:rsid w:val="007C231C"/>
    <w:rsid w:val="007C5877"/>
    <w:rsid w:val="007E3D8E"/>
    <w:rsid w:val="007E5064"/>
    <w:rsid w:val="007F1F1C"/>
    <w:rsid w:val="00804B8C"/>
    <w:rsid w:val="0082231A"/>
    <w:rsid w:val="00830605"/>
    <w:rsid w:val="00831A72"/>
    <w:rsid w:val="00833D7A"/>
    <w:rsid w:val="00835165"/>
    <w:rsid w:val="0084066D"/>
    <w:rsid w:val="00842544"/>
    <w:rsid w:val="00844660"/>
    <w:rsid w:val="0085017D"/>
    <w:rsid w:val="00853AEA"/>
    <w:rsid w:val="00891896"/>
    <w:rsid w:val="00892CEB"/>
    <w:rsid w:val="00892DC2"/>
    <w:rsid w:val="008A13D1"/>
    <w:rsid w:val="008A60A4"/>
    <w:rsid w:val="008B53EA"/>
    <w:rsid w:val="008C28CD"/>
    <w:rsid w:val="008C2A23"/>
    <w:rsid w:val="008D21F0"/>
    <w:rsid w:val="008D28DE"/>
    <w:rsid w:val="008D7D52"/>
    <w:rsid w:val="008E1ACB"/>
    <w:rsid w:val="008E5530"/>
    <w:rsid w:val="008E5C3F"/>
    <w:rsid w:val="008F245F"/>
    <w:rsid w:val="008F3268"/>
    <w:rsid w:val="0090181D"/>
    <w:rsid w:val="00901B63"/>
    <w:rsid w:val="00907E6F"/>
    <w:rsid w:val="00910FB5"/>
    <w:rsid w:val="009122A7"/>
    <w:rsid w:val="00913388"/>
    <w:rsid w:val="00917CC0"/>
    <w:rsid w:val="00920AFE"/>
    <w:rsid w:val="009254BE"/>
    <w:rsid w:val="009343C2"/>
    <w:rsid w:val="00943700"/>
    <w:rsid w:val="00944333"/>
    <w:rsid w:val="00944ABF"/>
    <w:rsid w:val="00947B39"/>
    <w:rsid w:val="009547CC"/>
    <w:rsid w:val="00957114"/>
    <w:rsid w:val="009651B0"/>
    <w:rsid w:val="009736D3"/>
    <w:rsid w:val="00995D97"/>
    <w:rsid w:val="009A28E1"/>
    <w:rsid w:val="009B7D10"/>
    <w:rsid w:val="009D3CF6"/>
    <w:rsid w:val="009E4529"/>
    <w:rsid w:val="009F38CD"/>
    <w:rsid w:val="009F41FE"/>
    <w:rsid w:val="009F5B27"/>
    <w:rsid w:val="00A07D47"/>
    <w:rsid w:val="00A208FB"/>
    <w:rsid w:val="00A41AFD"/>
    <w:rsid w:val="00A739AB"/>
    <w:rsid w:val="00A819E9"/>
    <w:rsid w:val="00A9391C"/>
    <w:rsid w:val="00AA0527"/>
    <w:rsid w:val="00AC0D88"/>
    <w:rsid w:val="00AC1E24"/>
    <w:rsid w:val="00AD1E01"/>
    <w:rsid w:val="00AD5981"/>
    <w:rsid w:val="00AE38F5"/>
    <w:rsid w:val="00AE5461"/>
    <w:rsid w:val="00AF07DF"/>
    <w:rsid w:val="00AF5EAE"/>
    <w:rsid w:val="00B03742"/>
    <w:rsid w:val="00B10B0B"/>
    <w:rsid w:val="00B336D8"/>
    <w:rsid w:val="00B411EC"/>
    <w:rsid w:val="00B42A40"/>
    <w:rsid w:val="00B56449"/>
    <w:rsid w:val="00B64CA1"/>
    <w:rsid w:val="00B73E1E"/>
    <w:rsid w:val="00B859E8"/>
    <w:rsid w:val="00B97591"/>
    <w:rsid w:val="00BA2560"/>
    <w:rsid w:val="00BA30EC"/>
    <w:rsid w:val="00BA57F2"/>
    <w:rsid w:val="00BA71DA"/>
    <w:rsid w:val="00BB302C"/>
    <w:rsid w:val="00BB61E2"/>
    <w:rsid w:val="00BD357A"/>
    <w:rsid w:val="00BF0C10"/>
    <w:rsid w:val="00BF4049"/>
    <w:rsid w:val="00BF7C57"/>
    <w:rsid w:val="00C1425B"/>
    <w:rsid w:val="00C31C0D"/>
    <w:rsid w:val="00C54FEB"/>
    <w:rsid w:val="00C55762"/>
    <w:rsid w:val="00C71DBA"/>
    <w:rsid w:val="00C7786E"/>
    <w:rsid w:val="00C92FD7"/>
    <w:rsid w:val="00C94CAC"/>
    <w:rsid w:val="00C9721C"/>
    <w:rsid w:val="00CA6985"/>
    <w:rsid w:val="00CA7E7C"/>
    <w:rsid w:val="00CB483C"/>
    <w:rsid w:val="00CB7A72"/>
    <w:rsid w:val="00CD7C93"/>
    <w:rsid w:val="00CE1539"/>
    <w:rsid w:val="00CE1A38"/>
    <w:rsid w:val="00CE2B81"/>
    <w:rsid w:val="00CF4589"/>
    <w:rsid w:val="00CF465D"/>
    <w:rsid w:val="00D17A1A"/>
    <w:rsid w:val="00D30200"/>
    <w:rsid w:val="00D323CD"/>
    <w:rsid w:val="00D34CD2"/>
    <w:rsid w:val="00D423E3"/>
    <w:rsid w:val="00D505DE"/>
    <w:rsid w:val="00D51380"/>
    <w:rsid w:val="00D618ED"/>
    <w:rsid w:val="00D75260"/>
    <w:rsid w:val="00D80756"/>
    <w:rsid w:val="00D82AE2"/>
    <w:rsid w:val="00D96FCD"/>
    <w:rsid w:val="00DA30DA"/>
    <w:rsid w:val="00DA3291"/>
    <w:rsid w:val="00DA452C"/>
    <w:rsid w:val="00DB1071"/>
    <w:rsid w:val="00DB6BB3"/>
    <w:rsid w:val="00DC11F3"/>
    <w:rsid w:val="00DC4DFE"/>
    <w:rsid w:val="00DC4F8D"/>
    <w:rsid w:val="00DC5E40"/>
    <w:rsid w:val="00DC7BFF"/>
    <w:rsid w:val="00DD2381"/>
    <w:rsid w:val="00DD7220"/>
    <w:rsid w:val="00DF44D5"/>
    <w:rsid w:val="00E01C03"/>
    <w:rsid w:val="00E1182B"/>
    <w:rsid w:val="00E15795"/>
    <w:rsid w:val="00E15E97"/>
    <w:rsid w:val="00E167E0"/>
    <w:rsid w:val="00E16A35"/>
    <w:rsid w:val="00E21B4B"/>
    <w:rsid w:val="00E41CFE"/>
    <w:rsid w:val="00E608C5"/>
    <w:rsid w:val="00E64BB6"/>
    <w:rsid w:val="00E91DF4"/>
    <w:rsid w:val="00E938B9"/>
    <w:rsid w:val="00EA42B7"/>
    <w:rsid w:val="00EB7D72"/>
    <w:rsid w:val="00EC0598"/>
    <w:rsid w:val="00EC6941"/>
    <w:rsid w:val="00EC70B9"/>
    <w:rsid w:val="00EC7BBC"/>
    <w:rsid w:val="00ED6681"/>
    <w:rsid w:val="00EE676B"/>
    <w:rsid w:val="00EE7D3E"/>
    <w:rsid w:val="00F01660"/>
    <w:rsid w:val="00F1205C"/>
    <w:rsid w:val="00F14FA0"/>
    <w:rsid w:val="00F25559"/>
    <w:rsid w:val="00F42C04"/>
    <w:rsid w:val="00F43A06"/>
    <w:rsid w:val="00F535A5"/>
    <w:rsid w:val="00F63024"/>
    <w:rsid w:val="00F71637"/>
    <w:rsid w:val="00F93F8B"/>
    <w:rsid w:val="00FC0FB1"/>
    <w:rsid w:val="00FC6855"/>
    <w:rsid w:val="00FD000C"/>
    <w:rsid w:val="00FD4747"/>
    <w:rsid w:val="00FD7331"/>
    <w:rsid w:val="00FE3414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2"/>
  <w:smartTagType w:namespaceuri="schemas-tilde-lv/tildestengine" w:name="veidnes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FCD"/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96FCD"/>
    <w:pPr>
      <w:keepNext/>
      <w:ind w:firstLine="709"/>
      <w:outlineLvl w:val="4"/>
    </w:pPr>
    <w:rPr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locked/>
    <w:rsid w:val="00D96FCD"/>
    <w:rPr>
      <w:rFonts w:ascii="Times New Roman" w:hAnsi="Times New Roman" w:cs="Times New Roman"/>
      <w:sz w:val="20"/>
      <w:szCs w:val="20"/>
      <w:lang w:val="en-US"/>
    </w:rPr>
  </w:style>
  <w:style w:type="paragraph" w:customStyle="1" w:styleId="naisf">
    <w:name w:val="naisf"/>
    <w:basedOn w:val="Normal"/>
    <w:rsid w:val="00D96FCD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D96FCD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D96FCD"/>
    <w:pPr>
      <w:spacing w:before="75" w:after="75"/>
    </w:pPr>
  </w:style>
  <w:style w:type="table" w:styleId="TableGrid">
    <w:name w:val="Table Grid"/>
    <w:basedOn w:val="TableNormal"/>
    <w:rsid w:val="00D96FC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D96F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D96FCD"/>
    <w:rPr>
      <w:rFonts w:ascii="Times New Roman" w:hAnsi="Times New Roman" w:cs="Times New Roman"/>
      <w:sz w:val="20"/>
      <w:szCs w:val="20"/>
      <w:lang w:eastAsia="lv-LV"/>
    </w:rPr>
  </w:style>
  <w:style w:type="paragraph" w:styleId="BodyTextIndent2">
    <w:name w:val="Body Text Indent 2"/>
    <w:basedOn w:val="Normal"/>
    <w:link w:val="BodyTextIndent2Char"/>
    <w:semiHidden/>
    <w:rsid w:val="00D96F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rsid w:val="00D96F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D96F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semiHidden/>
    <w:rsid w:val="00D96FC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84466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3A193D"/>
    <w:rPr>
      <w:b/>
      <w:bCs/>
      <w:i w:val="0"/>
      <w:iCs w:val="0"/>
    </w:rPr>
  </w:style>
  <w:style w:type="character" w:customStyle="1" w:styleId="std1">
    <w:name w:val="std1"/>
    <w:basedOn w:val="DefaultParagraphFont"/>
    <w:rsid w:val="003A193D"/>
    <w:rPr>
      <w:rFonts w:ascii="Arial" w:hAnsi="Arial" w:cs="Arial" w:hint="default"/>
      <w:sz w:val="24"/>
      <w:szCs w:val="24"/>
    </w:rPr>
  </w:style>
  <w:style w:type="paragraph" w:styleId="BodyText2">
    <w:name w:val="Body Text 2"/>
    <w:basedOn w:val="Normal"/>
    <w:link w:val="BodyText2Char"/>
    <w:rsid w:val="00587C74"/>
    <w:pPr>
      <w:spacing w:after="120" w:line="480" w:lineRule="auto"/>
    </w:pPr>
    <w:rPr>
      <w:rFonts w:eastAsia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rsid w:val="00587C7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H4">
    <w:name w:val="H4"/>
    <w:rsid w:val="00272248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507926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07926"/>
    <w:rPr>
      <w:rFonts w:ascii="Consolas" w:hAnsi="Consolas"/>
      <w:sz w:val="21"/>
      <w:szCs w:val="21"/>
      <w:lang w:eastAsia="en-US"/>
    </w:rPr>
  </w:style>
  <w:style w:type="character" w:styleId="PageNumber">
    <w:name w:val="page number"/>
    <w:basedOn w:val="DefaultParagraphFont"/>
    <w:rsid w:val="001E0DBE"/>
  </w:style>
  <w:style w:type="paragraph" w:styleId="NormalWeb">
    <w:name w:val="Normal (Web)"/>
    <w:basedOn w:val="Normal"/>
    <w:uiPriority w:val="99"/>
    <w:unhideWhenUsed/>
    <w:rsid w:val="00A41AFD"/>
    <w:pPr>
      <w:spacing w:before="100" w:beforeAutospacing="1" w:after="100" w:afterAutospacing="1"/>
    </w:pPr>
    <w:rPr>
      <w:rFonts w:ascii="Verdana" w:eastAsia="Times New Roman" w:hAnsi="Verdana"/>
      <w:sz w:val="18"/>
      <w:szCs w:val="18"/>
    </w:rPr>
  </w:style>
  <w:style w:type="character" w:styleId="CommentReference">
    <w:name w:val="annotation reference"/>
    <w:basedOn w:val="DefaultParagraphFont"/>
    <w:rsid w:val="00D618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8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18ED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61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18ED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rsid w:val="00D61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18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291"/>
    <w:pPr>
      <w:ind w:left="720"/>
      <w:contextualSpacing/>
      <w:jc w:val="both"/>
    </w:pPr>
    <w:rPr>
      <w:rFonts w:eastAsia="Times New Roman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31473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3552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3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9E165-7833-4D98-8684-7B03480D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3943</Words>
  <Characters>2248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„Par finanšu līdzekļu piešķiršanu no valsts budžeta programmas „Līdzekļi neparedzētiem gadījumiem”” sākotnējās ietekmes novērtējuma ziņojums (anotācija)</vt:lpstr>
      <vt:lpstr>Ministru kabineta rīkojuma projekta „Par finanšu līdzekļu piešķiršanu no valsts budžeta programmas „Līdzekļi neparedzētiem gadījumiem”” sākotnējās ietekmes novērtējuma ziņojums (anotācija)</vt:lpstr>
    </vt:vector>
  </TitlesOfParts>
  <Company>Tieslietu Ministrija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finanšu līdzekļu piešķiršanu no valsts budžeta programmas „Līdzekļi neparedzētiem gadījumiem”” sākotnējās ietekmes novērtējuma ziņojums (anotācija)</dc:title>
  <dc:subject>Sākotnējās ietekmes novērtējuma ziņojums (anotācija)</dc:subject>
  <dc:creator>Lāsma Dilba</dc:creator>
  <dc:description>Lasma.Dilba@tm.gov.lv  67036736</dc:description>
  <cp:lastModifiedBy>ld1201</cp:lastModifiedBy>
  <cp:revision>3</cp:revision>
  <cp:lastPrinted>2012-05-25T07:08:00Z</cp:lastPrinted>
  <dcterms:created xsi:type="dcterms:W3CDTF">2012-06-28T06:29:00Z</dcterms:created>
  <dcterms:modified xsi:type="dcterms:W3CDTF">2012-06-28T06:32:00Z</dcterms:modified>
</cp:coreProperties>
</file>