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64" w:rsidRPr="006A56D1" w:rsidRDefault="004C361F" w:rsidP="00CB12E1">
      <w:pPr>
        <w:pStyle w:val="Virsraksts4"/>
        <w:rPr>
          <w:b/>
          <w:szCs w:val="24"/>
        </w:rPr>
      </w:pPr>
      <w:r w:rsidRPr="006A56D1">
        <w:rPr>
          <w:b/>
          <w:szCs w:val="24"/>
        </w:rPr>
        <w:t xml:space="preserve">Ministru kabineta noteikumu </w:t>
      </w:r>
      <w:r w:rsidR="00B02BC9" w:rsidRPr="006A56D1">
        <w:rPr>
          <w:b/>
          <w:szCs w:val="24"/>
        </w:rPr>
        <w:t>projekta</w:t>
      </w:r>
    </w:p>
    <w:p w:rsidR="00BA3F64" w:rsidRPr="006A56D1" w:rsidRDefault="007203D6" w:rsidP="00CB12E1">
      <w:pPr>
        <w:pStyle w:val="naisc"/>
        <w:spacing w:before="0" w:beforeAutospacing="0" w:after="0" w:afterAutospacing="0"/>
        <w:rPr>
          <w:b/>
          <w:sz w:val="24"/>
          <w:szCs w:val="24"/>
        </w:rPr>
      </w:pPr>
      <w:r w:rsidRPr="006A56D1">
        <w:rPr>
          <w:b/>
          <w:bCs/>
          <w:sz w:val="24"/>
          <w:szCs w:val="24"/>
        </w:rPr>
        <w:t>„</w:t>
      </w:r>
      <w:r w:rsidR="004C361F" w:rsidRPr="006A56D1">
        <w:rPr>
          <w:b/>
          <w:bCs/>
          <w:sz w:val="24"/>
          <w:szCs w:val="24"/>
        </w:rPr>
        <w:t>Grozījumi Ministru kabineta 2002.gada 9.decembra noteikumos Nr.534 „Kārtība, kādā saņemams profesionālās kvalifikācijas sertifikāts nekustamā īpašuma novērtēšanai”</w:t>
      </w:r>
      <w:r w:rsidRPr="006A56D1">
        <w:rPr>
          <w:b/>
          <w:bCs/>
          <w:sz w:val="24"/>
          <w:szCs w:val="24"/>
        </w:rPr>
        <w:t>”</w:t>
      </w:r>
      <w:r w:rsidR="004C361F" w:rsidRPr="006A56D1">
        <w:rPr>
          <w:b/>
          <w:sz w:val="24"/>
          <w:szCs w:val="24"/>
        </w:rPr>
        <w:t xml:space="preserve"> </w:t>
      </w:r>
      <w:r w:rsidR="00BA3F64" w:rsidRPr="006A56D1">
        <w:rPr>
          <w:b/>
          <w:sz w:val="24"/>
          <w:szCs w:val="24"/>
        </w:rPr>
        <w:t xml:space="preserve">sākotnējās ietekmes novērtējuma </w:t>
      </w:r>
      <w:smartTag w:uri="schemas-tilde-lv/tildestengine" w:element="veidnes">
        <w:smartTagPr>
          <w:attr w:name="text" w:val="ziņojums"/>
          <w:attr w:name="baseform" w:val="ziņojums"/>
          <w:attr w:name="id" w:val="-1"/>
        </w:smartTagPr>
        <w:r w:rsidR="00BA3F64" w:rsidRPr="006A56D1">
          <w:rPr>
            <w:b/>
            <w:sz w:val="24"/>
            <w:szCs w:val="24"/>
          </w:rPr>
          <w:t>ziņojums</w:t>
        </w:r>
      </w:smartTag>
      <w:r w:rsidR="00BA3F64" w:rsidRPr="006A56D1">
        <w:rPr>
          <w:b/>
          <w:sz w:val="24"/>
          <w:szCs w:val="24"/>
        </w:rPr>
        <w:t xml:space="preserve"> (anotācija)</w:t>
      </w:r>
    </w:p>
    <w:p w:rsidR="004B7B6F" w:rsidRPr="006A56D1" w:rsidRDefault="004B7B6F" w:rsidP="00CB12E1">
      <w:pPr>
        <w:pStyle w:val="naisc"/>
        <w:spacing w:before="0" w:beforeAutospacing="0" w:after="0" w:afterAutospacing="0"/>
        <w:rPr>
          <w:b/>
          <w:sz w:val="24"/>
          <w:szCs w:val="24"/>
        </w:rPr>
      </w:pPr>
    </w:p>
    <w:tbl>
      <w:tblPr>
        <w:tblW w:w="9640"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426"/>
        <w:gridCol w:w="1701"/>
        <w:gridCol w:w="7513"/>
      </w:tblGrid>
      <w:tr w:rsidR="00BA3F64" w:rsidRPr="006A56D1">
        <w:trPr>
          <w:trHeight w:val="35"/>
        </w:trPr>
        <w:tc>
          <w:tcPr>
            <w:tcW w:w="9640" w:type="dxa"/>
            <w:gridSpan w:val="3"/>
            <w:tcBorders>
              <w:top w:val="single" w:sz="4" w:space="0" w:color="auto"/>
              <w:left w:val="single" w:sz="4" w:space="0" w:color="auto"/>
              <w:bottom w:val="thickThinLargeGap" w:sz="6" w:space="0" w:color="808080"/>
              <w:right w:val="single" w:sz="4" w:space="0" w:color="auto"/>
            </w:tcBorders>
          </w:tcPr>
          <w:p w:rsidR="00BA3F64" w:rsidRPr="006A56D1" w:rsidRDefault="00BA3F64" w:rsidP="00E13176">
            <w:pPr>
              <w:pStyle w:val="naisc"/>
              <w:spacing w:before="0" w:beforeAutospacing="0" w:after="0" w:afterAutospacing="0"/>
              <w:rPr>
                <w:sz w:val="24"/>
                <w:szCs w:val="24"/>
              </w:rPr>
            </w:pPr>
            <w:r w:rsidRPr="006A56D1">
              <w:rPr>
                <w:b/>
                <w:sz w:val="24"/>
                <w:szCs w:val="24"/>
              </w:rPr>
              <w:t xml:space="preserve">I. Kādēļ normatīvais </w:t>
            </w:r>
            <w:smartTag w:uri="schemas-tilde-lv/tildestengine" w:element="veidnes">
              <w:smartTagPr>
                <w:attr w:name="text" w:val="akts"/>
                <w:attr w:name="baseform" w:val="akts"/>
                <w:attr w:name="id" w:val="-1"/>
              </w:smartTagPr>
              <w:r w:rsidRPr="006A56D1">
                <w:rPr>
                  <w:b/>
                  <w:sz w:val="24"/>
                  <w:szCs w:val="24"/>
                </w:rPr>
                <w:t>akts</w:t>
              </w:r>
            </w:smartTag>
            <w:r w:rsidRPr="006A56D1">
              <w:rPr>
                <w:b/>
                <w:sz w:val="24"/>
                <w:szCs w:val="24"/>
              </w:rPr>
              <w:t xml:space="preserve"> ir vajadzīgs</w:t>
            </w:r>
          </w:p>
        </w:tc>
      </w:tr>
      <w:tr w:rsidR="00BA3F64" w:rsidRPr="006A56D1" w:rsidTr="00CB12E1">
        <w:trPr>
          <w:trHeight w:val="47"/>
        </w:trPr>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naisf"/>
              <w:spacing w:before="0" w:beforeAutospacing="0" w:after="0" w:afterAutospacing="0"/>
              <w:rPr>
                <w:bCs/>
                <w:szCs w:val="24"/>
              </w:rPr>
            </w:pPr>
            <w:r w:rsidRPr="006A56D1">
              <w:rPr>
                <w:szCs w:val="24"/>
              </w:rPr>
              <w:t>1.</w:t>
            </w:r>
          </w:p>
        </w:tc>
        <w:tc>
          <w:tcPr>
            <w:tcW w:w="1701"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naisf"/>
              <w:spacing w:before="0" w:beforeAutospacing="0" w:after="0" w:afterAutospacing="0"/>
              <w:rPr>
                <w:bCs/>
                <w:szCs w:val="24"/>
              </w:rPr>
            </w:pPr>
            <w:r w:rsidRPr="006A56D1">
              <w:rPr>
                <w:szCs w:val="24"/>
              </w:rPr>
              <w:t>Pamatojums</w:t>
            </w:r>
          </w:p>
        </w:tc>
        <w:tc>
          <w:tcPr>
            <w:tcW w:w="7513" w:type="dxa"/>
            <w:tcBorders>
              <w:top w:val="single" w:sz="4" w:space="0" w:color="auto"/>
              <w:left w:val="single" w:sz="4" w:space="0" w:color="auto"/>
              <w:bottom w:val="single" w:sz="4" w:space="0" w:color="auto"/>
              <w:right w:val="single" w:sz="4" w:space="0" w:color="auto"/>
            </w:tcBorders>
          </w:tcPr>
          <w:p w:rsidR="0074389E" w:rsidRPr="006A56D1" w:rsidRDefault="00F859A3" w:rsidP="00103FAF">
            <w:pPr>
              <w:jc w:val="both"/>
            </w:pPr>
            <w:bookmarkStart w:id="0" w:name="OLE_LINK3"/>
            <w:bookmarkStart w:id="1" w:name="OLE_LINK4"/>
            <w:r w:rsidRPr="006A56D1">
              <w:t>Pasākumu plān</w:t>
            </w:r>
            <w:r w:rsidR="00103FAF" w:rsidRPr="006A56D1">
              <w:t>s</w:t>
            </w:r>
            <w:r w:rsidRPr="006A56D1">
              <w:t xml:space="preserve"> "klusēšanas – piekrišanas" principa ieviešanai un piemērošanai atbildīgo institūciju administratīvajā praksē</w:t>
            </w:r>
            <w:r w:rsidR="00103FAF" w:rsidRPr="006A56D1">
              <w:t>.</w:t>
            </w:r>
            <w:r w:rsidRPr="006A56D1">
              <w:t xml:space="preserve"> </w:t>
            </w:r>
            <w:r w:rsidR="00103FAF" w:rsidRPr="006A56D1">
              <w:t>A</w:t>
            </w:r>
            <w:r w:rsidRPr="006A56D1">
              <w:t>pstiprināts ar 2012.gada 12.jūnija Ministru kabineta rīkojumu Nr.264</w:t>
            </w:r>
            <w:bookmarkEnd w:id="0"/>
            <w:bookmarkEnd w:id="1"/>
            <w:r w:rsidR="00EC6306" w:rsidRPr="006A56D1">
              <w:t>.</w:t>
            </w:r>
          </w:p>
          <w:p w:rsidR="009549F4" w:rsidRPr="006A56D1" w:rsidRDefault="009549F4" w:rsidP="00103FAF">
            <w:pPr>
              <w:jc w:val="both"/>
            </w:pPr>
            <w:r w:rsidRPr="006A56D1">
              <w:t>Brīvas pakalpojumu sniegšanas likuma 14.panta sestā daļa</w:t>
            </w:r>
            <w:r w:rsidR="00EC6306" w:rsidRPr="006A56D1">
              <w:t>.</w:t>
            </w:r>
          </w:p>
        </w:tc>
      </w:tr>
      <w:tr w:rsidR="00BA3F64" w:rsidRPr="006A56D1" w:rsidTr="00CB12E1">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naisf"/>
              <w:spacing w:before="0" w:beforeAutospacing="0" w:after="0" w:afterAutospacing="0"/>
              <w:rPr>
                <w:bCs/>
                <w:szCs w:val="24"/>
              </w:rPr>
            </w:pPr>
            <w:r w:rsidRPr="006A56D1">
              <w:rPr>
                <w:szCs w:val="24"/>
              </w:rPr>
              <w:t>2. </w:t>
            </w:r>
          </w:p>
        </w:tc>
        <w:tc>
          <w:tcPr>
            <w:tcW w:w="1701"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naisf"/>
              <w:spacing w:before="0" w:beforeAutospacing="0" w:after="0" w:afterAutospacing="0"/>
              <w:rPr>
                <w:bCs/>
                <w:szCs w:val="24"/>
              </w:rPr>
            </w:pPr>
            <w:r w:rsidRPr="006A56D1">
              <w:rPr>
                <w:szCs w:val="24"/>
              </w:rPr>
              <w:t>Pašreizējā situācija un problēmas</w:t>
            </w:r>
          </w:p>
        </w:tc>
        <w:tc>
          <w:tcPr>
            <w:tcW w:w="7513" w:type="dxa"/>
            <w:tcBorders>
              <w:top w:val="single" w:sz="4" w:space="0" w:color="auto"/>
              <w:left w:val="single" w:sz="4" w:space="0" w:color="auto"/>
              <w:bottom w:val="single" w:sz="4" w:space="0" w:color="auto"/>
              <w:right w:val="single" w:sz="4" w:space="0" w:color="auto"/>
            </w:tcBorders>
          </w:tcPr>
          <w:p w:rsidR="00185F87" w:rsidRPr="006A56D1" w:rsidRDefault="00391810" w:rsidP="0071295B">
            <w:pPr>
              <w:jc w:val="both"/>
            </w:pPr>
            <w:r w:rsidRPr="006A56D1">
              <w:t xml:space="preserve">Ar Ministru </w:t>
            </w:r>
            <w:r w:rsidRPr="006A56D1">
              <w:rPr>
                <w:bCs/>
              </w:rPr>
              <w:t xml:space="preserve">kabineta 2012.gada 12.jūnija rīkojumu Nr.264 ir apstiprināts </w:t>
            </w:r>
            <w:r w:rsidRPr="006A56D1">
              <w:rPr>
                <w:bCs/>
                <w:i/>
              </w:rPr>
              <w:t>Pasākumu plāns „klusēšanas-piekrišanas” principa ieviešanai un piemērošanai atbildīgo institūciju administratīvajā praksē</w:t>
            </w:r>
            <w:r w:rsidRPr="006A56D1">
              <w:rPr>
                <w:bCs/>
              </w:rPr>
              <w:t xml:space="preserve">. Minētajā dokumentā ir paredzēti pasākumi plānā noteiktā mērķa un rīcības virzienu sasniegšanai, tai skaitā uzdevums Tieslietu ministrijai izstrādāt un noteiktā kārtībā iesniegt Ministru kabinetā grozījumus  </w:t>
            </w:r>
            <w:r w:rsidRPr="006A56D1">
              <w:t xml:space="preserve">Ministru kabineta </w:t>
            </w:r>
            <w:r w:rsidRPr="006A56D1">
              <w:rPr>
                <w:bCs/>
              </w:rPr>
              <w:t>2002.gada 9.decembra noteikumos Nr.534</w:t>
            </w:r>
            <w:r w:rsidRPr="006A56D1">
              <w:t xml:space="preserve"> „Kārtība, kādā saņemams profesionālās kvalifikācijas sertifikāts nekustamā īpašuma novērtēšanai”, lai ieviestu „klusēšanas-piekrišanas” principu pakalpojuma darbībai</w:t>
            </w:r>
            <w:r w:rsidR="00103FAF" w:rsidRPr="006A56D1">
              <w:t xml:space="preserve"> – nekustamā īpašuma vērtētāju sertificēšana</w:t>
            </w:r>
            <w:r w:rsidRPr="006A56D1">
              <w:t xml:space="preserve">. Šis princips ir viens no pārvaldes modernizāciju veicinošajiem instrumentiem, kas atbilstoši Eiropas Parlamenta un Padomes 2006.gada 12.decembra direktīvā 2006/123/EK </w:t>
            </w:r>
            <w:r w:rsidRPr="006A56D1">
              <w:rPr>
                <w:i/>
              </w:rPr>
              <w:t>par pakalpojumiem iekšējā tirgū</w:t>
            </w:r>
            <w:r w:rsidRPr="006A56D1">
              <w:t xml:space="preserve"> </w:t>
            </w:r>
            <w:r w:rsidR="00126E03" w:rsidRPr="006A56D1">
              <w:t xml:space="preserve">(turpmāk – Pakalpojumu direktīva) </w:t>
            </w:r>
            <w:r w:rsidRPr="006A56D1">
              <w:t>paredzētajam noteic, ka gadījumā, ja noteiktajā termiņā nav saņemta atbildīgās iestādes atbilde uz atļaujas pieteikumu, uzskatāms, ka atļauja pakalpojumu sniedzējam ir piešķirta un pakalpojuma sniedzējs ir tiesīgs uzsākt pakalpojuma sniegšanu.</w:t>
            </w:r>
            <w:r w:rsidR="004A392B" w:rsidRPr="006A56D1">
              <w:t xml:space="preserve"> Tādējādi tiktu mazināta tiesiskā nenoteiktība un nedrošība, kuru maziem un vidējiem uzņēmējiem veicina neprognozējama atbildīgo institūciju rīcība.</w:t>
            </w:r>
          </w:p>
          <w:p w:rsidR="00914A3D" w:rsidRPr="006A56D1" w:rsidRDefault="00914A3D" w:rsidP="0071295B">
            <w:pPr>
              <w:jc w:val="both"/>
            </w:pPr>
            <w:r w:rsidRPr="006A56D1">
              <w:t>Papildus minētajam tika konstatēta nepieciešamība precizēt noteikumus atbilstoši Fizisko personu datu aizsardzības likumā ietvertajiem principiem</w:t>
            </w:r>
            <w:r w:rsidR="00371F0B">
              <w:t xml:space="preserve">, </w:t>
            </w:r>
            <w:r w:rsidR="00371F0B" w:rsidRPr="00AB4DA0">
              <w:rPr>
                <w:b/>
              </w:rPr>
              <w:t>kā arī veikt precizējumus attiecībā uz noteikumu 2.punktā minēto standartu</w:t>
            </w:r>
            <w:r w:rsidRPr="00AB4DA0">
              <w:rPr>
                <w:b/>
              </w:rPr>
              <w:t>.</w:t>
            </w:r>
          </w:p>
        </w:tc>
      </w:tr>
      <w:tr w:rsidR="00BA3F64" w:rsidRPr="006A56D1" w:rsidTr="00CB12E1">
        <w:trPr>
          <w:trHeight w:val="1021"/>
        </w:trPr>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jc w:val="both"/>
              <w:rPr>
                <w:bCs/>
              </w:rPr>
            </w:pPr>
            <w:r w:rsidRPr="006A56D1">
              <w:rPr>
                <w:bCs/>
              </w:rPr>
              <w:t>3. </w:t>
            </w:r>
          </w:p>
        </w:tc>
        <w:tc>
          <w:tcPr>
            <w:tcW w:w="1701"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jc w:val="both"/>
              <w:rPr>
                <w:bCs/>
              </w:rPr>
            </w:pPr>
            <w:r w:rsidRPr="006A56D1">
              <w:rPr>
                <w:bCs/>
              </w:rPr>
              <w:t>Saistītie politikas ietekmes novērtējumi un pētījumi</w:t>
            </w:r>
          </w:p>
        </w:tc>
        <w:tc>
          <w:tcPr>
            <w:tcW w:w="7513" w:type="dxa"/>
            <w:tcBorders>
              <w:top w:val="single" w:sz="4" w:space="0" w:color="auto"/>
              <w:left w:val="single" w:sz="4" w:space="0" w:color="auto"/>
              <w:bottom w:val="single" w:sz="4" w:space="0" w:color="auto"/>
              <w:right w:val="single" w:sz="4" w:space="0" w:color="auto"/>
            </w:tcBorders>
          </w:tcPr>
          <w:p w:rsidR="00BA3F64" w:rsidRPr="006A56D1" w:rsidRDefault="00B734E2" w:rsidP="00E13176">
            <w:pPr>
              <w:jc w:val="both"/>
            </w:pPr>
            <w:r w:rsidRPr="006A56D1">
              <w:t>Nav</w:t>
            </w:r>
            <w:r w:rsidR="007203D6" w:rsidRPr="006A56D1">
              <w:t>.</w:t>
            </w:r>
          </w:p>
        </w:tc>
      </w:tr>
      <w:tr w:rsidR="00BA3F64" w:rsidRPr="006A56D1" w:rsidTr="00CB12E1">
        <w:trPr>
          <w:trHeight w:val="488"/>
        </w:trPr>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jc w:val="both"/>
              <w:rPr>
                <w:bCs/>
              </w:rPr>
            </w:pPr>
            <w:r w:rsidRPr="006A56D1">
              <w:rPr>
                <w:bCs/>
              </w:rPr>
              <w:t>4. </w:t>
            </w:r>
          </w:p>
        </w:tc>
        <w:tc>
          <w:tcPr>
            <w:tcW w:w="1701"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jc w:val="both"/>
              <w:rPr>
                <w:bCs/>
              </w:rPr>
            </w:pPr>
            <w:r w:rsidRPr="006A56D1">
              <w:rPr>
                <w:bCs/>
              </w:rPr>
              <w:t>Tiesiskā regulējuma mērķis un būtība </w:t>
            </w:r>
          </w:p>
        </w:tc>
        <w:tc>
          <w:tcPr>
            <w:tcW w:w="7513" w:type="dxa"/>
            <w:tcBorders>
              <w:top w:val="single" w:sz="4" w:space="0" w:color="auto"/>
              <w:left w:val="single" w:sz="4" w:space="0" w:color="auto"/>
              <w:bottom w:val="single" w:sz="4" w:space="0" w:color="auto"/>
              <w:right w:val="single" w:sz="4" w:space="0" w:color="auto"/>
            </w:tcBorders>
          </w:tcPr>
          <w:p w:rsidR="008935BF" w:rsidRPr="006A56D1" w:rsidRDefault="00126E03" w:rsidP="00E670F0">
            <w:pPr>
              <w:pStyle w:val="Paraststmeklis"/>
              <w:spacing w:before="0" w:beforeAutospacing="0" w:after="0" w:afterAutospacing="0"/>
              <w:ind w:firstLine="697"/>
              <w:jc w:val="both"/>
              <w:rPr>
                <w:bCs/>
                <w:szCs w:val="24"/>
              </w:rPr>
            </w:pPr>
            <w:r w:rsidRPr="006A56D1">
              <w:rPr>
                <w:szCs w:val="24"/>
              </w:rPr>
              <w:t xml:space="preserve">Noteikumu </w:t>
            </w:r>
            <w:r w:rsidR="001E6780" w:rsidRPr="006A56D1">
              <w:rPr>
                <w:szCs w:val="24"/>
              </w:rPr>
              <w:t xml:space="preserve">projekts </w:t>
            </w:r>
            <w:r w:rsidRPr="006A56D1">
              <w:rPr>
                <w:szCs w:val="24"/>
              </w:rPr>
              <w:t xml:space="preserve">„Grozījumi </w:t>
            </w:r>
            <w:r w:rsidRPr="006A56D1">
              <w:rPr>
                <w:bCs/>
                <w:szCs w:val="24"/>
              </w:rPr>
              <w:t>Ministru kabineta 2002.gada 9.decembra noteikumos Nr.534 „Kārtība, kādā saņemams profesionālās kvalifikācijas sertifikāts nekustamā īpašuma novērtēšanai””</w:t>
            </w:r>
            <w:r w:rsidRPr="006A56D1">
              <w:rPr>
                <w:b/>
                <w:szCs w:val="24"/>
              </w:rPr>
              <w:t xml:space="preserve"> </w:t>
            </w:r>
            <w:r w:rsidRPr="006A56D1">
              <w:rPr>
                <w:szCs w:val="24"/>
              </w:rPr>
              <w:t>(</w:t>
            </w:r>
            <w:r w:rsidR="001E6780" w:rsidRPr="006A56D1">
              <w:rPr>
                <w:szCs w:val="24"/>
              </w:rPr>
              <w:t>turpmāk –projekts) paredz</w:t>
            </w:r>
            <w:r w:rsidR="00236AB9" w:rsidRPr="006A56D1">
              <w:rPr>
                <w:color w:val="0000FF"/>
                <w:szCs w:val="24"/>
              </w:rPr>
              <w:t xml:space="preserve"> </w:t>
            </w:r>
            <w:r w:rsidRPr="006A56D1">
              <w:rPr>
                <w:szCs w:val="24"/>
              </w:rPr>
              <w:t>ievie</w:t>
            </w:r>
            <w:r w:rsidR="008102ED" w:rsidRPr="006A56D1">
              <w:rPr>
                <w:szCs w:val="24"/>
              </w:rPr>
              <w:t>s</w:t>
            </w:r>
            <w:r w:rsidRPr="006A56D1">
              <w:rPr>
                <w:szCs w:val="24"/>
              </w:rPr>
              <w:t xml:space="preserve">t </w:t>
            </w:r>
            <w:r w:rsidR="00DD0613" w:rsidRPr="006A56D1">
              <w:rPr>
                <w:szCs w:val="24"/>
              </w:rPr>
              <w:t>"</w:t>
            </w:r>
            <w:r w:rsidRPr="006A56D1">
              <w:rPr>
                <w:szCs w:val="24"/>
              </w:rPr>
              <w:t>klusēšanas-piekrišanas" principu</w:t>
            </w:r>
            <w:r w:rsidR="008102ED" w:rsidRPr="006A56D1">
              <w:rPr>
                <w:szCs w:val="24"/>
              </w:rPr>
              <w:t>, pielāgojot noteikumus Pakalpojumu direktīvas prasībām</w:t>
            </w:r>
            <w:r w:rsidR="00DD0613" w:rsidRPr="006A56D1">
              <w:rPr>
                <w:szCs w:val="24"/>
              </w:rPr>
              <w:t>.</w:t>
            </w:r>
            <w:r w:rsidRPr="006A56D1">
              <w:rPr>
                <w:szCs w:val="24"/>
              </w:rPr>
              <w:t xml:space="preserve"> </w:t>
            </w:r>
            <w:r w:rsidR="008102ED" w:rsidRPr="006A56D1">
              <w:rPr>
                <w:szCs w:val="24"/>
              </w:rPr>
              <w:t xml:space="preserve">Papildus tiek noteikts termiņš, </w:t>
            </w:r>
            <w:r w:rsidR="008102ED" w:rsidRPr="006A56D1">
              <w:rPr>
                <w:bCs/>
                <w:szCs w:val="24"/>
              </w:rPr>
              <w:t>līdz kuram sertificēšanas institūcija pieņem lēmumu par sertifikāta piešķiršanu un paziņo to pretendentam</w:t>
            </w:r>
            <w:r w:rsidR="006B28E3" w:rsidRPr="006A56D1">
              <w:rPr>
                <w:bCs/>
                <w:szCs w:val="24"/>
              </w:rPr>
              <w:t>, tādējādi novēršot atbildīgo institūciju i</w:t>
            </w:r>
            <w:r w:rsidR="00104497" w:rsidRPr="006A56D1">
              <w:rPr>
                <w:bCs/>
                <w:szCs w:val="24"/>
              </w:rPr>
              <w:t xml:space="preserve">espējamo neprognozējamo rīcību un </w:t>
            </w:r>
            <w:r w:rsidR="006B28E3" w:rsidRPr="006A56D1">
              <w:rPr>
                <w:bCs/>
                <w:szCs w:val="24"/>
              </w:rPr>
              <w:t xml:space="preserve">stiprinot tiesisko noteiktību </w:t>
            </w:r>
            <w:r w:rsidR="006B28E3" w:rsidRPr="006A56D1">
              <w:rPr>
                <w:bCs/>
                <w:szCs w:val="24"/>
              </w:rPr>
              <w:lastRenderedPageBreak/>
              <w:t>un paļāvību.</w:t>
            </w:r>
          </w:p>
          <w:p w:rsidR="00AD4D06" w:rsidRPr="00632FAE" w:rsidRDefault="00632FAE" w:rsidP="00632FAE">
            <w:pPr>
              <w:ind w:firstLine="720"/>
              <w:jc w:val="both"/>
              <w:rPr>
                <w:color w:val="1F497D"/>
              </w:rPr>
            </w:pPr>
            <w:r w:rsidRPr="006A56D1">
              <w:t>Atbilstoši Brīvas pakalpojumu sniegšanas likuma 14.panta sestajai daļai uzskatāms, ka atļauja ir izsniegta ar noklusējumu, ja normatīvajā aktā noteiktajā termiņā atbildīgā iestāde nepaziņo savu lēmumu par atļaujas piešķiršanu vai atteikumu to piešķirt. No minētās tiesību normas izriet, ka normatīvajā aktā ir jābūt noteiktam vienam konkrētam termiņam un šim termiņam ir jābūt tādam, kura ietvaros iestāde pieņem un paziņo (tai skaitā, ievērojot septiņu dienu prezumpciju) personai administratīvo aktu.</w:t>
            </w:r>
            <w:r w:rsidRPr="006A56D1">
              <w:rPr>
                <w:color w:val="1F497D"/>
              </w:rPr>
              <w:t xml:space="preserve"> </w:t>
            </w:r>
            <w:r w:rsidRPr="002E365B">
              <w:t>Līdz ar to t</w:t>
            </w:r>
            <w:r w:rsidR="00AD4D06" w:rsidRPr="002E365B">
              <w:t>urpmāk procedūra paredzēs, ka sertificēšanas institūcija pēc pē</w:t>
            </w:r>
            <w:r w:rsidR="00AD4D06">
              <w:t xml:space="preserve">dējā </w:t>
            </w:r>
            <w:r w:rsidR="00AD4D06" w:rsidRPr="00AD4D06">
              <w:t>eksāmena 15 darba dienu laikā pieņem lēmumu par sertifikāta piešķiršanu</w:t>
            </w:r>
            <w:r w:rsidR="00AD4D06">
              <w:t xml:space="preserve"> vai atteikumu </w:t>
            </w:r>
            <w:r w:rsidR="00AD4D06" w:rsidRPr="00AD4D06">
              <w:t xml:space="preserve">un rakstveidā </w:t>
            </w:r>
            <w:r w:rsidR="00AD4D06">
              <w:t xml:space="preserve">to </w:t>
            </w:r>
            <w:r w:rsidR="00AD4D06" w:rsidRPr="00AD4D06">
              <w:t>paziņo pretendentam</w:t>
            </w:r>
            <w:r w:rsidR="0004755F">
              <w:t xml:space="preserve">, kā arī </w:t>
            </w:r>
            <w:r w:rsidR="00772F91">
              <w:t xml:space="preserve">minētajā laikā </w:t>
            </w:r>
            <w:r w:rsidR="0004755F">
              <w:t xml:space="preserve">ievieto </w:t>
            </w:r>
            <w:r w:rsidR="00772F91">
              <w:t xml:space="preserve">informāciju </w:t>
            </w:r>
            <w:r w:rsidR="0004755F">
              <w:t>reģistrācijas žurnāl</w:t>
            </w:r>
            <w:r w:rsidR="00772F91">
              <w:t>ā, kura ieraksti ir publiski pieejami internetā</w:t>
            </w:r>
            <w:r w:rsidR="00AD4D06">
              <w:t xml:space="preserve">.  </w:t>
            </w:r>
          </w:p>
          <w:p w:rsidR="002E365B" w:rsidRDefault="00C451D6" w:rsidP="00C8389E">
            <w:pPr>
              <w:ind w:firstLine="720"/>
              <w:jc w:val="both"/>
            </w:pPr>
            <w:r w:rsidRPr="006A56D1">
              <w:t xml:space="preserve">Administratīvajā procesā </w:t>
            </w:r>
            <w:r w:rsidRPr="00D737C6">
              <w:t>ar administratīvā akta paziņošanu saprot brīdi, kad administratīvā akta adresāts to ir saņēmis</w:t>
            </w:r>
            <w:r w:rsidRPr="006A56D1">
              <w:t xml:space="preserve"> un tādējādi administratīvais akts stājas spēkā. </w:t>
            </w:r>
            <w:r w:rsidR="002E365B">
              <w:t>Tādējādi 15 darba dienu laikā ir jāveic gan lēmuma pieņemšana, gan tā rakstveida paziņošana, gan informācijas publicēšana internetā.</w:t>
            </w:r>
          </w:p>
          <w:p w:rsidR="0018728A" w:rsidRDefault="00C8389E" w:rsidP="002E365B">
            <w:pPr>
              <w:ind w:firstLine="720"/>
              <w:jc w:val="both"/>
            </w:pPr>
            <w:r w:rsidRPr="006A56D1">
              <w:t xml:space="preserve">Administratīvā procesa likuma 70.panta otrajā daļā </w:t>
            </w:r>
            <w:r w:rsidR="0018728A">
              <w:t xml:space="preserve">noteikts, ka administratīvo aktu adresātam paziņo atbilstoši </w:t>
            </w:r>
            <w:r w:rsidR="0018728A" w:rsidRPr="0018728A">
              <w:t>Paziņošanas likuma</w:t>
            </w:r>
            <w:r w:rsidR="0018728A">
              <w:t>m.</w:t>
            </w:r>
            <w:r w:rsidR="002E365B">
              <w:t xml:space="preserve"> </w:t>
            </w:r>
            <w:r w:rsidRPr="006A56D1">
              <w:t xml:space="preserve">Paziņošanas </w:t>
            </w:r>
            <w:r w:rsidR="0018728A" w:rsidRPr="006A56D1">
              <w:t>likum</w:t>
            </w:r>
            <w:r w:rsidR="002E365B">
              <w:t>a</w:t>
            </w:r>
            <w:r w:rsidR="0018728A">
              <w:t xml:space="preserve"> 3.panta pirm</w:t>
            </w:r>
            <w:r w:rsidR="002E365B">
              <w:t>ā</w:t>
            </w:r>
            <w:r w:rsidR="0018728A">
              <w:t xml:space="preserve"> daļ</w:t>
            </w:r>
            <w:r w:rsidR="002E365B">
              <w:t>a paredz</w:t>
            </w:r>
            <w:r w:rsidR="0018728A">
              <w:t xml:space="preserve">, </w:t>
            </w:r>
            <w:r w:rsidR="002E365B">
              <w:t xml:space="preserve">ka </w:t>
            </w:r>
            <w:r w:rsidR="0018728A">
              <w:t>dokumenta paziņošanu iestāde veic: 1) uz vietas iestādē vai piegādājot ar tās norīkota darbinieka vai ziņneša starpniecību; 2) izmantojot pasta pakalpojumus; 3) izmantojot elektroniskos sakarus; 4) publiski. Katram no paziņošanas veidiem ir sava paziņošanas kārtīb</w:t>
            </w:r>
            <w:r w:rsidR="002E365B">
              <w:t>a (termiņš)</w:t>
            </w:r>
            <w:r w:rsidR="0018728A">
              <w:t>. Tā</w:t>
            </w:r>
            <w:r w:rsidR="00B40C99">
              <w:t>,</w:t>
            </w:r>
            <w:r w:rsidR="0018728A">
              <w:t xml:space="preserve"> piemēram, </w:t>
            </w:r>
            <w:r w:rsidR="002E365B">
              <w:t>a</w:t>
            </w:r>
            <w:r w:rsidR="002E365B" w:rsidRPr="002E365B">
              <w:t xml:space="preserve">tbilstoši Administratīvo procesu likuma 70.panta otrajai daļai, ja pa pastu sūta adresātam nelabvēlīgu administratīvo aktu, to noformē kā ierakstītu pasta sūtījumu. </w:t>
            </w:r>
            <w:r w:rsidR="002E365B">
              <w:t>Sūtot</w:t>
            </w:r>
            <w:r w:rsidR="00C451D6">
              <w:t xml:space="preserve"> kā ierakstītu pasta sūtījumu, atbilstoši Paziņošanas likuma</w:t>
            </w:r>
            <w:r w:rsidR="00C451D6" w:rsidRPr="006A56D1">
              <w:t xml:space="preserve"> </w:t>
            </w:r>
            <w:r w:rsidR="00C451D6">
              <w:t>8</w:t>
            </w:r>
            <w:r w:rsidR="00C451D6" w:rsidRPr="006A56D1">
              <w:t xml:space="preserve">.panta </w:t>
            </w:r>
            <w:r w:rsidR="00C451D6">
              <w:t>trešajai</w:t>
            </w:r>
            <w:r w:rsidR="00C451D6" w:rsidRPr="006A56D1">
              <w:t xml:space="preserve"> daļ</w:t>
            </w:r>
            <w:r w:rsidR="00C451D6">
              <w:t>ai,</w:t>
            </w:r>
            <w:r w:rsidR="00C451D6" w:rsidRPr="006A56D1">
              <w:t xml:space="preserve"> </w:t>
            </w:r>
            <w:r w:rsidR="00C451D6">
              <w:t xml:space="preserve">administratīvais akts </w:t>
            </w:r>
            <w:r w:rsidR="00C451D6" w:rsidRPr="00C451D6">
              <w:t>uzskatāms par paziņotu septītajā dienā pēc tā nodošanas pastā</w:t>
            </w:r>
            <w:r w:rsidR="00C451D6" w:rsidRPr="006A56D1">
              <w:t xml:space="preserve">. </w:t>
            </w:r>
            <w:r w:rsidR="002E365B">
              <w:t>Tādējādi</w:t>
            </w:r>
            <w:r w:rsidR="00C451D6">
              <w:t xml:space="preserve"> 15 darba dienu laikā ierēķina arī 7 dienas paziņošanai pa pastu.</w:t>
            </w:r>
          </w:p>
          <w:p w:rsidR="00772F91" w:rsidRDefault="00772F91" w:rsidP="00E80A48">
            <w:pPr>
              <w:pStyle w:val="Paraststmeklis"/>
              <w:spacing w:before="0" w:beforeAutospacing="0" w:after="0" w:afterAutospacing="0"/>
              <w:ind w:firstLine="697"/>
              <w:jc w:val="both"/>
              <w:rPr>
                <w:szCs w:val="24"/>
              </w:rPr>
            </w:pPr>
            <w:r>
              <w:rPr>
                <w:szCs w:val="24"/>
              </w:rPr>
              <w:t xml:space="preserve">Ja noteiktajā termiņā </w:t>
            </w:r>
            <w:r w:rsidRPr="00772F91">
              <w:rPr>
                <w:szCs w:val="24"/>
              </w:rPr>
              <w:t xml:space="preserve">lēmums </w:t>
            </w:r>
            <w:r>
              <w:rPr>
                <w:szCs w:val="24"/>
              </w:rPr>
              <w:t>nav paziņots</w:t>
            </w:r>
            <w:r w:rsidR="006B7464">
              <w:rPr>
                <w:szCs w:val="24"/>
              </w:rPr>
              <w:t>,</w:t>
            </w:r>
            <w:r>
              <w:rPr>
                <w:szCs w:val="24"/>
              </w:rPr>
              <w:t xml:space="preserve"> </w:t>
            </w:r>
            <w:r w:rsidRPr="00772F91">
              <w:rPr>
                <w:szCs w:val="24"/>
              </w:rPr>
              <w:t>uzskatāms, ka personai ir piešķirts sertifikāts un tā var uzsākt savu profesionālo darbību.</w:t>
            </w:r>
            <w:r w:rsidR="00B40C99">
              <w:rPr>
                <w:szCs w:val="24"/>
              </w:rPr>
              <w:t xml:space="preserve"> Noteikumi paredz, ka turpmāk sertifikāts tiks izsniegts papīra formā tikai pēc personas rakstiska pieprasījuma saņemšanas.</w:t>
            </w:r>
            <w:r w:rsidR="0029779D">
              <w:rPr>
                <w:szCs w:val="24"/>
              </w:rPr>
              <w:t xml:space="preserve"> </w:t>
            </w:r>
            <w:r w:rsidR="0029779D" w:rsidRPr="0029779D">
              <w:rPr>
                <w:b/>
                <w:szCs w:val="24"/>
              </w:rPr>
              <w:t>Minētais princips attiecinā</w:t>
            </w:r>
            <w:r w:rsidR="0029779D">
              <w:rPr>
                <w:b/>
                <w:szCs w:val="24"/>
              </w:rPr>
              <w:t>ms</w:t>
            </w:r>
            <w:r w:rsidR="0029779D" w:rsidRPr="0029779D">
              <w:rPr>
                <w:b/>
                <w:szCs w:val="24"/>
              </w:rPr>
              <w:t xml:space="preserve"> arī uz personām, kuras pretendē uz nekustamā īpašuma vērtētāja asistenta statusu.</w:t>
            </w:r>
          </w:p>
          <w:p w:rsidR="00166BB4" w:rsidRDefault="00AC4628" w:rsidP="00166BB4">
            <w:pPr>
              <w:ind w:firstLine="720"/>
              <w:jc w:val="both"/>
            </w:pPr>
            <w:r w:rsidRPr="006A56D1">
              <w:t xml:space="preserve">Noteikumu projekts precizēts atbilstoši </w:t>
            </w:r>
            <w:r w:rsidR="002847D5" w:rsidRPr="006A56D1">
              <w:t>Fizisko personu datu aizsardzības likuma 10.pantā pirmās daļas 2.punkt</w:t>
            </w:r>
            <w:r w:rsidRPr="006A56D1">
              <w:t>am, kas</w:t>
            </w:r>
            <w:r w:rsidR="002847D5" w:rsidRPr="006A56D1">
              <w:t xml:space="preserve"> noteic, ka </w:t>
            </w:r>
            <w:r w:rsidR="00CB2EBC" w:rsidRPr="006A56D1">
              <w:t xml:space="preserve">personas datu apstrādi pārzinis nodrošina tikai atbilstoši paredzētajam mērķim un tam nepieciešamajā apjomā. Ņemot vērā, ka </w:t>
            </w:r>
            <w:r w:rsidR="00B824F8" w:rsidRPr="006A56D1">
              <w:t>prasības par pases kopijas iesniegšanu pamatā ir nepieciešamība identificēt personu, šis mērķis ir sasniedzams ar citiem pasākumiem. Pases kopiju uzglabāšana sertificēšanas institūcijai nevar tikt uzskatīts par mērķi.</w:t>
            </w:r>
            <w:r w:rsidR="00950363" w:rsidRPr="006A56D1">
              <w:t xml:space="preserve"> Tādējādi noteikumos ir ietvertas normas, ka personai pirms </w:t>
            </w:r>
            <w:r w:rsidRPr="006A56D1">
              <w:t xml:space="preserve">vērtēšanas darba aizstāvēšanas un pirms eksāmena nekustamā īpašuma vērtēšanas teorētisko zināšanu pārbaudes uzliek par pienākumu uzrādīt personu apliecinošu </w:t>
            </w:r>
            <w:r w:rsidRPr="006A56D1">
              <w:lastRenderedPageBreak/>
              <w:t>dokumentu.</w:t>
            </w:r>
          </w:p>
          <w:p w:rsidR="00166BB4" w:rsidRPr="005F43A7" w:rsidRDefault="00166BB4" w:rsidP="005F43A7">
            <w:pPr>
              <w:ind w:firstLine="720"/>
              <w:jc w:val="both"/>
              <w:rPr>
                <w:b/>
              </w:rPr>
            </w:pPr>
            <w:r w:rsidRPr="005F43A7">
              <w:rPr>
                <w:b/>
              </w:rPr>
              <w:t>Ņemot vērā, ka noteikumu 2.punktā minētais standarts zaudējis spēku, precizēts noteikumu 2.punkt</w:t>
            </w:r>
            <w:r w:rsidR="005F43A7" w:rsidRPr="005F43A7">
              <w:rPr>
                <w:b/>
              </w:rPr>
              <w:t>s</w:t>
            </w:r>
            <w:r w:rsidRPr="005F43A7">
              <w:rPr>
                <w:b/>
              </w:rPr>
              <w:t xml:space="preserve">. </w:t>
            </w:r>
            <w:r w:rsidR="005F43A7" w:rsidRPr="005F43A7">
              <w:rPr>
                <w:b/>
              </w:rPr>
              <w:t>A</w:t>
            </w:r>
            <w:r w:rsidRPr="005F43A7">
              <w:rPr>
                <w:b/>
              </w:rPr>
              <w:t>tbilstoši Ministru kabineta sēdes protokollēmuma projekta 2.punktam, kas pievienots Ministru kabineta noteikumu projektam „Noteikumi par obligāti piemērojamo energostandartu, kas nosaka elektroapgādes objektu ekspluatācijas organizatoriskās un tehniskās drošības prasības”, kas izsludināts 2013. gada 10. janvāra Valsts sekretāru sanā</w:t>
            </w:r>
            <w:r w:rsidR="005F43A7" w:rsidRPr="005F43A7">
              <w:rPr>
                <w:b/>
              </w:rPr>
              <w:t>ksmē (prot. Nr. 1 8. §, VSS-24) standarts tiks iztulkot līdz š.g. 1.septembrim</w:t>
            </w:r>
            <w:r w:rsidR="005F43A7">
              <w:rPr>
                <w:b/>
              </w:rPr>
              <w:t>.</w:t>
            </w:r>
          </w:p>
        </w:tc>
      </w:tr>
      <w:tr w:rsidR="00BA3F64" w:rsidRPr="006A56D1" w:rsidTr="00CB12E1">
        <w:trPr>
          <w:trHeight w:val="330"/>
        </w:trPr>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Paraststmeklis"/>
              <w:spacing w:before="0" w:beforeAutospacing="0" w:after="0" w:afterAutospacing="0"/>
              <w:rPr>
                <w:bCs/>
                <w:szCs w:val="24"/>
              </w:rPr>
            </w:pPr>
            <w:r w:rsidRPr="006A56D1">
              <w:rPr>
                <w:bCs/>
                <w:szCs w:val="24"/>
              </w:rPr>
              <w:lastRenderedPageBreak/>
              <w:t xml:space="preserve">5. </w:t>
            </w:r>
          </w:p>
        </w:tc>
        <w:tc>
          <w:tcPr>
            <w:tcW w:w="1701"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Paraststmeklis"/>
              <w:spacing w:before="0" w:beforeAutospacing="0" w:after="0" w:afterAutospacing="0"/>
              <w:rPr>
                <w:bCs/>
                <w:szCs w:val="24"/>
              </w:rPr>
            </w:pPr>
            <w:r w:rsidRPr="006A56D1">
              <w:rPr>
                <w:bCs/>
                <w:szCs w:val="24"/>
              </w:rPr>
              <w:t>Projekta izstrādē iesaistītās institūcijas</w:t>
            </w:r>
          </w:p>
        </w:tc>
        <w:tc>
          <w:tcPr>
            <w:tcW w:w="7513" w:type="dxa"/>
            <w:tcBorders>
              <w:top w:val="single" w:sz="4" w:space="0" w:color="auto"/>
              <w:left w:val="single" w:sz="4" w:space="0" w:color="auto"/>
              <w:bottom w:val="single" w:sz="4" w:space="0" w:color="auto"/>
              <w:right w:val="single" w:sz="4" w:space="0" w:color="auto"/>
            </w:tcBorders>
          </w:tcPr>
          <w:p w:rsidR="00BA3F64" w:rsidRPr="006A56D1" w:rsidRDefault="0001314A" w:rsidP="00F273D5">
            <w:pPr>
              <w:ind w:left="-57"/>
              <w:jc w:val="both"/>
            </w:pPr>
            <w:r w:rsidRPr="006A56D1">
              <w:t>Tieslietu ministrija sadarbībā ar Valsts zemes dienestu</w:t>
            </w:r>
            <w:r w:rsidR="00572173" w:rsidRPr="006A56D1">
              <w:t>.</w:t>
            </w:r>
          </w:p>
        </w:tc>
      </w:tr>
      <w:tr w:rsidR="00BA3F64" w:rsidRPr="006A56D1" w:rsidTr="00CB12E1">
        <w:trPr>
          <w:trHeight w:val="330"/>
        </w:trPr>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Paraststmeklis"/>
              <w:spacing w:before="0" w:beforeAutospacing="0" w:after="0" w:afterAutospacing="0"/>
              <w:rPr>
                <w:bCs/>
                <w:szCs w:val="24"/>
              </w:rPr>
            </w:pPr>
            <w:r w:rsidRPr="006A56D1">
              <w:rPr>
                <w:bCs/>
                <w:szCs w:val="24"/>
              </w:rPr>
              <w:t xml:space="preserve">6. </w:t>
            </w:r>
          </w:p>
        </w:tc>
        <w:tc>
          <w:tcPr>
            <w:tcW w:w="1701"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Paraststmeklis"/>
              <w:spacing w:before="0" w:beforeAutospacing="0" w:after="0" w:afterAutospacing="0"/>
              <w:rPr>
                <w:bCs/>
                <w:szCs w:val="24"/>
              </w:rPr>
            </w:pPr>
            <w:r w:rsidRPr="006A56D1">
              <w:rPr>
                <w:bCs/>
                <w:szCs w:val="24"/>
              </w:rPr>
              <w:t>Iemesli, kādēļ netika nodrošināta sabiedrības līdzdalība</w:t>
            </w:r>
          </w:p>
        </w:tc>
        <w:tc>
          <w:tcPr>
            <w:tcW w:w="7513" w:type="dxa"/>
            <w:tcBorders>
              <w:top w:val="single" w:sz="4" w:space="0" w:color="auto"/>
              <w:left w:val="single" w:sz="4" w:space="0" w:color="auto"/>
              <w:bottom w:val="single" w:sz="4" w:space="0" w:color="auto"/>
              <w:right w:val="single" w:sz="4" w:space="0" w:color="auto"/>
            </w:tcBorders>
          </w:tcPr>
          <w:p w:rsidR="00BA3F64" w:rsidRPr="006A56D1" w:rsidRDefault="00A50534" w:rsidP="00E13176">
            <w:pPr>
              <w:jc w:val="both"/>
            </w:pPr>
            <w:r w:rsidRPr="006A56D1">
              <w:t>Sabiedrības līdzdalība netika nodrošināta, jo sabiedrības līdzdalībā iegūtais viedoklis nebūtu izšķirošs lēmumu pieņemšanas procesā.</w:t>
            </w:r>
          </w:p>
        </w:tc>
      </w:tr>
      <w:tr w:rsidR="00BA3F64" w:rsidRPr="006A56D1" w:rsidTr="00CB12E1">
        <w:trPr>
          <w:trHeight w:val="330"/>
        </w:trPr>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Paraststmeklis"/>
              <w:spacing w:before="0" w:beforeAutospacing="0" w:after="0" w:afterAutospacing="0"/>
              <w:rPr>
                <w:bCs/>
                <w:szCs w:val="24"/>
              </w:rPr>
            </w:pPr>
            <w:r w:rsidRPr="006A56D1">
              <w:rPr>
                <w:bCs/>
                <w:szCs w:val="24"/>
              </w:rPr>
              <w:t>7. </w:t>
            </w:r>
          </w:p>
        </w:tc>
        <w:tc>
          <w:tcPr>
            <w:tcW w:w="1701"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Paraststmeklis"/>
              <w:spacing w:before="0" w:beforeAutospacing="0" w:after="0" w:afterAutospacing="0"/>
              <w:rPr>
                <w:bCs/>
                <w:szCs w:val="24"/>
              </w:rPr>
            </w:pPr>
            <w:r w:rsidRPr="006A56D1">
              <w:rPr>
                <w:bCs/>
                <w:szCs w:val="24"/>
              </w:rPr>
              <w:t>Cita informācija</w:t>
            </w:r>
          </w:p>
        </w:tc>
        <w:tc>
          <w:tcPr>
            <w:tcW w:w="7513" w:type="dxa"/>
            <w:tcBorders>
              <w:top w:val="single" w:sz="4" w:space="0" w:color="auto"/>
              <w:left w:val="single" w:sz="4" w:space="0" w:color="auto"/>
              <w:bottom w:val="single" w:sz="4" w:space="0" w:color="auto"/>
              <w:right w:val="single" w:sz="4" w:space="0" w:color="auto"/>
            </w:tcBorders>
          </w:tcPr>
          <w:p w:rsidR="00BA3F64" w:rsidRPr="006A56D1" w:rsidRDefault="001C0EC4" w:rsidP="0051098D">
            <w:pPr>
              <w:pStyle w:val="Komentrateksts"/>
              <w:jc w:val="both"/>
              <w:rPr>
                <w:sz w:val="24"/>
                <w:szCs w:val="24"/>
              </w:rPr>
            </w:pPr>
            <w:r w:rsidRPr="006A56D1">
              <w:rPr>
                <w:sz w:val="24"/>
                <w:szCs w:val="24"/>
              </w:rPr>
              <w:t>Nav</w:t>
            </w:r>
            <w:r w:rsidR="007203D6" w:rsidRPr="006A56D1">
              <w:rPr>
                <w:sz w:val="24"/>
                <w:szCs w:val="24"/>
              </w:rPr>
              <w:t>.</w:t>
            </w:r>
          </w:p>
        </w:tc>
      </w:tr>
    </w:tbl>
    <w:p w:rsidR="00BA3F64" w:rsidRPr="006A56D1" w:rsidRDefault="00BA3F64" w:rsidP="00BA3F64"/>
    <w:tbl>
      <w:tblPr>
        <w:tblW w:w="9640" w:type="dxa"/>
        <w:tblInd w:w="-3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426"/>
        <w:gridCol w:w="2410"/>
        <w:gridCol w:w="6804"/>
      </w:tblGrid>
      <w:tr w:rsidR="00BA3F64" w:rsidRPr="006A56D1">
        <w:trPr>
          <w:trHeight w:val="155"/>
        </w:trPr>
        <w:tc>
          <w:tcPr>
            <w:tcW w:w="9640" w:type="dxa"/>
            <w:gridSpan w:val="3"/>
            <w:tcBorders>
              <w:top w:val="single" w:sz="4" w:space="0" w:color="auto"/>
              <w:left w:val="single" w:sz="4" w:space="0" w:color="auto"/>
              <w:bottom w:val="thickThinLargeGap" w:sz="6" w:space="0" w:color="808080"/>
              <w:right w:val="single" w:sz="4" w:space="0" w:color="auto"/>
            </w:tcBorders>
          </w:tcPr>
          <w:p w:rsidR="00BA3F64" w:rsidRPr="006A56D1" w:rsidRDefault="00BA3F64" w:rsidP="00E13176">
            <w:pPr>
              <w:pStyle w:val="naisc"/>
              <w:spacing w:before="0" w:beforeAutospacing="0" w:after="0" w:afterAutospacing="0"/>
              <w:rPr>
                <w:sz w:val="24"/>
                <w:szCs w:val="24"/>
              </w:rPr>
            </w:pPr>
            <w:r w:rsidRPr="006A56D1">
              <w:rPr>
                <w:b/>
                <w:sz w:val="24"/>
                <w:szCs w:val="24"/>
              </w:rPr>
              <w:t>II. Tiesību akta projekta ietekme uz sabiedrību</w:t>
            </w:r>
          </w:p>
        </w:tc>
      </w:tr>
      <w:tr w:rsidR="00BA3F64" w:rsidRPr="006A56D1">
        <w:trPr>
          <w:trHeight w:val="296"/>
        </w:trPr>
        <w:tc>
          <w:tcPr>
            <w:tcW w:w="426" w:type="dxa"/>
            <w:tcBorders>
              <w:top w:val="thickThinLargeGap" w:sz="6" w:space="0" w:color="808080"/>
              <w:left w:val="single" w:sz="4" w:space="0" w:color="auto"/>
              <w:bottom w:val="single" w:sz="4" w:space="0" w:color="auto"/>
              <w:right w:val="single" w:sz="4" w:space="0" w:color="auto"/>
            </w:tcBorders>
          </w:tcPr>
          <w:p w:rsidR="00BA3F64" w:rsidRPr="006A56D1" w:rsidRDefault="00BA3F64" w:rsidP="00E13176">
            <w:pPr>
              <w:pStyle w:val="naiskr"/>
              <w:spacing w:before="0" w:after="0"/>
            </w:pPr>
            <w:r w:rsidRPr="006A56D1">
              <w:t>1.</w:t>
            </w:r>
          </w:p>
        </w:tc>
        <w:tc>
          <w:tcPr>
            <w:tcW w:w="2410" w:type="dxa"/>
            <w:tcBorders>
              <w:top w:val="thickThinLargeGap" w:sz="6" w:space="0" w:color="808080"/>
              <w:left w:val="single" w:sz="4" w:space="0" w:color="auto"/>
              <w:bottom w:val="single" w:sz="4" w:space="0" w:color="auto"/>
              <w:right w:val="single" w:sz="4" w:space="0" w:color="auto"/>
            </w:tcBorders>
          </w:tcPr>
          <w:p w:rsidR="00BA3F64" w:rsidRPr="006A56D1" w:rsidRDefault="00BA3F64" w:rsidP="00E13176">
            <w:pPr>
              <w:pStyle w:val="naiskr"/>
              <w:spacing w:before="0" w:after="0"/>
              <w:jc w:val="both"/>
            </w:pPr>
            <w:r w:rsidRPr="006A56D1">
              <w:t>Sabiedrības mērķgrupa</w:t>
            </w:r>
          </w:p>
        </w:tc>
        <w:tc>
          <w:tcPr>
            <w:tcW w:w="6804" w:type="dxa"/>
            <w:tcBorders>
              <w:top w:val="single" w:sz="4" w:space="0" w:color="auto"/>
              <w:left w:val="single" w:sz="4" w:space="0" w:color="auto"/>
              <w:bottom w:val="single" w:sz="4" w:space="0" w:color="auto"/>
              <w:right w:val="single" w:sz="4" w:space="0" w:color="auto"/>
            </w:tcBorders>
          </w:tcPr>
          <w:p w:rsidR="0093743E" w:rsidRPr="006A56D1" w:rsidRDefault="00FF6E79" w:rsidP="000C2120">
            <w:pPr>
              <w:jc w:val="both"/>
            </w:pPr>
            <w:r w:rsidRPr="006A56D1">
              <w:t>S</w:t>
            </w:r>
            <w:r w:rsidR="00E4735B" w:rsidRPr="006A56D1">
              <w:t>ertificēti n</w:t>
            </w:r>
            <w:r w:rsidR="00E7710C" w:rsidRPr="006A56D1">
              <w:t xml:space="preserve">ekustamā īpašuma </w:t>
            </w:r>
            <w:r w:rsidR="00126E03" w:rsidRPr="006A56D1">
              <w:t>vērtētāji</w:t>
            </w:r>
            <w:r w:rsidRPr="006A56D1">
              <w:t>, kas</w:t>
            </w:r>
            <w:r w:rsidR="00791AFB" w:rsidRPr="006A56D1">
              <w:t xml:space="preserve"> saskaņā ar Latvijas īpašumu vērtētāju asociācijas tīmekļa vietnē esošajiem datiem</w:t>
            </w:r>
            <w:r w:rsidR="001563B4" w:rsidRPr="006A56D1">
              <w:t xml:space="preserve"> </w:t>
            </w:r>
            <w:r w:rsidR="006A56D1" w:rsidRPr="006A56D1">
              <w:t>ir 108</w:t>
            </w:r>
            <w:r w:rsidR="00275E40" w:rsidRPr="006A56D1">
              <w:t xml:space="preserve"> fiziskas personas</w:t>
            </w:r>
            <w:r w:rsidRPr="006A56D1">
              <w:t>, kā arī personas, kurām ir nodoms savu profesionālo darbību saistīt ar nekustamo īpašumu vērtēšanu.</w:t>
            </w:r>
          </w:p>
        </w:tc>
      </w:tr>
      <w:tr w:rsidR="00BA3F64" w:rsidRPr="006A56D1">
        <w:trPr>
          <w:trHeight w:val="474"/>
        </w:trPr>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naiskr"/>
              <w:spacing w:before="0" w:after="0"/>
            </w:pPr>
            <w:r w:rsidRPr="006A56D1">
              <w:t xml:space="preserve">2. </w:t>
            </w:r>
          </w:p>
        </w:tc>
        <w:tc>
          <w:tcPr>
            <w:tcW w:w="2410"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naiskr"/>
              <w:spacing w:before="0" w:after="0"/>
              <w:jc w:val="both"/>
            </w:pPr>
            <w:r w:rsidRPr="006A56D1">
              <w:t>Citas sabiedrības grupas (bez mērķgrupas), kuras tiesiskais regulējums arī ietekmē vai varētu ietekmēt</w:t>
            </w:r>
          </w:p>
        </w:tc>
        <w:tc>
          <w:tcPr>
            <w:tcW w:w="6804" w:type="dxa"/>
            <w:tcBorders>
              <w:top w:val="single" w:sz="4" w:space="0" w:color="auto"/>
              <w:left w:val="single" w:sz="4" w:space="0" w:color="auto"/>
              <w:bottom w:val="single" w:sz="4" w:space="0" w:color="auto"/>
              <w:right w:val="single" w:sz="4" w:space="0" w:color="auto"/>
            </w:tcBorders>
          </w:tcPr>
          <w:p w:rsidR="00BA3F64" w:rsidRPr="006A56D1" w:rsidRDefault="001563B4" w:rsidP="003068FA">
            <w:pPr>
              <w:jc w:val="both"/>
              <w:rPr>
                <w:color w:val="0000FF"/>
              </w:rPr>
            </w:pPr>
            <w:r w:rsidRPr="006A56D1">
              <w:t>Mazie un vidējie uzņēmumi</w:t>
            </w:r>
            <w:r w:rsidR="000F163B" w:rsidRPr="006A56D1">
              <w:t>, kas strādā nekustamā īpašuma vērtēšanas jomā.</w:t>
            </w:r>
            <w:r w:rsidR="00FF6E79" w:rsidRPr="006A56D1">
              <w:t xml:space="preserve"> Saskaņā ar Latvijas īpašumu vērtētāju asociācijas tīmekļa vietnē esošajiem datiem 33 juridiskas personas.</w:t>
            </w:r>
          </w:p>
        </w:tc>
      </w:tr>
      <w:tr w:rsidR="00BA3F64" w:rsidRPr="006A56D1">
        <w:trPr>
          <w:trHeight w:val="346"/>
        </w:trPr>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naiskr"/>
            </w:pPr>
            <w:r w:rsidRPr="006A56D1">
              <w:t>3.</w:t>
            </w:r>
          </w:p>
        </w:tc>
        <w:tc>
          <w:tcPr>
            <w:tcW w:w="2410"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naiskr"/>
              <w:spacing w:before="0" w:after="0"/>
              <w:jc w:val="both"/>
            </w:pPr>
            <w:r w:rsidRPr="006A56D1">
              <w:t>Tiesiskā regulējuma finansiālā ietekme</w:t>
            </w:r>
          </w:p>
        </w:tc>
        <w:tc>
          <w:tcPr>
            <w:tcW w:w="6804" w:type="dxa"/>
            <w:tcBorders>
              <w:top w:val="single" w:sz="4" w:space="0" w:color="auto"/>
              <w:left w:val="single" w:sz="4" w:space="0" w:color="auto"/>
              <w:bottom w:val="single" w:sz="4" w:space="0" w:color="auto"/>
              <w:right w:val="single" w:sz="4" w:space="0" w:color="auto"/>
            </w:tcBorders>
          </w:tcPr>
          <w:p w:rsidR="00BA3F64" w:rsidRPr="006A56D1" w:rsidRDefault="00FE79F3" w:rsidP="00E13176">
            <w:pPr>
              <w:jc w:val="both"/>
            </w:pPr>
            <w:r w:rsidRPr="006A56D1">
              <w:t>Projekts šo jomu neskar</w:t>
            </w:r>
            <w:r w:rsidR="001E45BC" w:rsidRPr="006A56D1">
              <w:t>.</w:t>
            </w:r>
          </w:p>
        </w:tc>
      </w:tr>
      <w:tr w:rsidR="00BA3F64" w:rsidRPr="006A56D1">
        <w:trPr>
          <w:trHeight w:val="218"/>
        </w:trPr>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naiskr"/>
              <w:spacing w:before="0" w:after="0"/>
            </w:pPr>
            <w:r w:rsidRPr="006A56D1">
              <w:t xml:space="preserve">4. </w:t>
            </w:r>
          </w:p>
        </w:tc>
        <w:tc>
          <w:tcPr>
            <w:tcW w:w="2410"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naiskr"/>
              <w:spacing w:before="0" w:after="0"/>
              <w:jc w:val="both"/>
            </w:pPr>
            <w:r w:rsidRPr="006A56D1">
              <w:t>Tiesiskā regulējuma nefinansiālā ietekme</w:t>
            </w:r>
          </w:p>
        </w:tc>
        <w:tc>
          <w:tcPr>
            <w:tcW w:w="6804" w:type="dxa"/>
            <w:tcBorders>
              <w:top w:val="single" w:sz="4" w:space="0" w:color="auto"/>
              <w:left w:val="single" w:sz="4" w:space="0" w:color="auto"/>
              <w:bottom w:val="single" w:sz="4" w:space="0" w:color="auto"/>
              <w:right w:val="single" w:sz="4" w:space="0" w:color="auto"/>
            </w:tcBorders>
          </w:tcPr>
          <w:p w:rsidR="00526444" w:rsidRPr="006A56D1" w:rsidRDefault="001E45BC" w:rsidP="00C672F8">
            <w:pPr>
              <w:jc w:val="both"/>
            </w:pPr>
            <w:r w:rsidRPr="006A56D1">
              <w:t>Projekts šo jomu neskar.</w:t>
            </w:r>
          </w:p>
        </w:tc>
      </w:tr>
      <w:tr w:rsidR="00BA3F64" w:rsidRPr="006A56D1">
        <w:trPr>
          <w:trHeight w:val="218"/>
        </w:trPr>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naiskr"/>
              <w:spacing w:before="0" w:after="0"/>
            </w:pPr>
            <w:r w:rsidRPr="006A56D1">
              <w:t xml:space="preserve">5. </w:t>
            </w:r>
          </w:p>
        </w:tc>
        <w:tc>
          <w:tcPr>
            <w:tcW w:w="2410"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naiskr"/>
              <w:spacing w:before="0" w:after="0"/>
              <w:jc w:val="both"/>
            </w:pPr>
            <w:r w:rsidRPr="006A56D1">
              <w:t>Administratīvās procedūras raksturojums</w:t>
            </w:r>
          </w:p>
        </w:tc>
        <w:tc>
          <w:tcPr>
            <w:tcW w:w="6804" w:type="dxa"/>
            <w:tcBorders>
              <w:top w:val="single" w:sz="4" w:space="0" w:color="auto"/>
              <w:left w:val="single" w:sz="4" w:space="0" w:color="auto"/>
              <w:bottom w:val="single" w:sz="4" w:space="0" w:color="auto"/>
              <w:right w:val="single" w:sz="4" w:space="0" w:color="auto"/>
            </w:tcBorders>
          </w:tcPr>
          <w:p w:rsidR="00BA3F64" w:rsidRPr="006A56D1" w:rsidRDefault="00930B4C" w:rsidP="00E13176">
            <w:pPr>
              <w:pStyle w:val="Paraststmeklis"/>
              <w:spacing w:before="0" w:beforeAutospacing="0" w:after="0" w:afterAutospacing="0"/>
              <w:jc w:val="both"/>
              <w:rPr>
                <w:szCs w:val="24"/>
              </w:rPr>
            </w:pPr>
            <w:r w:rsidRPr="006A56D1">
              <w:rPr>
                <w:szCs w:val="24"/>
              </w:rPr>
              <w:t>Projekts šo jomu neskar</w:t>
            </w:r>
            <w:r w:rsidR="001E45BC" w:rsidRPr="006A56D1">
              <w:rPr>
                <w:szCs w:val="24"/>
              </w:rPr>
              <w:t>.</w:t>
            </w:r>
          </w:p>
        </w:tc>
      </w:tr>
      <w:tr w:rsidR="00BA3F64" w:rsidRPr="006A56D1">
        <w:trPr>
          <w:trHeight w:val="559"/>
        </w:trPr>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spacing w:before="100" w:beforeAutospacing="1" w:after="100" w:afterAutospacing="1"/>
            </w:pPr>
            <w:r w:rsidRPr="006A56D1">
              <w:t xml:space="preserve">6. </w:t>
            </w:r>
          </w:p>
        </w:tc>
        <w:tc>
          <w:tcPr>
            <w:tcW w:w="2410"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spacing w:before="100" w:beforeAutospacing="1" w:after="100" w:afterAutospacing="1"/>
              <w:jc w:val="both"/>
            </w:pPr>
            <w:r w:rsidRPr="006A56D1">
              <w:t>Administratīvo izmaksu monetārs novērtējums</w:t>
            </w:r>
          </w:p>
        </w:tc>
        <w:tc>
          <w:tcPr>
            <w:tcW w:w="6804" w:type="dxa"/>
            <w:tcBorders>
              <w:top w:val="single" w:sz="4" w:space="0" w:color="auto"/>
              <w:left w:val="single" w:sz="4" w:space="0" w:color="auto"/>
              <w:bottom w:val="single" w:sz="4" w:space="0" w:color="auto"/>
              <w:right w:val="single" w:sz="4" w:space="0" w:color="auto"/>
            </w:tcBorders>
          </w:tcPr>
          <w:p w:rsidR="00BA3F64" w:rsidRPr="006A56D1" w:rsidRDefault="00BA3F64" w:rsidP="00FE79F3">
            <w:pPr>
              <w:pStyle w:val="Paraststmeklis"/>
              <w:spacing w:before="0" w:beforeAutospacing="0" w:after="0" w:afterAutospacing="0"/>
              <w:jc w:val="both"/>
              <w:rPr>
                <w:szCs w:val="24"/>
              </w:rPr>
            </w:pPr>
            <w:r w:rsidRPr="006A56D1">
              <w:rPr>
                <w:szCs w:val="24"/>
              </w:rPr>
              <w:t>Projekts šo jomu neskar</w:t>
            </w:r>
            <w:r w:rsidR="001E45BC" w:rsidRPr="006A56D1">
              <w:rPr>
                <w:szCs w:val="24"/>
              </w:rPr>
              <w:t>.</w:t>
            </w:r>
          </w:p>
        </w:tc>
      </w:tr>
      <w:tr w:rsidR="00BA3F64" w:rsidRPr="006A56D1">
        <w:trPr>
          <w:trHeight w:val="182"/>
        </w:trPr>
        <w:tc>
          <w:tcPr>
            <w:tcW w:w="426"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Pamatteksts"/>
              <w:rPr>
                <w:i w:val="0"/>
                <w:szCs w:val="24"/>
              </w:rPr>
            </w:pPr>
            <w:r w:rsidRPr="006A56D1">
              <w:rPr>
                <w:i w:val="0"/>
                <w:szCs w:val="24"/>
              </w:rPr>
              <w:t>7.</w:t>
            </w:r>
          </w:p>
        </w:tc>
        <w:tc>
          <w:tcPr>
            <w:tcW w:w="2410"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pStyle w:val="Pamatteksts"/>
              <w:jc w:val="both"/>
              <w:rPr>
                <w:i w:val="0"/>
                <w:szCs w:val="24"/>
              </w:rPr>
            </w:pPr>
            <w:r w:rsidRPr="006A56D1">
              <w:rPr>
                <w:i w:val="0"/>
                <w:szCs w:val="24"/>
              </w:rPr>
              <w:t>Cita informācija</w:t>
            </w:r>
          </w:p>
        </w:tc>
        <w:tc>
          <w:tcPr>
            <w:tcW w:w="6804" w:type="dxa"/>
            <w:tcBorders>
              <w:top w:val="single" w:sz="4" w:space="0" w:color="auto"/>
              <w:left w:val="single" w:sz="4" w:space="0" w:color="auto"/>
              <w:bottom w:val="single" w:sz="4" w:space="0" w:color="auto"/>
              <w:right w:val="single" w:sz="4" w:space="0" w:color="auto"/>
            </w:tcBorders>
          </w:tcPr>
          <w:p w:rsidR="00BA3F64" w:rsidRPr="006A56D1" w:rsidRDefault="00BA3F64" w:rsidP="00E13176">
            <w:pPr>
              <w:jc w:val="both"/>
            </w:pPr>
            <w:r w:rsidRPr="006A56D1">
              <w:t>Nav.</w:t>
            </w:r>
          </w:p>
        </w:tc>
      </w:tr>
    </w:tbl>
    <w:p w:rsidR="00BA3F64" w:rsidRPr="006A56D1" w:rsidRDefault="00BA3F64" w:rsidP="00BA3F64"/>
    <w:p w:rsidR="000F4EF3" w:rsidRPr="006A56D1" w:rsidRDefault="000F4EF3" w:rsidP="000F4EF3">
      <w:pPr>
        <w:pStyle w:val="naisf"/>
        <w:spacing w:before="0" w:after="0"/>
        <w:rPr>
          <w:szCs w:val="24"/>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320"/>
        <w:gridCol w:w="4590"/>
      </w:tblGrid>
      <w:tr w:rsidR="000F4EF3" w:rsidRPr="006A56D1" w:rsidTr="000F4EF3">
        <w:trPr>
          <w:jc w:val="center"/>
        </w:trPr>
        <w:tc>
          <w:tcPr>
            <w:tcW w:w="10098" w:type="dxa"/>
            <w:gridSpan w:val="3"/>
          </w:tcPr>
          <w:p w:rsidR="000F4EF3" w:rsidRPr="006A56D1" w:rsidRDefault="000F4EF3" w:rsidP="000F4EF3">
            <w:pPr>
              <w:pStyle w:val="naisnod"/>
              <w:spacing w:before="0" w:after="0"/>
              <w:jc w:val="both"/>
            </w:pPr>
            <w:r w:rsidRPr="006A56D1">
              <w:lastRenderedPageBreak/>
              <w:t>V. Tiesību akta projekta atbilstība Latvijas Republikas starptautiskajām saistībām</w:t>
            </w:r>
          </w:p>
        </w:tc>
      </w:tr>
      <w:tr w:rsidR="000F4EF3" w:rsidRPr="006A56D1" w:rsidTr="000F4EF3">
        <w:trPr>
          <w:jc w:val="center"/>
        </w:trPr>
        <w:tc>
          <w:tcPr>
            <w:tcW w:w="1188" w:type="dxa"/>
          </w:tcPr>
          <w:p w:rsidR="000F4EF3" w:rsidRPr="006A56D1" w:rsidRDefault="000F4EF3" w:rsidP="000F4EF3">
            <w:pPr>
              <w:pStyle w:val="naiskr"/>
              <w:tabs>
                <w:tab w:val="left" w:pos="2628"/>
              </w:tabs>
              <w:spacing w:before="0" w:after="0"/>
              <w:jc w:val="both"/>
              <w:rPr>
                <w:iCs/>
              </w:rPr>
            </w:pPr>
            <w:r w:rsidRPr="006A56D1">
              <w:rPr>
                <w:iCs/>
              </w:rPr>
              <w:t>1.</w:t>
            </w:r>
          </w:p>
        </w:tc>
        <w:tc>
          <w:tcPr>
            <w:tcW w:w="4320" w:type="dxa"/>
          </w:tcPr>
          <w:p w:rsidR="000F4EF3" w:rsidRPr="006A56D1" w:rsidRDefault="000F4EF3" w:rsidP="000F4EF3">
            <w:pPr>
              <w:pStyle w:val="naiskr"/>
              <w:tabs>
                <w:tab w:val="left" w:pos="2628"/>
              </w:tabs>
              <w:spacing w:before="0" w:after="0"/>
              <w:jc w:val="both"/>
              <w:rPr>
                <w:iCs/>
              </w:rPr>
            </w:pPr>
            <w:r w:rsidRPr="006A56D1">
              <w:t>Saistības pret Eiropas Savienību</w:t>
            </w:r>
          </w:p>
        </w:tc>
        <w:tc>
          <w:tcPr>
            <w:tcW w:w="4590" w:type="dxa"/>
          </w:tcPr>
          <w:p w:rsidR="000F4EF3" w:rsidRPr="00757A47" w:rsidRDefault="000F4EF3" w:rsidP="000F4EF3">
            <w:pPr>
              <w:pStyle w:val="naiskr"/>
              <w:tabs>
                <w:tab w:val="left" w:pos="2628"/>
              </w:tabs>
              <w:spacing w:before="0" w:after="0"/>
              <w:jc w:val="both"/>
            </w:pPr>
            <w:r w:rsidRPr="006A56D1">
              <w:t xml:space="preserve">Ministru kabineta noteikumi ir atbilstoši Eiropas Parlamenta un Padomes 12.12.2006. direktīvai par pakalpojumiem iekšējā tirgū (2006/123/EK), kurā viens no pārvaldes modernizāciju veicinošiem instrumentiem ir uzskatāms arī „klusēšanas-piekrišanas” princips. </w:t>
            </w:r>
          </w:p>
        </w:tc>
      </w:tr>
      <w:tr w:rsidR="000F4EF3" w:rsidRPr="006A56D1" w:rsidTr="000F4EF3">
        <w:trPr>
          <w:jc w:val="center"/>
        </w:trPr>
        <w:tc>
          <w:tcPr>
            <w:tcW w:w="1188" w:type="dxa"/>
          </w:tcPr>
          <w:p w:rsidR="000F4EF3" w:rsidRPr="006A56D1" w:rsidRDefault="000F4EF3" w:rsidP="000F4EF3">
            <w:pPr>
              <w:pStyle w:val="naiskr"/>
              <w:tabs>
                <w:tab w:val="left" w:pos="2628"/>
              </w:tabs>
              <w:spacing w:before="0" w:after="0"/>
              <w:jc w:val="both"/>
              <w:rPr>
                <w:iCs/>
              </w:rPr>
            </w:pPr>
            <w:r w:rsidRPr="006A56D1">
              <w:rPr>
                <w:iCs/>
              </w:rPr>
              <w:t>2.</w:t>
            </w:r>
          </w:p>
        </w:tc>
        <w:tc>
          <w:tcPr>
            <w:tcW w:w="4320" w:type="dxa"/>
          </w:tcPr>
          <w:p w:rsidR="000F4EF3" w:rsidRPr="006A56D1" w:rsidRDefault="000F4EF3" w:rsidP="000F4EF3">
            <w:pPr>
              <w:pStyle w:val="naiskr"/>
              <w:tabs>
                <w:tab w:val="left" w:pos="2628"/>
              </w:tabs>
              <w:spacing w:before="0" w:after="0"/>
              <w:jc w:val="both"/>
              <w:rPr>
                <w:iCs/>
              </w:rPr>
            </w:pPr>
            <w:r w:rsidRPr="006A56D1">
              <w:t>Citas starptautiskās saistības</w:t>
            </w:r>
          </w:p>
        </w:tc>
        <w:tc>
          <w:tcPr>
            <w:tcW w:w="4590" w:type="dxa"/>
          </w:tcPr>
          <w:p w:rsidR="000F4EF3" w:rsidRPr="006A56D1" w:rsidRDefault="000F4EF3" w:rsidP="000F4EF3">
            <w:pPr>
              <w:pStyle w:val="naiskr"/>
              <w:tabs>
                <w:tab w:val="left" w:pos="2628"/>
              </w:tabs>
              <w:spacing w:before="0" w:after="0"/>
              <w:jc w:val="both"/>
              <w:rPr>
                <w:iCs/>
              </w:rPr>
            </w:pPr>
            <w:r w:rsidRPr="006A56D1">
              <w:rPr>
                <w:iCs/>
              </w:rPr>
              <w:t>Nav attiecināms</w:t>
            </w:r>
          </w:p>
        </w:tc>
      </w:tr>
      <w:tr w:rsidR="000F4EF3" w:rsidRPr="006A56D1" w:rsidTr="000F4EF3">
        <w:trPr>
          <w:jc w:val="center"/>
        </w:trPr>
        <w:tc>
          <w:tcPr>
            <w:tcW w:w="1188" w:type="dxa"/>
          </w:tcPr>
          <w:p w:rsidR="000F4EF3" w:rsidRPr="006A56D1" w:rsidRDefault="000F4EF3" w:rsidP="000F4EF3">
            <w:pPr>
              <w:pStyle w:val="naiskr"/>
              <w:tabs>
                <w:tab w:val="left" w:pos="2628"/>
              </w:tabs>
              <w:spacing w:before="0" w:after="0"/>
              <w:jc w:val="both"/>
              <w:rPr>
                <w:iCs/>
              </w:rPr>
            </w:pPr>
            <w:r w:rsidRPr="006A56D1">
              <w:rPr>
                <w:iCs/>
              </w:rPr>
              <w:t>3.</w:t>
            </w:r>
          </w:p>
        </w:tc>
        <w:tc>
          <w:tcPr>
            <w:tcW w:w="4320" w:type="dxa"/>
          </w:tcPr>
          <w:p w:rsidR="000F4EF3" w:rsidRPr="006A56D1" w:rsidRDefault="000F4EF3" w:rsidP="000F4EF3">
            <w:pPr>
              <w:pStyle w:val="naiskr"/>
              <w:tabs>
                <w:tab w:val="left" w:pos="2628"/>
              </w:tabs>
              <w:spacing w:before="0" w:after="0"/>
              <w:jc w:val="both"/>
            </w:pPr>
            <w:r w:rsidRPr="006A56D1">
              <w:t>Cita informācija</w:t>
            </w:r>
          </w:p>
        </w:tc>
        <w:tc>
          <w:tcPr>
            <w:tcW w:w="4590" w:type="dxa"/>
          </w:tcPr>
          <w:p w:rsidR="000F4EF3" w:rsidRPr="006A56D1" w:rsidRDefault="000F4EF3" w:rsidP="000F4EF3">
            <w:pPr>
              <w:pStyle w:val="naiskr"/>
              <w:tabs>
                <w:tab w:val="left" w:pos="2628"/>
              </w:tabs>
              <w:spacing w:before="0" w:after="0"/>
              <w:jc w:val="both"/>
              <w:rPr>
                <w:iCs/>
              </w:rPr>
            </w:pPr>
            <w:r w:rsidRPr="006A56D1">
              <w:t>Nav</w:t>
            </w:r>
          </w:p>
        </w:tc>
      </w:tr>
    </w:tbl>
    <w:p w:rsidR="000F4EF3" w:rsidRPr="006A56D1" w:rsidRDefault="000F4EF3" w:rsidP="000F4EF3">
      <w:pPr>
        <w:pStyle w:val="naisf"/>
        <w:spacing w:before="0" w:after="0"/>
        <w:rPr>
          <w:szCs w:val="24"/>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857"/>
        <w:gridCol w:w="1824"/>
        <w:gridCol w:w="3420"/>
        <w:gridCol w:w="3350"/>
      </w:tblGrid>
      <w:tr w:rsidR="000F4EF3" w:rsidRPr="006A56D1" w:rsidTr="000F4EF3">
        <w:trPr>
          <w:trHeight w:val="523"/>
          <w:jc w:val="center"/>
        </w:trPr>
        <w:tc>
          <w:tcPr>
            <w:tcW w:w="10451" w:type="dxa"/>
            <w:gridSpan w:val="4"/>
            <w:vAlign w:val="center"/>
          </w:tcPr>
          <w:p w:rsidR="000F4EF3" w:rsidRPr="006A56D1" w:rsidRDefault="000F4EF3" w:rsidP="000F4EF3">
            <w:pPr>
              <w:pStyle w:val="naisnod"/>
              <w:spacing w:before="0" w:after="0"/>
            </w:pPr>
            <w:r w:rsidRPr="006A56D1">
              <w:t xml:space="preserve">1.tabula </w:t>
            </w:r>
          </w:p>
          <w:p w:rsidR="000F4EF3" w:rsidRPr="006A56D1" w:rsidRDefault="000F4EF3" w:rsidP="000F4EF3">
            <w:pPr>
              <w:pStyle w:val="naisnod"/>
              <w:spacing w:before="0" w:after="0"/>
              <w:rPr>
                <w:i/>
              </w:rPr>
            </w:pPr>
            <w:r w:rsidRPr="006A56D1">
              <w:t>Tiesību akta projekta atbilstība ES tiesību aktiem</w:t>
            </w:r>
          </w:p>
        </w:tc>
      </w:tr>
      <w:tr w:rsidR="000F4EF3" w:rsidRPr="006A56D1" w:rsidTr="000F4EF3">
        <w:trPr>
          <w:trHeight w:val="1252"/>
          <w:jc w:val="center"/>
        </w:trPr>
        <w:tc>
          <w:tcPr>
            <w:tcW w:w="1857" w:type="dxa"/>
            <w:vAlign w:val="center"/>
          </w:tcPr>
          <w:p w:rsidR="000F4EF3" w:rsidRPr="006A56D1" w:rsidRDefault="000F4EF3" w:rsidP="000F4EF3">
            <w:pPr>
              <w:pStyle w:val="naiskr"/>
              <w:spacing w:before="0" w:after="0"/>
              <w:ind w:hanging="10"/>
              <w:jc w:val="center"/>
            </w:pPr>
            <w:r w:rsidRPr="006A56D1">
              <w:rPr>
                <w:lang w:val="sv-SE"/>
              </w:rPr>
              <w:t>Eiropas Parlamenta un Padomes 12.12.2006. direktīva (2006/123/EK)</w:t>
            </w:r>
          </w:p>
        </w:tc>
        <w:tc>
          <w:tcPr>
            <w:tcW w:w="8594" w:type="dxa"/>
            <w:gridSpan w:val="3"/>
            <w:vAlign w:val="center"/>
          </w:tcPr>
          <w:p w:rsidR="000F4EF3" w:rsidRPr="006A56D1" w:rsidRDefault="000F4EF3" w:rsidP="000F4EF3">
            <w:pPr>
              <w:pStyle w:val="naiskr"/>
              <w:spacing w:before="0" w:after="0"/>
              <w:jc w:val="center"/>
            </w:pPr>
          </w:p>
        </w:tc>
      </w:tr>
      <w:tr w:rsidR="000F4EF3" w:rsidRPr="006A56D1" w:rsidTr="000F4EF3">
        <w:trPr>
          <w:trHeight w:val="163"/>
          <w:jc w:val="center"/>
        </w:trPr>
        <w:tc>
          <w:tcPr>
            <w:tcW w:w="10451" w:type="dxa"/>
            <w:gridSpan w:val="4"/>
            <w:vAlign w:val="center"/>
          </w:tcPr>
          <w:p w:rsidR="000F4EF3" w:rsidRPr="006A56D1" w:rsidRDefault="000F4EF3" w:rsidP="000F4EF3">
            <w:pPr>
              <w:pStyle w:val="naiskr"/>
              <w:spacing w:before="0" w:after="0"/>
              <w:rPr>
                <w:i/>
              </w:rPr>
            </w:pPr>
          </w:p>
        </w:tc>
      </w:tr>
      <w:tr w:rsidR="000F4EF3" w:rsidRPr="006A56D1" w:rsidTr="000F4EF3">
        <w:trPr>
          <w:trHeight w:val="165"/>
          <w:jc w:val="center"/>
        </w:trPr>
        <w:tc>
          <w:tcPr>
            <w:tcW w:w="1857" w:type="dxa"/>
            <w:vAlign w:val="center"/>
          </w:tcPr>
          <w:p w:rsidR="000F4EF3" w:rsidRPr="006A56D1" w:rsidRDefault="000F4EF3" w:rsidP="000F4EF3">
            <w:pPr>
              <w:pStyle w:val="naiskr"/>
              <w:spacing w:before="0" w:after="0"/>
              <w:jc w:val="center"/>
            </w:pPr>
            <w:r w:rsidRPr="006A56D1">
              <w:t>A</w:t>
            </w:r>
          </w:p>
        </w:tc>
        <w:tc>
          <w:tcPr>
            <w:tcW w:w="1824" w:type="dxa"/>
            <w:vAlign w:val="center"/>
          </w:tcPr>
          <w:p w:rsidR="000F4EF3" w:rsidRPr="006A56D1" w:rsidRDefault="000F4EF3" w:rsidP="000F4EF3">
            <w:pPr>
              <w:pStyle w:val="naiskr"/>
              <w:spacing w:before="0" w:after="0"/>
              <w:jc w:val="center"/>
            </w:pPr>
            <w:r w:rsidRPr="006A56D1">
              <w:t>B</w:t>
            </w:r>
          </w:p>
        </w:tc>
        <w:tc>
          <w:tcPr>
            <w:tcW w:w="3420" w:type="dxa"/>
            <w:vAlign w:val="center"/>
          </w:tcPr>
          <w:p w:rsidR="000F4EF3" w:rsidRPr="006A56D1" w:rsidRDefault="000F4EF3" w:rsidP="000F4EF3">
            <w:pPr>
              <w:pStyle w:val="naiskr"/>
              <w:spacing w:before="0" w:after="0"/>
              <w:jc w:val="center"/>
            </w:pPr>
            <w:r w:rsidRPr="006A56D1">
              <w:t>C</w:t>
            </w:r>
          </w:p>
        </w:tc>
        <w:tc>
          <w:tcPr>
            <w:tcW w:w="3350" w:type="dxa"/>
            <w:vAlign w:val="center"/>
          </w:tcPr>
          <w:p w:rsidR="000F4EF3" w:rsidRPr="006A56D1" w:rsidRDefault="000F4EF3" w:rsidP="000F4EF3">
            <w:pPr>
              <w:pStyle w:val="naiskr"/>
              <w:spacing w:before="0" w:after="0"/>
              <w:jc w:val="center"/>
            </w:pPr>
            <w:r w:rsidRPr="006A56D1">
              <w:t>D</w:t>
            </w:r>
          </w:p>
        </w:tc>
      </w:tr>
      <w:tr w:rsidR="000F4EF3" w:rsidRPr="006A56D1" w:rsidTr="000F4EF3">
        <w:trPr>
          <w:trHeight w:val="830"/>
          <w:jc w:val="center"/>
        </w:trPr>
        <w:tc>
          <w:tcPr>
            <w:tcW w:w="1857" w:type="dxa"/>
          </w:tcPr>
          <w:p w:rsidR="000F4EF3" w:rsidRPr="006A56D1" w:rsidRDefault="000F4EF3" w:rsidP="000F4EF3">
            <w:pPr>
              <w:pStyle w:val="naiskr"/>
              <w:spacing w:before="0" w:after="0"/>
              <w:rPr>
                <w:b/>
              </w:rPr>
            </w:pPr>
            <w:r w:rsidRPr="006A56D1">
              <w:rPr>
                <w:b/>
              </w:rPr>
              <w:t>Direktīva:</w:t>
            </w:r>
          </w:p>
          <w:p w:rsidR="000F4EF3" w:rsidRPr="006A56D1" w:rsidRDefault="000F4EF3" w:rsidP="000F4EF3">
            <w:pPr>
              <w:pStyle w:val="naiskr"/>
              <w:spacing w:before="0" w:after="0"/>
            </w:pPr>
            <w:r w:rsidRPr="006A56D1">
              <w:t>13.panta piektās daļas a) punkts</w:t>
            </w:r>
          </w:p>
        </w:tc>
        <w:tc>
          <w:tcPr>
            <w:tcW w:w="1824" w:type="dxa"/>
          </w:tcPr>
          <w:p w:rsidR="000F4EF3" w:rsidRPr="006A56D1" w:rsidRDefault="000F4EF3" w:rsidP="000F4EF3">
            <w:pPr>
              <w:pStyle w:val="naiskr"/>
              <w:spacing w:before="0" w:after="0"/>
              <w:rPr>
                <w:b/>
              </w:rPr>
            </w:pPr>
            <w:r w:rsidRPr="006A56D1">
              <w:rPr>
                <w:b/>
              </w:rPr>
              <w:t>MK noteikumi:</w:t>
            </w:r>
          </w:p>
          <w:p w:rsidR="000F4EF3" w:rsidRPr="006A56D1" w:rsidRDefault="000B618C" w:rsidP="000F4EF3">
            <w:pPr>
              <w:pStyle w:val="naiskr"/>
              <w:spacing w:before="0" w:after="0"/>
            </w:pPr>
            <w:r w:rsidRPr="006A56D1">
              <w:t>11.</w:t>
            </w:r>
            <w:r w:rsidRPr="006A56D1">
              <w:rPr>
                <w:vertAlign w:val="superscript"/>
              </w:rPr>
              <w:t xml:space="preserve">3 </w:t>
            </w:r>
            <w:r w:rsidRPr="006A56D1">
              <w:t xml:space="preserve"> un 26.</w:t>
            </w:r>
            <w:r w:rsidRPr="006A56D1">
              <w:rPr>
                <w:vertAlign w:val="superscript"/>
              </w:rPr>
              <w:t>2</w:t>
            </w:r>
            <w:r w:rsidRPr="006A56D1">
              <w:rPr>
                <w:b/>
              </w:rPr>
              <w:t xml:space="preserve"> </w:t>
            </w:r>
            <w:r w:rsidRPr="006A56D1">
              <w:t>punkts</w:t>
            </w:r>
          </w:p>
        </w:tc>
        <w:tc>
          <w:tcPr>
            <w:tcW w:w="3420" w:type="dxa"/>
          </w:tcPr>
          <w:p w:rsidR="000F4EF3" w:rsidRPr="006A56D1" w:rsidRDefault="000F4EF3" w:rsidP="000F4EF3">
            <w:pPr>
              <w:pStyle w:val="naiskr"/>
              <w:spacing w:before="0" w:after="0"/>
            </w:pPr>
          </w:p>
          <w:p w:rsidR="000F4EF3" w:rsidRPr="006A56D1" w:rsidRDefault="000F4EF3" w:rsidP="000F4EF3">
            <w:pPr>
              <w:pStyle w:val="naiskr"/>
              <w:spacing w:before="0" w:after="0"/>
            </w:pPr>
            <w:r w:rsidRPr="006A56D1">
              <w:t>Direktīvas prasības tiek ieviestas pilnībā.</w:t>
            </w:r>
          </w:p>
        </w:tc>
        <w:tc>
          <w:tcPr>
            <w:tcW w:w="3350" w:type="dxa"/>
          </w:tcPr>
          <w:p w:rsidR="000F4EF3" w:rsidRPr="006A56D1" w:rsidRDefault="000F4EF3" w:rsidP="000F4EF3">
            <w:pPr>
              <w:pStyle w:val="naiskr"/>
              <w:spacing w:before="0" w:after="0"/>
            </w:pPr>
          </w:p>
          <w:p w:rsidR="000F4EF3" w:rsidRPr="006A56D1" w:rsidRDefault="000F4EF3" w:rsidP="000F4EF3">
            <w:pPr>
              <w:pStyle w:val="naiskr"/>
              <w:spacing w:before="0" w:after="0"/>
            </w:pPr>
            <w:r w:rsidRPr="006A56D1">
              <w:t>Tiesību norma neparedz stingrākas prasības</w:t>
            </w:r>
          </w:p>
        </w:tc>
      </w:tr>
      <w:tr w:rsidR="000F4EF3" w:rsidRPr="006A56D1" w:rsidTr="000F4EF3">
        <w:trPr>
          <w:trHeight w:val="503"/>
          <w:jc w:val="center"/>
        </w:trPr>
        <w:tc>
          <w:tcPr>
            <w:tcW w:w="1857" w:type="dxa"/>
          </w:tcPr>
          <w:p w:rsidR="000F4EF3" w:rsidRPr="006A56D1" w:rsidRDefault="000F4EF3" w:rsidP="000F4EF3">
            <w:pPr>
              <w:pStyle w:val="naiskr"/>
              <w:spacing w:before="0" w:after="0"/>
            </w:pPr>
            <w:r w:rsidRPr="006A56D1">
              <w:t>13.panta ceturtā daļa un piektās daļas c) punkts</w:t>
            </w:r>
          </w:p>
        </w:tc>
        <w:tc>
          <w:tcPr>
            <w:tcW w:w="1824" w:type="dxa"/>
          </w:tcPr>
          <w:p w:rsidR="000F4EF3" w:rsidRPr="006A56D1" w:rsidRDefault="000E0ED2" w:rsidP="000F4EF3">
            <w:pPr>
              <w:pStyle w:val="naiskr"/>
              <w:spacing w:before="0" w:after="0"/>
            </w:pPr>
            <w:r w:rsidRPr="006A56D1">
              <w:rPr>
                <w:vertAlign w:val="superscript"/>
              </w:rPr>
              <w:t xml:space="preserve"> </w:t>
            </w:r>
            <w:r w:rsidRPr="006A56D1">
              <w:t>16. un 26.</w:t>
            </w:r>
            <w:r w:rsidRPr="006A56D1">
              <w:rPr>
                <w:vertAlign w:val="superscript"/>
              </w:rPr>
              <w:t>3</w:t>
            </w:r>
            <w:r w:rsidRPr="006A56D1">
              <w:rPr>
                <w:b/>
              </w:rPr>
              <w:t xml:space="preserve"> </w:t>
            </w:r>
            <w:r w:rsidRPr="006A56D1">
              <w:t>punkts</w:t>
            </w:r>
          </w:p>
        </w:tc>
        <w:tc>
          <w:tcPr>
            <w:tcW w:w="3420" w:type="dxa"/>
          </w:tcPr>
          <w:p w:rsidR="000F4EF3" w:rsidRPr="006A56D1" w:rsidRDefault="000F4EF3" w:rsidP="000F4EF3">
            <w:pPr>
              <w:pStyle w:val="naiskr"/>
              <w:spacing w:before="0" w:after="0"/>
            </w:pPr>
            <w:r w:rsidRPr="006A56D1">
              <w:t>Direktīvas prasības tiek ieviestas pilnībā.</w:t>
            </w:r>
          </w:p>
        </w:tc>
        <w:tc>
          <w:tcPr>
            <w:tcW w:w="3350" w:type="dxa"/>
          </w:tcPr>
          <w:p w:rsidR="000F4EF3" w:rsidRPr="006A56D1" w:rsidRDefault="000F4EF3" w:rsidP="000F4EF3">
            <w:pPr>
              <w:pStyle w:val="naiskr"/>
              <w:spacing w:before="0" w:after="0"/>
            </w:pPr>
            <w:r w:rsidRPr="006A56D1">
              <w:t>Tiesību norma neparedz stingrākas prasības</w:t>
            </w:r>
          </w:p>
        </w:tc>
      </w:tr>
      <w:tr w:rsidR="000F4EF3" w:rsidRPr="006A56D1" w:rsidTr="000F4EF3">
        <w:trPr>
          <w:trHeight w:val="497"/>
          <w:jc w:val="center"/>
        </w:trPr>
        <w:tc>
          <w:tcPr>
            <w:tcW w:w="1857" w:type="dxa"/>
          </w:tcPr>
          <w:p w:rsidR="000F4EF3" w:rsidRPr="006A56D1" w:rsidRDefault="000F4EF3" w:rsidP="000F4EF3">
            <w:pPr>
              <w:pStyle w:val="naiskr"/>
              <w:spacing w:before="0" w:after="0"/>
            </w:pPr>
            <w:r w:rsidRPr="006A56D1">
              <w:t>13.panta sestā daļa</w:t>
            </w:r>
          </w:p>
        </w:tc>
        <w:tc>
          <w:tcPr>
            <w:tcW w:w="1824" w:type="dxa"/>
          </w:tcPr>
          <w:p w:rsidR="000F4EF3" w:rsidRPr="006A56D1" w:rsidRDefault="000F4EF3" w:rsidP="000F4EF3">
            <w:pPr>
              <w:pStyle w:val="naiskr"/>
              <w:spacing w:before="0" w:after="0"/>
            </w:pPr>
            <w:r w:rsidRPr="006A56D1">
              <w:t>11.</w:t>
            </w:r>
            <w:r w:rsidRPr="006A56D1">
              <w:rPr>
                <w:vertAlign w:val="superscript"/>
              </w:rPr>
              <w:t xml:space="preserve">3 </w:t>
            </w:r>
            <w:r w:rsidRPr="006A56D1">
              <w:t xml:space="preserve"> </w:t>
            </w:r>
            <w:r w:rsidR="000B618C" w:rsidRPr="006A56D1">
              <w:t>un 26.</w:t>
            </w:r>
            <w:r w:rsidR="000B618C" w:rsidRPr="006A56D1">
              <w:rPr>
                <w:vertAlign w:val="superscript"/>
              </w:rPr>
              <w:t>2</w:t>
            </w:r>
            <w:r w:rsidR="000B618C" w:rsidRPr="006A56D1">
              <w:rPr>
                <w:b/>
              </w:rPr>
              <w:t xml:space="preserve"> </w:t>
            </w:r>
            <w:r w:rsidRPr="006A56D1">
              <w:t>punkts</w:t>
            </w:r>
          </w:p>
        </w:tc>
        <w:tc>
          <w:tcPr>
            <w:tcW w:w="3420" w:type="dxa"/>
          </w:tcPr>
          <w:p w:rsidR="000F4EF3" w:rsidRPr="006A56D1" w:rsidRDefault="000F4EF3" w:rsidP="000F4EF3">
            <w:pPr>
              <w:pStyle w:val="naiskr"/>
              <w:spacing w:before="0" w:after="0"/>
            </w:pPr>
            <w:r w:rsidRPr="006A56D1">
              <w:t>Direktīvas prasības tiek ieviestas pilnībā.</w:t>
            </w:r>
          </w:p>
        </w:tc>
        <w:tc>
          <w:tcPr>
            <w:tcW w:w="3350" w:type="dxa"/>
          </w:tcPr>
          <w:p w:rsidR="000F4EF3" w:rsidRPr="006A56D1" w:rsidRDefault="000F4EF3" w:rsidP="000F4EF3">
            <w:pPr>
              <w:pStyle w:val="naiskr"/>
              <w:spacing w:before="0" w:after="0"/>
            </w:pPr>
            <w:r w:rsidRPr="006A56D1">
              <w:t>Tiesību norma neparedz stingrākas prasības</w:t>
            </w:r>
          </w:p>
        </w:tc>
      </w:tr>
      <w:tr w:rsidR="000F4EF3" w:rsidRPr="006A56D1" w:rsidTr="000F4EF3">
        <w:trPr>
          <w:trHeight w:val="281"/>
          <w:jc w:val="center"/>
        </w:trPr>
        <w:tc>
          <w:tcPr>
            <w:tcW w:w="1857" w:type="dxa"/>
            <w:vAlign w:val="center"/>
          </w:tcPr>
          <w:p w:rsidR="000F4EF3" w:rsidRPr="006A56D1" w:rsidRDefault="000F4EF3" w:rsidP="000F4EF3">
            <w:pPr>
              <w:pStyle w:val="naiskr"/>
              <w:spacing w:before="0" w:after="0"/>
            </w:pPr>
            <w:r w:rsidRPr="006A56D1">
              <w:t>Kā ir izmantota ES tiesību aktā paredzētā rīcības brīvība dalībvalstij pārņemt vai ieviest noteiktas ES tiesību akta normas.</w:t>
            </w:r>
          </w:p>
          <w:p w:rsidR="000F4EF3" w:rsidRPr="006A56D1" w:rsidRDefault="000F4EF3" w:rsidP="000F4EF3">
            <w:pPr>
              <w:pStyle w:val="naiskr"/>
              <w:spacing w:before="0" w:after="0"/>
            </w:pPr>
            <w:r w:rsidRPr="006A56D1">
              <w:t>Kādēļ?</w:t>
            </w:r>
          </w:p>
        </w:tc>
        <w:tc>
          <w:tcPr>
            <w:tcW w:w="8594" w:type="dxa"/>
            <w:gridSpan w:val="3"/>
          </w:tcPr>
          <w:p w:rsidR="000F4EF3" w:rsidRPr="006A56D1" w:rsidRDefault="000F4EF3" w:rsidP="000F4EF3">
            <w:pPr>
              <w:pStyle w:val="naiskr"/>
              <w:spacing w:before="0" w:after="0"/>
            </w:pPr>
            <w:r w:rsidRPr="006A56D1">
              <w:rPr>
                <w:iCs/>
              </w:rPr>
              <w:t>Nav attiecināms</w:t>
            </w:r>
          </w:p>
        </w:tc>
      </w:tr>
      <w:tr w:rsidR="000F4EF3" w:rsidRPr="006A56D1" w:rsidTr="000F4EF3">
        <w:trPr>
          <w:trHeight w:val="913"/>
          <w:jc w:val="center"/>
        </w:trPr>
        <w:tc>
          <w:tcPr>
            <w:tcW w:w="1857" w:type="dxa"/>
            <w:vAlign w:val="center"/>
          </w:tcPr>
          <w:p w:rsidR="000F4EF3" w:rsidRPr="006A56D1" w:rsidRDefault="000F4EF3" w:rsidP="000F4EF3">
            <w:pPr>
              <w:pStyle w:val="naiskr"/>
              <w:spacing w:before="0" w:after="0"/>
              <w:rPr>
                <w:i/>
              </w:rPr>
            </w:pPr>
            <w:r w:rsidRPr="006A56D1">
              <w:t xml:space="preserve">Saistības sniegt paziņojumu ES institūcijām un ES </w:t>
            </w:r>
            <w:r w:rsidRPr="006A56D1">
              <w:lastRenderedPageBreak/>
              <w:t>dalībvalstīm atbilstoši normatīvajiem aktiem, kas regulē informācijas sniegšanu par tehnisko noteikumu, valsts atbalsta piešķiršanas un finanšu noteikumu (attiecībā uz monetāro politiku) projektiem</w:t>
            </w:r>
          </w:p>
        </w:tc>
        <w:tc>
          <w:tcPr>
            <w:tcW w:w="8594" w:type="dxa"/>
            <w:gridSpan w:val="3"/>
          </w:tcPr>
          <w:p w:rsidR="000F4EF3" w:rsidRPr="006A56D1" w:rsidRDefault="000F4EF3" w:rsidP="000F4EF3">
            <w:pPr>
              <w:pStyle w:val="naiskr"/>
              <w:spacing w:before="0" w:after="0"/>
            </w:pPr>
            <w:r w:rsidRPr="006A56D1">
              <w:rPr>
                <w:iCs/>
              </w:rPr>
              <w:lastRenderedPageBreak/>
              <w:t>Nav attiecināms</w:t>
            </w:r>
          </w:p>
        </w:tc>
      </w:tr>
      <w:tr w:rsidR="000F4EF3" w:rsidRPr="006A56D1" w:rsidTr="000F4EF3">
        <w:trPr>
          <w:trHeight w:val="579"/>
          <w:jc w:val="center"/>
        </w:trPr>
        <w:tc>
          <w:tcPr>
            <w:tcW w:w="1857" w:type="dxa"/>
          </w:tcPr>
          <w:p w:rsidR="000F4EF3" w:rsidRPr="006A56D1" w:rsidRDefault="000F4EF3" w:rsidP="006A56D1">
            <w:pPr>
              <w:pStyle w:val="naiskr"/>
              <w:spacing w:before="0" w:after="0"/>
            </w:pPr>
            <w:r w:rsidRPr="006A56D1">
              <w:lastRenderedPageBreak/>
              <w:t>Cita informācija</w:t>
            </w:r>
          </w:p>
        </w:tc>
        <w:tc>
          <w:tcPr>
            <w:tcW w:w="8594" w:type="dxa"/>
            <w:gridSpan w:val="3"/>
          </w:tcPr>
          <w:p w:rsidR="000F4EF3" w:rsidRPr="006A56D1" w:rsidRDefault="000F4EF3" w:rsidP="006A56D1">
            <w:pPr>
              <w:pStyle w:val="naiskr"/>
              <w:spacing w:before="0" w:after="0"/>
              <w:rPr>
                <w:i/>
              </w:rPr>
            </w:pPr>
            <w:r w:rsidRPr="006A56D1">
              <w:t>Nav</w:t>
            </w:r>
          </w:p>
        </w:tc>
      </w:tr>
    </w:tbl>
    <w:p w:rsidR="006A56D1" w:rsidRDefault="006A56D1" w:rsidP="00BA3F64"/>
    <w:p w:rsidR="00333301" w:rsidRPr="006A56D1" w:rsidRDefault="00333301" w:rsidP="00BA3F64">
      <w:r w:rsidRPr="006A56D1">
        <w:t xml:space="preserve">Anotācijas </w:t>
      </w:r>
      <w:r w:rsidR="000F4EF3" w:rsidRPr="006A56D1">
        <w:t>III, IV</w:t>
      </w:r>
      <w:r w:rsidR="00F100A3" w:rsidRPr="006A56D1">
        <w:t>, VI un VII</w:t>
      </w:r>
      <w:r w:rsidR="001E45BC" w:rsidRPr="006A56D1">
        <w:t xml:space="preserve"> </w:t>
      </w:r>
      <w:r w:rsidRPr="006A56D1">
        <w:t>sadaļa  - projekts š</w:t>
      </w:r>
      <w:r w:rsidR="00F100A3" w:rsidRPr="006A56D1">
        <w:t>īs</w:t>
      </w:r>
      <w:r w:rsidRPr="006A56D1">
        <w:t xml:space="preserve"> jom</w:t>
      </w:r>
      <w:r w:rsidR="00F100A3" w:rsidRPr="006A56D1">
        <w:t>as</w:t>
      </w:r>
      <w:r w:rsidRPr="006A56D1">
        <w:t xml:space="preserve"> neskar</w:t>
      </w:r>
      <w:r w:rsidR="001E45BC" w:rsidRPr="006A56D1">
        <w:t>.</w:t>
      </w:r>
    </w:p>
    <w:p w:rsidR="00BA3F64" w:rsidRPr="006A56D1" w:rsidRDefault="00BA3F64" w:rsidP="00BA3F64"/>
    <w:p w:rsidR="00261A73" w:rsidRPr="006A56D1" w:rsidRDefault="00BA3F64">
      <w:pPr>
        <w:ind w:firstLine="720"/>
      </w:pPr>
      <w:r w:rsidRPr="006A56D1">
        <w:t xml:space="preserve">Tieslietu ministrs </w:t>
      </w:r>
      <w:r w:rsidRPr="006A56D1">
        <w:tab/>
      </w:r>
      <w:r w:rsidRPr="006A56D1">
        <w:tab/>
      </w:r>
      <w:r w:rsidRPr="006A56D1">
        <w:tab/>
      </w:r>
      <w:r w:rsidRPr="006A56D1">
        <w:tab/>
      </w:r>
      <w:r w:rsidRPr="006A56D1">
        <w:tab/>
      </w:r>
      <w:r w:rsidRPr="006A56D1">
        <w:tab/>
      </w:r>
      <w:r w:rsidRPr="006A56D1">
        <w:tab/>
      </w:r>
      <w:r w:rsidR="00A41CCC" w:rsidRPr="006A56D1">
        <w:t>J.Bordāns</w:t>
      </w:r>
    </w:p>
    <w:p w:rsidR="00096D00" w:rsidRPr="006A56D1" w:rsidRDefault="00096D00">
      <w:pPr>
        <w:ind w:firstLine="720"/>
      </w:pPr>
    </w:p>
    <w:p w:rsidR="00CB12E1" w:rsidRPr="006A56D1" w:rsidRDefault="00CB12E1" w:rsidP="00BA3F64"/>
    <w:p w:rsidR="000F0D79" w:rsidRPr="00F100A3" w:rsidRDefault="007B63CC" w:rsidP="00BA3F64">
      <w:pPr>
        <w:rPr>
          <w:sz w:val="20"/>
          <w:szCs w:val="20"/>
        </w:rPr>
      </w:pPr>
      <w:r>
        <w:rPr>
          <w:sz w:val="20"/>
          <w:szCs w:val="20"/>
        </w:rPr>
        <w:t>01.08</w:t>
      </w:r>
      <w:r w:rsidR="001A4C6B" w:rsidRPr="00F100A3">
        <w:rPr>
          <w:sz w:val="20"/>
          <w:szCs w:val="20"/>
        </w:rPr>
        <w:t>.</w:t>
      </w:r>
      <w:r w:rsidR="00BA3F64" w:rsidRPr="00F100A3">
        <w:rPr>
          <w:sz w:val="20"/>
          <w:szCs w:val="20"/>
        </w:rPr>
        <w:t>201</w:t>
      </w:r>
      <w:r w:rsidR="008A2AF7">
        <w:rPr>
          <w:sz w:val="20"/>
          <w:szCs w:val="20"/>
        </w:rPr>
        <w:t>3</w:t>
      </w:r>
      <w:r w:rsidR="007203D6">
        <w:rPr>
          <w:sz w:val="20"/>
          <w:szCs w:val="20"/>
        </w:rPr>
        <w:t>.</w:t>
      </w:r>
      <w:r w:rsidR="00BA3F64" w:rsidRPr="00F100A3">
        <w:rPr>
          <w:sz w:val="20"/>
          <w:szCs w:val="20"/>
        </w:rPr>
        <w:t xml:space="preserve"> </w:t>
      </w:r>
      <w:r w:rsidR="000366F4">
        <w:rPr>
          <w:sz w:val="20"/>
          <w:szCs w:val="20"/>
        </w:rPr>
        <w:t>1</w:t>
      </w:r>
      <w:r>
        <w:rPr>
          <w:sz w:val="20"/>
          <w:szCs w:val="20"/>
        </w:rPr>
        <w:t>3</w:t>
      </w:r>
      <w:r w:rsidR="008148A7" w:rsidRPr="00F100A3">
        <w:rPr>
          <w:sz w:val="20"/>
          <w:szCs w:val="20"/>
        </w:rPr>
        <w:t>:</w:t>
      </w:r>
      <w:r>
        <w:rPr>
          <w:sz w:val="20"/>
          <w:szCs w:val="20"/>
        </w:rPr>
        <w:t>0</w:t>
      </w:r>
      <w:r w:rsidR="00B9588C">
        <w:rPr>
          <w:sz w:val="20"/>
          <w:szCs w:val="20"/>
        </w:rPr>
        <w:t>2</w:t>
      </w:r>
    </w:p>
    <w:p w:rsidR="00BA3F64" w:rsidRPr="000366F4" w:rsidRDefault="00994A63" w:rsidP="00BA3F64">
      <w:pPr>
        <w:rPr>
          <w:sz w:val="20"/>
          <w:szCs w:val="20"/>
        </w:rPr>
      </w:pPr>
      <w:r>
        <w:rPr>
          <w:sz w:val="20"/>
          <w:szCs w:val="20"/>
        </w:rPr>
        <w:t>1</w:t>
      </w:r>
      <w:r w:rsidR="000D5623">
        <w:rPr>
          <w:sz w:val="20"/>
          <w:szCs w:val="20"/>
        </w:rPr>
        <w:t>1</w:t>
      </w:r>
      <w:r w:rsidR="00135751">
        <w:rPr>
          <w:sz w:val="20"/>
          <w:szCs w:val="20"/>
        </w:rPr>
        <w:t>28</w:t>
      </w:r>
    </w:p>
    <w:p w:rsidR="00BA3F64" w:rsidRPr="00F100A3" w:rsidRDefault="00BA3F64" w:rsidP="00BA3F64">
      <w:pPr>
        <w:rPr>
          <w:sz w:val="20"/>
          <w:szCs w:val="20"/>
        </w:rPr>
      </w:pPr>
      <w:r w:rsidRPr="00F100A3">
        <w:rPr>
          <w:sz w:val="20"/>
          <w:szCs w:val="20"/>
        </w:rPr>
        <w:t>I.Reizina</w:t>
      </w:r>
    </w:p>
    <w:p w:rsidR="00B3356C" w:rsidRPr="004E6BF8" w:rsidRDefault="00BA3F64">
      <w:pPr>
        <w:rPr>
          <w:i/>
          <w:sz w:val="20"/>
          <w:szCs w:val="20"/>
        </w:rPr>
      </w:pPr>
      <w:r w:rsidRPr="00F100A3">
        <w:rPr>
          <w:sz w:val="20"/>
          <w:szCs w:val="20"/>
        </w:rPr>
        <w:t>67406137, Ingrida.Reizina@tm.gov.lv</w:t>
      </w:r>
    </w:p>
    <w:sectPr w:rsidR="00B3356C" w:rsidRPr="004E6BF8" w:rsidSect="00557A62">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31" w:rsidRDefault="00E65B31" w:rsidP="00B45581">
      <w:r>
        <w:separator/>
      </w:r>
    </w:p>
  </w:endnote>
  <w:endnote w:type="continuationSeparator" w:id="0">
    <w:p w:rsidR="00E65B31" w:rsidRDefault="00E65B31" w:rsidP="00B4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63" w:rsidRDefault="0095036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rsidR="00950363" w:rsidRDefault="0095036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63" w:rsidRPr="00DC354C" w:rsidRDefault="00950363" w:rsidP="00DC354C">
    <w:pPr>
      <w:pStyle w:val="Virsraksts4"/>
      <w:jc w:val="both"/>
      <w:rPr>
        <w:sz w:val="20"/>
      </w:rPr>
    </w:pPr>
    <w:r w:rsidRPr="00B27EF2">
      <w:rPr>
        <w:sz w:val="20"/>
      </w:rPr>
      <w:t>TMAnot_</w:t>
    </w:r>
    <w:r w:rsidR="007B63CC">
      <w:rPr>
        <w:sz w:val="20"/>
      </w:rPr>
      <w:t>0108</w:t>
    </w:r>
    <w:r w:rsidRPr="00B27EF2">
      <w:rPr>
        <w:sz w:val="20"/>
      </w:rPr>
      <w:t>1</w:t>
    </w:r>
    <w:r>
      <w:rPr>
        <w:sz w:val="20"/>
      </w:rPr>
      <w:t>3</w:t>
    </w:r>
    <w:r w:rsidRPr="00B27EF2">
      <w:rPr>
        <w:sz w:val="20"/>
      </w:rPr>
      <w:t>_534;</w:t>
    </w:r>
    <w:r>
      <w:rPr>
        <w:sz w:val="22"/>
        <w:szCs w:val="22"/>
      </w:rPr>
      <w:t xml:space="preserve"> </w:t>
    </w:r>
    <w:r w:rsidRPr="00F100A3">
      <w:rPr>
        <w:sz w:val="20"/>
      </w:rPr>
      <w:t>Ministru kabineta noteikumu projekta</w:t>
    </w:r>
    <w:r>
      <w:rPr>
        <w:sz w:val="20"/>
      </w:rPr>
      <w:t xml:space="preserve"> „</w:t>
    </w:r>
    <w:r w:rsidRPr="00F100A3">
      <w:rPr>
        <w:bCs/>
        <w:sz w:val="20"/>
      </w:rPr>
      <w:t>Grozījumi Ministru kabineta 2002.gada 9.decembra noteikumos Nr.534 „Kārtība, kādā saņemams profesionālās kvalifikācijas sertifikāts nekustamā īpašuma novērtēšanai”</w:t>
    </w:r>
    <w:r>
      <w:rPr>
        <w:bCs/>
        <w:sz w:val="20"/>
      </w:rPr>
      <w:t>”</w:t>
    </w:r>
    <w:r w:rsidRPr="00F100A3">
      <w:rPr>
        <w:sz w:val="20"/>
      </w:rPr>
      <w:t xml:space="preserve"> sākotnējās ietekmes novērtējuma </w:t>
    </w:r>
    <w:smartTag w:uri="schemas-tilde-lv/tildestengine" w:element="veidnes">
      <w:smartTagPr>
        <w:attr w:name="text" w:val="ziņojums"/>
        <w:attr w:name="baseform" w:val="ziņojums"/>
        <w:attr w:name="id" w:val="-1"/>
      </w:smartTagPr>
      <w:r w:rsidRPr="00F100A3">
        <w:rPr>
          <w:sz w:val="20"/>
        </w:rPr>
        <w:t>ziņojums</w:t>
      </w:r>
    </w:smartTag>
    <w:r w:rsidRPr="00F100A3">
      <w:rPr>
        <w:sz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63" w:rsidRPr="00F100A3" w:rsidRDefault="00950363" w:rsidP="00F100A3">
    <w:pPr>
      <w:pStyle w:val="Virsraksts4"/>
      <w:jc w:val="both"/>
      <w:rPr>
        <w:sz w:val="20"/>
      </w:rPr>
    </w:pPr>
    <w:r w:rsidRPr="00BC1964">
      <w:rPr>
        <w:sz w:val="20"/>
      </w:rPr>
      <w:t>TMAnot_</w:t>
    </w:r>
    <w:r w:rsidR="00B14923">
      <w:rPr>
        <w:sz w:val="20"/>
      </w:rPr>
      <w:t>0108</w:t>
    </w:r>
    <w:bookmarkStart w:id="2" w:name="_GoBack"/>
    <w:bookmarkEnd w:id="2"/>
    <w:r>
      <w:rPr>
        <w:sz w:val="20"/>
      </w:rPr>
      <w:t>13</w:t>
    </w:r>
    <w:r w:rsidRPr="00BC1964">
      <w:rPr>
        <w:sz w:val="20"/>
      </w:rPr>
      <w:t>_534;</w:t>
    </w:r>
    <w:r>
      <w:rPr>
        <w:sz w:val="22"/>
        <w:szCs w:val="22"/>
      </w:rPr>
      <w:t xml:space="preserve"> </w:t>
    </w:r>
    <w:r w:rsidRPr="00F100A3">
      <w:rPr>
        <w:sz w:val="20"/>
      </w:rPr>
      <w:t>Ministru kabineta noteikumu projekta</w:t>
    </w:r>
    <w:r>
      <w:rPr>
        <w:sz w:val="20"/>
      </w:rPr>
      <w:t xml:space="preserve"> „</w:t>
    </w:r>
    <w:r w:rsidRPr="00F100A3">
      <w:rPr>
        <w:bCs/>
        <w:sz w:val="20"/>
      </w:rPr>
      <w:t>Grozījumi Ministru kabineta 2002.gada 9.decembra noteikumos Nr.534 „Kārtība, kādā saņemams profesionālās kvalifikācijas sertifikāts nekustamā īpašuma novērtēšanai”</w:t>
    </w:r>
    <w:r>
      <w:rPr>
        <w:bCs/>
        <w:sz w:val="20"/>
      </w:rPr>
      <w:t>”</w:t>
    </w:r>
    <w:r w:rsidRPr="00F100A3">
      <w:rPr>
        <w:sz w:val="20"/>
      </w:rPr>
      <w:t xml:space="preserve"> sākotnējās ietekmes novērtējuma </w:t>
    </w:r>
    <w:smartTag w:uri="schemas-tilde-lv/tildestengine" w:element="veidnes">
      <w:smartTagPr>
        <w:attr w:name="text" w:val="ziņojums"/>
        <w:attr w:name="baseform" w:val="ziņojums"/>
        <w:attr w:name="id" w:val="-1"/>
      </w:smartTagPr>
      <w:r w:rsidRPr="00F100A3">
        <w:rPr>
          <w:sz w:val="20"/>
        </w:rPr>
        <w:t>ziņojums</w:t>
      </w:r>
    </w:smartTag>
    <w:r w:rsidRPr="00F100A3">
      <w:rPr>
        <w:sz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31" w:rsidRDefault="00E65B31" w:rsidP="00B45581">
      <w:r>
        <w:separator/>
      </w:r>
    </w:p>
  </w:footnote>
  <w:footnote w:type="continuationSeparator" w:id="0">
    <w:p w:rsidR="00E65B31" w:rsidRDefault="00E65B31" w:rsidP="00B45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63" w:rsidRDefault="009503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50363" w:rsidRDefault="0095036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63" w:rsidRDefault="0095036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C4751">
      <w:rPr>
        <w:rStyle w:val="Lappusesnumurs"/>
        <w:noProof/>
      </w:rPr>
      <w:t>2</w:t>
    </w:r>
    <w:r>
      <w:rPr>
        <w:rStyle w:val="Lappusesnumurs"/>
      </w:rPr>
      <w:fldChar w:fldCharType="end"/>
    </w:r>
  </w:p>
  <w:p w:rsidR="00950363" w:rsidRDefault="0095036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23" w:rsidRDefault="00B1492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4FFF"/>
    <w:multiLevelType w:val="multilevel"/>
    <w:tmpl w:val="C88E8D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F77168C"/>
    <w:multiLevelType w:val="hybridMultilevel"/>
    <w:tmpl w:val="40CC5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4B5260"/>
    <w:multiLevelType w:val="hybridMultilevel"/>
    <w:tmpl w:val="3F88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FB601D"/>
    <w:multiLevelType w:val="hybridMultilevel"/>
    <w:tmpl w:val="20CEC2AC"/>
    <w:lvl w:ilvl="0" w:tplc="ACC826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8CF20F6"/>
    <w:multiLevelType w:val="hybridMultilevel"/>
    <w:tmpl w:val="1AD4A58C"/>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727A77F7"/>
    <w:multiLevelType w:val="hybridMultilevel"/>
    <w:tmpl w:val="7108C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64"/>
    <w:rsid w:val="00005730"/>
    <w:rsid w:val="0001314A"/>
    <w:rsid w:val="00014A42"/>
    <w:rsid w:val="00020C78"/>
    <w:rsid w:val="000222D7"/>
    <w:rsid w:val="00026282"/>
    <w:rsid w:val="0002779B"/>
    <w:rsid w:val="00032430"/>
    <w:rsid w:val="00032C53"/>
    <w:rsid w:val="000366F4"/>
    <w:rsid w:val="0004755F"/>
    <w:rsid w:val="000523EA"/>
    <w:rsid w:val="000601AE"/>
    <w:rsid w:val="0006258B"/>
    <w:rsid w:val="00070DBD"/>
    <w:rsid w:val="000716DF"/>
    <w:rsid w:val="00077526"/>
    <w:rsid w:val="0008738F"/>
    <w:rsid w:val="0009032F"/>
    <w:rsid w:val="000919C3"/>
    <w:rsid w:val="000957BF"/>
    <w:rsid w:val="00096D00"/>
    <w:rsid w:val="000A56F4"/>
    <w:rsid w:val="000A5BAD"/>
    <w:rsid w:val="000B618C"/>
    <w:rsid w:val="000B78A3"/>
    <w:rsid w:val="000C0979"/>
    <w:rsid w:val="000C2120"/>
    <w:rsid w:val="000C6FA0"/>
    <w:rsid w:val="000D5623"/>
    <w:rsid w:val="000E0ED2"/>
    <w:rsid w:val="000E2D4F"/>
    <w:rsid w:val="000E5AB2"/>
    <w:rsid w:val="000E5B07"/>
    <w:rsid w:val="000F0D79"/>
    <w:rsid w:val="000F163B"/>
    <w:rsid w:val="000F32E2"/>
    <w:rsid w:val="000F4EF3"/>
    <w:rsid w:val="000F4F1F"/>
    <w:rsid w:val="00103FAF"/>
    <w:rsid w:val="00104497"/>
    <w:rsid w:val="00106228"/>
    <w:rsid w:val="00113DA7"/>
    <w:rsid w:val="00114C95"/>
    <w:rsid w:val="00116AF9"/>
    <w:rsid w:val="00121A24"/>
    <w:rsid w:val="001250F2"/>
    <w:rsid w:val="00126E03"/>
    <w:rsid w:val="001344F8"/>
    <w:rsid w:val="00135751"/>
    <w:rsid w:val="001363AD"/>
    <w:rsid w:val="001447AF"/>
    <w:rsid w:val="00146123"/>
    <w:rsid w:val="001563B4"/>
    <w:rsid w:val="00163559"/>
    <w:rsid w:val="00165DE6"/>
    <w:rsid w:val="00166BB4"/>
    <w:rsid w:val="0017017C"/>
    <w:rsid w:val="00181823"/>
    <w:rsid w:val="0018249F"/>
    <w:rsid w:val="00182791"/>
    <w:rsid w:val="00183B1E"/>
    <w:rsid w:val="00185F87"/>
    <w:rsid w:val="0018728A"/>
    <w:rsid w:val="00190C3A"/>
    <w:rsid w:val="00192738"/>
    <w:rsid w:val="001A0C7F"/>
    <w:rsid w:val="001A329E"/>
    <w:rsid w:val="001A4C6B"/>
    <w:rsid w:val="001B1551"/>
    <w:rsid w:val="001C0EC4"/>
    <w:rsid w:val="001C2F36"/>
    <w:rsid w:val="001C4751"/>
    <w:rsid w:val="001C653B"/>
    <w:rsid w:val="001D3F81"/>
    <w:rsid w:val="001D58A8"/>
    <w:rsid w:val="001D602A"/>
    <w:rsid w:val="001D6215"/>
    <w:rsid w:val="001E43C6"/>
    <w:rsid w:val="001E45BC"/>
    <w:rsid w:val="001E4D66"/>
    <w:rsid w:val="001E6780"/>
    <w:rsid w:val="001F2523"/>
    <w:rsid w:val="001F549E"/>
    <w:rsid w:val="001F6CDC"/>
    <w:rsid w:val="00202078"/>
    <w:rsid w:val="00202E2F"/>
    <w:rsid w:val="00202FD8"/>
    <w:rsid w:val="0020368F"/>
    <w:rsid w:val="00205AAF"/>
    <w:rsid w:val="0022273C"/>
    <w:rsid w:val="00231D57"/>
    <w:rsid w:val="00232249"/>
    <w:rsid w:val="002368C3"/>
    <w:rsid w:val="00236AB9"/>
    <w:rsid w:val="002405FA"/>
    <w:rsid w:val="00244167"/>
    <w:rsid w:val="00246250"/>
    <w:rsid w:val="0025479F"/>
    <w:rsid w:val="00257DF0"/>
    <w:rsid w:val="00261A73"/>
    <w:rsid w:val="0026448A"/>
    <w:rsid w:val="00271DC5"/>
    <w:rsid w:val="002743F8"/>
    <w:rsid w:val="00274BD2"/>
    <w:rsid w:val="00275E40"/>
    <w:rsid w:val="00280A45"/>
    <w:rsid w:val="002847D5"/>
    <w:rsid w:val="00284934"/>
    <w:rsid w:val="00290762"/>
    <w:rsid w:val="00292603"/>
    <w:rsid w:val="0029779D"/>
    <w:rsid w:val="002A6C35"/>
    <w:rsid w:val="002A7E7F"/>
    <w:rsid w:val="002C3F51"/>
    <w:rsid w:val="002C51EE"/>
    <w:rsid w:val="002C5F02"/>
    <w:rsid w:val="002D62C3"/>
    <w:rsid w:val="002D7B18"/>
    <w:rsid w:val="002E365B"/>
    <w:rsid w:val="002E6455"/>
    <w:rsid w:val="002E66FF"/>
    <w:rsid w:val="002E70FE"/>
    <w:rsid w:val="002F142C"/>
    <w:rsid w:val="003001A7"/>
    <w:rsid w:val="003067C1"/>
    <w:rsid w:val="003068FA"/>
    <w:rsid w:val="00311A66"/>
    <w:rsid w:val="003151DF"/>
    <w:rsid w:val="00317748"/>
    <w:rsid w:val="00317C88"/>
    <w:rsid w:val="0032077E"/>
    <w:rsid w:val="003307DE"/>
    <w:rsid w:val="00333301"/>
    <w:rsid w:val="00334755"/>
    <w:rsid w:val="00334BF6"/>
    <w:rsid w:val="0033526E"/>
    <w:rsid w:val="00354424"/>
    <w:rsid w:val="00366179"/>
    <w:rsid w:val="00370A6F"/>
    <w:rsid w:val="00371D0B"/>
    <w:rsid w:val="00371F0B"/>
    <w:rsid w:val="0037499A"/>
    <w:rsid w:val="0037666E"/>
    <w:rsid w:val="0039153B"/>
    <w:rsid w:val="00391810"/>
    <w:rsid w:val="003937E6"/>
    <w:rsid w:val="003A6F1A"/>
    <w:rsid w:val="003A7A91"/>
    <w:rsid w:val="003B1AC5"/>
    <w:rsid w:val="003B3EA4"/>
    <w:rsid w:val="003C02D9"/>
    <w:rsid w:val="003D0495"/>
    <w:rsid w:val="003D7469"/>
    <w:rsid w:val="003D76A3"/>
    <w:rsid w:val="003E4D64"/>
    <w:rsid w:val="003E5ABA"/>
    <w:rsid w:val="003F5B93"/>
    <w:rsid w:val="00403082"/>
    <w:rsid w:val="00404E52"/>
    <w:rsid w:val="00405422"/>
    <w:rsid w:val="00412823"/>
    <w:rsid w:val="0041723E"/>
    <w:rsid w:val="00417D10"/>
    <w:rsid w:val="00421D1F"/>
    <w:rsid w:val="00423E4B"/>
    <w:rsid w:val="004256B0"/>
    <w:rsid w:val="004421B3"/>
    <w:rsid w:val="00450C51"/>
    <w:rsid w:val="00452582"/>
    <w:rsid w:val="0045298D"/>
    <w:rsid w:val="00453EBF"/>
    <w:rsid w:val="00471669"/>
    <w:rsid w:val="0047346F"/>
    <w:rsid w:val="004762AE"/>
    <w:rsid w:val="004905F9"/>
    <w:rsid w:val="004A1DD8"/>
    <w:rsid w:val="004A392B"/>
    <w:rsid w:val="004A5374"/>
    <w:rsid w:val="004B60FE"/>
    <w:rsid w:val="004B7B6F"/>
    <w:rsid w:val="004C24CB"/>
    <w:rsid w:val="004C361F"/>
    <w:rsid w:val="004E2342"/>
    <w:rsid w:val="004E6BF8"/>
    <w:rsid w:val="004E79C6"/>
    <w:rsid w:val="004F76EE"/>
    <w:rsid w:val="00510820"/>
    <w:rsid w:val="0051098D"/>
    <w:rsid w:val="00526444"/>
    <w:rsid w:val="00535BFA"/>
    <w:rsid w:val="0053701B"/>
    <w:rsid w:val="00541949"/>
    <w:rsid w:val="005451C4"/>
    <w:rsid w:val="005465C6"/>
    <w:rsid w:val="005579D4"/>
    <w:rsid w:val="00557A62"/>
    <w:rsid w:val="00560878"/>
    <w:rsid w:val="00563B97"/>
    <w:rsid w:val="00564091"/>
    <w:rsid w:val="0056598C"/>
    <w:rsid w:val="00572173"/>
    <w:rsid w:val="005759C0"/>
    <w:rsid w:val="005916D6"/>
    <w:rsid w:val="00593383"/>
    <w:rsid w:val="00596F28"/>
    <w:rsid w:val="005A1589"/>
    <w:rsid w:val="005A61EE"/>
    <w:rsid w:val="005C21E4"/>
    <w:rsid w:val="005C221C"/>
    <w:rsid w:val="005D1A9B"/>
    <w:rsid w:val="005D23AB"/>
    <w:rsid w:val="005D49DE"/>
    <w:rsid w:val="005D4CBD"/>
    <w:rsid w:val="005D617A"/>
    <w:rsid w:val="005E341B"/>
    <w:rsid w:val="005E604E"/>
    <w:rsid w:val="005E7604"/>
    <w:rsid w:val="005F43A7"/>
    <w:rsid w:val="005F7E2E"/>
    <w:rsid w:val="006058F2"/>
    <w:rsid w:val="0061138A"/>
    <w:rsid w:val="006141AB"/>
    <w:rsid w:val="00616907"/>
    <w:rsid w:val="00617A33"/>
    <w:rsid w:val="00620B92"/>
    <w:rsid w:val="0062694C"/>
    <w:rsid w:val="00627422"/>
    <w:rsid w:val="006278E2"/>
    <w:rsid w:val="00632C8F"/>
    <w:rsid w:val="00632FAE"/>
    <w:rsid w:val="006412B0"/>
    <w:rsid w:val="006473AC"/>
    <w:rsid w:val="006609FD"/>
    <w:rsid w:val="00663971"/>
    <w:rsid w:val="00664C9F"/>
    <w:rsid w:val="006748AB"/>
    <w:rsid w:val="0067596B"/>
    <w:rsid w:val="00685CDD"/>
    <w:rsid w:val="00686D31"/>
    <w:rsid w:val="00690288"/>
    <w:rsid w:val="00690DA6"/>
    <w:rsid w:val="006913ED"/>
    <w:rsid w:val="006A1A22"/>
    <w:rsid w:val="006A3EA3"/>
    <w:rsid w:val="006A56D1"/>
    <w:rsid w:val="006A6BAD"/>
    <w:rsid w:val="006A7F48"/>
    <w:rsid w:val="006B28E3"/>
    <w:rsid w:val="006B7464"/>
    <w:rsid w:val="006C475A"/>
    <w:rsid w:val="006D0297"/>
    <w:rsid w:val="006D371B"/>
    <w:rsid w:val="006D3E98"/>
    <w:rsid w:val="006D4C82"/>
    <w:rsid w:val="006D7DD2"/>
    <w:rsid w:val="006F6EDA"/>
    <w:rsid w:val="00711DC9"/>
    <w:rsid w:val="0071295B"/>
    <w:rsid w:val="007203D6"/>
    <w:rsid w:val="007247EC"/>
    <w:rsid w:val="00731DE0"/>
    <w:rsid w:val="00732299"/>
    <w:rsid w:val="00735D96"/>
    <w:rsid w:val="0074389E"/>
    <w:rsid w:val="007451A8"/>
    <w:rsid w:val="007466E2"/>
    <w:rsid w:val="00757A47"/>
    <w:rsid w:val="007601BC"/>
    <w:rsid w:val="00761262"/>
    <w:rsid w:val="00772F91"/>
    <w:rsid w:val="00784C70"/>
    <w:rsid w:val="00787A00"/>
    <w:rsid w:val="00791AFB"/>
    <w:rsid w:val="00794495"/>
    <w:rsid w:val="0079497C"/>
    <w:rsid w:val="007A08E7"/>
    <w:rsid w:val="007B12DD"/>
    <w:rsid w:val="007B2E2A"/>
    <w:rsid w:val="007B4EB8"/>
    <w:rsid w:val="007B63CC"/>
    <w:rsid w:val="007C3176"/>
    <w:rsid w:val="007C7A25"/>
    <w:rsid w:val="007D0371"/>
    <w:rsid w:val="007D3273"/>
    <w:rsid w:val="007D37C8"/>
    <w:rsid w:val="007E462B"/>
    <w:rsid w:val="007E74A0"/>
    <w:rsid w:val="007F1891"/>
    <w:rsid w:val="00800EA2"/>
    <w:rsid w:val="00804BDD"/>
    <w:rsid w:val="00807CE9"/>
    <w:rsid w:val="008102ED"/>
    <w:rsid w:val="008148A7"/>
    <w:rsid w:val="00824D78"/>
    <w:rsid w:val="00827481"/>
    <w:rsid w:val="008324BC"/>
    <w:rsid w:val="00834CA3"/>
    <w:rsid w:val="008372C6"/>
    <w:rsid w:val="00843EBF"/>
    <w:rsid w:val="008443F7"/>
    <w:rsid w:val="00844E64"/>
    <w:rsid w:val="00850BE3"/>
    <w:rsid w:val="00860D68"/>
    <w:rsid w:val="00871A33"/>
    <w:rsid w:val="008813FA"/>
    <w:rsid w:val="00881F7C"/>
    <w:rsid w:val="00883304"/>
    <w:rsid w:val="00884039"/>
    <w:rsid w:val="008843EE"/>
    <w:rsid w:val="008859EE"/>
    <w:rsid w:val="008935BF"/>
    <w:rsid w:val="00895085"/>
    <w:rsid w:val="008972EB"/>
    <w:rsid w:val="008A2AE5"/>
    <w:rsid w:val="008A2AF7"/>
    <w:rsid w:val="008A4B0B"/>
    <w:rsid w:val="008A63A4"/>
    <w:rsid w:val="008B1B4B"/>
    <w:rsid w:val="008B2C1E"/>
    <w:rsid w:val="008B35E7"/>
    <w:rsid w:val="008C1BC7"/>
    <w:rsid w:val="008C2729"/>
    <w:rsid w:val="008C3771"/>
    <w:rsid w:val="008D1700"/>
    <w:rsid w:val="008D1C45"/>
    <w:rsid w:val="008D3726"/>
    <w:rsid w:val="008D45B0"/>
    <w:rsid w:val="008D7E2C"/>
    <w:rsid w:val="008E2379"/>
    <w:rsid w:val="008E306F"/>
    <w:rsid w:val="008E6C3F"/>
    <w:rsid w:val="008E6CF5"/>
    <w:rsid w:val="008E7556"/>
    <w:rsid w:val="008E7F1B"/>
    <w:rsid w:val="008F2828"/>
    <w:rsid w:val="009022E4"/>
    <w:rsid w:val="00905C01"/>
    <w:rsid w:val="009109EE"/>
    <w:rsid w:val="00910D04"/>
    <w:rsid w:val="009111D8"/>
    <w:rsid w:val="009136E7"/>
    <w:rsid w:val="00913FBC"/>
    <w:rsid w:val="00914A3D"/>
    <w:rsid w:val="009233A9"/>
    <w:rsid w:val="00925B59"/>
    <w:rsid w:val="00930B4C"/>
    <w:rsid w:val="0093169A"/>
    <w:rsid w:val="00937226"/>
    <w:rsid w:val="0093743E"/>
    <w:rsid w:val="00950363"/>
    <w:rsid w:val="00951921"/>
    <w:rsid w:val="009549F4"/>
    <w:rsid w:val="0095702A"/>
    <w:rsid w:val="00962917"/>
    <w:rsid w:val="00962B27"/>
    <w:rsid w:val="00963A6A"/>
    <w:rsid w:val="00965882"/>
    <w:rsid w:val="009662C0"/>
    <w:rsid w:val="00970C38"/>
    <w:rsid w:val="00977C14"/>
    <w:rsid w:val="0099288A"/>
    <w:rsid w:val="009931AE"/>
    <w:rsid w:val="00994A63"/>
    <w:rsid w:val="00994B77"/>
    <w:rsid w:val="009954EF"/>
    <w:rsid w:val="00996F1B"/>
    <w:rsid w:val="009A6249"/>
    <w:rsid w:val="009B02A0"/>
    <w:rsid w:val="009C53E1"/>
    <w:rsid w:val="009E36D8"/>
    <w:rsid w:val="009E594F"/>
    <w:rsid w:val="009E75DB"/>
    <w:rsid w:val="009E7DBE"/>
    <w:rsid w:val="009F5423"/>
    <w:rsid w:val="009F7513"/>
    <w:rsid w:val="00A01BEC"/>
    <w:rsid w:val="00A13DDC"/>
    <w:rsid w:val="00A23BF9"/>
    <w:rsid w:val="00A3200F"/>
    <w:rsid w:val="00A3301C"/>
    <w:rsid w:val="00A342D3"/>
    <w:rsid w:val="00A41CCC"/>
    <w:rsid w:val="00A43C47"/>
    <w:rsid w:val="00A478F0"/>
    <w:rsid w:val="00A50534"/>
    <w:rsid w:val="00A567BA"/>
    <w:rsid w:val="00A61B7A"/>
    <w:rsid w:val="00A64159"/>
    <w:rsid w:val="00A66C5F"/>
    <w:rsid w:val="00A866DE"/>
    <w:rsid w:val="00A8700F"/>
    <w:rsid w:val="00A92793"/>
    <w:rsid w:val="00A94F07"/>
    <w:rsid w:val="00AA3932"/>
    <w:rsid w:val="00AA7863"/>
    <w:rsid w:val="00AB3C31"/>
    <w:rsid w:val="00AB4DA0"/>
    <w:rsid w:val="00AB5E9D"/>
    <w:rsid w:val="00AC0102"/>
    <w:rsid w:val="00AC109B"/>
    <w:rsid w:val="00AC176F"/>
    <w:rsid w:val="00AC4628"/>
    <w:rsid w:val="00AC5F0A"/>
    <w:rsid w:val="00AD4D06"/>
    <w:rsid w:val="00AD5A36"/>
    <w:rsid w:val="00AE30FA"/>
    <w:rsid w:val="00AE4690"/>
    <w:rsid w:val="00AF2A28"/>
    <w:rsid w:val="00AF54B6"/>
    <w:rsid w:val="00AF569B"/>
    <w:rsid w:val="00AF6399"/>
    <w:rsid w:val="00B02BC9"/>
    <w:rsid w:val="00B1293B"/>
    <w:rsid w:val="00B14923"/>
    <w:rsid w:val="00B24B81"/>
    <w:rsid w:val="00B27EF2"/>
    <w:rsid w:val="00B3356C"/>
    <w:rsid w:val="00B37387"/>
    <w:rsid w:val="00B40C99"/>
    <w:rsid w:val="00B41C18"/>
    <w:rsid w:val="00B44796"/>
    <w:rsid w:val="00B45581"/>
    <w:rsid w:val="00B5070A"/>
    <w:rsid w:val="00B52BCE"/>
    <w:rsid w:val="00B547B6"/>
    <w:rsid w:val="00B56CE6"/>
    <w:rsid w:val="00B62A22"/>
    <w:rsid w:val="00B734E2"/>
    <w:rsid w:val="00B824F8"/>
    <w:rsid w:val="00B90401"/>
    <w:rsid w:val="00B9588C"/>
    <w:rsid w:val="00BA3F64"/>
    <w:rsid w:val="00BB320E"/>
    <w:rsid w:val="00BB6381"/>
    <w:rsid w:val="00BC1964"/>
    <w:rsid w:val="00BC771D"/>
    <w:rsid w:val="00BD1687"/>
    <w:rsid w:val="00BE0E17"/>
    <w:rsid w:val="00BE3A8A"/>
    <w:rsid w:val="00BF012E"/>
    <w:rsid w:val="00BF2341"/>
    <w:rsid w:val="00BF4E5E"/>
    <w:rsid w:val="00BF55E7"/>
    <w:rsid w:val="00C000A6"/>
    <w:rsid w:val="00C03AF0"/>
    <w:rsid w:val="00C131B8"/>
    <w:rsid w:val="00C16249"/>
    <w:rsid w:val="00C20845"/>
    <w:rsid w:val="00C3439A"/>
    <w:rsid w:val="00C35BDA"/>
    <w:rsid w:val="00C37AF4"/>
    <w:rsid w:val="00C40B43"/>
    <w:rsid w:val="00C412B0"/>
    <w:rsid w:val="00C451D6"/>
    <w:rsid w:val="00C45F45"/>
    <w:rsid w:val="00C52CC7"/>
    <w:rsid w:val="00C65670"/>
    <w:rsid w:val="00C66BCC"/>
    <w:rsid w:val="00C672F8"/>
    <w:rsid w:val="00C74D33"/>
    <w:rsid w:val="00C77892"/>
    <w:rsid w:val="00C83098"/>
    <w:rsid w:val="00C8389E"/>
    <w:rsid w:val="00C8485C"/>
    <w:rsid w:val="00C875A9"/>
    <w:rsid w:val="00C905BD"/>
    <w:rsid w:val="00C92561"/>
    <w:rsid w:val="00C95F6E"/>
    <w:rsid w:val="00CA0E52"/>
    <w:rsid w:val="00CB12E1"/>
    <w:rsid w:val="00CB2EBC"/>
    <w:rsid w:val="00CB3D3D"/>
    <w:rsid w:val="00CB7AA7"/>
    <w:rsid w:val="00CC20F2"/>
    <w:rsid w:val="00CC30BA"/>
    <w:rsid w:val="00CD6275"/>
    <w:rsid w:val="00CE0B62"/>
    <w:rsid w:val="00CF19B7"/>
    <w:rsid w:val="00CF25E9"/>
    <w:rsid w:val="00CF2E53"/>
    <w:rsid w:val="00D00E84"/>
    <w:rsid w:val="00D02279"/>
    <w:rsid w:val="00D02BE3"/>
    <w:rsid w:val="00D038BA"/>
    <w:rsid w:val="00D03D0B"/>
    <w:rsid w:val="00D065CA"/>
    <w:rsid w:val="00D071FD"/>
    <w:rsid w:val="00D1194D"/>
    <w:rsid w:val="00D146DF"/>
    <w:rsid w:val="00D2794A"/>
    <w:rsid w:val="00D307A6"/>
    <w:rsid w:val="00D30B0E"/>
    <w:rsid w:val="00D31E79"/>
    <w:rsid w:val="00D33C50"/>
    <w:rsid w:val="00D36D54"/>
    <w:rsid w:val="00D41EEA"/>
    <w:rsid w:val="00D5406C"/>
    <w:rsid w:val="00D626DF"/>
    <w:rsid w:val="00D630A1"/>
    <w:rsid w:val="00D63B39"/>
    <w:rsid w:val="00D64E5F"/>
    <w:rsid w:val="00D71367"/>
    <w:rsid w:val="00D737C6"/>
    <w:rsid w:val="00D76069"/>
    <w:rsid w:val="00D80331"/>
    <w:rsid w:val="00D83073"/>
    <w:rsid w:val="00D879C1"/>
    <w:rsid w:val="00D924EF"/>
    <w:rsid w:val="00D93B0B"/>
    <w:rsid w:val="00DA205A"/>
    <w:rsid w:val="00DA35DA"/>
    <w:rsid w:val="00DC354C"/>
    <w:rsid w:val="00DD0613"/>
    <w:rsid w:val="00DD0984"/>
    <w:rsid w:val="00DD14BD"/>
    <w:rsid w:val="00DE6A8F"/>
    <w:rsid w:val="00DF34AB"/>
    <w:rsid w:val="00DF6E16"/>
    <w:rsid w:val="00DF7B31"/>
    <w:rsid w:val="00E00C66"/>
    <w:rsid w:val="00E03B2C"/>
    <w:rsid w:val="00E1172A"/>
    <w:rsid w:val="00E12D6F"/>
    <w:rsid w:val="00E13176"/>
    <w:rsid w:val="00E14265"/>
    <w:rsid w:val="00E154F3"/>
    <w:rsid w:val="00E170D4"/>
    <w:rsid w:val="00E244DD"/>
    <w:rsid w:val="00E26D74"/>
    <w:rsid w:val="00E3211B"/>
    <w:rsid w:val="00E32C53"/>
    <w:rsid w:val="00E41375"/>
    <w:rsid w:val="00E450DA"/>
    <w:rsid w:val="00E4520C"/>
    <w:rsid w:val="00E464FC"/>
    <w:rsid w:val="00E4735B"/>
    <w:rsid w:val="00E51649"/>
    <w:rsid w:val="00E51EED"/>
    <w:rsid w:val="00E534CF"/>
    <w:rsid w:val="00E65B31"/>
    <w:rsid w:val="00E670F0"/>
    <w:rsid w:val="00E72C77"/>
    <w:rsid w:val="00E7710C"/>
    <w:rsid w:val="00E7759C"/>
    <w:rsid w:val="00E77DC4"/>
    <w:rsid w:val="00E801BF"/>
    <w:rsid w:val="00E80A48"/>
    <w:rsid w:val="00E82456"/>
    <w:rsid w:val="00E90600"/>
    <w:rsid w:val="00E92243"/>
    <w:rsid w:val="00E95592"/>
    <w:rsid w:val="00E9660B"/>
    <w:rsid w:val="00EA4B86"/>
    <w:rsid w:val="00EA6C1E"/>
    <w:rsid w:val="00EB1178"/>
    <w:rsid w:val="00EB310D"/>
    <w:rsid w:val="00EB4466"/>
    <w:rsid w:val="00EC2FB5"/>
    <w:rsid w:val="00EC3994"/>
    <w:rsid w:val="00EC3AEA"/>
    <w:rsid w:val="00EC6306"/>
    <w:rsid w:val="00ED0272"/>
    <w:rsid w:val="00ED0A55"/>
    <w:rsid w:val="00ED10B2"/>
    <w:rsid w:val="00ED1CAC"/>
    <w:rsid w:val="00ED2FEF"/>
    <w:rsid w:val="00ED413B"/>
    <w:rsid w:val="00EE3362"/>
    <w:rsid w:val="00EE365E"/>
    <w:rsid w:val="00EE4961"/>
    <w:rsid w:val="00EE5155"/>
    <w:rsid w:val="00F00096"/>
    <w:rsid w:val="00F039DA"/>
    <w:rsid w:val="00F07CF2"/>
    <w:rsid w:val="00F100A3"/>
    <w:rsid w:val="00F12C4E"/>
    <w:rsid w:val="00F26348"/>
    <w:rsid w:val="00F273D5"/>
    <w:rsid w:val="00F45F76"/>
    <w:rsid w:val="00F508FF"/>
    <w:rsid w:val="00F579AB"/>
    <w:rsid w:val="00F63F88"/>
    <w:rsid w:val="00F66092"/>
    <w:rsid w:val="00F678B9"/>
    <w:rsid w:val="00F7724B"/>
    <w:rsid w:val="00F82878"/>
    <w:rsid w:val="00F859A3"/>
    <w:rsid w:val="00F95078"/>
    <w:rsid w:val="00FA4A60"/>
    <w:rsid w:val="00FB3273"/>
    <w:rsid w:val="00FB733E"/>
    <w:rsid w:val="00FB7A12"/>
    <w:rsid w:val="00FC42FA"/>
    <w:rsid w:val="00FD00B6"/>
    <w:rsid w:val="00FD0771"/>
    <w:rsid w:val="00FE6889"/>
    <w:rsid w:val="00FE79F3"/>
    <w:rsid w:val="00FF6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A3F64"/>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E464FC"/>
    <w:pPr>
      <w:keepNext/>
      <w:keepLines/>
      <w:spacing w:before="480"/>
      <w:outlineLvl w:val="0"/>
    </w:pPr>
    <w:rPr>
      <w:rFonts w:ascii="Cambria" w:hAnsi="Cambria"/>
      <w:b/>
      <w:bCs/>
      <w:color w:val="365F91"/>
      <w:sz w:val="28"/>
      <w:szCs w:val="28"/>
    </w:rPr>
  </w:style>
  <w:style w:type="paragraph" w:styleId="Virsraksts4">
    <w:name w:val="heading 4"/>
    <w:basedOn w:val="Parasts"/>
    <w:next w:val="Parasts"/>
    <w:link w:val="Virsraksts4Rakstz"/>
    <w:qFormat/>
    <w:rsid w:val="00BA3F64"/>
    <w:pPr>
      <w:keepNext/>
      <w:jc w:val="center"/>
      <w:outlineLvl w:val="3"/>
    </w:pPr>
    <w:rPr>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BA3F64"/>
    <w:rPr>
      <w:rFonts w:ascii="Times New Roman" w:eastAsia="Times New Roman" w:hAnsi="Times New Roman" w:cs="Times New Roman"/>
      <w:sz w:val="24"/>
      <w:szCs w:val="20"/>
    </w:rPr>
  </w:style>
  <w:style w:type="paragraph" w:customStyle="1" w:styleId="naisc">
    <w:name w:val="naisc"/>
    <w:basedOn w:val="Parasts"/>
    <w:rsid w:val="00BA3F64"/>
    <w:pPr>
      <w:spacing w:before="100" w:beforeAutospacing="1" w:after="100" w:afterAutospacing="1"/>
      <w:jc w:val="center"/>
    </w:pPr>
    <w:rPr>
      <w:sz w:val="26"/>
      <w:szCs w:val="26"/>
      <w:lang w:eastAsia="en-US"/>
    </w:rPr>
  </w:style>
  <w:style w:type="paragraph" w:customStyle="1" w:styleId="naisf">
    <w:name w:val="naisf"/>
    <w:basedOn w:val="Parasts"/>
    <w:rsid w:val="00BA3F64"/>
    <w:pPr>
      <w:spacing w:before="100" w:beforeAutospacing="1" w:after="100" w:afterAutospacing="1"/>
      <w:jc w:val="both"/>
    </w:pPr>
    <w:rPr>
      <w:szCs w:val="20"/>
      <w:lang w:eastAsia="en-US"/>
    </w:rPr>
  </w:style>
  <w:style w:type="paragraph" w:styleId="Paraststmeklis">
    <w:name w:val="Normal (Web)"/>
    <w:basedOn w:val="Parasts"/>
    <w:rsid w:val="00BA3F64"/>
    <w:pPr>
      <w:spacing w:before="100" w:beforeAutospacing="1" w:after="100" w:afterAutospacing="1"/>
    </w:pPr>
    <w:rPr>
      <w:szCs w:val="20"/>
      <w:lang w:eastAsia="en-US"/>
    </w:rPr>
  </w:style>
  <w:style w:type="paragraph" w:styleId="Pamattekstaatkpe2">
    <w:name w:val="Body Text Indent 2"/>
    <w:basedOn w:val="Parasts"/>
    <w:link w:val="Pamattekstaatkpe2Rakstz"/>
    <w:semiHidden/>
    <w:rsid w:val="00BA3F64"/>
    <w:pPr>
      <w:ind w:firstLine="435"/>
      <w:jc w:val="both"/>
    </w:pPr>
    <w:rPr>
      <w:szCs w:val="20"/>
      <w:lang w:eastAsia="en-US"/>
    </w:rPr>
  </w:style>
  <w:style w:type="character" w:customStyle="1" w:styleId="Pamattekstaatkpe2Rakstz">
    <w:name w:val="Pamatteksta atkāpe 2 Rakstz."/>
    <w:basedOn w:val="Noklusjumarindkopasfonts"/>
    <w:link w:val="Pamattekstaatkpe2"/>
    <w:semiHidden/>
    <w:rsid w:val="00BA3F64"/>
    <w:rPr>
      <w:rFonts w:ascii="Times New Roman" w:eastAsia="Times New Roman" w:hAnsi="Times New Roman" w:cs="Times New Roman"/>
      <w:sz w:val="24"/>
      <w:szCs w:val="20"/>
    </w:rPr>
  </w:style>
  <w:style w:type="paragraph" w:styleId="Pamatteksts">
    <w:name w:val="Body Text"/>
    <w:basedOn w:val="Parasts"/>
    <w:link w:val="PamattekstsRakstz"/>
    <w:semiHidden/>
    <w:rsid w:val="00BA3F64"/>
    <w:rPr>
      <w:i/>
      <w:iCs/>
      <w:szCs w:val="20"/>
      <w:lang w:eastAsia="en-US"/>
    </w:rPr>
  </w:style>
  <w:style w:type="character" w:customStyle="1" w:styleId="PamattekstsRakstz">
    <w:name w:val="Pamatteksts Rakstz."/>
    <w:basedOn w:val="Noklusjumarindkopasfonts"/>
    <w:link w:val="Pamatteksts"/>
    <w:semiHidden/>
    <w:rsid w:val="00BA3F64"/>
    <w:rPr>
      <w:rFonts w:ascii="Times New Roman" w:eastAsia="Times New Roman" w:hAnsi="Times New Roman" w:cs="Times New Roman"/>
      <w:i/>
      <w:iCs/>
      <w:sz w:val="24"/>
      <w:szCs w:val="20"/>
    </w:rPr>
  </w:style>
  <w:style w:type="character" w:styleId="Lappusesnumurs">
    <w:name w:val="page number"/>
    <w:basedOn w:val="Noklusjumarindkopasfonts"/>
    <w:semiHidden/>
    <w:rsid w:val="00BA3F64"/>
  </w:style>
  <w:style w:type="paragraph" w:styleId="Kjene">
    <w:name w:val="footer"/>
    <w:basedOn w:val="Parasts"/>
    <w:link w:val="KjeneRakstz"/>
    <w:uiPriority w:val="99"/>
    <w:rsid w:val="00BA3F64"/>
    <w:pPr>
      <w:tabs>
        <w:tab w:val="center" w:pos="4153"/>
        <w:tab w:val="right" w:pos="8306"/>
      </w:tabs>
    </w:pPr>
    <w:rPr>
      <w:szCs w:val="20"/>
      <w:lang w:eastAsia="en-US"/>
    </w:rPr>
  </w:style>
  <w:style w:type="character" w:customStyle="1" w:styleId="KjeneRakstz">
    <w:name w:val="Kājene Rakstz."/>
    <w:basedOn w:val="Noklusjumarindkopasfonts"/>
    <w:link w:val="Kjene"/>
    <w:uiPriority w:val="99"/>
    <w:rsid w:val="00BA3F64"/>
    <w:rPr>
      <w:rFonts w:ascii="Times New Roman" w:eastAsia="Times New Roman" w:hAnsi="Times New Roman" w:cs="Times New Roman"/>
      <w:sz w:val="24"/>
      <w:szCs w:val="20"/>
    </w:rPr>
  </w:style>
  <w:style w:type="paragraph" w:styleId="Galvene">
    <w:name w:val="header"/>
    <w:basedOn w:val="Parasts"/>
    <w:link w:val="GalveneRakstz"/>
    <w:semiHidden/>
    <w:rsid w:val="00BA3F64"/>
    <w:pPr>
      <w:tabs>
        <w:tab w:val="center" w:pos="4153"/>
        <w:tab w:val="right" w:pos="8306"/>
      </w:tabs>
    </w:pPr>
  </w:style>
  <w:style w:type="character" w:customStyle="1" w:styleId="GalveneRakstz">
    <w:name w:val="Galvene Rakstz."/>
    <w:basedOn w:val="Noklusjumarindkopasfonts"/>
    <w:link w:val="Galvene"/>
    <w:semiHidden/>
    <w:rsid w:val="00BA3F64"/>
    <w:rPr>
      <w:rFonts w:ascii="Times New Roman" w:eastAsia="Times New Roman" w:hAnsi="Times New Roman" w:cs="Times New Roman"/>
      <w:sz w:val="24"/>
      <w:szCs w:val="24"/>
      <w:lang w:eastAsia="lv-LV"/>
    </w:rPr>
  </w:style>
  <w:style w:type="paragraph" w:customStyle="1" w:styleId="naiskr">
    <w:name w:val="naiskr"/>
    <w:basedOn w:val="Parasts"/>
    <w:rsid w:val="00BA3F64"/>
    <w:pPr>
      <w:spacing w:before="75" w:after="75"/>
    </w:pPr>
  </w:style>
  <w:style w:type="paragraph" w:styleId="Komentrateksts">
    <w:name w:val="annotation text"/>
    <w:basedOn w:val="Parasts"/>
    <w:link w:val="KomentratekstsRakstz"/>
    <w:rsid w:val="001E6780"/>
    <w:rPr>
      <w:sz w:val="20"/>
      <w:szCs w:val="20"/>
    </w:rPr>
  </w:style>
  <w:style w:type="character" w:customStyle="1" w:styleId="KomentratekstsRakstz">
    <w:name w:val="Komentāra teksts Rakstz."/>
    <w:basedOn w:val="Noklusjumarindkopasfonts"/>
    <w:link w:val="Komentrateksts"/>
    <w:uiPriority w:val="99"/>
    <w:rsid w:val="001E6780"/>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1E6780"/>
    <w:pPr>
      <w:ind w:left="720"/>
    </w:pPr>
    <w:rPr>
      <w:rFonts w:ascii="Calibri" w:eastAsia="Calibri" w:hAnsi="Calibri"/>
      <w:sz w:val="22"/>
      <w:szCs w:val="22"/>
    </w:rPr>
  </w:style>
  <w:style w:type="character" w:styleId="Hipersaite">
    <w:name w:val="Hyperlink"/>
    <w:basedOn w:val="Noklusjumarindkopasfonts"/>
    <w:uiPriority w:val="99"/>
    <w:rsid w:val="002368C3"/>
    <w:rPr>
      <w:color w:val="0000FF"/>
      <w:u w:val="single"/>
    </w:rPr>
  </w:style>
  <w:style w:type="paragraph" w:customStyle="1" w:styleId="naisnod">
    <w:name w:val="naisnod"/>
    <w:basedOn w:val="Parasts"/>
    <w:rsid w:val="002368C3"/>
    <w:pPr>
      <w:spacing w:before="150" w:after="150"/>
      <w:jc w:val="center"/>
    </w:pPr>
    <w:rPr>
      <w:b/>
      <w:bCs/>
    </w:rPr>
  </w:style>
  <w:style w:type="character" w:customStyle="1" w:styleId="Virsraksts1Rakstz">
    <w:name w:val="Virsraksts 1 Rakstz."/>
    <w:basedOn w:val="Noklusjumarindkopasfonts"/>
    <w:link w:val="Virsraksts1"/>
    <w:uiPriority w:val="9"/>
    <w:rsid w:val="00E464FC"/>
    <w:rPr>
      <w:rFonts w:ascii="Cambria" w:eastAsia="Times New Roman" w:hAnsi="Cambria" w:cs="Times New Roman"/>
      <w:b/>
      <w:bCs/>
      <w:color w:val="365F91"/>
      <w:sz w:val="28"/>
      <w:szCs w:val="28"/>
      <w:lang w:eastAsia="lv-LV"/>
    </w:rPr>
  </w:style>
  <w:style w:type="character" w:styleId="Komentraatsauce">
    <w:name w:val="annotation reference"/>
    <w:basedOn w:val="Noklusjumarindkopasfonts"/>
    <w:uiPriority w:val="99"/>
    <w:semiHidden/>
    <w:unhideWhenUsed/>
    <w:rsid w:val="00D33C50"/>
    <w:rPr>
      <w:sz w:val="16"/>
      <w:szCs w:val="16"/>
    </w:rPr>
  </w:style>
  <w:style w:type="paragraph" w:styleId="Komentratma">
    <w:name w:val="annotation subject"/>
    <w:basedOn w:val="Komentrateksts"/>
    <w:next w:val="Komentrateksts"/>
    <w:link w:val="KomentratmaRakstz"/>
    <w:uiPriority w:val="99"/>
    <w:semiHidden/>
    <w:unhideWhenUsed/>
    <w:rsid w:val="00D33C50"/>
    <w:rPr>
      <w:b/>
      <w:bCs/>
    </w:rPr>
  </w:style>
  <w:style w:type="character" w:customStyle="1" w:styleId="KomentratmaRakstz">
    <w:name w:val="Komentāra tēma Rakstz."/>
    <w:basedOn w:val="KomentratekstsRakstz"/>
    <w:link w:val="Komentratma"/>
    <w:uiPriority w:val="99"/>
    <w:semiHidden/>
    <w:rsid w:val="00D33C5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33C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3C50"/>
    <w:rPr>
      <w:rFonts w:ascii="Tahoma" w:eastAsia="Times New Roman" w:hAnsi="Tahoma" w:cs="Tahoma"/>
      <w:sz w:val="16"/>
      <w:szCs w:val="16"/>
      <w:lang w:eastAsia="lv-LV"/>
    </w:rPr>
  </w:style>
  <w:style w:type="paragraph" w:styleId="Nosaukums">
    <w:name w:val="Title"/>
    <w:basedOn w:val="Parasts"/>
    <w:link w:val="NosaukumsRakstz"/>
    <w:qFormat/>
    <w:rsid w:val="003B3EA4"/>
    <w:pPr>
      <w:jc w:val="center"/>
    </w:pPr>
    <w:rPr>
      <w:sz w:val="28"/>
      <w:szCs w:val="20"/>
      <w:lang w:eastAsia="en-US"/>
    </w:rPr>
  </w:style>
  <w:style w:type="character" w:customStyle="1" w:styleId="NosaukumsRakstz">
    <w:name w:val="Nosaukums Rakstz."/>
    <w:basedOn w:val="Noklusjumarindkopasfonts"/>
    <w:link w:val="Nosaukums"/>
    <w:rsid w:val="003B3EA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A3F64"/>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E464FC"/>
    <w:pPr>
      <w:keepNext/>
      <w:keepLines/>
      <w:spacing w:before="480"/>
      <w:outlineLvl w:val="0"/>
    </w:pPr>
    <w:rPr>
      <w:rFonts w:ascii="Cambria" w:hAnsi="Cambria"/>
      <w:b/>
      <w:bCs/>
      <w:color w:val="365F91"/>
      <w:sz w:val="28"/>
      <w:szCs w:val="28"/>
    </w:rPr>
  </w:style>
  <w:style w:type="paragraph" w:styleId="Virsraksts4">
    <w:name w:val="heading 4"/>
    <w:basedOn w:val="Parasts"/>
    <w:next w:val="Parasts"/>
    <w:link w:val="Virsraksts4Rakstz"/>
    <w:qFormat/>
    <w:rsid w:val="00BA3F64"/>
    <w:pPr>
      <w:keepNext/>
      <w:jc w:val="center"/>
      <w:outlineLvl w:val="3"/>
    </w:pPr>
    <w:rPr>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BA3F64"/>
    <w:rPr>
      <w:rFonts w:ascii="Times New Roman" w:eastAsia="Times New Roman" w:hAnsi="Times New Roman" w:cs="Times New Roman"/>
      <w:sz w:val="24"/>
      <w:szCs w:val="20"/>
    </w:rPr>
  </w:style>
  <w:style w:type="paragraph" w:customStyle="1" w:styleId="naisc">
    <w:name w:val="naisc"/>
    <w:basedOn w:val="Parasts"/>
    <w:rsid w:val="00BA3F64"/>
    <w:pPr>
      <w:spacing w:before="100" w:beforeAutospacing="1" w:after="100" w:afterAutospacing="1"/>
      <w:jc w:val="center"/>
    </w:pPr>
    <w:rPr>
      <w:sz w:val="26"/>
      <w:szCs w:val="26"/>
      <w:lang w:eastAsia="en-US"/>
    </w:rPr>
  </w:style>
  <w:style w:type="paragraph" w:customStyle="1" w:styleId="naisf">
    <w:name w:val="naisf"/>
    <w:basedOn w:val="Parasts"/>
    <w:rsid w:val="00BA3F64"/>
    <w:pPr>
      <w:spacing w:before="100" w:beforeAutospacing="1" w:after="100" w:afterAutospacing="1"/>
      <w:jc w:val="both"/>
    </w:pPr>
    <w:rPr>
      <w:szCs w:val="20"/>
      <w:lang w:eastAsia="en-US"/>
    </w:rPr>
  </w:style>
  <w:style w:type="paragraph" w:styleId="Paraststmeklis">
    <w:name w:val="Normal (Web)"/>
    <w:basedOn w:val="Parasts"/>
    <w:rsid w:val="00BA3F64"/>
    <w:pPr>
      <w:spacing w:before="100" w:beforeAutospacing="1" w:after="100" w:afterAutospacing="1"/>
    </w:pPr>
    <w:rPr>
      <w:szCs w:val="20"/>
      <w:lang w:eastAsia="en-US"/>
    </w:rPr>
  </w:style>
  <w:style w:type="paragraph" w:styleId="Pamattekstaatkpe2">
    <w:name w:val="Body Text Indent 2"/>
    <w:basedOn w:val="Parasts"/>
    <w:link w:val="Pamattekstaatkpe2Rakstz"/>
    <w:semiHidden/>
    <w:rsid w:val="00BA3F64"/>
    <w:pPr>
      <w:ind w:firstLine="435"/>
      <w:jc w:val="both"/>
    </w:pPr>
    <w:rPr>
      <w:szCs w:val="20"/>
      <w:lang w:eastAsia="en-US"/>
    </w:rPr>
  </w:style>
  <w:style w:type="character" w:customStyle="1" w:styleId="Pamattekstaatkpe2Rakstz">
    <w:name w:val="Pamatteksta atkāpe 2 Rakstz."/>
    <w:basedOn w:val="Noklusjumarindkopasfonts"/>
    <w:link w:val="Pamattekstaatkpe2"/>
    <w:semiHidden/>
    <w:rsid w:val="00BA3F64"/>
    <w:rPr>
      <w:rFonts w:ascii="Times New Roman" w:eastAsia="Times New Roman" w:hAnsi="Times New Roman" w:cs="Times New Roman"/>
      <w:sz w:val="24"/>
      <w:szCs w:val="20"/>
    </w:rPr>
  </w:style>
  <w:style w:type="paragraph" w:styleId="Pamatteksts">
    <w:name w:val="Body Text"/>
    <w:basedOn w:val="Parasts"/>
    <w:link w:val="PamattekstsRakstz"/>
    <w:semiHidden/>
    <w:rsid w:val="00BA3F64"/>
    <w:rPr>
      <w:i/>
      <w:iCs/>
      <w:szCs w:val="20"/>
      <w:lang w:eastAsia="en-US"/>
    </w:rPr>
  </w:style>
  <w:style w:type="character" w:customStyle="1" w:styleId="PamattekstsRakstz">
    <w:name w:val="Pamatteksts Rakstz."/>
    <w:basedOn w:val="Noklusjumarindkopasfonts"/>
    <w:link w:val="Pamatteksts"/>
    <w:semiHidden/>
    <w:rsid w:val="00BA3F64"/>
    <w:rPr>
      <w:rFonts w:ascii="Times New Roman" w:eastAsia="Times New Roman" w:hAnsi="Times New Roman" w:cs="Times New Roman"/>
      <w:i/>
      <w:iCs/>
      <w:sz w:val="24"/>
      <w:szCs w:val="20"/>
    </w:rPr>
  </w:style>
  <w:style w:type="character" w:styleId="Lappusesnumurs">
    <w:name w:val="page number"/>
    <w:basedOn w:val="Noklusjumarindkopasfonts"/>
    <w:semiHidden/>
    <w:rsid w:val="00BA3F64"/>
  </w:style>
  <w:style w:type="paragraph" w:styleId="Kjene">
    <w:name w:val="footer"/>
    <w:basedOn w:val="Parasts"/>
    <w:link w:val="KjeneRakstz"/>
    <w:uiPriority w:val="99"/>
    <w:rsid w:val="00BA3F64"/>
    <w:pPr>
      <w:tabs>
        <w:tab w:val="center" w:pos="4153"/>
        <w:tab w:val="right" w:pos="8306"/>
      </w:tabs>
    </w:pPr>
    <w:rPr>
      <w:szCs w:val="20"/>
      <w:lang w:eastAsia="en-US"/>
    </w:rPr>
  </w:style>
  <w:style w:type="character" w:customStyle="1" w:styleId="KjeneRakstz">
    <w:name w:val="Kājene Rakstz."/>
    <w:basedOn w:val="Noklusjumarindkopasfonts"/>
    <w:link w:val="Kjene"/>
    <w:uiPriority w:val="99"/>
    <w:rsid w:val="00BA3F64"/>
    <w:rPr>
      <w:rFonts w:ascii="Times New Roman" w:eastAsia="Times New Roman" w:hAnsi="Times New Roman" w:cs="Times New Roman"/>
      <w:sz w:val="24"/>
      <w:szCs w:val="20"/>
    </w:rPr>
  </w:style>
  <w:style w:type="paragraph" w:styleId="Galvene">
    <w:name w:val="header"/>
    <w:basedOn w:val="Parasts"/>
    <w:link w:val="GalveneRakstz"/>
    <w:semiHidden/>
    <w:rsid w:val="00BA3F64"/>
    <w:pPr>
      <w:tabs>
        <w:tab w:val="center" w:pos="4153"/>
        <w:tab w:val="right" w:pos="8306"/>
      </w:tabs>
    </w:pPr>
  </w:style>
  <w:style w:type="character" w:customStyle="1" w:styleId="GalveneRakstz">
    <w:name w:val="Galvene Rakstz."/>
    <w:basedOn w:val="Noklusjumarindkopasfonts"/>
    <w:link w:val="Galvene"/>
    <w:semiHidden/>
    <w:rsid w:val="00BA3F64"/>
    <w:rPr>
      <w:rFonts w:ascii="Times New Roman" w:eastAsia="Times New Roman" w:hAnsi="Times New Roman" w:cs="Times New Roman"/>
      <w:sz w:val="24"/>
      <w:szCs w:val="24"/>
      <w:lang w:eastAsia="lv-LV"/>
    </w:rPr>
  </w:style>
  <w:style w:type="paragraph" w:customStyle="1" w:styleId="naiskr">
    <w:name w:val="naiskr"/>
    <w:basedOn w:val="Parasts"/>
    <w:rsid w:val="00BA3F64"/>
    <w:pPr>
      <w:spacing w:before="75" w:after="75"/>
    </w:pPr>
  </w:style>
  <w:style w:type="paragraph" w:styleId="Komentrateksts">
    <w:name w:val="annotation text"/>
    <w:basedOn w:val="Parasts"/>
    <w:link w:val="KomentratekstsRakstz"/>
    <w:rsid w:val="001E6780"/>
    <w:rPr>
      <w:sz w:val="20"/>
      <w:szCs w:val="20"/>
    </w:rPr>
  </w:style>
  <w:style w:type="character" w:customStyle="1" w:styleId="KomentratekstsRakstz">
    <w:name w:val="Komentāra teksts Rakstz."/>
    <w:basedOn w:val="Noklusjumarindkopasfonts"/>
    <w:link w:val="Komentrateksts"/>
    <w:uiPriority w:val="99"/>
    <w:rsid w:val="001E6780"/>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1E6780"/>
    <w:pPr>
      <w:ind w:left="720"/>
    </w:pPr>
    <w:rPr>
      <w:rFonts w:ascii="Calibri" w:eastAsia="Calibri" w:hAnsi="Calibri"/>
      <w:sz w:val="22"/>
      <w:szCs w:val="22"/>
    </w:rPr>
  </w:style>
  <w:style w:type="character" w:styleId="Hipersaite">
    <w:name w:val="Hyperlink"/>
    <w:basedOn w:val="Noklusjumarindkopasfonts"/>
    <w:uiPriority w:val="99"/>
    <w:rsid w:val="002368C3"/>
    <w:rPr>
      <w:color w:val="0000FF"/>
      <w:u w:val="single"/>
    </w:rPr>
  </w:style>
  <w:style w:type="paragraph" w:customStyle="1" w:styleId="naisnod">
    <w:name w:val="naisnod"/>
    <w:basedOn w:val="Parasts"/>
    <w:rsid w:val="002368C3"/>
    <w:pPr>
      <w:spacing w:before="150" w:after="150"/>
      <w:jc w:val="center"/>
    </w:pPr>
    <w:rPr>
      <w:b/>
      <w:bCs/>
    </w:rPr>
  </w:style>
  <w:style w:type="character" w:customStyle="1" w:styleId="Virsraksts1Rakstz">
    <w:name w:val="Virsraksts 1 Rakstz."/>
    <w:basedOn w:val="Noklusjumarindkopasfonts"/>
    <w:link w:val="Virsraksts1"/>
    <w:uiPriority w:val="9"/>
    <w:rsid w:val="00E464FC"/>
    <w:rPr>
      <w:rFonts w:ascii="Cambria" w:eastAsia="Times New Roman" w:hAnsi="Cambria" w:cs="Times New Roman"/>
      <w:b/>
      <w:bCs/>
      <w:color w:val="365F91"/>
      <w:sz w:val="28"/>
      <w:szCs w:val="28"/>
      <w:lang w:eastAsia="lv-LV"/>
    </w:rPr>
  </w:style>
  <w:style w:type="character" w:styleId="Komentraatsauce">
    <w:name w:val="annotation reference"/>
    <w:basedOn w:val="Noklusjumarindkopasfonts"/>
    <w:uiPriority w:val="99"/>
    <w:semiHidden/>
    <w:unhideWhenUsed/>
    <w:rsid w:val="00D33C50"/>
    <w:rPr>
      <w:sz w:val="16"/>
      <w:szCs w:val="16"/>
    </w:rPr>
  </w:style>
  <w:style w:type="paragraph" w:styleId="Komentratma">
    <w:name w:val="annotation subject"/>
    <w:basedOn w:val="Komentrateksts"/>
    <w:next w:val="Komentrateksts"/>
    <w:link w:val="KomentratmaRakstz"/>
    <w:uiPriority w:val="99"/>
    <w:semiHidden/>
    <w:unhideWhenUsed/>
    <w:rsid w:val="00D33C50"/>
    <w:rPr>
      <w:b/>
      <w:bCs/>
    </w:rPr>
  </w:style>
  <w:style w:type="character" w:customStyle="1" w:styleId="KomentratmaRakstz">
    <w:name w:val="Komentāra tēma Rakstz."/>
    <w:basedOn w:val="KomentratekstsRakstz"/>
    <w:link w:val="Komentratma"/>
    <w:uiPriority w:val="99"/>
    <w:semiHidden/>
    <w:rsid w:val="00D33C5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33C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33C50"/>
    <w:rPr>
      <w:rFonts w:ascii="Tahoma" w:eastAsia="Times New Roman" w:hAnsi="Tahoma" w:cs="Tahoma"/>
      <w:sz w:val="16"/>
      <w:szCs w:val="16"/>
      <w:lang w:eastAsia="lv-LV"/>
    </w:rPr>
  </w:style>
  <w:style w:type="paragraph" w:styleId="Nosaukums">
    <w:name w:val="Title"/>
    <w:basedOn w:val="Parasts"/>
    <w:link w:val="NosaukumsRakstz"/>
    <w:qFormat/>
    <w:rsid w:val="003B3EA4"/>
    <w:pPr>
      <w:jc w:val="center"/>
    </w:pPr>
    <w:rPr>
      <w:sz w:val="28"/>
      <w:szCs w:val="20"/>
      <w:lang w:eastAsia="en-US"/>
    </w:rPr>
  </w:style>
  <w:style w:type="character" w:customStyle="1" w:styleId="NosaukumsRakstz">
    <w:name w:val="Nosaukums Rakstz."/>
    <w:basedOn w:val="Noklusjumarindkopasfonts"/>
    <w:link w:val="Nosaukums"/>
    <w:rsid w:val="003B3EA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998">
      <w:bodyDiv w:val="1"/>
      <w:marLeft w:val="0"/>
      <w:marRight w:val="0"/>
      <w:marTop w:val="0"/>
      <w:marBottom w:val="0"/>
      <w:divBdr>
        <w:top w:val="none" w:sz="0" w:space="0" w:color="auto"/>
        <w:left w:val="none" w:sz="0" w:space="0" w:color="auto"/>
        <w:bottom w:val="none" w:sz="0" w:space="0" w:color="auto"/>
        <w:right w:val="none" w:sz="0" w:space="0" w:color="auto"/>
      </w:divBdr>
      <w:divsChild>
        <w:div w:id="1974092498">
          <w:marLeft w:val="0"/>
          <w:marRight w:val="0"/>
          <w:marTop w:val="0"/>
          <w:marBottom w:val="0"/>
          <w:divBdr>
            <w:top w:val="none" w:sz="0" w:space="0" w:color="auto"/>
            <w:left w:val="none" w:sz="0" w:space="0" w:color="auto"/>
            <w:bottom w:val="none" w:sz="0" w:space="0" w:color="auto"/>
            <w:right w:val="none" w:sz="0" w:space="0" w:color="auto"/>
          </w:divBdr>
          <w:divsChild>
            <w:div w:id="1030841961">
              <w:marLeft w:val="0"/>
              <w:marRight w:val="0"/>
              <w:marTop w:val="0"/>
              <w:marBottom w:val="0"/>
              <w:divBdr>
                <w:top w:val="none" w:sz="0" w:space="0" w:color="auto"/>
                <w:left w:val="none" w:sz="0" w:space="0" w:color="auto"/>
                <w:bottom w:val="none" w:sz="0" w:space="0" w:color="auto"/>
                <w:right w:val="none" w:sz="0" w:space="0" w:color="auto"/>
              </w:divBdr>
              <w:divsChild>
                <w:div w:id="1759985076">
                  <w:marLeft w:val="0"/>
                  <w:marRight w:val="0"/>
                  <w:marTop w:val="0"/>
                  <w:marBottom w:val="0"/>
                  <w:divBdr>
                    <w:top w:val="none" w:sz="0" w:space="0" w:color="auto"/>
                    <w:left w:val="none" w:sz="0" w:space="0" w:color="auto"/>
                    <w:bottom w:val="none" w:sz="0" w:space="0" w:color="auto"/>
                    <w:right w:val="none" w:sz="0" w:space="0" w:color="auto"/>
                  </w:divBdr>
                  <w:divsChild>
                    <w:div w:id="92097377">
                      <w:marLeft w:val="0"/>
                      <w:marRight w:val="0"/>
                      <w:marTop w:val="0"/>
                      <w:marBottom w:val="0"/>
                      <w:divBdr>
                        <w:top w:val="none" w:sz="0" w:space="0" w:color="auto"/>
                        <w:left w:val="none" w:sz="0" w:space="0" w:color="auto"/>
                        <w:bottom w:val="none" w:sz="0" w:space="0" w:color="auto"/>
                        <w:right w:val="none" w:sz="0" w:space="0" w:color="auto"/>
                      </w:divBdr>
                      <w:divsChild>
                        <w:div w:id="467818939">
                          <w:marLeft w:val="0"/>
                          <w:marRight w:val="0"/>
                          <w:marTop w:val="0"/>
                          <w:marBottom w:val="0"/>
                          <w:divBdr>
                            <w:top w:val="none" w:sz="0" w:space="0" w:color="auto"/>
                            <w:left w:val="none" w:sz="0" w:space="0" w:color="auto"/>
                            <w:bottom w:val="none" w:sz="0" w:space="0" w:color="auto"/>
                            <w:right w:val="none" w:sz="0" w:space="0" w:color="auto"/>
                          </w:divBdr>
                          <w:divsChild>
                            <w:div w:id="1943370691">
                              <w:marLeft w:val="0"/>
                              <w:marRight w:val="0"/>
                              <w:marTop w:val="0"/>
                              <w:marBottom w:val="0"/>
                              <w:divBdr>
                                <w:top w:val="none" w:sz="0" w:space="0" w:color="auto"/>
                                <w:left w:val="none" w:sz="0" w:space="0" w:color="auto"/>
                                <w:bottom w:val="none" w:sz="0" w:space="0" w:color="auto"/>
                                <w:right w:val="none" w:sz="0" w:space="0" w:color="auto"/>
                              </w:divBdr>
                              <w:divsChild>
                                <w:div w:id="1478186894">
                                  <w:marLeft w:val="0"/>
                                  <w:marRight w:val="0"/>
                                  <w:marTop w:val="0"/>
                                  <w:marBottom w:val="0"/>
                                  <w:divBdr>
                                    <w:top w:val="none" w:sz="0" w:space="0" w:color="auto"/>
                                    <w:left w:val="none" w:sz="0" w:space="0" w:color="auto"/>
                                    <w:bottom w:val="none" w:sz="0" w:space="0" w:color="auto"/>
                                    <w:right w:val="none" w:sz="0" w:space="0" w:color="auto"/>
                                  </w:divBdr>
                                  <w:divsChild>
                                    <w:div w:id="27293133">
                                      <w:marLeft w:val="0"/>
                                      <w:marRight w:val="0"/>
                                      <w:marTop w:val="0"/>
                                      <w:marBottom w:val="0"/>
                                      <w:divBdr>
                                        <w:top w:val="none" w:sz="0" w:space="0" w:color="auto"/>
                                        <w:left w:val="none" w:sz="0" w:space="0" w:color="auto"/>
                                        <w:bottom w:val="none" w:sz="0" w:space="0" w:color="auto"/>
                                        <w:right w:val="none" w:sz="0" w:space="0" w:color="auto"/>
                                      </w:divBdr>
                                      <w:divsChild>
                                        <w:div w:id="427237108">
                                          <w:marLeft w:val="0"/>
                                          <w:marRight w:val="0"/>
                                          <w:marTop w:val="0"/>
                                          <w:marBottom w:val="0"/>
                                          <w:divBdr>
                                            <w:top w:val="none" w:sz="0" w:space="0" w:color="auto"/>
                                            <w:left w:val="none" w:sz="0" w:space="0" w:color="auto"/>
                                            <w:bottom w:val="none" w:sz="0" w:space="0" w:color="auto"/>
                                            <w:right w:val="none" w:sz="0" w:space="0" w:color="auto"/>
                                          </w:divBdr>
                                          <w:divsChild>
                                            <w:div w:id="1272086000">
                                              <w:marLeft w:val="0"/>
                                              <w:marRight w:val="0"/>
                                              <w:marTop w:val="0"/>
                                              <w:marBottom w:val="0"/>
                                              <w:divBdr>
                                                <w:top w:val="none" w:sz="0" w:space="0" w:color="auto"/>
                                                <w:left w:val="none" w:sz="0" w:space="0" w:color="auto"/>
                                                <w:bottom w:val="none" w:sz="0" w:space="0" w:color="auto"/>
                                                <w:right w:val="none" w:sz="0" w:space="0" w:color="auto"/>
                                              </w:divBdr>
                                              <w:divsChild>
                                                <w:div w:id="1973974920">
                                                  <w:marLeft w:val="0"/>
                                                  <w:marRight w:val="0"/>
                                                  <w:marTop w:val="0"/>
                                                  <w:marBottom w:val="0"/>
                                                  <w:divBdr>
                                                    <w:top w:val="none" w:sz="0" w:space="0" w:color="auto"/>
                                                    <w:left w:val="none" w:sz="0" w:space="0" w:color="auto"/>
                                                    <w:bottom w:val="none" w:sz="0" w:space="0" w:color="auto"/>
                                                    <w:right w:val="none" w:sz="0" w:space="0" w:color="auto"/>
                                                  </w:divBdr>
                                                  <w:divsChild>
                                                    <w:div w:id="1539515521">
                                                      <w:marLeft w:val="0"/>
                                                      <w:marRight w:val="0"/>
                                                      <w:marTop w:val="0"/>
                                                      <w:marBottom w:val="0"/>
                                                      <w:divBdr>
                                                        <w:top w:val="none" w:sz="0" w:space="0" w:color="auto"/>
                                                        <w:left w:val="none" w:sz="0" w:space="0" w:color="auto"/>
                                                        <w:bottom w:val="none" w:sz="0" w:space="0" w:color="auto"/>
                                                        <w:right w:val="none" w:sz="0" w:space="0" w:color="auto"/>
                                                      </w:divBdr>
                                                      <w:divsChild>
                                                        <w:div w:id="1310094840">
                                                          <w:marLeft w:val="0"/>
                                                          <w:marRight w:val="0"/>
                                                          <w:marTop w:val="0"/>
                                                          <w:marBottom w:val="0"/>
                                                          <w:divBdr>
                                                            <w:top w:val="none" w:sz="0" w:space="0" w:color="auto"/>
                                                            <w:left w:val="none" w:sz="0" w:space="0" w:color="auto"/>
                                                            <w:bottom w:val="none" w:sz="0" w:space="0" w:color="auto"/>
                                                            <w:right w:val="none" w:sz="0" w:space="0" w:color="auto"/>
                                                          </w:divBdr>
                                                          <w:divsChild>
                                                            <w:div w:id="991710983">
                                                              <w:marLeft w:val="0"/>
                                                              <w:marRight w:val="150"/>
                                                              <w:marTop w:val="0"/>
                                                              <w:marBottom w:val="150"/>
                                                              <w:divBdr>
                                                                <w:top w:val="none" w:sz="0" w:space="0" w:color="auto"/>
                                                                <w:left w:val="none" w:sz="0" w:space="0" w:color="auto"/>
                                                                <w:bottom w:val="none" w:sz="0" w:space="0" w:color="auto"/>
                                                                <w:right w:val="none" w:sz="0" w:space="0" w:color="auto"/>
                                                              </w:divBdr>
                                                              <w:divsChild>
                                                                <w:div w:id="405345900">
                                                                  <w:marLeft w:val="0"/>
                                                                  <w:marRight w:val="0"/>
                                                                  <w:marTop w:val="0"/>
                                                                  <w:marBottom w:val="0"/>
                                                                  <w:divBdr>
                                                                    <w:top w:val="none" w:sz="0" w:space="0" w:color="auto"/>
                                                                    <w:left w:val="none" w:sz="0" w:space="0" w:color="auto"/>
                                                                    <w:bottom w:val="none" w:sz="0" w:space="0" w:color="auto"/>
                                                                    <w:right w:val="none" w:sz="0" w:space="0" w:color="auto"/>
                                                                  </w:divBdr>
                                                                  <w:divsChild>
                                                                    <w:div w:id="993139621">
                                                                      <w:marLeft w:val="0"/>
                                                                      <w:marRight w:val="0"/>
                                                                      <w:marTop w:val="0"/>
                                                                      <w:marBottom w:val="0"/>
                                                                      <w:divBdr>
                                                                        <w:top w:val="none" w:sz="0" w:space="0" w:color="auto"/>
                                                                        <w:left w:val="none" w:sz="0" w:space="0" w:color="auto"/>
                                                                        <w:bottom w:val="none" w:sz="0" w:space="0" w:color="auto"/>
                                                                        <w:right w:val="none" w:sz="0" w:space="0" w:color="auto"/>
                                                                      </w:divBdr>
                                                                      <w:divsChild>
                                                                        <w:div w:id="134176609">
                                                                          <w:marLeft w:val="0"/>
                                                                          <w:marRight w:val="0"/>
                                                                          <w:marTop w:val="0"/>
                                                                          <w:marBottom w:val="0"/>
                                                                          <w:divBdr>
                                                                            <w:top w:val="none" w:sz="0" w:space="0" w:color="auto"/>
                                                                            <w:left w:val="none" w:sz="0" w:space="0" w:color="auto"/>
                                                                            <w:bottom w:val="none" w:sz="0" w:space="0" w:color="auto"/>
                                                                            <w:right w:val="none" w:sz="0" w:space="0" w:color="auto"/>
                                                                          </w:divBdr>
                                                                          <w:divsChild>
                                                                            <w:div w:id="1547989067">
                                                                              <w:marLeft w:val="0"/>
                                                                              <w:marRight w:val="0"/>
                                                                              <w:marTop w:val="0"/>
                                                                              <w:marBottom w:val="0"/>
                                                                              <w:divBdr>
                                                                                <w:top w:val="none" w:sz="0" w:space="0" w:color="auto"/>
                                                                                <w:left w:val="none" w:sz="0" w:space="0" w:color="auto"/>
                                                                                <w:bottom w:val="none" w:sz="0" w:space="0" w:color="auto"/>
                                                                                <w:right w:val="none" w:sz="0" w:space="0" w:color="auto"/>
                                                                              </w:divBdr>
                                                                              <w:divsChild>
                                                                                <w:div w:id="811217882">
                                                                                  <w:marLeft w:val="0"/>
                                                                                  <w:marRight w:val="0"/>
                                                                                  <w:marTop w:val="0"/>
                                                                                  <w:marBottom w:val="0"/>
                                                                                  <w:divBdr>
                                                                                    <w:top w:val="none" w:sz="0" w:space="0" w:color="auto"/>
                                                                                    <w:left w:val="none" w:sz="0" w:space="0" w:color="auto"/>
                                                                                    <w:bottom w:val="none" w:sz="0" w:space="0" w:color="auto"/>
                                                                                    <w:right w:val="none" w:sz="0" w:space="0" w:color="auto"/>
                                                                                  </w:divBdr>
                                                                                  <w:divsChild>
                                                                                    <w:div w:id="1112093507">
                                                                                      <w:marLeft w:val="0"/>
                                                                                      <w:marRight w:val="0"/>
                                                                                      <w:marTop w:val="0"/>
                                                                                      <w:marBottom w:val="0"/>
                                                                                      <w:divBdr>
                                                                                        <w:top w:val="none" w:sz="0" w:space="0" w:color="auto"/>
                                                                                        <w:left w:val="none" w:sz="0" w:space="0" w:color="auto"/>
                                                                                        <w:bottom w:val="none" w:sz="0" w:space="0" w:color="auto"/>
                                                                                        <w:right w:val="none" w:sz="0" w:space="0" w:color="auto"/>
                                                                                      </w:divBdr>
                                                                                    </w:div>
                                                                                    <w:div w:id="4347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03566">
      <w:bodyDiv w:val="1"/>
      <w:marLeft w:val="0"/>
      <w:marRight w:val="0"/>
      <w:marTop w:val="0"/>
      <w:marBottom w:val="0"/>
      <w:divBdr>
        <w:top w:val="none" w:sz="0" w:space="0" w:color="auto"/>
        <w:left w:val="none" w:sz="0" w:space="0" w:color="auto"/>
        <w:bottom w:val="none" w:sz="0" w:space="0" w:color="auto"/>
        <w:right w:val="none" w:sz="0" w:space="0" w:color="auto"/>
      </w:divBdr>
      <w:divsChild>
        <w:div w:id="84108208">
          <w:marLeft w:val="0"/>
          <w:marRight w:val="0"/>
          <w:marTop w:val="0"/>
          <w:marBottom w:val="0"/>
          <w:divBdr>
            <w:top w:val="none" w:sz="0" w:space="0" w:color="auto"/>
            <w:left w:val="none" w:sz="0" w:space="0" w:color="auto"/>
            <w:bottom w:val="none" w:sz="0" w:space="0" w:color="auto"/>
            <w:right w:val="none" w:sz="0" w:space="0" w:color="auto"/>
          </w:divBdr>
          <w:divsChild>
            <w:div w:id="1291788327">
              <w:marLeft w:val="0"/>
              <w:marRight w:val="0"/>
              <w:marTop w:val="0"/>
              <w:marBottom w:val="0"/>
              <w:divBdr>
                <w:top w:val="none" w:sz="0" w:space="0" w:color="auto"/>
                <w:left w:val="none" w:sz="0" w:space="0" w:color="auto"/>
                <w:bottom w:val="none" w:sz="0" w:space="0" w:color="auto"/>
                <w:right w:val="none" w:sz="0" w:space="0" w:color="auto"/>
              </w:divBdr>
              <w:divsChild>
                <w:div w:id="1863352237">
                  <w:marLeft w:val="0"/>
                  <w:marRight w:val="0"/>
                  <w:marTop w:val="0"/>
                  <w:marBottom w:val="0"/>
                  <w:divBdr>
                    <w:top w:val="none" w:sz="0" w:space="0" w:color="auto"/>
                    <w:left w:val="none" w:sz="0" w:space="0" w:color="auto"/>
                    <w:bottom w:val="none" w:sz="0" w:space="0" w:color="auto"/>
                    <w:right w:val="none" w:sz="0" w:space="0" w:color="auto"/>
                  </w:divBdr>
                  <w:divsChild>
                    <w:div w:id="717634517">
                      <w:marLeft w:val="0"/>
                      <w:marRight w:val="0"/>
                      <w:marTop w:val="0"/>
                      <w:marBottom w:val="0"/>
                      <w:divBdr>
                        <w:top w:val="none" w:sz="0" w:space="0" w:color="auto"/>
                        <w:left w:val="none" w:sz="0" w:space="0" w:color="auto"/>
                        <w:bottom w:val="none" w:sz="0" w:space="0" w:color="auto"/>
                        <w:right w:val="none" w:sz="0" w:space="0" w:color="auto"/>
                      </w:divBdr>
                      <w:divsChild>
                        <w:div w:id="545607947">
                          <w:marLeft w:val="0"/>
                          <w:marRight w:val="0"/>
                          <w:marTop w:val="0"/>
                          <w:marBottom w:val="0"/>
                          <w:divBdr>
                            <w:top w:val="none" w:sz="0" w:space="0" w:color="auto"/>
                            <w:left w:val="none" w:sz="0" w:space="0" w:color="auto"/>
                            <w:bottom w:val="none" w:sz="0" w:space="0" w:color="auto"/>
                            <w:right w:val="none" w:sz="0" w:space="0" w:color="auto"/>
                          </w:divBdr>
                          <w:divsChild>
                            <w:div w:id="1155488952">
                              <w:marLeft w:val="0"/>
                              <w:marRight w:val="0"/>
                              <w:marTop w:val="0"/>
                              <w:marBottom w:val="0"/>
                              <w:divBdr>
                                <w:top w:val="none" w:sz="0" w:space="0" w:color="auto"/>
                                <w:left w:val="none" w:sz="0" w:space="0" w:color="auto"/>
                                <w:bottom w:val="none" w:sz="0" w:space="0" w:color="auto"/>
                                <w:right w:val="none" w:sz="0" w:space="0" w:color="auto"/>
                              </w:divBdr>
                              <w:divsChild>
                                <w:div w:id="1920170154">
                                  <w:marLeft w:val="0"/>
                                  <w:marRight w:val="0"/>
                                  <w:marTop w:val="0"/>
                                  <w:marBottom w:val="0"/>
                                  <w:divBdr>
                                    <w:top w:val="none" w:sz="0" w:space="0" w:color="auto"/>
                                    <w:left w:val="none" w:sz="0" w:space="0" w:color="auto"/>
                                    <w:bottom w:val="none" w:sz="0" w:space="0" w:color="auto"/>
                                    <w:right w:val="none" w:sz="0" w:space="0" w:color="auto"/>
                                  </w:divBdr>
                                  <w:divsChild>
                                    <w:div w:id="1771117636">
                                      <w:marLeft w:val="0"/>
                                      <w:marRight w:val="0"/>
                                      <w:marTop w:val="0"/>
                                      <w:marBottom w:val="0"/>
                                      <w:divBdr>
                                        <w:top w:val="none" w:sz="0" w:space="0" w:color="auto"/>
                                        <w:left w:val="none" w:sz="0" w:space="0" w:color="auto"/>
                                        <w:bottom w:val="none" w:sz="0" w:space="0" w:color="auto"/>
                                        <w:right w:val="none" w:sz="0" w:space="0" w:color="auto"/>
                                      </w:divBdr>
                                      <w:divsChild>
                                        <w:div w:id="1236627753">
                                          <w:marLeft w:val="0"/>
                                          <w:marRight w:val="0"/>
                                          <w:marTop w:val="0"/>
                                          <w:marBottom w:val="0"/>
                                          <w:divBdr>
                                            <w:top w:val="none" w:sz="0" w:space="0" w:color="auto"/>
                                            <w:left w:val="none" w:sz="0" w:space="0" w:color="auto"/>
                                            <w:bottom w:val="none" w:sz="0" w:space="0" w:color="auto"/>
                                            <w:right w:val="none" w:sz="0" w:space="0" w:color="auto"/>
                                          </w:divBdr>
                                          <w:divsChild>
                                            <w:div w:id="1522427599">
                                              <w:marLeft w:val="0"/>
                                              <w:marRight w:val="0"/>
                                              <w:marTop w:val="0"/>
                                              <w:marBottom w:val="0"/>
                                              <w:divBdr>
                                                <w:top w:val="none" w:sz="0" w:space="0" w:color="auto"/>
                                                <w:left w:val="none" w:sz="0" w:space="0" w:color="auto"/>
                                                <w:bottom w:val="none" w:sz="0" w:space="0" w:color="auto"/>
                                                <w:right w:val="none" w:sz="0" w:space="0" w:color="auto"/>
                                              </w:divBdr>
                                              <w:divsChild>
                                                <w:div w:id="803430389">
                                                  <w:marLeft w:val="0"/>
                                                  <w:marRight w:val="0"/>
                                                  <w:marTop w:val="0"/>
                                                  <w:marBottom w:val="0"/>
                                                  <w:divBdr>
                                                    <w:top w:val="none" w:sz="0" w:space="0" w:color="auto"/>
                                                    <w:left w:val="none" w:sz="0" w:space="0" w:color="auto"/>
                                                    <w:bottom w:val="none" w:sz="0" w:space="0" w:color="auto"/>
                                                    <w:right w:val="none" w:sz="0" w:space="0" w:color="auto"/>
                                                  </w:divBdr>
                                                  <w:divsChild>
                                                    <w:div w:id="883713583">
                                                      <w:marLeft w:val="0"/>
                                                      <w:marRight w:val="0"/>
                                                      <w:marTop w:val="0"/>
                                                      <w:marBottom w:val="0"/>
                                                      <w:divBdr>
                                                        <w:top w:val="none" w:sz="0" w:space="0" w:color="auto"/>
                                                        <w:left w:val="none" w:sz="0" w:space="0" w:color="auto"/>
                                                        <w:bottom w:val="none" w:sz="0" w:space="0" w:color="auto"/>
                                                        <w:right w:val="none" w:sz="0" w:space="0" w:color="auto"/>
                                                      </w:divBdr>
                                                      <w:divsChild>
                                                        <w:div w:id="37512821">
                                                          <w:marLeft w:val="0"/>
                                                          <w:marRight w:val="0"/>
                                                          <w:marTop w:val="0"/>
                                                          <w:marBottom w:val="0"/>
                                                          <w:divBdr>
                                                            <w:top w:val="none" w:sz="0" w:space="0" w:color="auto"/>
                                                            <w:left w:val="none" w:sz="0" w:space="0" w:color="auto"/>
                                                            <w:bottom w:val="none" w:sz="0" w:space="0" w:color="auto"/>
                                                            <w:right w:val="none" w:sz="0" w:space="0" w:color="auto"/>
                                                          </w:divBdr>
                                                          <w:divsChild>
                                                            <w:div w:id="526330266">
                                                              <w:marLeft w:val="0"/>
                                                              <w:marRight w:val="150"/>
                                                              <w:marTop w:val="0"/>
                                                              <w:marBottom w:val="150"/>
                                                              <w:divBdr>
                                                                <w:top w:val="none" w:sz="0" w:space="0" w:color="auto"/>
                                                                <w:left w:val="none" w:sz="0" w:space="0" w:color="auto"/>
                                                                <w:bottom w:val="none" w:sz="0" w:space="0" w:color="auto"/>
                                                                <w:right w:val="none" w:sz="0" w:space="0" w:color="auto"/>
                                                              </w:divBdr>
                                                              <w:divsChild>
                                                                <w:div w:id="1947926609">
                                                                  <w:marLeft w:val="0"/>
                                                                  <w:marRight w:val="0"/>
                                                                  <w:marTop w:val="0"/>
                                                                  <w:marBottom w:val="0"/>
                                                                  <w:divBdr>
                                                                    <w:top w:val="none" w:sz="0" w:space="0" w:color="auto"/>
                                                                    <w:left w:val="none" w:sz="0" w:space="0" w:color="auto"/>
                                                                    <w:bottom w:val="none" w:sz="0" w:space="0" w:color="auto"/>
                                                                    <w:right w:val="none" w:sz="0" w:space="0" w:color="auto"/>
                                                                  </w:divBdr>
                                                                  <w:divsChild>
                                                                    <w:div w:id="2017146880">
                                                                      <w:marLeft w:val="0"/>
                                                                      <w:marRight w:val="0"/>
                                                                      <w:marTop w:val="0"/>
                                                                      <w:marBottom w:val="0"/>
                                                                      <w:divBdr>
                                                                        <w:top w:val="none" w:sz="0" w:space="0" w:color="auto"/>
                                                                        <w:left w:val="none" w:sz="0" w:space="0" w:color="auto"/>
                                                                        <w:bottom w:val="none" w:sz="0" w:space="0" w:color="auto"/>
                                                                        <w:right w:val="none" w:sz="0" w:space="0" w:color="auto"/>
                                                                      </w:divBdr>
                                                                      <w:divsChild>
                                                                        <w:div w:id="704915225">
                                                                          <w:marLeft w:val="0"/>
                                                                          <w:marRight w:val="0"/>
                                                                          <w:marTop w:val="0"/>
                                                                          <w:marBottom w:val="0"/>
                                                                          <w:divBdr>
                                                                            <w:top w:val="none" w:sz="0" w:space="0" w:color="auto"/>
                                                                            <w:left w:val="none" w:sz="0" w:space="0" w:color="auto"/>
                                                                            <w:bottom w:val="none" w:sz="0" w:space="0" w:color="auto"/>
                                                                            <w:right w:val="none" w:sz="0" w:space="0" w:color="auto"/>
                                                                          </w:divBdr>
                                                                          <w:divsChild>
                                                                            <w:div w:id="563370809">
                                                                              <w:marLeft w:val="0"/>
                                                                              <w:marRight w:val="0"/>
                                                                              <w:marTop w:val="0"/>
                                                                              <w:marBottom w:val="0"/>
                                                                              <w:divBdr>
                                                                                <w:top w:val="none" w:sz="0" w:space="0" w:color="auto"/>
                                                                                <w:left w:val="none" w:sz="0" w:space="0" w:color="auto"/>
                                                                                <w:bottom w:val="none" w:sz="0" w:space="0" w:color="auto"/>
                                                                                <w:right w:val="none" w:sz="0" w:space="0" w:color="auto"/>
                                                                              </w:divBdr>
                                                                              <w:divsChild>
                                                                                <w:div w:id="2043283934">
                                                                                  <w:marLeft w:val="0"/>
                                                                                  <w:marRight w:val="0"/>
                                                                                  <w:marTop w:val="0"/>
                                                                                  <w:marBottom w:val="0"/>
                                                                                  <w:divBdr>
                                                                                    <w:top w:val="none" w:sz="0" w:space="0" w:color="auto"/>
                                                                                    <w:left w:val="none" w:sz="0" w:space="0" w:color="auto"/>
                                                                                    <w:bottom w:val="none" w:sz="0" w:space="0" w:color="auto"/>
                                                                                    <w:right w:val="none" w:sz="0" w:space="0" w:color="auto"/>
                                                                                  </w:divBdr>
                                                                                  <w:divsChild>
                                                                                    <w:div w:id="282079243">
                                                                                      <w:marLeft w:val="0"/>
                                                                                      <w:marRight w:val="0"/>
                                                                                      <w:marTop w:val="0"/>
                                                                                      <w:marBottom w:val="0"/>
                                                                                      <w:divBdr>
                                                                                        <w:top w:val="none" w:sz="0" w:space="0" w:color="auto"/>
                                                                                        <w:left w:val="none" w:sz="0" w:space="0" w:color="auto"/>
                                                                                        <w:bottom w:val="none" w:sz="0" w:space="0" w:color="auto"/>
                                                                                        <w:right w:val="none" w:sz="0" w:space="0" w:color="auto"/>
                                                                                      </w:divBdr>
                                                                                    </w:div>
                                                                                    <w:div w:id="7422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239306">
      <w:bodyDiv w:val="1"/>
      <w:marLeft w:val="0"/>
      <w:marRight w:val="0"/>
      <w:marTop w:val="0"/>
      <w:marBottom w:val="0"/>
      <w:divBdr>
        <w:top w:val="none" w:sz="0" w:space="0" w:color="auto"/>
        <w:left w:val="none" w:sz="0" w:space="0" w:color="auto"/>
        <w:bottom w:val="none" w:sz="0" w:space="0" w:color="auto"/>
        <w:right w:val="none" w:sz="0" w:space="0" w:color="auto"/>
      </w:divBdr>
    </w:div>
    <w:div w:id="624190339">
      <w:bodyDiv w:val="1"/>
      <w:marLeft w:val="0"/>
      <w:marRight w:val="0"/>
      <w:marTop w:val="0"/>
      <w:marBottom w:val="0"/>
      <w:divBdr>
        <w:top w:val="none" w:sz="0" w:space="0" w:color="auto"/>
        <w:left w:val="none" w:sz="0" w:space="0" w:color="auto"/>
        <w:bottom w:val="none" w:sz="0" w:space="0" w:color="auto"/>
        <w:right w:val="none" w:sz="0" w:space="0" w:color="auto"/>
      </w:divBdr>
    </w:div>
    <w:div w:id="16901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6A8E3-2D80-42D4-83A4-1DD8AEDE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5927</Words>
  <Characters>3379</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nekustamā īpašuma  ierakstīšanu zemesgrāmatā</vt:lpstr>
      <vt:lpstr>Grozījumi likumā Par nekustamā īpašuma  ierakstīšanu zemesgrāmatā</vt:lpstr>
    </vt:vector>
  </TitlesOfParts>
  <Company>Tieslietu Ministrija</Company>
  <LinksUpToDate>false</LinksUpToDate>
  <CharactersWithSpaces>9288</CharactersWithSpaces>
  <SharedDoc>false</SharedDoc>
  <HLinks>
    <vt:vector size="12" baseType="variant">
      <vt:variant>
        <vt:i4>1310730</vt:i4>
      </vt:variant>
      <vt:variant>
        <vt:i4>3</vt:i4>
      </vt:variant>
      <vt:variant>
        <vt:i4>0</vt:i4>
      </vt:variant>
      <vt:variant>
        <vt:i4>5</vt:i4>
      </vt:variant>
      <vt:variant>
        <vt:lpwstr>http://www.mk.gov.lv/lv/mk/tap/?pid=40218439</vt:lpwstr>
      </vt:variant>
      <vt:variant>
        <vt:lpwstr/>
      </vt:variant>
      <vt:variant>
        <vt:i4>3145829</vt:i4>
      </vt:variant>
      <vt:variant>
        <vt:i4>0</vt:i4>
      </vt:variant>
      <vt:variant>
        <vt:i4>0</vt:i4>
      </vt:variant>
      <vt:variant>
        <vt:i4>5</vt:i4>
      </vt:variant>
      <vt:variant>
        <vt:lpwstr>http://www.tm.gov.lv/lv/documents/petijumi/PET_TM_KADZGR_2007_1-00.doc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nekustamā īpašuma  ierakstīšanu zemesgrāmatā</dc:title>
  <dc:subject>Likumprojekta sākotnējās ietekmes novērtējuma ziņojums (anotācija)</dc:subject>
  <dc:creator>Tieslietu ministrija</dc:creator>
  <dc:description>Ingrida.Reizina@tm.gov.lv, 67046137</dc:description>
  <cp:lastModifiedBy>Ingrida Reizina</cp:lastModifiedBy>
  <cp:revision>2</cp:revision>
  <dcterms:created xsi:type="dcterms:W3CDTF">2013-08-01T10:02:00Z</dcterms:created>
  <dcterms:modified xsi:type="dcterms:W3CDTF">2013-08-01T10:02:00Z</dcterms:modified>
</cp:coreProperties>
</file>