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5" w:rsidRPr="00722305" w:rsidRDefault="00722305" w:rsidP="00722305">
      <w:pPr>
        <w:spacing w:before="100" w:beforeAutospacing="1" w:after="100" w:afterAutospacing="1"/>
        <w:jc w:val="center"/>
        <w:rPr>
          <w:sz w:val="28"/>
          <w:szCs w:val="28"/>
        </w:rPr>
      </w:pPr>
      <w:r>
        <w:rPr>
          <w:b/>
          <w:bCs/>
          <w:sz w:val="28"/>
          <w:szCs w:val="28"/>
        </w:rPr>
        <w:t>Likumprojekta „Grozījumi Administratīvā procesa likumā”</w:t>
      </w:r>
      <w:r w:rsidRPr="00722305">
        <w:rPr>
          <w:b/>
          <w:bCs/>
          <w:sz w:val="28"/>
          <w:szCs w:val="28"/>
        </w:rPr>
        <w:t xml:space="preserve"> 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
        <w:gridCol w:w="70"/>
        <w:gridCol w:w="12"/>
        <w:gridCol w:w="526"/>
        <w:gridCol w:w="9"/>
        <w:gridCol w:w="745"/>
        <w:gridCol w:w="285"/>
        <w:gridCol w:w="609"/>
        <w:gridCol w:w="716"/>
        <w:gridCol w:w="57"/>
        <w:gridCol w:w="437"/>
        <w:gridCol w:w="506"/>
        <w:gridCol w:w="16"/>
        <w:gridCol w:w="497"/>
        <w:gridCol w:w="43"/>
        <w:gridCol w:w="23"/>
        <w:gridCol w:w="195"/>
        <w:gridCol w:w="1125"/>
        <w:gridCol w:w="187"/>
        <w:gridCol w:w="1340"/>
        <w:gridCol w:w="1244"/>
        <w:gridCol w:w="20"/>
      </w:tblGrid>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jc w:val="center"/>
              <w:rPr>
                <w:sz w:val="28"/>
                <w:szCs w:val="28"/>
              </w:rPr>
            </w:pPr>
            <w:r w:rsidRPr="00722305">
              <w:rPr>
                <w:b/>
                <w:bCs/>
                <w:sz w:val="28"/>
                <w:szCs w:val="28"/>
              </w:rPr>
              <w:t>I. Tiesību akta projekta izstrādes nepieciešamība</w:t>
            </w:r>
          </w:p>
        </w:tc>
      </w:tr>
      <w:tr w:rsidR="00722305" w:rsidRPr="00722305" w:rsidTr="00EE185B">
        <w:trPr>
          <w:trHeight w:val="63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Pamatojums</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AB4509" w:rsidP="00437C53">
            <w:pPr>
              <w:spacing w:before="100" w:beforeAutospacing="1" w:after="100" w:afterAutospacing="1"/>
              <w:jc w:val="both"/>
              <w:rPr>
                <w:sz w:val="28"/>
                <w:szCs w:val="28"/>
              </w:rPr>
            </w:pPr>
            <w:r>
              <w:rPr>
                <w:sz w:val="28"/>
                <w:szCs w:val="28"/>
              </w:rPr>
              <w:t>Nav attiecināms</w:t>
            </w:r>
          </w:p>
        </w:tc>
      </w:tr>
      <w:tr w:rsidR="00722305" w:rsidRPr="00722305" w:rsidTr="00EE185B">
        <w:trPr>
          <w:trHeight w:val="472"/>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Pašreizējā situācija un problēmas</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2004. gada 1. februārī stājās spēkā Administratīvā procesa likums un darbu uzsāka administratīvās tiesas. Administratīvo tiesu kontrole līdzās Satversmes tiesas īstenotajai kontrolei ir viens no galvenajiem mehānismiem, kas demokrātiskā valstī nodrošina cilvēktiesību un vispārējo tiesību principu ievērošanu. Līdz ar to jo īpaši būtiski ir, lai administratīvais process tiesā būtu efektīvs un lietu izskatīšana notiktu saprātīgos termiņos.</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Administratīvo tiesu darbība ir uzskatāma par efektīvu tad, ja ir pienācīgi nodrošināti visi tiesību uz taisnīgu tiesu aspekti – tostarp arī lietu izskatīšana saprātīgā termiņā.</w:t>
            </w:r>
          </w:p>
          <w:p w:rsidR="00437C53" w:rsidRPr="00E34A6F" w:rsidRDefault="00437C53" w:rsidP="00437C53">
            <w:pPr>
              <w:jc w:val="both"/>
              <w:rPr>
                <w:sz w:val="28"/>
                <w:szCs w:val="28"/>
              </w:rPr>
            </w:pPr>
            <w:r w:rsidRPr="00E34A6F">
              <w:rPr>
                <w:sz w:val="28"/>
                <w:szCs w:val="28"/>
              </w:rPr>
              <w:t xml:space="preserve">Pašreiz lielākais efektīvas administratīvo tiesu kontroles apdraudējums ir lielā administratīvo tiesu noslodze, kā rezultātā lietu izskatīšanas termiņi administratīvajās tiesās nav vērtējami kā saprātīgi un savlaicīgi tiesību uz taisnīgu tiesu izpratnē. </w:t>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 xml:space="preserve">Ar 2006.gada 26.oktobra un 2008.gada 18.decembra likumiem izdarītajiem grozījumiem Administratīvā procesa likumā jau tika īstenoti vairāki administratīvo tiesu darbu </w:t>
            </w:r>
            <w:proofErr w:type="spellStart"/>
            <w:r w:rsidRPr="00E34A6F">
              <w:rPr>
                <w:sz w:val="28"/>
                <w:szCs w:val="28"/>
                <w:lang w:val="lv-LV"/>
              </w:rPr>
              <w:t>efektivizējoši</w:t>
            </w:r>
            <w:proofErr w:type="spellEnd"/>
            <w:r w:rsidRPr="00E34A6F">
              <w:rPr>
                <w:sz w:val="28"/>
                <w:szCs w:val="28"/>
                <w:lang w:val="lv-LV"/>
              </w:rPr>
              <w:t xml:space="preserve"> pasākumi (piemēram, atsevišķu kategoriju lietās tika samazināts tiesu instanču skaits, tika paredzēts acīmredzami nepamatoto pieteikumu nepieņemšanas institūts, noteikts, ka blakus sūdzības izskata rakstveida procesā, izveidotas pirmā līmeņa administratīvās tiesas reģionos). Tomēr joprojām Administratīvajā rajona tiesā un Administratīvajā apgabaltiesā neizskatīto lietu skaits ir tik liels, ka rajona tiesā administratīvā lieta tiek izskatīta aptuveni divu gadu laikā, bet apgabaltiesā – gada laikā, kas nav uzskatāms par saprātīgu termiņu (saskaņā ar Tiesu informācijas sistēmā pieejamajiem statistikas datiem). </w:t>
            </w:r>
          </w:p>
          <w:p w:rsidR="00437C53" w:rsidRDefault="00437C53" w:rsidP="00437C53">
            <w:pPr>
              <w:pStyle w:val="Pamatteksts2"/>
              <w:spacing w:after="0" w:line="240" w:lineRule="auto"/>
              <w:jc w:val="both"/>
              <w:rPr>
                <w:sz w:val="28"/>
                <w:szCs w:val="28"/>
                <w:lang w:val="lv-LV"/>
              </w:rPr>
            </w:pPr>
            <w:r w:rsidRPr="00E34A6F">
              <w:rPr>
                <w:sz w:val="28"/>
                <w:szCs w:val="28"/>
                <w:lang w:val="lv-LV"/>
              </w:rPr>
              <w:lastRenderedPageBreak/>
              <w:t>Minētā iemesla dēļ nepieciešams turpināt administratīvā procesa regulējuma pilnveidošanu, ar grozījumiem Administratīvā procesa likumā ieviešot papildu iespējas tiesas darba paātrināšanai.</w:t>
            </w:r>
            <w:r>
              <w:rPr>
                <w:sz w:val="28"/>
                <w:szCs w:val="28"/>
                <w:lang w:val="lv-LV"/>
              </w:rPr>
              <w:t xml:space="preserve"> </w:t>
            </w:r>
          </w:p>
          <w:p w:rsidR="00437C53" w:rsidRDefault="00437C53" w:rsidP="00437C53">
            <w:pPr>
              <w:pStyle w:val="Pamatteksts2"/>
              <w:spacing w:after="0" w:line="240" w:lineRule="auto"/>
              <w:jc w:val="both"/>
              <w:rPr>
                <w:sz w:val="28"/>
                <w:szCs w:val="28"/>
                <w:lang w:val="lv-LV"/>
              </w:rPr>
            </w:pPr>
            <w:proofErr w:type="spellStart"/>
            <w:r>
              <w:rPr>
                <w:sz w:val="28"/>
                <w:szCs w:val="28"/>
                <w:lang w:val="lv-LV"/>
              </w:rPr>
              <w:t>Citstarp</w:t>
            </w:r>
            <w:proofErr w:type="spellEnd"/>
            <w:r>
              <w:rPr>
                <w:sz w:val="28"/>
                <w:szCs w:val="28"/>
                <w:lang w:val="lv-LV"/>
              </w:rPr>
              <w:t xml:space="preserve"> t</w:t>
            </w:r>
            <w:r w:rsidRPr="00E34A6F">
              <w:rPr>
                <w:sz w:val="28"/>
                <w:szCs w:val="28"/>
                <w:lang w:val="lv-LV"/>
              </w:rPr>
              <w:t>iesas procesa efektivitāte veicināma, pēc iespējas izmantojot informācijas tehnoloģiju piedāvātās iespējas – tajā skaitā, sekmējama skaņu ierakstu un video konferenču ieviešana administratīvajā procesā tiesā.</w:t>
            </w:r>
            <w:r>
              <w:rPr>
                <w:sz w:val="28"/>
                <w:szCs w:val="28"/>
                <w:lang w:val="lv-LV"/>
              </w:rPr>
              <w:t xml:space="preserve"> </w:t>
            </w:r>
            <w:r w:rsidRPr="00E34A6F">
              <w:rPr>
                <w:sz w:val="28"/>
                <w:szCs w:val="28"/>
                <w:lang w:val="lv-LV"/>
              </w:rPr>
              <w:tab/>
            </w:r>
          </w:p>
          <w:p w:rsidR="00437C53" w:rsidRPr="00E34A6F" w:rsidRDefault="00437C53" w:rsidP="00437C53">
            <w:pPr>
              <w:pStyle w:val="Pamatteksts2"/>
              <w:spacing w:after="0" w:line="240" w:lineRule="auto"/>
              <w:jc w:val="both"/>
              <w:rPr>
                <w:sz w:val="28"/>
                <w:szCs w:val="28"/>
                <w:lang w:val="lv-LV"/>
              </w:rPr>
            </w:pPr>
            <w:r w:rsidRPr="00E34A6F">
              <w:rPr>
                <w:sz w:val="28"/>
                <w:szCs w:val="28"/>
                <w:lang w:val="lv-LV"/>
              </w:rPr>
              <w:t>Šobrīd</w:t>
            </w:r>
            <w:r>
              <w:rPr>
                <w:sz w:val="28"/>
                <w:szCs w:val="28"/>
                <w:lang w:val="lv-LV"/>
              </w:rPr>
              <w:t xml:space="preserve"> Administratīvā </w:t>
            </w:r>
            <w:r w:rsidRPr="00E34A6F">
              <w:rPr>
                <w:sz w:val="28"/>
                <w:szCs w:val="28"/>
                <w:lang w:val="lv-LV"/>
              </w:rPr>
              <w:t>procesa likumā ietvertais regulējums nav pietiekami elastīgs un šobrīd nep</w:t>
            </w:r>
            <w:r>
              <w:rPr>
                <w:sz w:val="28"/>
                <w:szCs w:val="28"/>
                <w:lang w:val="lv-LV"/>
              </w:rPr>
              <w:t>aredz</w:t>
            </w:r>
            <w:r w:rsidRPr="00E34A6F">
              <w:rPr>
                <w:sz w:val="28"/>
                <w:szCs w:val="28"/>
                <w:lang w:val="lv-LV"/>
              </w:rPr>
              <w:t xml:space="preserve"> informācijas tehnoloģiju, piemēram, skaņu ieraksta un video konferences, izmantošanu tiesvedības procesā.</w:t>
            </w:r>
          </w:p>
          <w:p w:rsidR="00437C53" w:rsidRPr="00E34A6F" w:rsidRDefault="00437C53" w:rsidP="00437C53">
            <w:pPr>
              <w:jc w:val="both"/>
              <w:rPr>
                <w:sz w:val="28"/>
                <w:szCs w:val="28"/>
              </w:rPr>
            </w:pPr>
            <w:r w:rsidRPr="00E34A6F">
              <w:rPr>
                <w:sz w:val="28"/>
                <w:szCs w:val="28"/>
              </w:rPr>
              <w:t xml:space="preserve">Latvijas un Šveices sadarbības programmas </w:t>
            </w:r>
            <w:r>
              <w:rPr>
                <w:sz w:val="28"/>
                <w:szCs w:val="28"/>
              </w:rPr>
              <w:t xml:space="preserve">ietvaros sākot ar 2010.gada septembri notiks </w:t>
            </w:r>
            <w:r w:rsidRPr="00E34A6F">
              <w:rPr>
                <w:sz w:val="28"/>
                <w:szCs w:val="28"/>
              </w:rPr>
              <w:t>tiesu un ieslodzījumu vietu aprīkošana ar videokonferenču aparatūru. Videokonferenc</w:t>
            </w:r>
            <w:r>
              <w:rPr>
                <w:sz w:val="28"/>
                <w:szCs w:val="28"/>
              </w:rPr>
              <w:t>es aparatūru</w:t>
            </w:r>
            <w:r w:rsidRPr="00E34A6F">
              <w:rPr>
                <w:sz w:val="28"/>
                <w:szCs w:val="28"/>
              </w:rPr>
              <w:t xml:space="preserve"> varēs izmantot</w:t>
            </w:r>
            <w:r>
              <w:rPr>
                <w:sz w:val="28"/>
                <w:szCs w:val="28"/>
              </w:rPr>
              <w:t xml:space="preserve"> arī </w:t>
            </w:r>
            <w:r w:rsidRPr="00E34A6F">
              <w:rPr>
                <w:sz w:val="28"/>
                <w:szCs w:val="28"/>
              </w:rPr>
              <w:t xml:space="preserve">gadījumos, kad lietas dalībnieks nespēs ierasties tiesā, piemēram, atrodoties ārstniecības iestādē vai citā pilsētā, vai pat citā valstī. </w:t>
            </w:r>
            <w:r w:rsidRPr="00E34A6F">
              <w:rPr>
                <w:sz w:val="28"/>
                <w:szCs w:val="28"/>
              </w:rPr>
              <w:tab/>
              <w:t>Tāpat</w:t>
            </w:r>
            <w:r>
              <w:rPr>
                <w:sz w:val="28"/>
                <w:szCs w:val="28"/>
              </w:rPr>
              <w:t xml:space="preserve"> </w:t>
            </w:r>
            <w:r w:rsidRPr="00E34A6F">
              <w:rPr>
                <w:sz w:val="28"/>
                <w:szCs w:val="28"/>
              </w:rPr>
              <w:t>projekta ietvaros plānota tiesu aprīkošana ar skaņu ieraksta aparatūru tiesas sēžu ieraksta vajadzībām, kas palīdzēs uzlabot tiesas procesa un tiesas sēžu protokolu kvalitāti, kā arī samazināt cilvēkresursu patēriņu tiesas dokumentu sagatavošanā.</w:t>
            </w:r>
          </w:p>
          <w:p w:rsidR="00437C53" w:rsidRPr="00E34A6F" w:rsidRDefault="00437C53" w:rsidP="00437C53">
            <w:pPr>
              <w:tabs>
                <w:tab w:val="left" w:pos="0"/>
              </w:tabs>
              <w:jc w:val="both"/>
              <w:rPr>
                <w:sz w:val="28"/>
                <w:szCs w:val="28"/>
              </w:rPr>
            </w:pPr>
            <w:r w:rsidRPr="00E34A6F">
              <w:rPr>
                <w:sz w:val="28"/>
                <w:szCs w:val="28"/>
              </w:rPr>
              <w:t xml:space="preserve">Skaņu ieraksti un video konferences ne tikai ļautu </w:t>
            </w:r>
            <w:r>
              <w:rPr>
                <w:sz w:val="28"/>
                <w:szCs w:val="28"/>
              </w:rPr>
              <w:t>paaugstināt</w:t>
            </w:r>
            <w:r w:rsidRPr="00E34A6F">
              <w:rPr>
                <w:sz w:val="28"/>
                <w:szCs w:val="28"/>
              </w:rPr>
              <w:t xml:space="preserve"> tiesas procesa efektivitāti, samazinot tā norises ilgumu, bet arī veicinātu tiesas resursu racionālu izmantošanu.</w:t>
            </w:r>
          </w:p>
          <w:p w:rsidR="00722305" w:rsidRPr="00722305" w:rsidRDefault="00437C53" w:rsidP="00437C53">
            <w:pPr>
              <w:jc w:val="both"/>
              <w:rPr>
                <w:sz w:val="28"/>
                <w:szCs w:val="28"/>
              </w:rPr>
            </w:pPr>
            <w:r w:rsidRPr="00E34A6F">
              <w:rPr>
                <w:sz w:val="28"/>
                <w:szCs w:val="28"/>
              </w:rPr>
              <w:t xml:space="preserve">Sagatavotais likumprojekts „Grozījumi Administratīvā procesa likumā” ietver grozījumus, kas ilgtermiņā pozitīvi ietekmēs administratīvo lietu izskatīšanas efektivitāti un tādējādi arī administratīvo lietu izskatīšanas termiņus (plašāka rakstveida procesa ieviešana un </w:t>
            </w:r>
            <w:proofErr w:type="spellStart"/>
            <w:r w:rsidRPr="00E34A6F">
              <w:rPr>
                <w:sz w:val="28"/>
                <w:szCs w:val="28"/>
              </w:rPr>
              <w:t>pilotsprieduma</w:t>
            </w:r>
            <w:proofErr w:type="spellEnd"/>
            <w:r w:rsidRPr="00E34A6F">
              <w:rPr>
                <w:sz w:val="28"/>
                <w:szCs w:val="28"/>
              </w:rPr>
              <w:t xml:space="preserve"> procedūra). Likumprojekts ietver arī nepieciešamos grozījumus, lai administratīvo lietu izskatīšanā varētu izmantot videokonferenci un citus tehniskos līdzekļus, kā arī citus </w:t>
            </w:r>
            <w:r w:rsidRPr="00E34A6F">
              <w:rPr>
                <w:sz w:val="28"/>
                <w:szCs w:val="28"/>
              </w:rPr>
              <w:lastRenderedPageBreak/>
              <w:t xml:space="preserve">Administratīvā procesa likuma piemērošanas praksē izdarītus secinājumus par nepieciešamajiem regulējuma precizējumiem, uzlabojumiem un papildinājumiem, tostarp par administratīvā procesa </w:t>
            </w:r>
            <w:proofErr w:type="spellStart"/>
            <w:r w:rsidRPr="00E34A6F">
              <w:rPr>
                <w:sz w:val="28"/>
                <w:szCs w:val="28"/>
              </w:rPr>
              <w:t>efektivizēšanu</w:t>
            </w:r>
            <w:proofErr w:type="spellEnd"/>
            <w:r w:rsidRPr="00E34A6F">
              <w:rPr>
                <w:sz w:val="28"/>
                <w:szCs w:val="28"/>
              </w:rPr>
              <w:t xml:space="preserve"> iestādē.</w:t>
            </w:r>
          </w:p>
        </w:tc>
      </w:tr>
      <w:tr w:rsidR="00722305" w:rsidRPr="00722305" w:rsidTr="00EE185B">
        <w:trPr>
          <w:trHeight w:val="1071"/>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3.</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Saistītie politikas ietekmes novērtējumi un pētījumi</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437C53" w:rsidP="00437C53">
            <w:pPr>
              <w:spacing w:before="100" w:beforeAutospacing="1" w:after="100" w:afterAutospacing="1"/>
              <w:rPr>
                <w:sz w:val="28"/>
                <w:szCs w:val="28"/>
              </w:rPr>
            </w:pPr>
            <w:r>
              <w:rPr>
                <w:sz w:val="28"/>
                <w:szCs w:val="28"/>
              </w:rPr>
              <w:t>Nav attiecināms</w:t>
            </w:r>
          </w:p>
        </w:tc>
      </w:tr>
      <w:tr w:rsidR="00722305" w:rsidRPr="00722305" w:rsidTr="00EE185B">
        <w:trPr>
          <w:trHeight w:val="384"/>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Tiesiskā regulējuma mērķis un būtība</w:t>
            </w:r>
          </w:p>
        </w:tc>
        <w:tc>
          <w:tcPr>
            <w:tcW w:w="5690" w:type="dxa"/>
            <w:gridSpan w:val="13"/>
            <w:tcBorders>
              <w:top w:val="outset" w:sz="6" w:space="0" w:color="auto"/>
              <w:left w:val="outset" w:sz="6" w:space="0" w:color="auto"/>
              <w:bottom w:val="outset" w:sz="6" w:space="0" w:color="auto"/>
              <w:right w:val="outset" w:sz="6" w:space="0" w:color="auto"/>
            </w:tcBorders>
          </w:tcPr>
          <w:p w:rsidR="00437C53" w:rsidRPr="00E34A6F" w:rsidRDefault="00722305" w:rsidP="00437C53">
            <w:pPr>
              <w:jc w:val="both"/>
              <w:rPr>
                <w:sz w:val="28"/>
                <w:szCs w:val="28"/>
              </w:rPr>
            </w:pPr>
            <w:r w:rsidRPr="00722305">
              <w:rPr>
                <w:sz w:val="28"/>
                <w:szCs w:val="28"/>
              </w:rPr>
              <w:t> </w:t>
            </w:r>
            <w:r w:rsidR="00437C53" w:rsidRPr="00E34A6F">
              <w:rPr>
                <w:sz w:val="28"/>
                <w:szCs w:val="28"/>
              </w:rPr>
              <w:t xml:space="preserve">Tieslietu ministrija ir sagatavojusi Administratīvā procesa likuma grozījumus, kuru mērķis ir noregulēt procesuālos jautājumus, kas saistīti ar tehnisko līdzekļu izmantošanu administratīvo lietu izskatīšanā tiesā, kā arī </w:t>
            </w:r>
            <w:proofErr w:type="spellStart"/>
            <w:r w:rsidR="00437C53" w:rsidRPr="00E34A6F">
              <w:rPr>
                <w:sz w:val="28"/>
                <w:szCs w:val="28"/>
              </w:rPr>
              <w:t>efektivizēt</w:t>
            </w:r>
            <w:proofErr w:type="spellEnd"/>
            <w:r w:rsidR="00437C53" w:rsidRPr="00E34A6F">
              <w:rPr>
                <w:sz w:val="28"/>
                <w:szCs w:val="28"/>
              </w:rPr>
              <w:t xml:space="preserve"> lietu izskatīšanas gaitu administratīvajās tiesās un iestādēs. </w:t>
            </w:r>
          </w:p>
          <w:p w:rsidR="00437C53" w:rsidRPr="00E34A6F" w:rsidRDefault="00437C53" w:rsidP="00437C53">
            <w:pPr>
              <w:jc w:val="both"/>
              <w:rPr>
                <w:sz w:val="28"/>
                <w:szCs w:val="28"/>
              </w:rPr>
            </w:pPr>
            <w:r w:rsidRPr="00E34A6F">
              <w:rPr>
                <w:sz w:val="28"/>
                <w:szCs w:val="28"/>
              </w:rPr>
              <w:t xml:space="preserve">Būtiskākie ar likumprojektu iecerētie grozījumi ir šādi: </w:t>
            </w:r>
          </w:p>
          <w:p w:rsidR="00437C53" w:rsidRPr="00E34A6F" w:rsidRDefault="00437C53" w:rsidP="00437C53">
            <w:pPr>
              <w:jc w:val="both"/>
              <w:rPr>
                <w:sz w:val="28"/>
                <w:szCs w:val="28"/>
              </w:rPr>
            </w:pPr>
            <w:r w:rsidRPr="00E34A6F">
              <w:rPr>
                <w:sz w:val="28"/>
                <w:szCs w:val="28"/>
              </w:rPr>
              <w:t>1) likumprojekts paredz, ka tiesa (tiesnesis) var noteikt, ka procesuālās darbības tiesas sēdē tiek veiktas, izmantojot videokonferenci, ja procesa dalībnieks, liecinieks vai eksperts tiesas sēdes laikā atrodas citā vietā (ne tiesas sēdes norises vietā). Tādējādi tiks veicināta to lietu izskatīšana, kurās citādi minēto personu prombūtnes dēļ bija jāatliek tiesas sēdes. Vienlaikus tiek paredzēts, ka tiesas sēdes gaitu pilnā apjomā var fiksēt, izmantojot skaņu ierakstu, vai citus tehniskos līdzekļus, par ko izdara atzīmi tiesas sēdes protokolā. Šādos gadījumos raks</w:t>
            </w:r>
            <w:r>
              <w:rPr>
                <w:sz w:val="28"/>
                <w:szCs w:val="28"/>
              </w:rPr>
              <w:t>tāms saīsināts tiesas protokols;</w:t>
            </w:r>
          </w:p>
          <w:p w:rsidR="00437C53" w:rsidRPr="00E34A6F" w:rsidRDefault="00437C53" w:rsidP="00437C53">
            <w:pPr>
              <w:jc w:val="both"/>
              <w:rPr>
                <w:sz w:val="28"/>
                <w:szCs w:val="28"/>
              </w:rPr>
            </w:pPr>
            <w:r w:rsidRPr="00E34A6F">
              <w:rPr>
                <w:sz w:val="28"/>
                <w:szCs w:val="28"/>
              </w:rPr>
              <w:t xml:space="preserve">2) plānots ieviest regulējumu, kas veicinātu plašāku rakstveida procesa izmantošanu administratīvo lietu izskatīšanā tiesā. Šobrīd spēkā esošais Administratīvā procesa likuma regulējums salīdzinājumā ar daudzu citu Eiropas valstu regulējumu (piemēram, Austrijas, Francijas, Šveices, Norvēģijas, Zviedrijas, Somijas) kā administratīvo lietu izskatīšanas pamatprocesu paredz mutvārdu procesu. </w:t>
            </w:r>
          </w:p>
          <w:p w:rsidR="00437C53" w:rsidRPr="00E34A6F" w:rsidRDefault="00437C53" w:rsidP="00437C53">
            <w:pPr>
              <w:jc w:val="both"/>
              <w:rPr>
                <w:sz w:val="28"/>
                <w:szCs w:val="28"/>
              </w:rPr>
            </w:pPr>
            <w:r w:rsidRPr="00E34A6F">
              <w:rPr>
                <w:sz w:val="28"/>
                <w:szCs w:val="28"/>
              </w:rPr>
              <w:t xml:space="preserve">Sadarbībā ar Ministru kabineta pārstāvi Eiropas Cilvēktiesību tiesā atlasot Eiropas Cilvēktiesību </w:t>
            </w:r>
            <w:r w:rsidRPr="00E34A6F">
              <w:rPr>
                <w:sz w:val="28"/>
                <w:szCs w:val="28"/>
              </w:rPr>
              <w:lastRenderedPageBreak/>
              <w:t xml:space="preserve">tiesas nolēmumus, likumprojekta izstrādes gaitā tika izpētīta Eiropas Cilvēktiesību tiesas judikatūra saistībā ar rakstveida procesa pieļaujamību (piemēram, </w:t>
            </w:r>
            <w:r w:rsidRPr="00E34A6F">
              <w:rPr>
                <w:color w:val="000000"/>
                <w:sz w:val="28"/>
                <w:szCs w:val="28"/>
              </w:rPr>
              <w:t xml:space="preserve">nolēmumi lietās </w:t>
            </w:r>
            <w:proofErr w:type="spellStart"/>
            <w:r w:rsidRPr="00E34A6F">
              <w:rPr>
                <w:color w:val="000000"/>
                <w:sz w:val="28"/>
                <w:szCs w:val="28"/>
              </w:rPr>
              <w:t>Fredin</w:t>
            </w:r>
            <w:proofErr w:type="spellEnd"/>
            <w:r w:rsidRPr="00E34A6F">
              <w:rPr>
                <w:color w:val="000000"/>
                <w:sz w:val="28"/>
                <w:szCs w:val="28"/>
              </w:rPr>
              <w:t xml:space="preserve"> v. </w:t>
            </w:r>
            <w:proofErr w:type="spellStart"/>
            <w:r w:rsidRPr="00E34A6F">
              <w:rPr>
                <w:rStyle w:val="yshortcuts"/>
                <w:color w:val="000000"/>
                <w:sz w:val="28"/>
                <w:szCs w:val="28"/>
              </w:rPr>
              <w:t>Sweden</w:t>
            </w:r>
            <w:proofErr w:type="spellEnd"/>
            <w:r w:rsidRPr="00E34A6F">
              <w:rPr>
                <w:color w:val="000000"/>
                <w:sz w:val="28"/>
                <w:szCs w:val="28"/>
              </w:rPr>
              <w:t xml:space="preserve"> (1994),  </w:t>
            </w:r>
            <w:proofErr w:type="spellStart"/>
            <w:r w:rsidRPr="00E34A6F">
              <w:rPr>
                <w:rStyle w:val="yshortcuts"/>
                <w:color w:val="000000"/>
                <w:sz w:val="28"/>
                <w:szCs w:val="28"/>
              </w:rPr>
              <w:t>Gertrude</w:t>
            </w:r>
            <w:proofErr w:type="spellEnd"/>
            <w:r w:rsidRPr="00E34A6F">
              <w:rPr>
                <w:color w:val="000000"/>
                <w:sz w:val="28"/>
                <w:szCs w:val="28"/>
              </w:rPr>
              <w:t xml:space="preserve"> </w:t>
            </w:r>
            <w:proofErr w:type="spellStart"/>
            <w:r w:rsidRPr="00E34A6F">
              <w:rPr>
                <w:color w:val="000000"/>
                <w:sz w:val="28"/>
                <w:szCs w:val="28"/>
              </w:rPr>
              <w:t>Speil</w:t>
            </w:r>
            <w:proofErr w:type="spellEnd"/>
            <w:r w:rsidRPr="00E34A6F">
              <w:rPr>
                <w:color w:val="000000"/>
                <w:sz w:val="28"/>
                <w:szCs w:val="28"/>
              </w:rPr>
              <w:t xml:space="preserve"> v. </w:t>
            </w:r>
            <w:proofErr w:type="spellStart"/>
            <w:r w:rsidRPr="00E34A6F">
              <w:rPr>
                <w:rStyle w:val="yshortcuts"/>
                <w:color w:val="000000"/>
                <w:sz w:val="28"/>
                <w:szCs w:val="28"/>
              </w:rPr>
              <w:t>Austria</w:t>
            </w:r>
            <w:proofErr w:type="spellEnd"/>
            <w:r w:rsidRPr="00E34A6F">
              <w:rPr>
                <w:color w:val="000000"/>
                <w:sz w:val="28"/>
                <w:szCs w:val="28"/>
              </w:rPr>
              <w:t xml:space="preserve"> (2002), </w:t>
            </w:r>
            <w:proofErr w:type="spellStart"/>
            <w:r w:rsidRPr="00E34A6F">
              <w:rPr>
                <w:color w:val="000000"/>
                <w:sz w:val="28"/>
                <w:szCs w:val="28"/>
              </w:rPr>
              <w:t>Döry</w:t>
            </w:r>
            <w:proofErr w:type="spellEnd"/>
            <w:r w:rsidRPr="00E34A6F">
              <w:rPr>
                <w:color w:val="000000"/>
                <w:sz w:val="28"/>
                <w:szCs w:val="28"/>
              </w:rPr>
              <w:t xml:space="preserve"> v. </w:t>
            </w:r>
            <w:proofErr w:type="spellStart"/>
            <w:r w:rsidRPr="00E34A6F">
              <w:rPr>
                <w:color w:val="000000"/>
                <w:sz w:val="28"/>
                <w:szCs w:val="28"/>
              </w:rPr>
              <w:t>Sweden</w:t>
            </w:r>
            <w:proofErr w:type="spellEnd"/>
            <w:r w:rsidRPr="00E34A6F">
              <w:rPr>
                <w:color w:val="000000"/>
                <w:sz w:val="28"/>
                <w:szCs w:val="28"/>
              </w:rPr>
              <w:t xml:space="preserve"> (2002), </w:t>
            </w:r>
            <w:proofErr w:type="spellStart"/>
            <w:r w:rsidRPr="00E34A6F">
              <w:rPr>
                <w:color w:val="000000"/>
                <w:sz w:val="28"/>
                <w:szCs w:val="28"/>
              </w:rPr>
              <w:t>Alois</w:t>
            </w:r>
            <w:proofErr w:type="spellEnd"/>
            <w:r w:rsidRPr="00E34A6F">
              <w:rPr>
                <w:color w:val="000000"/>
                <w:sz w:val="28"/>
                <w:szCs w:val="28"/>
              </w:rPr>
              <w:t xml:space="preserve"> </w:t>
            </w:r>
            <w:proofErr w:type="spellStart"/>
            <w:r w:rsidRPr="00E34A6F">
              <w:rPr>
                <w:color w:val="000000"/>
                <w:sz w:val="28"/>
                <w:szCs w:val="28"/>
              </w:rPr>
              <w:t>Hofbauer</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(2004), </w:t>
            </w:r>
            <w:proofErr w:type="spellStart"/>
            <w:r w:rsidRPr="00E34A6F">
              <w:rPr>
                <w:color w:val="000000"/>
                <w:sz w:val="28"/>
                <w:szCs w:val="28"/>
              </w:rPr>
              <w:t>Schuler-Zgraggen</w:t>
            </w:r>
            <w:proofErr w:type="spellEnd"/>
            <w:r w:rsidRPr="00E34A6F">
              <w:rPr>
                <w:color w:val="000000"/>
                <w:sz w:val="28"/>
                <w:szCs w:val="28"/>
              </w:rPr>
              <w:t xml:space="preserve"> v. </w:t>
            </w:r>
            <w:proofErr w:type="spellStart"/>
            <w:r w:rsidRPr="00E34A6F">
              <w:rPr>
                <w:rStyle w:val="yshortcuts"/>
                <w:color w:val="000000"/>
                <w:sz w:val="28"/>
                <w:szCs w:val="28"/>
              </w:rPr>
              <w:t>Switzerland</w:t>
            </w:r>
            <w:proofErr w:type="spellEnd"/>
            <w:r w:rsidRPr="00E34A6F">
              <w:rPr>
                <w:color w:val="000000"/>
                <w:sz w:val="28"/>
                <w:szCs w:val="28"/>
              </w:rPr>
              <w:t xml:space="preserve"> (1993), </w:t>
            </w:r>
            <w:proofErr w:type="spellStart"/>
            <w:r w:rsidRPr="00E34A6F">
              <w:rPr>
                <w:color w:val="000000"/>
                <w:sz w:val="28"/>
                <w:szCs w:val="28"/>
              </w:rPr>
              <w:t>Zumtobel</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(1993), </w:t>
            </w:r>
            <w:proofErr w:type="spellStart"/>
            <w:r w:rsidRPr="00E34A6F">
              <w:rPr>
                <w:color w:val="000000"/>
                <w:sz w:val="28"/>
                <w:szCs w:val="28"/>
              </w:rPr>
              <w:t>Werner</w:t>
            </w:r>
            <w:proofErr w:type="spellEnd"/>
            <w:r w:rsidRPr="00E34A6F">
              <w:rPr>
                <w:color w:val="000000"/>
                <w:sz w:val="28"/>
                <w:szCs w:val="28"/>
              </w:rPr>
              <w:t xml:space="preserve"> Petersen v. </w:t>
            </w:r>
            <w:proofErr w:type="spellStart"/>
            <w:r w:rsidRPr="00E34A6F">
              <w:rPr>
                <w:rStyle w:val="yshortcuts"/>
                <w:color w:val="000000"/>
                <w:sz w:val="28"/>
                <w:szCs w:val="28"/>
              </w:rPr>
              <w:t>Germany</w:t>
            </w:r>
            <w:proofErr w:type="spellEnd"/>
            <w:r w:rsidRPr="00E34A6F">
              <w:rPr>
                <w:color w:val="000000"/>
                <w:sz w:val="28"/>
                <w:szCs w:val="28"/>
              </w:rPr>
              <w:t xml:space="preserve"> (2001), </w:t>
            </w:r>
            <w:proofErr w:type="spellStart"/>
            <w:r w:rsidRPr="00E34A6F">
              <w:rPr>
                <w:color w:val="000000"/>
                <w:sz w:val="28"/>
                <w:szCs w:val="28"/>
              </w:rPr>
              <w:t>Sträg</w:t>
            </w:r>
            <w:proofErr w:type="spellEnd"/>
            <w:r w:rsidRPr="00E34A6F">
              <w:rPr>
                <w:color w:val="000000"/>
                <w:sz w:val="28"/>
                <w:szCs w:val="28"/>
              </w:rPr>
              <w:t xml:space="preserve"> </w:t>
            </w:r>
            <w:proofErr w:type="spellStart"/>
            <w:r w:rsidRPr="00E34A6F">
              <w:rPr>
                <w:color w:val="000000"/>
                <w:sz w:val="28"/>
                <w:szCs w:val="28"/>
              </w:rPr>
              <w:t>Datatjänster</w:t>
            </w:r>
            <w:proofErr w:type="spellEnd"/>
            <w:r w:rsidRPr="00E34A6F">
              <w:rPr>
                <w:color w:val="000000"/>
                <w:sz w:val="28"/>
                <w:szCs w:val="28"/>
              </w:rPr>
              <w:t xml:space="preserve"> AB v. </w:t>
            </w:r>
            <w:proofErr w:type="spellStart"/>
            <w:r w:rsidRPr="00E34A6F">
              <w:rPr>
                <w:color w:val="000000"/>
                <w:sz w:val="28"/>
                <w:szCs w:val="28"/>
              </w:rPr>
              <w:t>Sweden</w:t>
            </w:r>
            <w:proofErr w:type="spellEnd"/>
            <w:r w:rsidRPr="00E34A6F">
              <w:rPr>
                <w:color w:val="000000"/>
                <w:sz w:val="28"/>
                <w:szCs w:val="28"/>
              </w:rPr>
              <w:t xml:space="preserve"> (2005), </w:t>
            </w:r>
            <w:proofErr w:type="spellStart"/>
            <w:r w:rsidRPr="00E34A6F">
              <w:rPr>
                <w:color w:val="000000"/>
                <w:sz w:val="28"/>
                <w:szCs w:val="28"/>
              </w:rPr>
              <w:t>Alatulkkila</w:t>
            </w:r>
            <w:proofErr w:type="spellEnd"/>
            <w:r w:rsidRPr="00E34A6F">
              <w:rPr>
                <w:color w:val="000000"/>
                <w:sz w:val="28"/>
                <w:szCs w:val="28"/>
              </w:rPr>
              <w:t xml:space="preserve"> </w:t>
            </w:r>
            <w:proofErr w:type="spellStart"/>
            <w:r w:rsidRPr="00E34A6F">
              <w:rPr>
                <w:color w:val="000000"/>
                <w:sz w:val="28"/>
                <w:szCs w:val="28"/>
              </w:rPr>
              <w:t>and</w:t>
            </w:r>
            <w:proofErr w:type="spellEnd"/>
            <w:r w:rsidRPr="00E34A6F">
              <w:rPr>
                <w:color w:val="000000"/>
                <w:sz w:val="28"/>
                <w:szCs w:val="28"/>
              </w:rPr>
              <w:t xml:space="preserve"> </w:t>
            </w:r>
            <w:proofErr w:type="spellStart"/>
            <w:r w:rsidRPr="00E34A6F">
              <w:rPr>
                <w:color w:val="000000"/>
                <w:sz w:val="28"/>
                <w:szCs w:val="28"/>
              </w:rPr>
              <w:t>others</w:t>
            </w:r>
            <w:proofErr w:type="spellEnd"/>
            <w:r w:rsidRPr="00E34A6F">
              <w:rPr>
                <w:color w:val="000000"/>
                <w:sz w:val="28"/>
                <w:szCs w:val="28"/>
              </w:rPr>
              <w:t xml:space="preserve"> v. </w:t>
            </w:r>
            <w:proofErr w:type="spellStart"/>
            <w:r w:rsidRPr="00E34A6F">
              <w:rPr>
                <w:rStyle w:val="yshortcuts"/>
                <w:color w:val="000000"/>
                <w:sz w:val="28"/>
                <w:szCs w:val="28"/>
              </w:rPr>
              <w:t>Finland</w:t>
            </w:r>
            <w:proofErr w:type="spellEnd"/>
            <w:r w:rsidRPr="00E34A6F">
              <w:rPr>
                <w:color w:val="000000"/>
                <w:sz w:val="28"/>
                <w:szCs w:val="28"/>
              </w:rPr>
              <w:t xml:space="preserve"> (2005), </w:t>
            </w:r>
            <w:proofErr w:type="spellStart"/>
            <w:r w:rsidRPr="00E34A6F">
              <w:rPr>
                <w:color w:val="000000"/>
                <w:sz w:val="28"/>
                <w:szCs w:val="28"/>
              </w:rPr>
              <w:t>Botten</w:t>
            </w:r>
            <w:proofErr w:type="spellEnd"/>
            <w:r w:rsidRPr="00E34A6F">
              <w:rPr>
                <w:color w:val="000000"/>
                <w:sz w:val="28"/>
                <w:szCs w:val="28"/>
              </w:rPr>
              <w:t xml:space="preserve"> v. </w:t>
            </w:r>
            <w:proofErr w:type="spellStart"/>
            <w:r w:rsidRPr="00E34A6F">
              <w:rPr>
                <w:rStyle w:val="yshortcuts"/>
                <w:color w:val="000000"/>
                <w:sz w:val="28"/>
                <w:szCs w:val="28"/>
              </w:rPr>
              <w:t>Norway</w:t>
            </w:r>
            <w:proofErr w:type="spellEnd"/>
            <w:r w:rsidRPr="00E34A6F">
              <w:rPr>
                <w:color w:val="000000"/>
                <w:sz w:val="28"/>
                <w:szCs w:val="28"/>
              </w:rPr>
              <w:t xml:space="preserve"> (1996), </w:t>
            </w:r>
            <w:proofErr w:type="spellStart"/>
            <w:r w:rsidRPr="00E34A6F">
              <w:rPr>
                <w:color w:val="000000"/>
                <w:sz w:val="28"/>
                <w:szCs w:val="28"/>
              </w:rPr>
              <w:t>Bulut</w:t>
            </w:r>
            <w:proofErr w:type="spellEnd"/>
            <w:r w:rsidRPr="00E34A6F">
              <w:rPr>
                <w:color w:val="000000"/>
                <w:sz w:val="28"/>
                <w:szCs w:val="28"/>
              </w:rPr>
              <w:t xml:space="preserve"> v. </w:t>
            </w:r>
            <w:proofErr w:type="spellStart"/>
            <w:r w:rsidRPr="00E34A6F">
              <w:rPr>
                <w:color w:val="000000"/>
                <w:sz w:val="28"/>
                <w:szCs w:val="28"/>
              </w:rPr>
              <w:t>Austria</w:t>
            </w:r>
            <w:proofErr w:type="spellEnd"/>
            <w:r w:rsidRPr="00E34A6F">
              <w:rPr>
                <w:color w:val="000000"/>
                <w:sz w:val="28"/>
                <w:szCs w:val="28"/>
              </w:rPr>
              <w:t xml:space="preserve"> (1996), </w:t>
            </w:r>
            <w:proofErr w:type="spellStart"/>
            <w:r w:rsidRPr="00E34A6F">
              <w:rPr>
                <w:color w:val="000000"/>
                <w:sz w:val="28"/>
                <w:szCs w:val="28"/>
              </w:rPr>
              <w:t>Sutter</w:t>
            </w:r>
            <w:proofErr w:type="spellEnd"/>
            <w:r w:rsidRPr="00E34A6F">
              <w:rPr>
                <w:color w:val="000000"/>
                <w:sz w:val="28"/>
                <w:szCs w:val="28"/>
              </w:rPr>
              <w:t xml:space="preserve"> v. </w:t>
            </w:r>
            <w:proofErr w:type="spellStart"/>
            <w:r w:rsidRPr="00E34A6F">
              <w:rPr>
                <w:color w:val="000000"/>
                <w:sz w:val="28"/>
                <w:szCs w:val="28"/>
              </w:rPr>
              <w:t>Switzerland</w:t>
            </w:r>
            <w:proofErr w:type="spellEnd"/>
            <w:r w:rsidRPr="00E34A6F">
              <w:rPr>
                <w:color w:val="000000"/>
                <w:sz w:val="28"/>
                <w:szCs w:val="28"/>
              </w:rPr>
              <w:t xml:space="preserve"> (1984))</w:t>
            </w:r>
            <w:r w:rsidRPr="00E34A6F">
              <w:rPr>
                <w:sz w:val="28"/>
                <w:szCs w:val="28"/>
              </w:rPr>
              <w:t xml:space="preserve">. Eiropas Cilvēktiesību tiesas judikatūrā, analizējot lietu izskatīšanu mutvārdu vai rakstveida procesā no tiesību uz taisnīgu tiesu viedokļa, atzīts, ka pēc vispārējā principa, ja privātpersona vēlas lietas izskatīšana mutvārdu procesā, tai šāda iespēja ir jānodrošina vienā instancē, kas izskata lietu pēc būtības. Apelācijas instances tiesā lietu pretēji pieteicēja vēlmēm var izskatīt rakstveida procesā, ja tiesas ieskatā procesa veids neietekmē lietas objektīvu un taisnīgu izspriešanu, proti, ja lietas apstākļi neprasa pieteicēja personīgu uzklausīšanu un tiesa lietu var izspriest, iepazīstoties ar lietas materiāliem un procesa dalībnieku viedokli rakstveidā. Savukārt kasācijas instances tiesā, ja tās kompetencē nav faktisko apstākļu pārvērtēšana, bet tikai tiesību jautājumi (kā tas ir arī Latvijā), visas lietas var izskatīt tikai rakstveida procesā, pat ja pieteicējs prasa mutvārdu procesu. Tādējādi secināms, ka pašreiz spēkā esošais  Administratīvā procesa likuma regulējums, kas noteic, ka administratīvā lieta visu instanču administratīvajās tiesās izskatāma mutvārdu procesā, izņemot, ja procesa dalībnieks – privātpersona – piekrīt lietas izskatīšanai rakstveida procesā, paredz ievērojami šaurāku rakstveida procesa izmantošanu, kā to pieļauj Eiropas Cilvēktiesību tiesas atziņas. </w:t>
            </w:r>
          </w:p>
          <w:p w:rsidR="00437C53" w:rsidRPr="00E34A6F" w:rsidRDefault="00437C53" w:rsidP="00437C53">
            <w:pPr>
              <w:jc w:val="both"/>
              <w:rPr>
                <w:sz w:val="28"/>
                <w:szCs w:val="28"/>
              </w:rPr>
            </w:pPr>
            <w:r w:rsidRPr="00E34A6F">
              <w:rPr>
                <w:sz w:val="28"/>
                <w:szCs w:val="28"/>
              </w:rPr>
              <w:t xml:space="preserve">Līdz ar to Administratīvā procesa likumā plānots izdarīt grozījumus, kas ieviestu Eiropas </w:t>
            </w:r>
            <w:r w:rsidRPr="00E34A6F">
              <w:rPr>
                <w:sz w:val="28"/>
                <w:szCs w:val="28"/>
              </w:rPr>
              <w:lastRenderedPageBreak/>
              <w:t>Cilvēktiesību tiesas judikatūrai atbilstošu rakstveida procesa izmantošanu lietu izskatīšanā. Proti, plānots noteikt, ka: 1) pirmās instances tiesa lietu izskata rakstveidā, ja procesa dalībnieks – privātpersona – neprasa lietas izskatīšanu mutvārdu procesā; 2) apelācijas instances tiesa lietu izskata rakstveida procesā, ja atzīst, ka lietas apstākļu objektīvai noskaidrošanai konkrētajā lietā nav nepieciešama tiesas sēde; 3) kasācijas instances tiesa lietu izskata rakstveida procesā. Vienlaikus likumā tiek saglabāta spēkā esošā tiesību norma, kas noteic, ka gadījumā, ja tiesa uzskata, ka lietu, kuras izskatīšana saskaņā ar likumu noteikta rakstveida procesā, lietderīgāk izskatīt tiesas sēdē, tā var noteikt šīs lietas izskatīšanu mutvārdu procesā (Administratīvā procesa likuma 114. panta trešā daļa). Vienlaikus tiek paredzēta iespēja tiesai rakstveida procesā izskatāmā lietā atsevišķas procesuālās darbības veikt tiesas sēdē (piemēram, liecinieku nopratināšanu), ja tiesa to uzskata par nepieciešamu. Prognozējams, ka lietu izskatīšana rakstveida procesā ilgtermiņā gan samazinātu lietu izskatīšanas laiku, gan ietaupītu tiesas resursus (tiesnešiem nebūtu jāpavada laiks tiesas sēdēs, ievērojami samazināto</w:t>
            </w:r>
            <w:r>
              <w:rPr>
                <w:sz w:val="28"/>
                <w:szCs w:val="28"/>
              </w:rPr>
              <w:t>s lietu izskatīšanas atlikšana);</w:t>
            </w:r>
          </w:p>
          <w:p w:rsidR="00437C53" w:rsidRPr="00E34A6F" w:rsidRDefault="00437C53" w:rsidP="00437C53">
            <w:pPr>
              <w:jc w:val="both"/>
              <w:rPr>
                <w:color w:val="000000"/>
                <w:sz w:val="28"/>
                <w:szCs w:val="28"/>
              </w:rPr>
            </w:pPr>
            <w:r w:rsidRPr="00E34A6F">
              <w:rPr>
                <w:sz w:val="28"/>
                <w:szCs w:val="28"/>
              </w:rPr>
              <w:t xml:space="preserve">3) </w:t>
            </w:r>
            <w:r>
              <w:rPr>
                <w:sz w:val="28"/>
                <w:szCs w:val="28"/>
              </w:rPr>
              <w:t>l</w:t>
            </w:r>
            <w:r w:rsidRPr="00E34A6F">
              <w:rPr>
                <w:sz w:val="28"/>
                <w:szCs w:val="28"/>
              </w:rPr>
              <w:t xml:space="preserve">ikumprojekts paredz administratīvajā procesā tiesā ieviest </w:t>
            </w:r>
            <w:proofErr w:type="spellStart"/>
            <w:r w:rsidRPr="00E34A6F">
              <w:rPr>
                <w:sz w:val="28"/>
                <w:szCs w:val="28"/>
              </w:rPr>
              <w:t>pilotsprieduma</w:t>
            </w:r>
            <w:proofErr w:type="spellEnd"/>
            <w:r w:rsidRPr="00E34A6F">
              <w:rPr>
                <w:sz w:val="28"/>
                <w:szCs w:val="28"/>
              </w:rPr>
              <w:t xml:space="preserve"> procedūru. Šī regulējuma izstrādē par paraugu ņemts Eiropas Cilvēktiesību tiesas praksē attīstītais </w:t>
            </w:r>
            <w:proofErr w:type="spellStart"/>
            <w:r w:rsidRPr="00E34A6F">
              <w:rPr>
                <w:sz w:val="28"/>
                <w:szCs w:val="28"/>
              </w:rPr>
              <w:t>pilotsprieduma</w:t>
            </w:r>
            <w:proofErr w:type="spellEnd"/>
            <w:r w:rsidRPr="00E34A6F">
              <w:rPr>
                <w:sz w:val="28"/>
                <w:szCs w:val="28"/>
              </w:rPr>
              <w:t xml:space="preserve"> process (i</w:t>
            </w:r>
            <w:r w:rsidRPr="00E34A6F">
              <w:rPr>
                <w:color w:val="000000"/>
                <w:sz w:val="28"/>
                <w:szCs w:val="28"/>
              </w:rPr>
              <w:t xml:space="preserve">nformācija par Eiropas Cilvēktiesību tiesas judikatūrā attīstīto </w:t>
            </w:r>
            <w:proofErr w:type="spellStart"/>
            <w:r w:rsidRPr="00E34A6F">
              <w:rPr>
                <w:color w:val="000000"/>
                <w:sz w:val="28"/>
                <w:szCs w:val="28"/>
              </w:rPr>
              <w:t>pilotsprieduma</w:t>
            </w:r>
            <w:proofErr w:type="spellEnd"/>
            <w:r w:rsidRPr="00E34A6F">
              <w:rPr>
                <w:color w:val="000000"/>
                <w:sz w:val="28"/>
                <w:szCs w:val="28"/>
              </w:rPr>
              <w:t xml:space="preserve"> procedūru </w:t>
            </w:r>
          </w:p>
          <w:p w:rsidR="00437C53" w:rsidRPr="00E34A6F" w:rsidRDefault="00307B42" w:rsidP="00437C53">
            <w:pPr>
              <w:jc w:val="both"/>
              <w:rPr>
                <w:rStyle w:val="yshortcuts"/>
                <w:color w:val="0066CC"/>
                <w:sz w:val="28"/>
                <w:szCs w:val="28"/>
                <w:u w:val="single"/>
              </w:rPr>
            </w:pPr>
            <w:hyperlink r:id="rId7" w:history="1">
              <w:r w:rsidR="00437C53" w:rsidRPr="00E34A6F">
                <w:rPr>
                  <w:rStyle w:val="Hipersaite"/>
                  <w:sz w:val="28"/>
                  <w:szCs w:val="28"/>
                </w:rPr>
                <w:t>http://www.echr.coe.int/NR/rdonlyres/DF4E8456-77B3-4E67-8944-B908143A7E2C/0/Information</w:t>
              </w:r>
            </w:hyperlink>
          </w:p>
          <w:p w:rsidR="00437C53" w:rsidRPr="00E34A6F" w:rsidRDefault="00437C53" w:rsidP="00437C53">
            <w:pPr>
              <w:jc w:val="both"/>
              <w:rPr>
                <w:sz w:val="28"/>
                <w:szCs w:val="28"/>
              </w:rPr>
            </w:pPr>
            <w:r w:rsidRPr="00E34A6F">
              <w:rPr>
                <w:rStyle w:val="yshortcuts"/>
                <w:color w:val="0066CC"/>
                <w:sz w:val="28"/>
                <w:szCs w:val="28"/>
                <w:u w:val="single"/>
              </w:rPr>
              <w:t>_</w:t>
            </w:r>
            <w:proofErr w:type="spellStart"/>
            <w:r w:rsidRPr="00E34A6F">
              <w:rPr>
                <w:rStyle w:val="yshortcuts"/>
                <w:color w:val="0066CC"/>
                <w:sz w:val="28"/>
                <w:szCs w:val="28"/>
                <w:u w:val="single"/>
              </w:rPr>
              <w:t>Note_on_the_PJP_for_Website.pdf</w:t>
            </w:r>
            <w:proofErr w:type="spellEnd"/>
            <w:r w:rsidRPr="00E34A6F">
              <w:rPr>
                <w:rStyle w:val="yshortcuts"/>
                <w:color w:val="0066CC"/>
                <w:sz w:val="28"/>
                <w:szCs w:val="28"/>
                <w:u w:val="single"/>
              </w:rPr>
              <w:t>.</w:t>
            </w:r>
            <w:r w:rsidRPr="00E34A6F">
              <w:rPr>
                <w:color w:val="000000"/>
                <w:sz w:val="28"/>
                <w:szCs w:val="28"/>
                <w:u w:val="single"/>
              </w:rPr>
              <w:t>;</w:t>
            </w:r>
            <w:r w:rsidRPr="00E34A6F">
              <w:rPr>
                <w:color w:val="000000"/>
                <w:sz w:val="28"/>
                <w:szCs w:val="28"/>
              </w:rPr>
              <w:t xml:space="preserve"> Eiropas Cilvēktiesību tiesas spriedumi </w:t>
            </w:r>
            <w:proofErr w:type="spellStart"/>
            <w:r w:rsidRPr="00E34A6F">
              <w:rPr>
                <w:color w:val="000000"/>
                <w:sz w:val="28"/>
                <w:szCs w:val="28"/>
              </w:rPr>
              <w:t>pilotlietās</w:t>
            </w:r>
            <w:proofErr w:type="spellEnd"/>
            <w:r w:rsidRPr="00E34A6F">
              <w:rPr>
                <w:color w:val="000000"/>
                <w:sz w:val="28"/>
                <w:szCs w:val="28"/>
              </w:rPr>
              <w:t xml:space="preserve"> </w:t>
            </w:r>
            <w:proofErr w:type="spellStart"/>
            <w:r w:rsidRPr="00E34A6F">
              <w:rPr>
                <w:color w:val="000000"/>
                <w:sz w:val="28"/>
                <w:szCs w:val="28"/>
              </w:rPr>
              <w:t>Broniowski</w:t>
            </w:r>
            <w:proofErr w:type="spellEnd"/>
            <w:r w:rsidRPr="00E34A6F">
              <w:rPr>
                <w:color w:val="000000"/>
                <w:sz w:val="28"/>
                <w:szCs w:val="28"/>
              </w:rPr>
              <w:t xml:space="preserve"> v. </w:t>
            </w:r>
            <w:proofErr w:type="spellStart"/>
            <w:r w:rsidRPr="00E34A6F">
              <w:rPr>
                <w:rStyle w:val="yshortcuts"/>
                <w:color w:val="000000"/>
                <w:sz w:val="28"/>
                <w:szCs w:val="28"/>
              </w:rPr>
              <w:t>Poland</w:t>
            </w:r>
            <w:proofErr w:type="spellEnd"/>
            <w:r w:rsidRPr="00E34A6F">
              <w:rPr>
                <w:color w:val="000000"/>
                <w:sz w:val="28"/>
                <w:szCs w:val="28"/>
              </w:rPr>
              <w:t xml:space="preserve"> (2004), </w:t>
            </w:r>
            <w:proofErr w:type="spellStart"/>
            <w:r w:rsidRPr="00E34A6F">
              <w:rPr>
                <w:color w:val="000000"/>
                <w:sz w:val="28"/>
                <w:szCs w:val="28"/>
              </w:rPr>
              <w:t>Hutten-Czapska</w:t>
            </w:r>
            <w:proofErr w:type="spellEnd"/>
            <w:r w:rsidRPr="00E34A6F">
              <w:rPr>
                <w:color w:val="000000"/>
                <w:sz w:val="28"/>
                <w:szCs w:val="28"/>
              </w:rPr>
              <w:t xml:space="preserve"> V. </w:t>
            </w:r>
            <w:proofErr w:type="spellStart"/>
            <w:r w:rsidRPr="00E34A6F">
              <w:rPr>
                <w:color w:val="000000"/>
                <w:sz w:val="28"/>
                <w:szCs w:val="28"/>
              </w:rPr>
              <w:t>Poland</w:t>
            </w:r>
            <w:proofErr w:type="spellEnd"/>
            <w:r w:rsidRPr="00E34A6F">
              <w:rPr>
                <w:color w:val="000000"/>
                <w:sz w:val="28"/>
                <w:szCs w:val="28"/>
              </w:rPr>
              <w:t xml:space="preserve"> (2006)).</w:t>
            </w:r>
          </w:p>
          <w:p w:rsidR="00437C53" w:rsidRPr="00E34A6F" w:rsidRDefault="00437C53" w:rsidP="00437C53">
            <w:pPr>
              <w:jc w:val="both"/>
              <w:rPr>
                <w:sz w:val="28"/>
                <w:szCs w:val="28"/>
              </w:rPr>
            </w:pPr>
            <w:r w:rsidRPr="00E34A6F">
              <w:rPr>
                <w:sz w:val="28"/>
                <w:szCs w:val="28"/>
              </w:rPr>
              <w:t xml:space="preserve">Proti, gadījumos, kad tiesā tiek saņemtas vairākas vienveidīgas lietas, par kuru izšķiršanai svarīgo </w:t>
            </w:r>
            <w:proofErr w:type="spellStart"/>
            <w:r w:rsidRPr="00E34A6F">
              <w:rPr>
                <w:sz w:val="28"/>
                <w:szCs w:val="28"/>
              </w:rPr>
              <w:lastRenderedPageBreak/>
              <w:t>tiesībjautājumu</w:t>
            </w:r>
            <w:proofErr w:type="spellEnd"/>
            <w:r w:rsidRPr="00E34A6F">
              <w:rPr>
                <w:sz w:val="28"/>
                <w:szCs w:val="28"/>
              </w:rPr>
              <w:t xml:space="preserve"> nav izveidojusies judikatūra, vienai vai vairākām „tipiskākajām” no šīm lietām ar tiesas priekšsēdētāja lēmumu paredzēta iespēja piešķirt </w:t>
            </w:r>
            <w:proofErr w:type="spellStart"/>
            <w:r w:rsidRPr="00E34A6F">
              <w:rPr>
                <w:sz w:val="28"/>
                <w:szCs w:val="28"/>
              </w:rPr>
              <w:t>pilotlietas</w:t>
            </w:r>
            <w:proofErr w:type="spellEnd"/>
            <w:r w:rsidRPr="00E34A6F">
              <w:rPr>
                <w:sz w:val="28"/>
                <w:szCs w:val="28"/>
              </w:rPr>
              <w:t xml:space="preserve"> statusu. </w:t>
            </w:r>
            <w:proofErr w:type="spellStart"/>
            <w:r w:rsidRPr="00E34A6F">
              <w:rPr>
                <w:sz w:val="28"/>
                <w:szCs w:val="28"/>
              </w:rPr>
              <w:t>Pilotlietas</w:t>
            </w:r>
            <w:proofErr w:type="spellEnd"/>
            <w:r w:rsidRPr="00E34A6F">
              <w:rPr>
                <w:sz w:val="28"/>
                <w:szCs w:val="28"/>
              </w:rPr>
              <w:t xml:space="preserve"> statuss nozīmētu, ka konkrētā lieta paātrinātā kārtībā (līdzīgi kā, piemēram, lietas, kurās tiek skartas bērnu intereses) tiek izskatīta gan pirmās instances, gan augstāko instanču tiesās. Vienlaikus pārējās analogās lietas tiesa netiks skatītas līdz dienai, kad spēkā stājies galīgais nolēmums </w:t>
            </w:r>
            <w:proofErr w:type="spellStart"/>
            <w:r w:rsidRPr="00E34A6F">
              <w:rPr>
                <w:sz w:val="28"/>
                <w:szCs w:val="28"/>
              </w:rPr>
              <w:t>pilotlietā</w:t>
            </w:r>
            <w:proofErr w:type="spellEnd"/>
            <w:r w:rsidRPr="00E34A6F">
              <w:rPr>
                <w:sz w:val="28"/>
                <w:szCs w:val="28"/>
              </w:rPr>
              <w:t xml:space="preserve">. </w:t>
            </w:r>
            <w:proofErr w:type="spellStart"/>
            <w:r w:rsidRPr="00E34A6F">
              <w:rPr>
                <w:sz w:val="28"/>
                <w:szCs w:val="28"/>
              </w:rPr>
              <w:t>Pilotsprieduma</w:t>
            </w:r>
            <w:proofErr w:type="spellEnd"/>
            <w:r w:rsidRPr="00E34A6F">
              <w:rPr>
                <w:sz w:val="28"/>
                <w:szCs w:val="28"/>
              </w:rPr>
              <w:t xml:space="preserve"> procedūras ieviešana veicinātu attiecīgo lietu ātrāku un </w:t>
            </w:r>
            <w:proofErr w:type="spellStart"/>
            <w:r w:rsidRPr="00E34A6F">
              <w:rPr>
                <w:sz w:val="28"/>
                <w:szCs w:val="28"/>
              </w:rPr>
              <w:t>vienveidīgāku</w:t>
            </w:r>
            <w:proofErr w:type="spellEnd"/>
            <w:r w:rsidRPr="00E34A6F">
              <w:rPr>
                <w:sz w:val="28"/>
                <w:szCs w:val="28"/>
              </w:rPr>
              <w:t xml:space="preserve"> izskatīšanu, turklāt </w:t>
            </w:r>
            <w:proofErr w:type="spellStart"/>
            <w:r w:rsidRPr="00E34A6F">
              <w:rPr>
                <w:sz w:val="28"/>
                <w:szCs w:val="28"/>
              </w:rPr>
              <w:t>pilotspriedums</w:t>
            </w:r>
            <w:proofErr w:type="spellEnd"/>
            <w:r w:rsidRPr="00E34A6F">
              <w:rPr>
                <w:sz w:val="28"/>
                <w:szCs w:val="28"/>
              </w:rPr>
              <w:t xml:space="preserve"> ļautu prognozēt lietas iznākumu arī pārējās analogajās lietās, kas secīgi atkarībā no </w:t>
            </w:r>
            <w:proofErr w:type="spellStart"/>
            <w:r w:rsidRPr="00E34A6F">
              <w:rPr>
                <w:sz w:val="28"/>
                <w:szCs w:val="28"/>
              </w:rPr>
              <w:t>pilotsprieduma</w:t>
            </w:r>
            <w:proofErr w:type="spellEnd"/>
            <w:r w:rsidRPr="00E34A6F">
              <w:rPr>
                <w:sz w:val="28"/>
                <w:szCs w:val="28"/>
              </w:rPr>
              <w:t xml:space="preserve"> rezultāta varētu novest pie pieteikuma atsaukšanas, administratīvā līguma slēgšanas vai iestādes cita veida aktīvas rīcības tiesiskā strīda izbeigšanā, vai vismaz samazinātu pirmās insta</w:t>
            </w:r>
            <w:r>
              <w:rPr>
                <w:sz w:val="28"/>
                <w:szCs w:val="28"/>
              </w:rPr>
              <w:t>nces tiesas nolēmuma pārsūdzību</w:t>
            </w:r>
            <w:r w:rsidR="00DB2955">
              <w:rPr>
                <w:sz w:val="28"/>
                <w:szCs w:val="28"/>
              </w:rPr>
              <w:t xml:space="preserve">. Gadījumā, ja </w:t>
            </w:r>
            <w:proofErr w:type="spellStart"/>
            <w:r w:rsidR="00DB2955">
              <w:rPr>
                <w:sz w:val="28"/>
                <w:szCs w:val="28"/>
              </w:rPr>
              <w:t>pilotspriedums</w:t>
            </w:r>
            <w:proofErr w:type="spellEnd"/>
            <w:r w:rsidR="00DB2955">
              <w:rPr>
                <w:sz w:val="28"/>
                <w:szCs w:val="28"/>
              </w:rPr>
              <w:t xml:space="preserve"> nevienā no </w:t>
            </w:r>
            <w:proofErr w:type="spellStart"/>
            <w:r w:rsidR="00DB2955">
              <w:rPr>
                <w:sz w:val="28"/>
                <w:szCs w:val="28"/>
              </w:rPr>
              <w:t>pilotlietām</w:t>
            </w:r>
            <w:proofErr w:type="spellEnd"/>
            <w:r w:rsidR="00DB2955">
              <w:rPr>
                <w:sz w:val="28"/>
                <w:szCs w:val="28"/>
              </w:rPr>
              <w:t xml:space="preserve"> nav pārsūdzēts, tiesas skatīs pārējās lietas atbi</w:t>
            </w:r>
            <w:r w:rsidR="00AB0DF8">
              <w:rPr>
                <w:sz w:val="28"/>
                <w:szCs w:val="28"/>
              </w:rPr>
              <w:t>lstoši APL noteiktajai kārtībai</w:t>
            </w:r>
            <w:r>
              <w:rPr>
                <w:sz w:val="28"/>
                <w:szCs w:val="28"/>
              </w:rPr>
              <w:t>;</w:t>
            </w:r>
          </w:p>
          <w:p w:rsidR="00437C53" w:rsidRPr="00E34A6F" w:rsidRDefault="00437C53" w:rsidP="00437C53">
            <w:pPr>
              <w:pStyle w:val="naispant"/>
              <w:spacing w:before="0" w:beforeAutospacing="0" w:after="0" w:afterAutospacing="0"/>
              <w:jc w:val="both"/>
              <w:rPr>
                <w:sz w:val="28"/>
                <w:szCs w:val="28"/>
              </w:rPr>
            </w:pPr>
            <w:r w:rsidRPr="00E34A6F">
              <w:rPr>
                <w:sz w:val="28"/>
                <w:szCs w:val="28"/>
              </w:rPr>
              <w:t xml:space="preserve">4) </w:t>
            </w:r>
            <w:r>
              <w:rPr>
                <w:sz w:val="28"/>
                <w:szCs w:val="28"/>
              </w:rPr>
              <w:t>p</w:t>
            </w:r>
            <w:r w:rsidRPr="00E34A6F">
              <w:rPr>
                <w:sz w:val="28"/>
                <w:szCs w:val="28"/>
              </w:rPr>
              <w:t xml:space="preserve">lānots modificēt valsts nodevu sistēmu, nosakot, ka vēršanās augstākas instances tiesā ir „dārgāka”. </w:t>
            </w:r>
            <w:r>
              <w:rPr>
                <w:sz w:val="28"/>
                <w:szCs w:val="28"/>
              </w:rPr>
              <w:t xml:space="preserve">Proti, plānots noteikt, ka valsts nodeva par apelācijas sūdzības iesniegšanu ir </w:t>
            </w:r>
            <w:smartTag w:uri="schemas-tilde-lv/tildestengine" w:element="currency2">
              <w:smartTagPr>
                <w:attr w:name="currency_text" w:val="latu"/>
                <w:attr w:name="currency_value" w:val="40"/>
                <w:attr w:name="currency_key" w:val="LVL"/>
                <w:attr w:name="currency_id" w:val="48"/>
              </w:smartTagPr>
              <w:r>
                <w:rPr>
                  <w:sz w:val="28"/>
                  <w:szCs w:val="28"/>
                </w:rPr>
                <w:t>40 latu</w:t>
              </w:r>
            </w:smartTag>
            <w:r>
              <w:rPr>
                <w:sz w:val="28"/>
                <w:szCs w:val="28"/>
              </w:rPr>
              <w:t xml:space="preserve"> (par pieteikumu tiesā maksājama valsts nodeva </w:t>
            </w:r>
            <w:smartTag w:uri="schemas-tilde-lv/tildestengine" w:element="currency2">
              <w:smartTagPr>
                <w:attr w:name="currency_text" w:val="latu"/>
                <w:attr w:name="currency_value" w:val="20"/>
                <w:attr w:name="currency_key" w:val="LVL"/>
                <w:attr w:name="currency_id" w:val="48"/>
              </w:smartTagPr>
              <w:r>
                <w:rPr>
                  <w:sz w:val="28"/>
                  <w:szCs w:val="28"/>
                </w:rPr>
                <w:t>20 latu</w:t>
              </w:r>
            </w:smartTag>
            <w:r>
              <w:rPr>
                <w:sz w:val="28"/>
                <w:szCs w:val="28"/>
              </w:rPr>
              <w:t xml:space="preserve"> apmērā). </w:t>
            </w:r>
            <w:r w:rsidRPr="00E34A6F">
              <w:rPr>
                <w:sz w:val="28"/>
                <w:szCs w:val="28"/>
              </w:rPr>
              <w:t xml:space="preserve">Vienlaikus plānots ieviest drošības naudu par blakus sūdzībām </w:t>
            </w:r>
            <w:r>
              <w:rPr>
                <w:sz w:val="28"/>
                <w:szCs w:val="28"/>
              </w:rPr>
              <w:t>(</w:t>
            </w:r>
            <w:smartTag w:uri="schemas-tilde-lv/tildestengine" w:element="currency2">
              <w:smartTagPr>
                <w:attr w:name="currency_text" w:val="latu"/>
                <w:attr w:name="currency_value" w:val="10"/>
                <w:attr w:name="currency_key" w:val="LVL"/>
                <w:attr w:name="currency_id" w:val="48"/>
              </w:smartTagPr>
              <w:r>
                <w:rPr>
                  <w:sz w:val="28"/>
                  <w:szCs w:val="28"/>
                </w:rPr>
                <w:t>10 latu</w:t>
              </w:r>
            </w:smartTag>
            <w:r>
              <w:rPr>
                <w:sz w:val="28"/>
                <w:szCs w:val="28"/>
              </w:rPr>
              <w:t xml:space="preserve"> apmērā) </w:t>
            </w:r>
            <w:r w:rsidRPr="00E34A6F">
              <w:rPr>
                <w:sz w:val="28"/>
                <w:szCs w:val="28"/>
              </w:rPr>
              <w:t>un kasācijas sūdzībām</w:t>
            </w:r>
            <w:r>
              <w:rPr>
                <w:sz w:val="28"/>
                <w:szCs w:val="28"/>
              </w:rPr>
              <w:t xml:space="preserve"> (</w:t>
            </w:r>
            <w:smartTag w:uri="schemas-tilde-lv/tildestengine" w:element="currency2">
              <w:smartTagPr>
                <w:attr w:name="currency_text" w:val="latu"/>
                <w:attr w:name="currency_value" w:val="50"/>
                <w:attr w:name="currency_key" w:val="LVL"/>
                <w:attr w:name="currency_id" w:val="48"/>
              </w:smartTagPr>
              <w:r>
                <w:rPr>
                  <w:sz w:val="28"/>
                  <w:szCs w:val="28"/>
                </w:rPr>
                <w:t>50 latu</w:t>
              </w:r>
            </w:smartTag>
            <w:r>
              <w:rPr>
                <w:sz w:val="28"/>
                <w:szCs w:val="28"/>
              </w:rPr>
              <w:t xml:space="preserve"> apmērā), kā arī valsts nodevu par </w:t>
            </w:r>
            <w:r>
              <w:rPr>
                <w:bCs/>
                <w:sz w:val="28"/>
                <w:szCs w:val="28"/>
              </w:rPr>
              <w:t xml:space="preserve">lūgumu par pagaidu aizsardzību un par lūgumu </w:t>
            </w:r>
            <w:r w:rsidRPr="00A1085B">
              <w:rPr>
                <w:bCs/>
                <w:sz w:val="28"/>
                <w:szCs w:val="28"/>
              </w:rPr>
              <w:t>par lietas jaunu izskatīšanu</w:t>
            </w:r>
            <w:r>
              <w:rPr>
                <w:bCs/>
                <w:sz w:val="28"/>
                <w:szCs w:val="28"/>
              </w:rPr>
              <w:t xml:space="preserve"> sakarā ar jaunatklātiem apstākļiem (</w:t>
            </w:r>
            <w:smartTag w:uri="schemas-tilde-lv/tildestengine" w:element="currency2">
              <w:smartTagPr>
                <w:attr w:name="currency_text" w:val="latu"/>
                <w:attr w:name="currency_value" w:val="10"/>
                <w:attr w:name="currency_key" w:val="LVL"/>
                <w:attr w:name="currency_id" w:val="48"/>
              </w:smartTagPr>
              <w:r>
                <w:rPr>
                  <w:bCs/>
                  <w:sz w:val="28"/>
                  <w:szCs w:val="28"/>
                </w:rPr>
                <w:t>10 latu</w:t>
              </w:r>
            </w:smartTag>
            <w:r>
              <w:rPr>
                <w:bCs/>
                <w:sz w:val="28"/>
                <w:szCs w:val="28"/>
              </w:rPr>
              <w:t xml:space="preserve"> apmērā)</w:t>
            </w:r>
            <w:r w:rsidRPr="00E34A6F">
              <w:rPr>
                <w:sz w:val="28"/>
                <w:szCs w:val="28"/>
              </w:rPr>
              <w:t>. Šādi ierobežojumi nepieciešami, jo pašreizējais tiesas obligāto izmaksu apmērs nepilda nepieciešamo barjeras funkciju. Tas, ka pašlaik par blakus sūdzību un kasācijas sūdzību iesniegšanu nav noteikti nekādi maksājumi, ir radījis situāciju, kad personas nepārdomāti sniedz nepamatotas sūdzības, gan vilcinot laiku, gan izmanto</w:t>
            </w:r>
            <w:r>
              <w:rPr>
                <w:sz w:val="28"/>
                <w:szCs w:val="28"/>
              </w:rPr>
              <w:t>jot vēršanos tiesā „sporta pēc”;</w:t>
            </w:r>
          </w:p>
          <w:p w:rsidR="00437C53" w:rsidRDefault="00437C53" w:rsidP="00437C53">
            <w:pPr>
              <w:jc w:val="both"/>
              <w:rPr>
                <w:sz w:val="28"/>
                <w:szCs w:val="28"/>
              </w:rPr>
            </w:pPr>
            <w:r w:rsidRPr="00E34A6F">
              <w:rPr>
                <w:sz w:val="28"/>
                <w:szCs w:val="28"/>
              </w:rPr>
              <w:lastRenderedPageBreak/>
              <w:t xml:space="preserve">5) </w:t>
            </w:r>
            <w:r>
              <w:rPr>
                <w:sz w:val="28"/>
                <w:szCs w:val="28"/>
              </w:rPr>
              <w:t>likumprojekts paredz atsevišķu tiesas procesam raksturīgu institūtu ieviešanu arī administratīvajā procesā iestādē, kas veicinātu lietu efektīvāku izskatīšanu administratīvajā procesā iestādē. Tā piemēram, paredzēts, ka iestāde varēs atstāt bez virzības iesniegto iesniegumu vai apstrīdēšanas iesniegumu un noregulēta iesnieguma atsaukšanas iespēja. Akcentētas arī iestādes tiesības atcelt tās izdoto prettiesisko administratīvo aktu, negaidot tiesas nolēmumu;</w:t>
            </w:r>
          </w:p>
          <w:p w:rsidR="00437C53" w:rsidRDefault="00437C53" w:rsidP="00437C53">
            <w:pPr>
              <w:jc w:val="both"/>
              <w:rPr>
                <w:sz w:val="28"/>
                <w:szCs w:val="28"/>
              </w:rPr>
            </w:pPr>
            <w:r>
              <w:rPr>
                <w:sz w:val="28"/>
                <w:szCs w:val="28"/>
              </w:rPr>
              <w:t xml:space="preserve">6) ņemot vērā, ka Saeima ir pieņēmusi Paziņošanas </w:t>
            </w:r>
            <w:r w:rsidRPr="007F0D14">
              <w:rPr>
                <w:sz w:val="28"/>
                <w:szCs w:val="28"/>
              </w:rPr>
              <w:t>likumu</w:t>
            </w:r>
            <w:r w:rsidR="007F0D14" w:rsidRPr="007F0D14">
              <w:rPr>
                <w:sz w:val="28"/>
                <w:szCs w:val="28"/>
              </w:rPr>
              <w:t xml:space="preserve"> (stājas spēkā 2011.gada 1.janvārī)</w:t>
            </w:r>
            <w:r w:rsidRPr="007F0D14">
              <w:rPr>
                <w:sz w:val="28"/>
                <w:szCs w:val="28"/>
              </w:rPr>
              <w:t>,</w:t>
            </w:r>
            <w:r>
              <w:rPr>
                <w:sz w:val="28"/>
                <w:szCs w:val="28"/>
              </w:rPr>
              <w:t xml:space="preserve"> likumprojekts satur norādes par Paziņošanas likuma piemērošanas un izslēdz nevajadzīgi atšķirīgās Administratīvā procesa likuma normas par dokumentu paziņošanu;</w:t>
            </w:r>
          </w:p>
          <w:p w:rsidR="00437C53" w:rsidRDefault="00437C53" w:rsidP="00437C53">
            <w:pPr>
              <w:jc w:val="both"/>
              <w:rPr>
                <w:sz w:val="28"/>
                <w:szCs w:val="28"/>
              </w:rPr>
            </w:pPr>
            <w:r>
              <w:rPr>
                <w:sz w:val="28"/>
                <w:szCs w:val="28"/>
              </w:rPr>
              <w:t>7) lai veicināt kvalitatīvu un nesasteigtu nolēmumu un procesuālo dokumentu sagatavošanu, likumprojekts paredz, ka gadījumā, ja noteiktajā procesuālajā termiņā, kas ir īsāks par 15 dienām, kādā no nedēļas darbdienām ir svētku diena, procesuālais termiņš attiecīgi pagarinās. Tas attiektos gan uz privātpersonām, gan iestādēm, gan tiesai noteiktajiem procesuālajiem termiņiem;</w:t>
            </w:r>
          </w:p>
          <w:p w:rsidR="00AF4DB4" w:rsidRDefault="00AF4DB4" w:rsidP="00437C53">
            <w:pPr>
              <w:jc w:val="both"/>
              <w:rPr>
                <w:sz w:val="28"/>
                <w:szCs w:val="28"/>
              </w:rPr>
            </w:pPr>
            <w:r>
              <w:rPr>
                <w:sz w:val="28"/>
                <w:szCs w:val="28"/>
              </w:rPr>
              <w:t>7</w:t>
            </w:r>
            <w:r w:rsidRPr="00AF4DB4">
              <w:rPr>
                <w:sz w:val="28"/>
                <w:szCs w:val="28"/>
                <w:vertAlign w:val="superscript"/>
              </w:rPr>
              <w:t>1</w:t>
            </w:r>
            <w:r w:rsidRPr="00AF4DB4">
              <w:rPr>
                <w:sz w:val="28"/>
                <w:szCs w:val="28"/>
              </w:rPr>
              <w:t>) likumprojekta 9. pantā ir paredzēts, ka turpmāk iestādei būs iespēja labot ne tikai acīmredzamas pārrakstīšanās un matemātiska aprēķina kļūdas, bet arī citas kļūdas un trūkumus, kas neietekmē administratīvā akta būtību. Minētā regulējuma mērķis ir noteikt, ka lēmuma tekstu, ja tas ir nepieciešams un ja tas neietekmē lēmuma būtību, var labot, piemēram, gadījumā, ja lēmumā ir neprecīzi atspoguļota administratīvā procesa gaita. Tas neatņem privātpersonai tiesības apstrīdēt administratīvo aktu, ja lēmuma pieņemšanas gaitā tika pārkāptas procesuālās normas. Normas mērķis ir paredzēt, ka iestāde var labot neprecīzi formulēto lēmuma tekstu, nevis pēc lēmuma pieņemšanas novērst procesa gaitā pieļautās kļūdas;</w:t>
            </w:r>
          </w:p>
          <w:p w:rsidR="00437C53" w:rsidRDefault="00437C53" w:rsidP="00437C53">
            <w:pPr>
              <w:jc w:val="both"/>
              <w:rPr>
                <w:sz w:val="28"/>
                <w:szCs w:val="28"/>
              </w:rPr>
            </w:pPr>
            <w:r>
              <w:rPr>
                <w:sz w:val="28"/>
                <w:szCs w:val="28"/>
              </w:rPr>
              <w:t xml:space="preserve">8) lai vecinātu tiesas spriedumu uztveramību, </w:t>
            </w:r>
            <w:r>
              <w:rPr>
                <w:sz w:val="28"/>
                <w:szCs w:val="28"/>
              </w:rPr>
              <w:lastRenderedPageBreak/>
              <w:t>likumprojekts paredz grozījumus tiesību normās, kas noteic sprieduma saturu, izslēdzot nepieciešamību spriedumā ietvert lieku vai atkārtotu informāciju;</w:t>
            </w:r>
          </w:p>
          <w:p w:rsidR="00722305" w:rsidRDefault="00437C53" w:rsidP="00437C53">
            <w:pPr>
              <w:jc w:val="both"/>
              <w:rPr>
                <w:sz w:val="28"/>
                <w:szCs w:val="28"/>
              </w:rPr>
            </w:pPr>
            <w:r>
              <w:rPr>
                <w:sz w:val="28"/>
                <w:szCs w:val="28"/>
              </w:rPr>
              <w:t>9) likumprojekts paredz efektīvākas tiesību aizsardzības iespējas administratīvā procesa izpildes stadijā – proti, likumprojektā paredzēts, ka gadījumā, ja</w:t>
            </w:r>
            <w:r w:rsidRPr="00253778">
              <w:rPr>
                <w:sz w:val="28"/>
                <w:szCs w:val="28"/>
              </w:rPr>
              <w:t xml:space="preserve"> adresātam vai trešajai personai labvēlīgu administratīvo aktu pienācīgi nepilda iestāde, attiecīgā persona par to var sūdzēties, iesniedzot attiecīgu sūdzību augstākā iestādē, ja tāda ir, un pēc tam tiesā</w:t>
            </w:r>
            <w:r>
              <w:rPr>
                <w:sz w:val="28"/>
                <w:szCs w:val="28"/>
              </w:rPr>
              <w:t>. Turklāt likumprojektā paredzēts, ka gadījumā, j</w:t>
            </w:r>
            <w:r w:rsidRPr="00253778">
              <w:rPr>
                <w:sz w:val="28"/>
                <w:szCs w:val="28"/>
              </w:rPr>
              <w:t>a iestāde nepilda adresātam labvēlīgu uz naudas maksājumu vērstu administratīvo aktu</w:t>
            </w:r>
            <w:r>
              <w:rPr>
                <w:sz w:val="28"/>
                <w:szCs w:val="28"/>
              </w:rPr>
              <w:t xml:space="preserve">, </w:t>
            </w:r>
            <w:r w:rsidRPr="00253778">
              <w:rPr>
                <w:sz w:val="28"/>
                <w:szCs w:val="28"/>
              </w:rPr>
              <w:t xml:space="preserve"> aprēķinot izmaksājamo summu jāpieskaita nokavējuma procent</w:t>
            </w:r>
            <w:r>
              <w:rPr>
                <w:sz w:val="28"/>
                <w:szCs w:val="28"/>
              </w:rPr>
              <w:t>i. Likumprojekts paredz arī to, ka gadījumā, ja</w:t>
            </w:r>
            <w:r w:rsidRPr="00253778">
              <w:rPr>
                <w:sz w:val="28"/>
                <w:szCs w:val="28"/>
              </w:rPr>
              <w:t xml:space="preserve"> adresāts administratīvo aktu labprātīgi nepilda, trešā persona</w:t>
            </w:r>
            <w:r>
              <w:rPr>
                <w:sz w:val="28"/>
                <w:szCs w:val="28"/>
              </w:rPr>
              <w:t>, kura ir ieinteresēta administratīvā akta izpildē,</w:t>
            </w:r>
            <w:r w:rsidRPr="00253778">
              <w:rPr>
                <w:sz w:val="28"/>
                <w:szCs w:val="28"/>
              </w:rPr>
              <w:t xml:space="preserve"> var vērsties izpildiestādē un p</w:t>
            </w:r>
            <w:r>
              <w:rPr>
                <w:sz w:val="28"/>
                <w:szCs w:val="28"/>
              </w:rPr>
              <w:t>iep</w:t>
            </w:r>
            <w:r w:rsidRPr="00253778">
              <w:rPr>
                <w:sz w:val="28"/>
                <w:szCs w:val="28"/>
              </w:rPr>
              <w:t>rasīt, lai tā nodrošina piespiedu izpildi.</w:t>
            </w:r>
          </w:p>
          <w:p w:rsidR="007B3940" w:rsidRPr="00437C53" w:rsidRDefault="007B3940" w:rsidP="007B3940">
            <w:pPr>
              <w:jc w:val="both"/>
              <w:rPr>
                <w:sz w:val="28"/>
                <w:szCs w:val="28"/>
                <w:u w:val="single"/>
              </w:rPr>
            </w:pPr>
            <w:r>
              <w:rPr>
                <w:sz w:val="28"/>
                <w:szCs w:val="28"/>
              </w:rPr>
              <w:t>10) Tiesiskās skaidrības nodrošināšanai APL ir papildināts ar normu, kas paredz, ka t</w:t>
            </w:r>
            <w:r w:rsidRPr="00A9464E">
              <w:rPr>
                <w:sz w:val="28"/>
                <w:szCs w:val="28"/>
              </w:rPr>
              <w:t xml:space="preserve">iesības administratīvā procesa kārtībā prasīt atlīdzinājumu attiecināmas arī uz gadījumiem, kad zaudējumi vai kaitējums nodarīti ar iestādes vai izpildiestādes (izņemot, ja izpildiestāde ir tiesu izpildītājs) </w:t>
            </w:r>
            <w:r w:rsidRPr="007B3940">
              <w:rPr>
                <w:sz w:val="28"/>
                <w:szCs w:val="28"/>
              </w:rPr>
              <w:t xml:space="preserve">nepamatotu rīcību administratīvā procesa izpildes stadijā. Iepriekš minētā norma neattiecas uz tiesu izpildītājiem ir iekļauta, jo APL 359. panta trešā daļa noteic, ka, </w:t>
            </w:r>
            <w:bookmarkStart w:id="0" w:name="bkm426"/>
            <w:r w:rsidRPr="007B3940">
              <w:rPr>
                <w:sz w:val="28"/>
                <w:szCs w:val="28"/>
              </w:rPr>
              <w:t xml:space="preserve">ja administratīvā akta izpilde saskaņā ar likumu piekrīt tiesu izpildītājam, izpildei piemērojami </w:t>
            </w:r>
            <w:bookmarkEnd w:id="0"/>
            <w:r w:rsidR="00307B42" w:rsidRPr="00AB0DF8">
              <w:rPr>
                <w:sz w:val="28"/>
                <w:szCs w:val="28"/>
              </w:rPr>
              <w:fldChar w:fldCharType="begin"/>
            </w:r>
            <w:r w:rsidRPr="00AB0DF8">
              <w:rPr>
                <w:sz w:val="28"/>
                <w:szCs w:val="28"/>
              </w:rPr>
              <w:instrText xml:space="preserve"> HYPERLINK "http://pro.nais.lv/naiser/text.cfm?Ref=0103012001102532779&amp;Req=0103012001102532779&amp;Key=0103011998101432785&amp;Hash=" \o "Civilprocesa likums" \t "_top" </w:instrText>
            </w:r>
            <w:r w:rsidR="00307B42" w:rsidRPr="00AB0DF8">
              <w:rPr>
                <w:sz w:val="28"/>
                <w:szCs w:val="28"/>
              </w:rPr>
              <w:fldChar w:fldCharType="separate"/>
            </w:r>
            <w:r w:rsidRPr="00AB0DF8">
              <w:rPr>
                <w:rStyle w:val="Hipersaite"/>
                <w:color w:val="auto"/>
                <w:sz w:val="28"/>
                <w:szCs w:val="28"/>
                <w:u w:val="none"/>
              </w:rPr>
              <w:t>Civilprocesa likuma</w:t>
            </w:r>
            <w:r w:rsidR="00307B42" w:rsidRPr="00AB0DF8">
              <w:rPr>
                <w:sz w:val="28"/>
                <w:szCs w:val="28"/>
              </w:rPr>
              <w:fldChar w:fldCharType="end"/>
            </w:r>
            <w:r w:rsidRPr="00AB0DF8">
              <w:rPr>
                <w:sz w:val="28"/>
                <w:szCs w:val="28"/>
              </w:rPr>
              <w:t xml:space="preserve"> noteikumi</w:t>
            </w:r>
            <w:r w:rsidRPr="007B3940">
              <w:rPr>
                <w:sz w:val="28"/>
                <w:szCs w:val="28"/>
              </w:rPr>
              <w:t>. Turklāt arī Tiesu izpildītāju likuma 83. panta trešā daļa paredz, ka uzraudzību par zvērinātu tiesu izpildītāju amata darbībām rajona (pilsētas) tiesa veic civilprocesuālajā kārtībā.</w:t>
            </w:r>
          </w:p>
        </w:tc>
      </w:tr>
      <w:tr w:rsidR="00722305" w:rsidRPr="00722305" w:rsidTr="00EE185B">
        <w:trPr>
          <w:trHeight w:val="476"/>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5.</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Projekta izstrādē iesaistītās institūcijas</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722305" w:rsidP="00437C53">
            <w:pPr>
              <w:spacing w:before="100" w:beforeAutospacing="1" w:after="100" w:afterAutospacing="1"/>
              <w:jc w:val="both"/>
              <w:rPr>
                <w:sz w:val="28"/>
                <w:szCs w:val="28"/>
              </w:rPr>
            </w:pPr>
            <w:r w:rsidRPr="00722305">
              <w:rPr>
                <w:sz w:val="28"/>
                <w:szCs w:val="28"/>
              </w:rPr>
              <w:t> </w:t>
            </w:r>
            <w:r w:rsidR="00437C53" w:rsidRPr="00E34A6F">
              <w:rPr>
                <w:sz w:val="28"/>
                <w:szCs w:val="28"/>
              </w:rPr>
              <w:t xml:space="preserve">Likumprojekta sagatavošanai ar tieslietu ministra rīkojumu tika izveidota darba grupa, kurā piedalījās Augstākās tiesas pārstāvji, Administratīvo tiesnešu biedrības pārstāvis, </w:t>
            </w:r>
            <w:r w:rsidR="00437C53" w:rsidRPr="00E34A6F">
              <w:rPr>
                <w:sz w:val="28"/>
                <w:szCs w:val="28"/>
              </w:rPr>
              <w:lastRenderedPageBreak/>
              <w:t>Administratīvās apgabaltiesas un Administratīvās rajona tiesas pārstāvji, kā arī Tieslietu ministrijas pārstāvji.</w:t>
            </w:r>
          </w:p>
        </w:tc>
      </w:tr>
      <w:tr w:rsidR="00722305" w:rsidRPr="00722305" w:rsidTr="00EE185B">
        <w:trPr>
          <w:trHeight w:val="1340"/>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lastRenderedPageBreak/>
              <w:t> 6.</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Iemesli, kādēļ netika nodrošināta sabiedrības līdzdalība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722305" w:rsidRDefault="00903762" w:rsidP="00722305">
            <w:pPr>
              <w:spacing w:before="100" w:beforeAutospacing="1" w:after="100" w:afterAutospacing="1"/>
              <w:rPr>
                <w:sz w:val="28"/>
                <w:szCs w:val="28"/>
              </w:rPr>
            </w:pPr>
            <w:r>
              <w:rPr>
                <w:sz w:val="28"/>
                <w:szCs w:val="28"/>
              </w:rPr>
              <w:t>Nav attiecināms</w:t>
            </w:r>
          </w:p>
        </w:tc>
      </w:tr>
      <w:tr w:rsidR="00722305" w:rsidRPr="00722305" w:rsidTr="00EE185B">
        <w:trPr>
          <w:tblCellSpacing w:w="0" w:type="dxa"/>
        </w:trPr>
        <w:tc>
          <w:tcPr>
            <w:tcW w:w="439" w:type="dxa"/>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2972" w:type="dxa"/>
            <w:gridSpan w:val="8"/>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Cita informācija</w:t>
            </w:r>
          </w:p>
        </w:tc>
        <w:tc>
          <w:tcPr>
            <w:tcW w:w="5690" w:type="dxa"/>
            <w:gridSpan w:val="13"/>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w:t>
            </w:r>
            <w:r w:rsidR="00903762" w:rsidRPr="00AD6B7C">
              <w:rPr>
                <w:sz w:val="28"/>
                <w:szCs w:val="28"/>
              </w:rPr>
              <w:t>Nav</w:t>
            </w:r>
          </w:p>
          <w:p w:rsidR="00722305" w:rsidRPr="00AD6B7C" w:rsidRDefault="00722305" w:rsidP="00722305">
            <w:pPr>
              <w:spacing w:before="100" w:beforeAutospacing="1" w:after="100" w:afterAutospacing="1"/>
              <w:rPr>
                <w:sz w:val="28"/>
                <w:szCs w:val="28"/>
              </w:rPr>
            </w:pPr>
          </w:p>
        </w:tc>
      </w:tr>
      <w:tr w:rsidR="00722305"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jc w:val="center"/>
              <w:rPr>
                <w:b/>
                <w:sz w:val="28"/>
                <w:szCs w:val="28"/>
              </w:rPr>
            </w:pPr>
            <w:r w:rsidRPr="00AD6B7C">
              <w:rPr>
                <w:sz w:val="28"/>
                <w:szCs w:val="28"/>
              </w:rPr>
              <w:t> </w:t>
            </w:r>
            <w:r w:rsidRPr="00AD6B7C">
              <w:rPr>
                <w:b/>
                <w:sz w:val="28"/>
                <w:szCs w:val="28"/>
              </w:rPr>
              <w:t>II. Tiesību akta projekta ietekme uz sabiedrību</w:t>
            </w:r>
          </w:p>
        </w:tc>
      </w:tr>
      <w:tr w:rsidR="00722305" w:rsidRPr="00722305" w:rsidTr="00EE185B">
        <w:trPr>
          <w:trHeight w:val="46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Sabiedrības mērķgrupa</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903762" w:rsidP="001D542E">
            <w:pPr>
              <w:spacing w:before="100" w:beforeAutospacing="1" w:after="100" w:afterAutospacing="1"/>
              <w:rPr>
                <w:sz w:val="28"/>
                <w:szCs w:val="28"/>
              </w:rPr>
            </w:pPr>
            <w:r w:rsidRPr="00AD6B7C">
              <w:rPr>
                <w:sz w:val="28"/>
                <w:szCs w:val="28"/>
              </w:rPr>
              <w:t xml:space="preserve"> </w:t>
            </w:r>
            <w:r w:rsidR="001D542E" w:rsidRPr="00AD6B7C">
              <w:rPr>
                <w:sz w:val="28"/>
                <w:szCs w:val="28"/>
              </w:rPr>
              <w:t>Visas personas, kuras ir iesaistītas publiski tiesiskajās attiecībās ar iestādi</w:t>
            </w:r>
          </w:p>
        </w:tc>
      </w:tr>
      <w:tr w:rsidR="00722305" w:rsidRPr="00722305" w:rsidTr="00EE185B">
        <w:trPr>
          <w:trHeight w:val="523"/>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Citas sabiedrības grupas (bez mērķgrupas), kuras tiesiskais regulējums arī ietekmē vai varētu ietekmēt</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EB7171">
            <w:pPr>
              <w:spacing w:before="100" w:beforeAutospacing="1" w:after="100" w:afterAutospacing="1"/>
              <w:rPr>
                <w:sz w:val="28"/>
                <w:szCs w:val="28"/>
              </w:rPr>
            </w:pPr>
            <w:r w:rsidRPr="00AD6B7C">
              <w:rPr>
                <w:sz w:val="28"/>
                <w:szCs w:val="28"/>
              </w:rPr>
              <w:t> </w:t>
            </w:r>
            <w:r w:rsidR="00EB7171" w:rsidRPr="00AD6B7C">
              <w:rPr>
                <w:sz w:val="28"/>
                <w:szCs w:val="28"/>
              </w:rPr>
              <w:t>Nav attiecināms</w:t>
            </w: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3.</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903762">
            <w:pPr>
              <w:spacing w:before="100" w:beforeAutospacing="1" w:after="100" w:afterAutospacing="1"/>
              <w:jc w:val="both"/>
              <w:rPr>
                <w:sz w:val="28"/>
                <w:szCs w:val="28"/>
              </w:rPr>
            </w:pPr>
            <w:r w:rsidRPr="00AD6B7C">
              <w:rPr>
                <w:sz w:val="28"/>
                <w:szCs w:val="28"/>
              </w:rPr>
              <w:t> Tiesiskā regulējuma 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903762" w:rsidRPr="00AD6B7C" w:rsidRDefault="00722305" w:rsidP="001D542E">
            <w:pPr>
              <w:jc w:val="both"/>
              <w:rPr>
                <w:sz w:val="28"/>
                <w:szCs w:val="28"/>
              </w:rPr>
            </w:pPr>
            <w:r w:rsidRPr="00AD6B7C">
              <w:rPr>
                <w:sz w:val="28"/>
                <w:szCs w:val="28"/>
              </w:rPr>
              <w:t> </w:t>
            </w:r>
            <w:r w:rsidR="001D542E" w:rsidRPr="00AD6B7C">
              <w:rPr>
                <w:sz w:val="28"/>
                <w:szCs w:val="28"/>
              </w:rPr>
              <w:t>L</w:t>
            </w:r>
            <w:r w:rsidR="00903762" w:rsidRPr="00AD6B7C">
              <w:rPr>
                <w:sz w:val="28"/>
                <w:szCs w:val="28"/>
              </w:rPr>
              <w:t>ikumprojektā paredzēta valsts nodevu paaugstināšana, kā arī drošības naudas ieviešana par blakus sūdzību un kasācijas sūdzību iesniegšanu. Tādējādi procesa dalībniekiem jārēķinās ar lielākiem izdevumiem, iesniedzot procesuālos dokumentus (kas gan pamatotu sūdzību gadījumā tiek atgūti)</w:t>
            </w:r>
            <w:r w:rsidR="001D542E" w:rsidRPr="00AD6B7C">
              <w:rPr>
                <w:sz w:val="28"/>
                <w:szCs w:val="28"/>
              </w:rPr>
              <w:t>.</w:t>
            </w:r>
          </w:p>
        </w:tc>
      </w:tr>
      <w:tr w:rsidR="00722305" w:rsidRPr="00722305" w:rsidTr="00EE185B">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Tiesiskā regulējuma nefinansiālā ietekme</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903762">
            <w:pPr>
              <w:spacing w:before="100" w:beforeAutospacing="1" w:after="100" w:afterAutospacing="1"/>
              <w:jc w:val="both"/>
              <w:rPr>
                <w:sz w:val="28"/>
                <w:szCs w:val="28"/>
              </w:rPr>
            </w:pPr>
            <w:r w:rsidRPr="00AD6B7C">
              <w:rPr>
                <w:sz w:val="28"/>
                <w:szCs w:val="28"/>
              </w:rPr>
              <w:t> </w:t>
            </w:r>
            <w:r w:rsidR="00903762" w:rsidRPr="00AD6B7C">
              <w:rPr>
                <w:sz w:val="28"/>
                <w:szCs w:val="28"/>
              </w:rPr>
              <w:t xml:space="preserve">Likumprojektā ietvertie grozījumi ir vērsti uz administratīvā procesa iestādē un administratīvā procesa tiesā vienkāršošanu un </w:t>
            </w:r>
            <w:proofErr w:type="spellStart"/>
            <w:r w:rsidR="00903762" w:rsidRPr="00AD6B7C">
              <w:rPr>
                <w:sz w:val="28"/>
                <w:szCs w:val="28"/>
              </w:rPr>
              <w:t>efektivizēšanu</w:t>
            </w:r>
            <w:proofErr w:type="spellEnd"/>
            <w:r w:rsidR="00903762" w:rsidRPr="00AD6B7C">
              <w:rPr>
                <w:sz w:val="28"/>
                <w:szCs w:val="28"/>
              </w:rPr>
              <w:t>, tādējādi tie veicinās administratīvo procedūru vienkāršošanu. </w:t>
            </w:r>
          </w:p>
        </w:tc>
      </w:tr>
      <w:tr w:rsidR="00722305" w:rsidRPr="00722305" w:rsidTr="00EE185B">
        <w:trPr>
          <w:trHeight w:val="531"/>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Administratīvās procedūras raksturojums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w:t>
            </w:r>
            <w:r w:rsidR="00903762" w:rsidRPr="00AD6B7C">
              <w:rPr>
                <w:sz w:val="28"/>
                <w:szCs w:val="28"/>
              </w:rPr>
              <w:t>Nav attiecināms</w:t>
            </w:r>
          </w:p>
        </w:tc>
      </w:tr>
      <w:tr w:rsidR="00722305" w:rsidRPr="00722305" w:rsidTr="00EE185B">
        <w:trPr>
          <w:trHeight w:val="357"/>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6.</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Administratīvo izmaksu monetārs novērtējums</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903762" w:rsidP="00722305">
            <w:pPr>
              <w:spacing w:before="100" w:beforeAutospacing="1" w:after="100" w:afterAutospacing="1"/>
              <w:rPr>
                <w:sz w:val="28"/>
                <w:szCs w:val="28"/>
              </w:rPr>
            </w:pPr>
            <w:r w:rsidRPr="00AD6B7C">
              <w:rPr>
                <w:sz w:val="28"/>
                <w:szCs w:val="28"/>
              </w:rPr>
              <w:t>Nav attiecināms</w:t>
            </w:r>
          </w:p>
        </w:tc>
      </w:tr>
      <w:tr w:rsidR="00722305" w:rsidRPr="00722305" w:rsidTr="00EE185B">
        <w:trPr>
          <w:tblCellSpacing w:w="0" w:type="dxa"/>
        </w:trPr>
        <w:tc>
          <w:tcPr>
            <w:tcW w:w="521" w:type="dxa"/>
            <w:gridSpan w:val="3"/>
            <w:tcBorders>
              <w:top w:val="outset" w:sz="6" w:space="0" w:color="auto"/>
              <w:left w:val="outset" w:sz="6" w:space="0" w:color="auto"/>
              <w:bottom w:val="outset" w:sz="6" w:space="0" w:color="auto"/>
              <w:right w:val="outset" w:sz="6" w:space="0" w:color="auto"/>
            </w:tcBorders>
          </w:tcPr>
          <w:p w:rsidR="00722305" w:rsidRPr="00722305" w:rsidRDefault="00722305" w:rsidP="00722305">
            <w:pPr>
              <w:spacing w:before="100" w:beforeAutospacing="1" w:after="100" w:afterAutospacing="1"/>
              <w:rPr>
                <w:sz w:val="28"/>
                <w:szCs w:val="28"/>
              </w:rPr>
            </w:pPr>
            <w:r w:rsidRPr="00722305">
              <w:rPr>
                <w:sz w:val="28"/>
                <w:szCs w:val="28"/>
              </w:rPr>
              <w:t> 7.</w:t>
            </w:r>
          </w:p>
        </w:tc>
        <w:tc>
          <w:tcPr>
            <w:tcW w:w="4446" w:type="dxa"/>
            <w:gridSpan w:val="12"/>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rPr>
                <w:sz w:val="28"/>
                <w:szCs w:val="28"/>
              </w:rPr>
            </w:pPr>
            <w:r w:rsidRPr="00AD6B7C">
              <w:rPr>
                <w:sz w:val="28"/>
                <w:szCs w:val="28"/>
              </w:rPr>
              <w:t> Cita informācija</w:t>
            </w:r>
          </w:p>
        </w:tc>
        <w:tc>
          <w:tcPr>
            <w:tcW w:w="4134" w:type="dxa"/>
            <w:gridSpan w:val="7"/>
            <w:tcBorders>
              <w:top w:val="outset" w:sz="6" w:space="0" w:color="auto"/>
              <w:left w:val="outset" w:sz="6" w:space="0" w:color="auto"/>
              <w:bottom w:val="outset" w:sz="6" w:space="0" w:color="auto"/>
              <w:right w:val="outset" w:sz="6" w:space="0" w:color="auto"/>
            </w:tcBorders>
          </w:tcPr>
          <w:p w:rsidR="00722305" w:rsidRPr="00AD6B7C" w:rsidRDefault="00DB2955" w:rsidP="00DB2955">
            <w:pPr>
              <w:spacing w:before="100" w:beforeAutospacing="1" w:after="100" w:afterAutospacing="1"/>
              <w:jc w:val="both"/>
              <w:rPr>
                <w:sz w:val="28"/>
                <w:szCs w:val="28"/>
              </w:rPr>
            </w:pPr>
            <w:r w:rsidRPr="00AD6B7C">
              <w:rPr>
                <w:sz w:val="28"/>
                <w:szCs w:val="28"/>
              </w:rPr>
              <w:t xml:space="preserve">Sabiedrība par </w:t>
            </w:r>
            <w:r w:rsidRPr="00AD6B7C">
              <w:rPr>
                <w:bCs/>
                <w:sz w:val="28"/>
                <w:szCs w:val="28"/>
              </w:rPr>
              <w:t xml:space="preserve">gaidāmajām izmaiņām administratīvajā procesā tiks informēta ar masu informācijas </w:t>
            </w:r>
            <w:r w:rsidRPr="00AD6B7C">
              <w:rPr>
                <w:bCs/>
                <w:sz w:val="28"/>
                <w:szCs w:val="28"/>
              </w:rPr>
              <w:lastRenderedPageBreak/>
              <w:t>līdzekļu starpniecību.</w:t>
            </w:r>
          </w:p>
        </w:tc>
      </w:tr>
      <w:tr w:rsidR="00722305" w:rsidRPr="00722305" w:rsidTr="00EE185B">
        <w:trPr>
          <w:gridAfter w:val="1"/>
          <w:wAfter w:w="20" w:type="dxa"/>
          <w:trHeight w:val="652"/>
          <w:tblCellSpacing w:w="0" w:type="dxa"/>
        </w:trPr>
        <w:tc>
          <w:tcPr>
            <w:tcW w:w="9081" w:type="dxa"/>
            <w:gridSpan w:val="21"/>
            <w:tcBorders>
              <w:top w:val="outset" w:sz="6" w:space="0" w:color="auto"/>
              <w:left w:val="outset" w:sz="6" w:space="0" w:color="auto"/>
              <w:bottom w:val="outset" w:sz="6" w:space="0" w:color="auto"/>
              <w:right w:val="outset" w:sz="6" w:space="0" w:color="auto"/>
            </w:tcBorders>
          </w:tcPr>
          <w:p w:rsidR="00722305" w:rsidRPr="00AD6B7C" w:rsidRDefault="00722305" w:rsidP="00722305">
            <w:pPr>
              <w:spacing w:before="100" w:beforeAutospacing="1" w:after="100" w:afterAutospacing="1"/>
              <w:jc w:val="center"/>
              <w:rPr>
                <w:b/>
                <w:sz w:val="28"/>
                <w:szCs w:val="28"/>
              </w:rPr>
            </w:pPr>
            <w:r w:rsidRPr="00AD6B7C">
              <w:rPr>
                <w:sz w:val="28"/>
                <w:szCs w:val="28"/>
              </w:rPr>
              <w:lastRenderedPageBreak/>
              <w:t> </w:t>
            </w:r>
            <w:r w:rsidRPr="00AD6B7C">
              <w:rPr>
                <w:b/>
                <w:sz w:val="28"/>
                <w:szCs w:val="28"/>
              </w:rPr>
              <w:t>III. Tiesību akta projekta ietekme uz valsts budžetu un pašvaldību budžetiem</w:t>
            </w:r>
          </w:p>
        </w:tc>
      </w:tr>
      <w:tr w:rsidR="00722305"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w:t>
            </w:r>
            <w:r w:rsidRPr="00722305">
              <w:rPr>
                <w:b/>
                <w:bCs/>
                <w:sz w:val="28"/>
                <w:szCs w:val="28"/>
              </w:rPr>
              <w:t>Rādītāji</w:t>
            </w:r>
          </w:p>
        </w:tc>
        <w:tc>
          <w:tcPr>
            <w:tcW w:w="2490" w:type="dxa"/>
            <w:gridSpan w:val="9"/>
            <w:vMerge w:val="restart"/>
            <w:tcBorders>
              <w:top w:val="outset" w:sz="6" w:space="0" w:color="auto"/>
              <w:left w:val="outset" w:sz="6" w:space="0" w:color="auto"/>
              <w:bottom w:val="outset" w:sz="6" w:space="0" w:color="auto"/>
              <w:right w:val="outset" w:sz="6" w:space="0" w:color="auto"/>
            </w:tcBorders>
            <w:vAlign w:val="center"/>
          </w:tcPr>
          <w:p w:rsidR="00722305" w:rsidRPr="00AD6B7C" w:rsidRDefault="00722305" w:rsidP="008B20B1">
            <w:pPr>
              <w:spacing w:before="100" w:beforeAutospacing="1" w:after="100" w:afterAutospacing="1"/>
              <w:rPr>
                <w:sz w:val="28"/>
                <w:szCs w:val="28"/>
              </w:rPr>
            </w:pPr>
            <w:r w:rsidRPr="00AD6B7C">
              <w:rPr>
                <w:sz w:val="28"/>
                <w:szCs w:val="28"/>
              </w:rPr>
              <w:t> </w:t>
            </w:r>
            <w:r w:rsidR="008B20B1" w:rsidRPr="00AD6B7C">
              <w:rPr>
                <w:b/>
                <w:bCs/>
                <w:sz w:val="28"/>
                <w:szCs w:val="28"/>
              </w:rPr>
              <w:t>2010. </w:t>
            </w:r>
            <w:r w:rsidRPr="00AD6B7C">
              <w:rPr>
                <w:b/>
                <w:bCs/>
                <w:sz w:val="28"/>
                <w:szCs w:val="28"/>
              </w:rPr>
              <w:t>gads</w:t>
            </w:r>
          </w:p>
        </w:tc>
        <w:tc>
          <w:tcPr>
            <w:tcW w:w="3896" w:type="dxa"/>
            <w:gridSpan w:val="4"/>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Turpmākie trīs gadi (tūkst</w:t>
            </w:r>
            <w:smartTag w:uri="schemas-tilde-lv/tildestengine" w:element="currency2">
              <w:smartTagPr>
                <w:attr w:name="currency_text" w:val="latu"/>
                <w:attr w:name="currency_value" w:val="."/>
                <w:attr w:name="currency_key" w:val="LVL"/>
                <w:attr w:name="currency_id" w:val="48"/>
              </w:smartTagPr>
              <w:r w:rsidRPr="00722305">
                <w:rPr>
                  <w:sz w:val="28"/>
                  <w:szCs w:val="28"/>
                </w:rPr>
                <w:t>. latu</w:t>
              </w:r>
            </w:smartTag>
            <w:r w:rsidRPr="00722305">
              <w:rPr>
                <w:sz w:val="28"/>
                <w:szCs w:val="28"/>
              </w:rPr>
              <w:t>)</w:t>
            </w:r>
          </w:p>
        </w:tc>
      </w:tr>
      <w:tr w:rsidR="00722305"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0" w:type="auto"/>
            <w:gridSpan w:val="9"/>
            <w:vMerge/>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rPr>
                <w:sz w:val="28"/>
                <w:szCs w:val="28"/>
              </w:rPr>
            </w:pP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8B20B1" w:rsidP="00722305">
            <w:pPr>
              <w:spacing w:before="100" w:beforeAutospacing="1" w:after="100" w:afterAutospacing="1"/>
              <w:rPr>
                <w:sz w:val="28"/>
                <w:szCs w:val="28"/>
              </w:rPr>
            </w:pPr>
            <w:r>
              <w:rPr>
                <w:sz w:val="28"/>
                <w:szCs w:val="28"/>
              </w:rPr>
              <w:t>2011. gads</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8B20B1">
            <w:pPr>
              <w:spacing w:before="100" w:beforeAutospacing="1" w:after="100" w:afterAutospacing="1"/>
              <w:rPr>
                <w:sz w:val="28"/>
                <w:szCs w:val="28"/>
              </w:rPr>
            </w:pPr>
            <w:r w:rsidRPr="00722305">
              <w:rPr>
                <w:sz w:val="28"/>
                <w:szCs w:val="28"/>
              </w:rPr>
              <w:t> </w:t>
            </w:r>
            <w:r w:rsidR="008B20B1">
              <w:rPr>
                <w:sz w:val="28"/>
                <w:szCs w:val="28"/>
              </w:rPr>
              <w:t>2012. gads</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8B20B1" w:rsidP="00722305">
            <w:pPr>
              <w:spacing w:before="100" w:beforeAutospacing="1" w:after="100" w:afterAutospacing="1"/>
              <w:rPr>
                <w:sz w:val="28"/>
                <w:szCs w:val="28"/>
              </w:rPr>
            </w:pPr>
            <w:r>
              <w:rPr>
                <w:sz w:val="28"/>
                <w:szCs w:val="28"/>
              </w:rPr>
              <w:t>2013. gads</w:t>
            </w:r>
          </w:p>
        </w:tc>
      </w:tr>
      <w:tr w:rsidR="00722305" w:rsidRPr="00722305" w:rsidTr="00EE185B">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rPr>
                <w:sz w:val="28"/>
                <w:szCs w:val="28"/>
              </w:rPr>
            </w:pP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Saskaņā ar valsts budžetu kārtējam gadam</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t> Izmaiņas kārtējā gadā, salīdzinot ar budžetu kārtējam gadam</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Izmaiņas, salīdzinot ar kārtējo (n) gadu</w:t>
            </w:r>
          </w:p>
        </w:tc>
      </w:tr>
      <w:tr w:rsidR="00722305"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1</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2</w:t>
            </w:r>
          </w:p>
        </w:tc>
        <w:tc>
          <w:tcPr>
            <w:tcW w:w="1280" w:type="dxa"/>
            <w:gridSpan w:val="6"/>
            <w:tcBorders>
              <w:top w:val="outset" w:sz="6" w:space="0" w:color="auto"/>
              <w:left w:val="outset" w:sz="6" w:space="0" w:color="auto"/>
              <w:bottom w:val="outset" w:sz="6" w:space="0" w:color="auto"/>
              <w:right w:val="outset" w:sz="6" w:space="0" w:color="auto"/>
            </w:tcBorders>
            <w:vAlign w:val="center"/>
          </w:tcPr>
          <w:p w:rsidR="00722305" w:rsidRPr="00AD6B7C" w:rsidRDefault="00722305" w:rsidP="00722305">
            <w:pPr>
              <w:spacing w:before="100" w:beforeAutospacing="1" w:after="100" w:afterAutospacing="1"/>
              <w:rPr>
                <w:sz w:val="28"/>
                <w:szCs w:val="28"/>
              </w:rPr>
            </w:pPr>
            <w:r w:rsidRPr="00AD6B7C">
              <w:rPr>
                <w:sz w:val="28"/>
                <w:szCs w:val="28"/>
              </w:rPr>
              <w:t> 3</w:t>
            </w:r>
          </w:p>
        </w:tc>
        <w:tc>
          <w:tcPr>
            <w:tcW w:w="1312" w:type="dxa"/>
            <w:gridSpan w:val="2"/>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4</w:t>
            </w:r>
          </w:p>
        </w:tc>
        <w:tc>
          <w:tcPr>
            <w:tcW w:w="1340"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5</w:t>
            </w:r>
          </w:p>
        </w:tc>
        <w:tc>
          <w:tcPr>
            <w:tcW w:w="1244" w:type="dxa"/>
            <w:tcBorders>
              <w:top w:val="outset" w:sz="6" w:space="0" w:color="auto"/>
              <w:left w:val="outset" w:sz="6" w:space="0" w:color="auto"/>
              <w:bottom w:val="outset" w:sz="6" w:space="0" w:color="auto"/>
              <w:right w:val="outset" w:sz="6" w:space="0" w:color="auto"/>
            </w:tcBorders>
            <w:vAlign w:val="center"/>
          </w:tcPr>
          <w:p w:rsidR="00722305" w:rsidRPr="00722305" w:rsidRDefault="00722305" w:rsidP="00722305">
            <w:pPr>
              <w:spacing w:before="100" w:beforeAutospacing="1" w:after="100" w:afterAutospacing="1"/>
              <w:rPr>
                <w:sz w:val="28"/>
                <w:szCs w:val="28"/>
              </w:rPr>
            </w:pPr>
            <w:r w:rsidRPr="00722305">
              <w:rPr>
                <w:sz w:val="28"/>
                <w:szCs w:val="28"/>
              </w:rPr>
              <w:t> 6</w:t>
            </w:r>
          </w:p>
        </w:tc>
      </w:tr>
      <w:tr w:rsidR="00EE185B"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E185B" w:rsidRPr="00EE185B" w:rsidRDefault="00EE185B" w:rsidP="00097348">
            <w:pPr>
              <w:spacing w:before="100" w:beforeAutospacing="1" w:after="100" w:afterAutospacing="1"/>
              <w:jc w:val="both"/>
              <w:rPr>
                <w:color w:val="000000"/>
                <w:sz w:val="28"/>
                <w:szCs w:val="28"/>
              </w:rPr>
            </w:pPr>
            <w:r w:rsidRPr="00EE185B">
              <w:rPr>
                <w:color w:val="000000"/>
                <w:sz w:val="28"/>
                <w:szCs w:val="28"/>
              </w:rPr>
              <w:t>1. Budžeta ieņēmumi:</w:t>
            </w:r>
          </w:p>
        </w:tc>
        <w:tc>
          <w:tcPr>
            <w:tcW w:w="1210" w:type="dxa"/>
            <w:gridSpan w:val="3"/>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EE185B" w:rsidRPr="00AD6B7C" w:rsidRDefault="00EE185B"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37,5</w:t>
            </w:r>
          </w:p>
        </w:tc>
        <w:tc>
          <w:tcPr>
            <w:tcW w:w="1340"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50,6</w:t>
            </w:r>
          </w:p>
        </w:tc>
      </w:tr>
      <w:tr w:rsidR="00EE185B"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E185B" w:rsidRPr="00EE185B" w:rsidRDefault="00EE185B" w:rsidP="00097348">
            <w:pPr>
              <w:spacing w:before="100" w:beforeAutospacing="1" w:after="100" w:afterAutospacing="1"/>
              <w:jc w:val="both"/>
              <w:rPr>
                <w:color w:val="000000"/>
                <w:sz w:val="28"/>
                <w:szCs w:val="28"/>
              </w:rPr>
            </w:pPr>
            <w:r w:rsidRPr="00EE185B">
              <w:rPr>
                <w:color w:val="000000"/>
                <w:sz w:val="28"/>
                <w:szCs w:val="28"/>
              </w:rPr>
              <w:t>1.1. valsts pamatbudžets, tai skaitā ieņēmumi no maksas pakalpojumiem un citi pašu ieņēmumi</w:t>
            </w:r>
          </w:p>
        </w:tc>
        <w:tc>
          <w:tcPr>
            <w:tcW w:w="1210" w:type="dxa"/>
            <w:gridSpan w:val="3"/>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13,8</w:t>
            </w:r>
          </w:p>
        </w:tc>
        <w:tc>
          <w:tcPr>
            <w:tcW w:w="1280" w:type="dxa"/>
            <w:gridSpan w:val="6"/>
            <w:tcBorders>
              <w:top w:val="outset" w:sz="6" w:space="0" w:color="auto"/>
              <w:left w:val="outset" w:sz="6" w:space="0" w:color="auto"/>
              <w:bottom w:val="outset" w:sz="6" w:space="0" w:color="auto"/>
              <w:right w:val="outset" w:sz="6" w:space="0" w:color="auto"/>
            </w:tcBorders>
          </w:tcPr>
          <w:p w:rsidR="00EE185B" w:rsidRPr="00AD6B7C" w:rsidRDefault="00EE185B"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37,5</w:t>
            </w:r>
          </w:p>
        </w:tc>
        <w:tc>
          <w:tcPr>
            <w:tcW w:w="1340"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50,6</w:t>
            </w:r>
          </w:p>
        </w:tc>
        <w:tc>
          <w:tcPr>
            <w:tcW w:w="1244"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50,6</w:t>
            </w:r>
          </w:p>
        </w:tc>
      </w:tr>
      <w:tr w:rsidR="00EE185B"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E185B" w:rsidRPr="00EE185B" w:rsidRDefault="00EE185B" w:rsidP="00097348">
            <w:pPr>
              <w:spacing w:before="100" w:beforeAutospacing="1" w:after="100" w:afterAutospacing="1"/>
              <w:jc w:val="both"/>
              <w:rPr>
                <w:color w:val="000000"/>
                <w:sz w:val="28"/>
                <w:szCs w:val="28"/>
              </w:rPr>
            </w:pPr>
            <w:r w:rsidRPr="00EE185B">
              <w:rPr>
                <w:color w:val="000000"/>
                <w:sz w:val="28"/>
                <w:szCs w:val="28"/>
              </w:rPr>
              <w:t>1.2.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E185B" w:rsidRPr="00AD6B7C" w:rsidRDefault="00EE185B"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r>
      <w:tr w:rsidR="00EE185B"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EE185B" w:rsidRPr="00EE185B" w:rsidRDefault="00EE185B" w:rsidP="00097348">
            <w:pPr>
              <w:spacing w:before="100" w:beforeAutospacing="1" w:after="100" w:afterAutospacing="1"/>
              <w:jc w:val="both"/>
              <w:rPr>
                <w:color w:val="000000"/>
                <w:sz w:val="28"/>
                <w:szCs w:val="28"/>
              </w:rPr>
            </w:pPr>
            <w:r w:rsidRPr="00EE185B">
              <w:rPr>
                <w:color w:val="000000"/>
                <w:sz w:val="28"/>
                <w:szCs w:val="28"/>
              </w:rPr>
              <w:t>1.3.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EE185B" w:rsidRPr="00AD6B7C" w:rsidRDefault="00EE185B"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EE185B" w:rsidRPr="00EE185B" w:rsidRDefault="00EE185B" w:rsidP="0009734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2. Budžeta izdevumi:</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2.1.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2.2. valsts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2.3.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3. Finansiālā ietekme:</w:t>
            </w:r>
          </w:p>
        </w:tc>
        <w:tc>
          <w:tcPr>
            <w:tcW w:w="1210" w:type="dxa"/>
            <w:gridSpan w:val="3"/>
            <w:tcBorders>
              <w:top w:val="outset" w:sz="6" w:space="0" w:color="auto"/>
              <w:left w:val="outset" w:sz="6" w:space="0" w:color="auto"/>
              <w:bottom w:val="outset" w:sz="6" w:space="0" w:color="auto"/>
              <w:right w:val="outset" w:sz="6" w:space="0" w:color="auto"/>
            </w:tcBorders>
            <w:vAlign w:val="center"/>
          </w:tcPr>
          <w:p w:rsidR="00A071B1" w:rsidRPr="00EE185B" w:rsidRDefault="00A071B1" w:rsidP="00097348">
            <w:pPr>
              <w:jc w:val="center"/>
              <w:rPr>
                <w:sz w:val="28"/>
                <w:szCs w:val="28"/>
              </w:rPr>
            </w:pPr>
            <w:r>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3.1. valsts pamatbudžets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6C2DA8" w:rsidRDefault="00A071B1" w:rsidP="00097348">
            <w:pPr>
              <w:jc w:val="center"/>
              <w:rPr>
                <w:sz w:val="28"/>
                <w:szCs w:val="28"/>
                <w:highlight w:val="red"/>
              </w:rPr>
            </w:pPr>
            <w:r w:rsidRPr="00A071B1">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E160F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3.2. speciālais 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3.3. pašvaldību budžets</w:t>
            </w:r>
          </w:p>
        </w:tc>
        <w:tc>
          <w:tcPr>
            <w:tcW w:w="1210" w:type="dxa"/>
            <w:gridSpan w:val="3"/>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vMerge w:val="restart"/>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t>4. Finanšu līdzekļi papildu izde</w:t>
            </w:r>
            <w:r w:rsidRPr="00EE185B">
              <w:rPr>
                <w:color w:val="000000"/>
                <w:sz w:val="28"/>
                <w:szCs w:val="28"/>
              </w:rPr>
              <w:softHyphen/>
              <w:t>vumu finansēšanai (kompensējošu izdevumu samazinājumu norāda ar "+" zīmi)</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center"/>
              <w:rPr>
                <w:color w:val="000000"/>
                <w:sz w:val="28"/>
                <w:szCs w:val="28"/>
              </w:rPr>
            </w:pPr>
            <w:r w:rsidRPr="00EE185B">
              <w:rPr>
                <w:color w:val="000000"/>
                <w:sz w:val="28"/>
                <w:szCs w:val="28"/>
              </w:rPr>
              <w:t>X</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r>
      <w:tr w:rsidR="00A071B1"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r>
      <w:tr w:rsidR="00A071B1" w:rsidRPr="00722305" w:rsidTr="008B20B1">
        <w:trPr>
          <w:gridAfter w:val="1"/>
          <w:wAfter w:w="20" w:type="dxa"/>
          <w:tblCellSpacing w:w="0" w:type="dxa"/>
        </w:trPr>
        <w:tc>
          <w:tcPr>
            <w:tcW w:w="0" w:type="auto"/>
            <w:gridSpan w:val="8"/>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both"/>
              <w:rPr>
                <w:color w:val="000000"/>
                <w:sz w:val="28"/>
                <w:szCs w:val="28"/>
              </w:rPr>
            </w:pPr>
            <w:r w:rsidRPr="00EE185B">
              <w:rPr>
                <w:color w:val="000000"/>
                <w:sz w:val="28"/>
                <w:szCs w:val="28"/>
              </w:rPr>
              <w:lastRenderedPageBreak/>
              <w:t>5. Precizēta finansiālā ietekme:</w:t>
            </w:r>
          </w:p>
        </w:tc>
        <w:tc>
          <w:tcPr>
            <w:tcW w:w="1210" w:type="dxa"/>
            <w:gridSpan w:val="3"/>
            <w:vMerge w:val="restart"/>
            <w:tcBorders>
              <w:top w:val="outset" w:sz="6" w:space="0" w:color="auto"/>
              <w:left w:val="outset" w:sz="6" w:space="0" w:color="auto"/>
              <w:bottom w:val="outset" w:sz="6" w:space="0" w:color="auto"/>
              <w:right w:val="outset" w:sz="6" w:space="0" w:color="auto"/>
            </w:tcBorders>
          </w:tcPr>
          <w:p w:rsidR="00A071B1" w:rsidRPr="00EE185B" w:rsidRDefault="00A071B1" w:rsidP="00097348">
            <w:pPr>
              <w:spacing w:before="100" w:beforeAutospacing="1" w:after="100" w:afterAutospacing="1"/>
              <w:jc w:val="center"/>
              <w:rPr>
                <w:color w:val="000000"/>
                <w:sz w:val="28"/>
                <w:szCs w:val="28"/>
              </w:rPr>
            </w:pPr>
            <w:r w:rsidRPr="00EE185B">
              <w:rPr>
                <w:color w:val="000000"/>
                <w:sz w:val="28"/>
                <w:szCs w:val="28"/>
              </w:rPr>
              <w:t>X</w:t>
            </w: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097348">
            <w:pPr>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097348">
            <w:pPr>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722305">
            <w:pPr>
              <w:spacing w:before="100" w:beforeAutospacing="1" w:after="100" w:afterAutospacing="1"/>
              <w:rPr>
                <w:sz w:val="28"/>
                <w:szCs w:val="28"/>
              </w:rPr>
            </w:pPr>
            <w:r w:rsidRPr="00EE185B">
              <w:rPr>
                <w:color w:val="000000"/>
                <w:sz w:val="28"/>
                <w:szCs w:val="28"/>
              </w:rPr>
              <w:t>5.1. valsts pamatbudžets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722305">
            <w:pPr>
              <w:spacing w:before="100" w:beforeAutospacing="1" w:after="100" w:afterAutospacing="1"/>
              <w:rPr>
                <w:sz w:val="28"/>
                <w:szCs w:val="28"/>
              </w:rPr>
            </w:pPr>
            <w:r w:rsidRPr="00EE185B">
              <w:rPr>
                <w:color w:val="000000"/>
                <w:sz w:val="28"/>
                <w:szCs w:val="28"/>
              </w:rPr>
              <w:t>5.2. speciālais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EE185B" w:rsidRDefault="00A071B1" w:rsidP="00722305">
            <w:pPr>
              <w:spacing w:before="100" w:beforeAutospacing="1" w:after="100" w:afterAutospacing="1"/>
              <w:rPr>
                <w:sz w:val="28"/>
                <w:szCs w:val="28"/>
              </w:rPr>
            </w:pPr>
            <w:r w:rsidRPr="00EE185B">
              <w:rPr>
                <w:color w:val="000000"/>
                <w:sz w:val="28"/>
                <w:szCs w:val="28"/>
              </w:rPr>
              <w:t>5.3. pašvaldību budžets</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071B1" w:rsidRPr="00EE185B" w:rsidRDefault="00A071B1" w:rsidP="00722305">
            <w:pPr>
              <w:rPr>
                <w:sz w:val="28"/>
                <w:szCs w:val="28"/>
              </w:rPr>
            </w:pPr>
          </w:p>
        </w:tc>
        <w:tc>
          <w:tcPr>
            <w:tcW w:w="1280" w:type="dxa"/>
            <w:gridSpan w:val="6"/>
            <w:tcBorders>
              <w:top w:val="outset" w:sz="6" w:space="0" w:color="auto"/>
              <w:left w:val="outset" w:sz="6" w:space="0" w:color="auto"/>
              <w:bottom w:val="outset" w:sz="6" w:space="0" w:color="auto"/>
              <w:right w:val="outset" w:sz="6" w:space="0" w:color="auto"/>
            </w:tcBorders>
          </w:tcPr>
          <w:p w:rsidR="00A071B1" w:rsidRPr="00AD6B7C" w:rsidRDefault="00A071B1" w:rsidP="009825C5">
            <w:pPr>
              <w:spacing w:before="100" w:beforeAutospacing="1" w:after="100" w:afterAutospacing="1"/>
              <w:jc w:val="center"/>
              <w:rPr>
                <w:sz w:val="28"/>
                <w:szCs w:val="28"/>
              </w:rPr>
            </w:pPr>
            <w:r w:rsidRPr="00AD6B7C">
              <w:rPr>
                <w:sz w:val="28"/>
                <w:szCs w:val="28"/>
              </w:rPr>
              <w:t>0</w:t>
            </w:r>
          </w:p>
        </w:tc>
        <w:tc>
          <w:tcPr>
            <w:tcW w:w="1312" w:type="dxa"/>
            <w:gridSpan w:val="2"/>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340"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c>
          <w:tcPr>
            <w:tcW w:w="1244" w:type="dxa"/>
            <w:tcBorders>
              <w:top w:val="outset" w:sz="6" w:space="0" w:color="auto"/>
              <w:left w:val="outset" w:sz="6" w:space="0" w:color="auto"/>
              <w:bottom w:val="outset" w:sz="6" w:space="0" w:color="auto"/>
              <w:right w:val="outset" w:sz="6" w:space="0" w:color="auto"/>
            </w:tcBorders>
          </w:tcPr>
          <w:p w:rsidR="00A071B1" w:rsidRPr="00EE185B" w:rsidRDefault="00A071B1" w:rsidP="009825C5">
            <w:pPr>
              <w:spacing w:before="100" w:beforeAutospacing="1" w:after="100" w:afterAutospacing="1"/>
              <w:jc w:val="center"/>
              <w:rPr>
                <w:sz w:val="28"/>
                <w:szCs w:val="28"/>
              </w:rPr>
            </w:pPr>
            <w:r w:rsidRPr="00EE185B">
              <w:rPr>
                <w:sz w:val="28"/>
                <w:szCs w:val="28"/>
              </w:rPr>
              <w:t>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8B20B1" w:rsidRDefault="00A071B1" w:rsidP="00722305">
            <w:pPr>
              <w:spacing w:before="100" w:beforeAutospacing="1" w:after="100" w:afterAutospacing="1"/>
              <w:rPr>
                <w:sz w:val="28"/>
                <w:szCs w:val="28"/>
              </w:rPr>
            </w:pPr>
            <w:r w:rsidRPr="008B20B1">
              <w:rPr>
                <w:sz w:val="28"/>
                <w:szCs w:val="28"/>
              </w:rPr>
              <w:t> 6. Detalizēts ieņēmumu un izdevu</w:t>
            </w:r>
            <w:r w:rsidRPr="008B20B1">
              <w:rPr>
                <w:sz w:val="28"/>
                <w:szCs w:val="28"/>
              </w:rPr>
              <w:softHyphen/>
              <w:t>mu aprēķins (ja nepieciešams, detalizētu ieņēmumu un izdevumu aprēķinu var pievienot anotācijas pielikumā):</w:t>
            </w:r>
          </w:p>
        </w:tc>
        <w:tc>
          <w:tcPr>
            <w:tcW w:w="6386" w:type="dxa"/>
            <w:gridSpan w:val="13"/>
            <w:vMerge w:val="restart"/>
            <w:tcBorders>
              <w:top w:val="outset" w:sz="6" w:space="0" w:color="auto"/>
              <w:left w:val="outset" w:sz="6" w:space="0" w:color="auto"/>
              <w:bottom w:val="outset" w:sz="6" w:space="0" w:color="auto"/>
              <w:right w:val="outset" w:sz="6" w:space="0" w:color="auto"/>
            </w:tcBorders>
            <w:vAlign w:val="center"/>
          </w:tcPr>
          <w:p w:rsidR="00A071B1" w:rsidRPr="00AD6B7C" w:rsidRDefault="00A071B1" w:rsidP="00EE185B">
            <w:pPr>
              <w:spacing w:before="100" w:beforeAutospacing="1" w:after="100" w:afterAutospacing="1"/>
              <w:jc w:val="both"/>
              <w:rPr>
                <w:color w:val="000000"/>
                <w:sz w:val="28"/>
                <w:szCs w:val="28"/>
              </w:rPr>
            </w:pPr>
            <w:r w:rsidRPr="00AD6B7C">
              <w:rPr>
                <w:color w:val="000000"/>
                <w:sz w:val="28"/>
                <w:szCs w:val="28"/>
              </w:rPr>
              <w:t>6.1. detalizēts ieņēmumu aprēķins</w:t>
            </w:r>
          </w:p>
          <w:p w:rsidR="00A071B1" w:rsidRPr="00AD6B7C" w:rsidRDefault="00A071B1" w:rsidP="00EE185B">
            <w:pPr>
              <w:spacing w:before="100" w:beforeAutospacing="1" w:after="100" w:afterAutospacing="1"/>
              <w:jc w:val="both"/>
              <w:rPr>
                <w:b/>
                <w:color w:val="000000"/>
                <w:sz w:val="28"/>
                <w:szCs w:val="28"/>
                <w:u w:val="single"/>
              </w:rPr>
            </w:pPr>
            <w:r w:rsidRPr="00AD6B7C">
              <w:rPr>
                <w:b/>
                <w:color w:val="000000"/>
                <w:sz w:val="28"/>
                <w:szCs w:val="28"/>
                <w:u w:val="single"/>
              </w:rPr>
              <w:t>2011.gads</w:t>
            </w:r>
          </w:p>
          <w:p w:rsidR="00A071B1" w:rsidRPr="00AD6B7C" w:rsidRDefault="00A071B1" w:rsidP="00EE185B">
            <w:pPr>
              <w:spacing w:before="100" w:beforeAutospacing="1" w:after="100" w:afterAutospacing="1"/>
              <w:jc w:val="both"/>
              <w:rPr>
                <w:b/>
                <w:color w:val="000000"/>
                <w:sz w:val="28"/>
                <w:szCs w:val="28"/>
              </w:rPr>
            </w:pPr>
            <w:r w:rsidRPr="00AD6B7C">
              <w:rPr>
                <w:b/>
                <w:color w:val="000000"/>
                <w:sz w:val="28"/>
                <w:szCs w:val="28"/>
              </w:rPr>
              <w:t xml:space="preserve">Valsts budžeta ieņēmumi (EKK 9114 – nodeva par darbību veikšanu administratīvajā tiesā) kopā – </w:t>
            </w:r>
            <w:smartTag w:uri="schemas-tilde-lv/tildestengine" w:element="currency2">
              <w:smartTagPr>
                <w:attr w:name="currency_text" w:val="Ls"/>
                <w:attr w:name="currency_value" w:val="51"/>
                <w:attr w:name="currency_key" w:val="LVL"/>
                <w:attr w:name="currency_id" w:val="48"/>
              </w:smartTagPr>
              <w:r w:rsidRPr="00AD6B7C">
                <w:rPr>
                  <w:b/>
                  <w:color w:val="000000"/>
                  <w:sz w:val="28"/>
                  <w:szCs w:val="28"/>
                </w:rPr>
                <w:t>Ls 51</w:t>
              </w:r>
            </w:smartTag>
            <w:r w:rsidRPr="00AD6B7C">
              <w:rPr>
                <w:b/>
                <w:color w:val="000000"/>
                <w:sz w:val="28"/>
                <w:szCs w:val="28"/>
              </w:rPr>
              <w:t> 336</w:t>
            </w:r>
          </w:p>
          <w:p w:rsidR="00A071B1" w:rsidRPr="00AD6B7C" w:rsidRDefault="00A071B1" w:rsidP="00EE185B">
            <w:pPr>
              <w:spacing w:before="100" w:beforeAutospacing="1" w:after="100" w:afterAutospacing="1"/>
              <w:jc w:val="both"/>
              <w:rPr>
                <w:color w:val="000000"/>
                <w:sz w:val="28"/>
                <w:szCs w:val="28"/>
              </w:rPr>
            </w:pPr>
            <w:r w:rsidRPr="00AD6B7C">
              <w:rPr>
                <w:b/>
                <w:color w:val="000000"/>
                <w:sz w:val="28"/>
                <w:szCs w:val="28"/>
              </w:rPr>
              <w:t xml:space="preserve">Izmaiņas 2011.gadā salīdzinot ar kārtējo gadu – </w:t>
            </w:r>
            <w:smartTag w:uri="schemas-tilde-lv/tildestengine" w:element="currency2">
              <w:smartTagPr>
                <w:attr w:name="currency_text" w:val="Ls"/>
                <w:attr w:name="currency_value" w:val="37"/>
                <w:attr w:name="currency_key" w:val="LVL"/>
                <w:attr w:name="currency_id" w:val="48"/>
              </w:smartTagPr>
              <w:r w:rsidRPr="00AD6B7C">
                <w:rPr>
                  <w:b/>
                  <w:color w:val="000000"/>
                  <w:sz w:val="28"/>
                  <w:szCs w:val="28"/>
                </w:rPr>
                <w:t>Ls 37</w:t>
              </w:r>
            </w:smartTag>
            <w:r w:rsidRPr="00AD6B7C">
              <w:rPr>
                <w:b/>
                <w:color w:val="000000"/>
                <w:sz w:val="28"/>
                <w:szCs w:val="28"/>
              </w:rPr>
              <w:t xml:space="preserve"> 536 </w:t>
            </w:r>
            <w:r w:rsidRPr="00AD6B7C">
              <w:rPr>
                <w:color w:val="000000"/>
                <w:sz w:val="28"/>
                <w:szCs w:val="28"/>
              </w:rPr>
              <w:t>(</w:t>
            </w:r>
            <w:smartTag w:uri="schemas-tilde-lv/tildestengine" w:element="currency2">
              <w:smartTagPr>
                <w:attr w:name="currency_text" w:val="Ls"/>
                <w:attr w:name="currency_value" w:val="51"/>
                <w:attr w:name="currency_key" w:val="LVL"/>
                <w:attr w:name="currency_id" w:val="48"/>
              </w:smartTagPr>
              <w:r w:rsidRPr="00AD6B7C">
                <w:rPr>
                  <w:color w:val="000000"/>
                  <w:sz w:val="28"/>
                  <w:szCs w:val="28"/>
                </w:rPr>
                <w:t>Ls 51</w:t>
              </w:r>
            </w:smartTag>
            <w:r w:rsidRPr="00AD6B7C">
              <w:rPr>
                <w:color w:val="000000"/>
                <w:sz w:val="28"/>
                <w:szCs w:val="28"/>
              </w:rPr>
              <w:t xml:space="preserve"> 336 –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w:t>
            </w:r>
          </w:p>
          <w:p w:rsidR="00A071B1" w:rsidRPr="00AD6B7C" w:rsidRDefault="00A071B1"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Saskaņā ar grozījumiem Administratīvā procesa likuma (turpmāk – APL) 124.panta otrajā daļā paredzēts palielināt valsts nodevas apmēru par apelācijas sūdzību no 10 latiem uz 40 latiem. Tiek prognozēts, ka APL grozījumi stāsies spēkā ar 01.06.2011.</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Gadā vidēji tiek iesniegtas 1400 apelācijas sūdzības un saskaņā ar APL daļa procesa dalībnieku to mantiskā stāvokļa dēļ no valsts nodevas samaksas pilnībā vai daļēji tiek atbrīvoti. Valsts nodeva gadā vidēji tiek iemaksāta par 1380 apelācijas sūdzībām, jeb mēnesī vidēji par 115 apelācijas sūdzībām.</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(115 apelācijas sūdzības x 5 mēneši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(115 apelācijas sūdzības x 7 mēneši x </w:t>
            </w:r>
            <w:smartTag w:uri="schemas-tilde-lv/tildestengine" w:element="currency2">
              <w:smartTagPr>
                <w:attr w:name="currency_text" w:val="Ls"/>
                <w:attr w:name="currency_value" w:val="40"/>
                <w:attr w:name="currency_key" w:val="LVL"/>
                <w:attr w:name="currency_id" w:val="48"/>
              </w:smartTagPr>
              <w:r w:rsidRPr="00AD6B7C">
                <w:rPr>
                  <w:color w:val="000000"/>
                  <w:sz w:val="28"/>
                  <w:szCs w:val="28"/>
                </w:rPr>
                <w:t>Ls 40</w:t>
              </w:r>
            </w:smartTag>
            <w:r w:rsidRPr="00AD6B7C">
              <w:rPr>
                <w:color w:val="000000"/>
                <w:sz w:val="28"/>
                <w:szCs w:val="28"/>
              </w:rPr>
              <w:t xml:space="preserve">) = </w:t>
            </w:r>
            <w:smartTag w:uri="schemas-tilde-lv/tildestengine" w:element="currency2">
              <w:smartTagPr>
                <w:attr w:name="currency_text" w:val="Ls"/>
                <w:attr w:name="currency_value" w:val="37"/>
                <w:attr w:name="currency_key" w:val="LVL"/>
                <w:attr w:name="currency_id" w:val="48"/>
              </w:smartTagPr>
              <w:r w:rsidRPr="00AD6B7C">
                <w:rPr>
                  <w:color w:val="000000"/>
                  <w:sz w:val="28"/>
                  <w:szCs w:val="28"/>
                </w:rPr>
                <w:t>Ls 37</w:t>
              </w:r>
            </w:smartTag>
            <w:r w:rsidRPr="00AD6B7C">
              <w:rPr>
                <w:color w:val="000000"/>
                <w:sz w:val="28"/>
                <w:szCs w:val="28"/>
              </w:rPr>
              <w:t> 950.</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Izmaiņas: prognozējamie ieņēmumi 2011.gadā </w:t>
            </w:r>
            <w:smartTag w:uri="schemas-tilde-lv/tildestengine" w:element="currency2">
              <w:smartTagPr>
                <w:attr w:name="currency_text" w:val="Ls"/>
                <w:attr w:name="currency_value" w:val="37"/>
                <w:attr w:name="currency_key" w:val="LVL"/>
                <w:attr w:name="currency_id" w:val="48"/>
              </w:smartTagPr>
              <w:r w:rsidRPr="00AD6B7C">
                <w:rPr>
                  <w:color w:val="000000"/>
                  <w:sz w:val="28"/>
                  <w:szCs w:val="28"/>
                </w:rPr>
                <w:t>Ls 37</w:t>
              </w:r>
            </w:smartTag>
            <w:r w:rsidRPr="00AD6B7C">
              <w:rPr>
                <w:color w:val="000000"/>
                <w:sz w:val="28"/>
                <w:szCs w:val="28"/>
              </w:rPr>
              <w:t xml:space="preserve"> 950 – prognozējamie ieņēmumi 2010.gadā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 = </w:t>
            </w:r>
            <w:smartTag w:uri="schemas-tilde-lv/tildestengine" w:element="currency2">
              <w:smartTagPr>
                <w:attr w:name="currency_text" w:val="Ls"/>
                <w:attr w:name="currency_value" w:val="24"/>
                <w:attr w:name="currency_key" w:val="LVL"/>
                <w:attr w:name="currency_id" w:val="48"/>
              </w:smartTagPr>
              <w:r w:rsidRPr="00AD6B7C">
                <w:rPr>
                  <w:color w:val="000000"/>
                  <w:sz w:val="28"/>
                  <w:szCs w:val="28"/>
                </w:rPr>
                <w:t>Ls 24</w:t>
              </w:r>
            </w:smartTag>
            <w:r w:rsidRPr="00AD6B7C">
              <w:rPr>
                <w:color w:val="000000"/>
                <w:sz w:val="28"/>
                <w:szCs w:val="28"/>
              </w:rPr>
              <w:t> 150.</w:t>
            </w:r>
          </w:p>
          <w:p w:rsidR="00A071B1" w:rsidRPr="00AD6B7C" w:rsidRDefault="00A071B1"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124.panta trešajā daļā paredzēta drošības naudas maksa par kasācijas sūdzību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un par blakus sūdzību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Ja kasācijas sūdzība vai blakus sūdzība tiek pilnībā vai </w:t>
            </w:r>
            <w:r w:rsidRPr="00AD6B7C">
              <w:rPr>
                <w:color w:val="000000"/>
                <w:sz w:val="28"/>
                <w:szCs w:val="28"/>
              </w:rPr>
              <w:lastRenderedPageBreak/>
              <w:t>daļēji apmierināta, drošības naudu atmaksā. Ja kasācijas sūdzību vai blakus sūdzību noraida, drošības naudu neatmaksā un ieskaita valsts budžetā.</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Gadā vidēji tiek iesniegtas 500 kasācijas sūdzības, no kurām vidēji 50% tiek noraidītas, un vidēji 1350 blakus sūdzības, no kurām vidēji 70% tiek noraidītas.</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(292 kasācijas sūdzības 7 mēnešos x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x 50% ) + (788 blakus sūdzības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x 70%) = </w:t>
            </w:r>
            <w:smartTag w:uri="schemas-tilde-lv/tildestengine" w:element="currency2">
              <w:smartTagPr>
                <w:attr w:name="currency_text" w:val="Ls"/>
                <w:attr w:name="currency_value" w:val="12"/>
                <w:attr w:name="currency_key" w:val="LVL"/>
                <w:attr w:name="currency_id" w:val="48"/>
              </w:smartTagPr>
              <w:r w:rsidRPr="00AD6B7C">
                <w:rPr>
                  <w:color w:val="000000"/>
                  <w:sz w:val="28"/>
                  <w:szCs w:val="28"/>
                </w:rPr>
                <w:t>Ls 12</w:t>
              </w:r>
            </w:smartTag>
            <w:r w:rsidRPr="00AD6B7C">
              <w:rPr>
                <w:color w:val="000000"/>
                <w:sz w:val="28"/>
                <w:szCs w:val="28"/>
              </w:rPr>
              <w:t> 816.</w:t>
            </w:r>
          </w:p>
          <w:p w:rsidR="00A071B1" w:rsidRPr="00AD6B7C" w:rsidRDefault="00A071B1"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124.pants papildināts ar ceturto daļu, kas nosaka, ka par lūgumu par pagaidu aizsardzību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70 šādi pieteikumi.</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40 lūgumi par pagaidu aizsardzību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400."/>
                <w:attr w:name="currency_key" w:val="LVL"/>
                <w:attr w:name="currency_id" w:val="48"/>
              </w:smartTagPr>
              <w:r w:rsidRPr="00AD6B7C">
                <w:rPr>
                  <w:color w:val="000000"/>
                  <w:sz w:val="28"/>
                  <w:szCs w:val="28"/>
                </w:rPr>
                <w:t>Ls 400.</w:t>
              </w:r>
            </w:smartTag>
          </w:p>
          <w:p w:rsidR="00A071B1" w:rsidRPr="00AD6B7C" w:rsidRDefault="00A071B1" w:rsidP="00EE185B">
            <w:pPr>
              <w:numPr>
                <w:ilvl w:val="0"/>
                <w:numId w:val="19"/>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124.pants papildināts ar piekto daļu, kas nosaka, ka par pieteikumu par lietas jaunu izskatīšanu sakarā ar jaunatklātiem apstākļiem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30 šādi pieteikumi.</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17 pieteikumi par lietas jaunu izskatīšanu sakarā ar jaunatklātiem apstākļiem 7 mēnešos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170."/>
                <w:attr w:name="currency_key" w:val="LVL"/>
                <w:attr w:name="currency_id" w:val="48"/>
              </w:smartTagPr>
              <w:r w:rsidRPr="00AD6B7C">
                <w:rPr>
                  <w:color w:val="000000"/>
                  <w:sz w:val="28"/>
                  <w:szCs w:val="28"/>
                </w:rPr>
                <w:t>Ls 170.</w:t>
              </w:r>
            </w:smartTag>
          </w:p>
          <w:p w:rsidR="00A071B1" w:rsidRPr="00AD6B7C" w:rsidRDefault="00A071B1" w:rsidP="00EE185B">
            <w:pPr>
              <w:spacing w:before="100" w:beforeAutospacing="1" w:after="100" w:afterAutospacing="1"/>
              <w:jc w:val="both"/>
              <w:rPr>
                <w:b/>
                <w:color w:val="000000"/>
                <w:sz w:val="28"/>
                <w:szCs w:val="28"/>
                <w:u w:val="single"/>
              </w:rPr>
            </w:pPr>
            <w:r w:rsidRPr="00AD6B7C">
              <w:rPr>
                <w:b/>
                <w:color w:val="000000"/>
                <w:sz w:val="28"/>
                <w:szCs w:val="28"/>
                <w:u w:val="single"/>
              </w:rPr>
              <w:t>2012.gads un turpmākie gadi</w:t>
            </w:r>
          </w:p>
          <w:p w:rsidR="00A071B1" w:rsidRPr="00AD6B7C" w:rsidRDefault="00A071B1" w:rsidP="00EE185B">
            <w:pPr>
              <w:spacing w:before="100" w:beforeAutospacing="1" w:after="100" w:afterAutospacing="1"/>
              <w:jc w:val="both"/>
              <w:rPr>
                <w:b/>
                <w:color w:val="000000"/>
                <w:sz w:val="28"/>
                <w:szCs w:val="28"/>
              </w:rPr>
            </w:pPr>
            <w:r w:rsidRPr="00AD6B7C">
              <w:rPr>
                <w:b/>
                <w:color w:val="000000"/>
                <w:sz w:val="28"/>
                <w:szCs w:val="28"/>
              </w:rPr>
              <w:t xml:space="preserve">Valsts budžeta ieņēmumi (EKK 9114 – nodeva par darbību veikšanu administratīvajā tiesā) kopā – </w:t>
            </w:r>
            <w:smartTag w:uri="schemas-tilde-lv/tildestengine" w:element="currency2">
              <w:smartTagPr>
                <w:attr w:name="currency_text" w:val="Ls"/>
                <w:attr w:name="currency_value" w:val="64"/>
                <w:attr w:name="currency_key" w:val="LVL"/>
                <w:attr w:name="currency_id" w:val="48"/>
              </w:smartTagPr>
              <w:r w:rsidRPr="00AD6B7C">
                <w:rPr>
                  <w:b/>
                  <w:color w:val="000000"/>
                  <w:sz w:val="28"/>
                  <w:szCs w:val="28"/>
                </w:rPr>
                <w:t>Ls 64</w:t>
              </w:r>
            </w:smartTag>
            <w:r w:rsidRPr="00AD6B7C">
              <w:rPr>
                <w:b/>
                <w:color w:val="000000"/>
                <w:sz w:val="28"/>
                <w:szCs w:val="28"/>
              </w:rPr>
              <w:t xml:space="preserve"> 350</w:t>
            </w:r>
          </w:p>
          <w:p w:rsidR="00A071B1" w:rsidRPr="00AD6B7C" w:rsidRDefault="00A071B1" w:rsidP="00EE185B">
            <w:pPr>
              <w:spacing w:before="100" w:beforeAutospacing="1" w:after="100" w:afterAutospacing="1"/>
              <w:jc w:val="both"/>
              <w:rPr>
                <w:color w:val="000000"/>
                <w:sz w:val="28"/>
                <w:szCs w:val="28"/>
              </w:rPr>
            </w:pPr>
            <w:r w:rsidRPr="00AD6B7C">
              <w:rPr>
                <w:b/>
                <w:color w:val="000000"/>
                <w:sz w:val="28"/>
                <w:szCs w:val="28"/>
              </w:rPr>
              <w:t xml:space="preserve">Izmaiņas 2011.gadā salīdzinot ar kārtējo gadu – </w:t>
            </w:r>
            <w:smartTag w:uri="schemas-tilde-lv/tildestengine" w:element="currency2">
              <w:smartTagPr>
                <w:attr w:name="currency_text" w:val="Ls"/>
                <w:attr w:name="currency_value" w:val="50"/>
                <w:attr w:name="currency_key" w:val="LVL"/>
                <w:attr w:name="currency_id" w:val="48"/>
              </w:smartTagPr>
              <w:r w:rsidRPr="00AD6B7C">
                <w:rPr>
                  <w:b/>
                  <w:color w:val="000000"/>
                  <w:sz w:val="28"/>
                  <w:szCs w:val="28"/>
                </w:rPr>
                <w:t>Ls 50</w:t>
              </w:r>
            </w:smartTag>
            <w:r w:rsidRPr="00AD6B7C">
              <w:rPr>
                <w:b/>
                <w:color w:val="000000"/>
                <w:sz w:val="28"/>
                <w:szCs w:val="28"/>
              </w:rPr>
              <w:t xml:space="preserve"> 550 </w:t>
            </w:r>
            <w:r w:rsidRPr="00AD6B7C">
              <w:rPr>
                <w:color w:val="000000"/>
                <w:sz w:val="28"/>
                <w:szCs w:val="28"/>
              </w:rPr>
              <w:t>(</w:t>
            </w:r>
            <w:smartTag w:uri="schemas-tilde-lv/tildestengine" w:element="currency2">
              <w:smartTagPr>
                <w:attr w:name="currency_text" w:val="Ls"/>
                <w:attr w:name="currency_value" w:val="64"/>
                <w:attr w:name="currency_key" w:val="LVL"/>
                <w:attr w:name="currency_id" w:val="48"/>
              </w:smartTagPr>
              <w:r w:rsidRPr="00AD6B7C">
                <w:rPr>
                  <w:color w:val="000000"/>
                  <w:sz w:val="28"/>
                  <w:szCs w:val="28"/>
                </w:rPr>
                <w:t>Ls 64</w:t>
              </w:r>
            </w:smartTag>
            <w:r w:rsidRPr="00AD6B7C">
              <w:rPr>
                <w:color w:val="000000"/>
                <w:sz w:val="28"/>
                <w:szCs w:val="28"/>
              </w:rPr>
              <w:t xml:space="preserve"> 350 –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w:t>
            </w:r>
          </w:p>
          <w:p w:rsidR="00A071B1" w:rsidRPr="00AD6B7C" w:rsidRDefault="00A071B1" w:rsidP="00EE185B">
            <w:pPr>
              <w:spacing w:before="100" w:beforeAutospacing="1" w:after="100" w:afterAutospacing="1"/>
              <w:ind w:left="360" w:hanging="360"/>
              <w:jc w:val="both"/>
              <w:rPr>
                <w:color w:val="000000"/>
                <w:sz w:val="28"/>
                <w:szCs w:val="28"/>
              </w:rPr>
            </w:pPr>
            <w:r w:rsidRPr="00AD6B7C">
              <w:rPr>
                <w:color w:val="000000"/>
                <w:sz w:val="28"/>
                <w:szCs w:val="28"/>
              </w:rPr>
              <w:t xml:space="preserve">1)  Saskaņā ar grozījumiem Administratīvā procesa likuma (turpmāk – APL) 124.panta otrajā daļā paredzēts palielināt valsts nodevas apmēru par apelācijas sūdzību no 10 latiem uz 40 latiem. Tiek </w:t>
            </w:r>
            <w:r w:rsidRPr="00AD6B7C">
              <w:rPr>
                <w:color w:val="000000"/>
                <w:sz w:val="28"/>
                <w:szCs w:val="28"/>
              </w:rPr>
              <w:lastRenderedPageBreak/>
              <w:t>prognozēts, ka APL grozījumi stāsies spēkā ar 01.06.2011.</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Gadā vidēji tiek iesniegtas 1400 apelācijas sūdzības un saskaņā ar APL daļa procesa dalībnieku to mantiskā stāvokļa dēļ no valsts nodevas samaksas pilnībā vai daļēji tiek atbrīvoti. Valsts nodeva gadā vidēji tiek iemaksāta par 1380 apelācijas sūdzībām.</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1380 apelācijas sūdzības x </w:t>
            </w:r>
            <w:smartTag w:uri="schemas-tilde-lv/tildestengine" w:element="currency2">
              <w:smartTagPr>
                <w:attr w:name="currency_text" w:val="Ls"/>
                <w:attr w:name="currency_value" w:val="40"/>
                <w:attr w:name="currency_key" w:val="LVL"/>
                <w:attr w:name="currency_id" w:val="48"/>
              </w:smartTagPr>
              <w:r w:rsidRPr="00AD6B7C">
                <w:rPr>
                  <w:color w:val="000000"/>
                  <w:sz w:val="28"/>
                  <w:szCs w:val="28"/>
                </w:rPr>
                <w:t>Ls 40</w:t>
              </w:r>
            </w:smartTag>
            <w:r w:rsidRPr="00AD6B7C">
              <w:rPr>
                <w:color w:val="000000"/>
                <w:sz w:val="28"/>
                <w:szCs w:val="28"/>
              </w:rPr>
              <w:t xml:space="preserve"> =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Izmaiņas: prognozējamie ieņēmumi 2012.gadā </w:t>
            </w:r>
            <w:smartTag w:uri="schemas-tilde-lv/tildestengine" w:element="currency2">
              <w:smartTagPr>
                <w:attr w:name="currency_text" w:val="Ls"/>
                <w:attr w:name="currency_value" w:val="55"/>
                <w:attr w:name="currency_key" w:val="LVL"/>
                <w:attr w:name="currency_id" w:val="48"/>
              </w:smartTagPr>
              <w:r w:rsidRPr="00AD6B7C">
                <w:rPr>
                  <w:color w:val="000000"/>
                  <w:sz w:val="28"/>
                  <w:szCs w:val="28"/>
                </w:rPr>
                <w:t>Ls 55</w:t>
              </w:r>
            </w:smartTag>
            <w:r w:rsidRPr="00AD6B7C">
              <w:rPr>
                <w:color w:val="000000"/>
                <w:sz w:val="28"/>
                <w:szCs w:val="28"/>
              </w:rPr>
              <w:t xml:space="preserve"> 200 – prognozējamie ieņēmumi 2010.gadā </w:t>
            </w:r>
            <w:smartTag w:uri="schemas-tilde-lv/tildestengine" w:element="currency2">
              <w:smartTagPr>
                <w:attr w:name="currency_text" w:val="Ls"/>
                <w:attr w:name="currency_value" w:val="13"/>
                <w:attr w:name="currency_key" w:val="LVL"/>
                <w:attr w:name="currency_id" w:val="48"/>
              </w:smartTagPr>
              <w:r w:rsidRPr="00AD6B7C">
                <w:rPr>
                  <w:color w:val="000000"/>
                  <w:sz w:val="28"/>
                  <w:szCs w:val="28"/>
                </w:rPr>
                <w:t>Ls 13</w:t>
              </w:r>
            </w:smartTag>
            <w:r w:rsidRPr="00AD6B7C">
              <w:rPr>
                <w:color w:val="000000"/>
                <w:sz w:val="28"/>
                <w:szCs w:val="28"/>
              </w:rPr>
              <w:t xml:space="preserve"> 800 = </w:t>
            </w:r>
            <w:smartTag w:uri="schemas-tilde-lv/tildestengine" w:element="currency2">
              <w:smartTagPr>
                <w:attr w:name="currency_text" w:val="Ls"/>
                <w:attr w:name="currency_value" w:val="41"/>
                <w:attr w:name="currency_key" w:val="LVL"/>
                <w:attr w:name="currency_id" w:val="48"/>
              </w:smartTagPr>
              <w:r w:rsidRPr="00AD6B7C">
                <w:rPr>
                  <w:color w:val="000000"/>
                  <w:sz w:val="28"/>
                  <w:szCs w:val="28"/>
                </w:rPr>
                <w:t>Ls 41</w:t>
              </w:r>
            </w:smartTag>
            <w:r w:rsidRPr="00AD6B7C">
              <w:rPr>
                <w:color w:val="000000"/>
                <w:sz w:val="28"/>
                <w:szCs w:val="28"/>
              </w:rPr>
              <w:t xml:space="preserve"> 400.</w:t>
            </w:r>
          </w:p>
          <w:p w:rsidR="00A071B1" w:rsidRPr="00AD6B7C" w:rsidRDefault="00A071B1"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124.panta trešajā daļā paredzēta drošības naudas maksa par kasācijas sūdzību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un par blakus sūdzību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Ja kasācijas sūdzība vai blakus sūdzība tiek pilnībā vai daļēji apmierināta, drošības naudu atmaksā. Ja kasācijas sūdzību vai blakus sūdzību noraida, drošības naudu neatmaksā un ieskaita valsts budžetā.</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Gadā vidēji tiek iesniegtas 500 kasācijas sūdzības, no kurām vidēji 50% tiek noraidītas, un vidēji 1350 blakus sūdzības, no kurām vidēji 70% tiek noraidītas.</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(500 kasācijas sūdzības x </w:t>
            </w:r>
            <w:smartTag w:uri="schemas-tilde-lv/tildestengine" w:element="currency2">
              <w:smartTagPr>
                <w:attr w:name="currency_text" w:val="Ls"/>
                <w:attr w:name="currency_value" w:val="50"/>
                <w:attr w:name="currency_key" w:val="LVL"/>
                <w:attr w:name="currency_id" w:val="48"/>
              </w:smartTagPr>
              <w:r w:rsidRPr="00AD6B7C">
                <w:rPr>
                  <w:color w:val="000000"/>
                  <w:sz w:val="28"/>
                  <w:szCs w:val="28"/>
                </w:rPr>
                <w:t>Ls 50</w:t>
              </w:r>
            </w:smartTag>
            <w:r w:rsidRPr="00AD6B7C">
              <w:rPr>
                <w:color w:val="000000"/>
                <w:sz w:val="28"/>
                <w:szCs w:val="28"/>
              </w:rPr>
              <w:t xml:space="preserve"> x 50% ) + (1350 blakus sūdzības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x 70%) = </w:t>
            </w:r>
            <w:smartTag w:uri="schemas-tilde-lv/tildestengine" w:element="currency2">
              <w:smartTagPr>
                <w:attr w:name="currency_text" w:val="Ls"/>
                <w:attr w:name="currency_value" w:val="21"/>
                <w:attr w:name="currency_key" w:val="LVL"/>
                <w:attr w:name="currency_id" w:val="48"/>
              </w:smartTagPr>
              <w:r w:rsidRPr="00AD6B7C">
                <w:rPr>
                  <w:color w:val="000000"/>
                  <w:sz w:val="28"/>
                  <w:szCs w:val="28"/>
                </w:rPr>
                <w:t>Ls 21</w:t>
              </w:r>
            </w:smartTag>
            <w:r w:rsidRPr="00AD6B7C">
              <w:rPr>
                <w:color w:val="000000"/>
                <w:sz w:val="28"/>
                <w:szCs w:val="28"/>
              </w:rPr>
              <w:t xml:space="preserve"> 950.</w:t>
            </w:r>
          </w:p>
          <w:p w:rsidR="00A071B1" w:rsidRPr="00AD6B7C" w:rsidRDefault="00A071B1"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124.pants papildināts ar ceturto daļu, kas nosaka, ka par lūgumu par pagaidu aizsardzību 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70 šādi pieteikumi.</w:t>
            </w:r>
          </w:p>
          <w:p w:rsidR="00A071B1" w:rsidRPr="00AD6B7C" w:rsidRDefault="00A071B1" w:rsidP="00EE185B">
            <w:pPr>
              <w:spacing w:before="100" w:beforeAutospacing="1" w:after="100" w:afterAutospacing="1"/>
              <w:ind w:left="284"/>
              <w:jc w:val="both"/>
              <w:rPr>
                <w:color w:val="000000"/>
                <w:sz w:val="28"/>
                <w:szCs w:val="28"/>
              </w:rPr>
            </w:pPr>
            <w:r w:rsidRPr="00AD6B7C">
              <w:rPr>
                <w:color w:val="000000"/>
                <w:sz w:val="28"/>
                <w:szCs w:val="28"/>
              </w:rPr>
              <w:t xml:space="preserve">Prognozējamie ieņēmumi: 70 lūgumi par pagaidu aizsardzību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w:t>
            </w:r>
            <w:smartTag w:uri="schemas-tilde-lv/tildestengine" w:element="currency2">
              <w:smartTagPr>
                <w:attr w:name="currency_text" w:val="Ls"/>
                <w:attr w:name="currency_value" w:val="700."/>
                <w:attr w:name="currency_key" w:val="LVL"/>
                <w:attr w:name="currency_id" w:val="48"/>
              </w:smartTagPr>
              <w:r w:rsidRPr="00AD6B7C">
                <w:rPr>
                  <w:color w:val="000000"/>
                  <w:sz w:val="28"/>
                  <w:szCs w:val="28"/>
                </w:rPr>
                <w:t>Ls 700.</w:t>
              </w:r>
            </w:smartTag>
          </w:p>
          <w:p w:rsidR="00A071B1" w:rsidRPr="00AD6B7C" w:rsidRDefault="00A071B1" w:rsidP="00EE185B">
            <w:pPr>
              <w:numPr>
                <w:ilvl w:val="0"/>
                <w:numId w:val="20"/>
              </w:numPr>
              <w:spacing w:before="100" w:beforeAutospacing="1" w:after="100" w:afterAutospacing="1"/>
              <w:ind w:left="284" w:hanging="284"/>
              <w:jc w:val="both"/>
              <w:rPr>
                <w:color w:val="000000"/>
                <w:sz w:val="28"/>
                <w:szCs w:val="28"/>
              </w:rPr>
            </w:pPr>
            <w:r w:rsidRPr="00AD6B7C">
              <w:rPr>
                <w:color w:val="000000"/>
                <w:sz w:val="28"/>
                <w:szCs w:val="28"/>
              </w:rPr>
              <w:t xml:space="preserve">Saskaņā ar grozījumiem APL 124.pants papildināts ar piekto daļu, kas nosaka, ka par pieteikumu par lietas jaunu izskatīšanu sakarā ar jaunatklātiem apstākļiem </w:t>
            </w:r>
            <w:r w:rsidRPr="00AD6B7C">
              <w:rPr>
                <w:color w:val="000000"/>
                <w:sz w:val="28"/>
                <w:szCs w:val="28"/>
              </w:rPr>
              <w:lastRenderedPageBreak/>
              <w:t xml:space="preserve">maksā valsts nodevu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Gadā vidēji tiek iesniegti 30 šādi pieteikumi.</w:t>
            </w:r>
          </w:p>
          <w:p w:rsidR="00A071B1" w:rsidRPr="00AD6B7C" w:rsidRDefault="00A071B1" w:rsidP="00A071B1">
            <w:pPr>
              <w:spacing w:before="100" w:beforeAutospacing="1" w:after="100" w:afterAutospacing="1"/>
              <w:ind w:left="284"/>
              <w:jc w:val="both"/>
              <w:rPr>
                <w:color w:val="000000"/>
                <w:sz w:val="28"/>
                <w:szCs w:val="28"/>
              </w:rPr>
            </w:pPr>
            <w:r w:rsidRPr="00AD6B7C">
              <w:rPr>
                <w:color w:val="000000"/>
                <w:sz w:val="28"/>
                <w:szCs w:val="28"/>
              </w:rPr>
              <w:t xml:space="preserve">Prognozējamie ieņēmumi: 30 pieteikumi par lietas jaunu izskatīšanu sakarā ar jaunatklātiem apstākļiem x </w:t>
            </w:r>
            <w:smartTag w:uri="schemas-tilde-lv/tildestengine" w:element="currency2">
              <w:smartTagPr>
                <w:attr w:name="currency_text" w:val="Ls"/>
                <w:attr w:name="currency_value" w:val="10"/>
                <w:attr w:name="currency_key" w:val="LVL"/>
                <w:attr w:name="currency_id" w:val="48"/>
              </w:smartTagPr>
              <w:r w:rsidRPr="00AD6B7C">
                <w:rPr>
                  <w:color w:val="000000"/>
                  <w:sz w:val="28"/>
                  <w:szCs w:val="28"/>
                </w:rPr>
                <w:t>Ls 10</w:t>
              </w:r>
            </w:smartTag>
            <w:r w:rsidRPr="00AD6B7C">
              <w:rPr>
                <w:color w:val="000000"/>
                <w:sz w:val="28"/>
                <w:szCs w:val="28"/>
              </w:rPr>
              <w:t xml:space="preserve"> = Ls 300.</w:t>
            </w: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6.1. detalizēts ieņēmumu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rPr>
                <w:sz w:val="28"/>
                <w:szCs w:val="28"/>
              </w:rPr>
            </w:pP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6.2. detalizēts izdevumu aprēķins</w:t>
            </w:r>
          </w:p>
        </w:tc>
        <w:tc>
          <w:tcPr>
            <w:tcW w:w="6386" w:type="dxa"/>
            <w:gridSpan w:val="13"/>
            <w:vMerge/>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rPr>
                <w:sz w:val="28"/>
                <w:szCs w:val="28"/>
              </w:rPr>
            </w:pPr>
          </w:p>
        </w:tc>
      </w:tr>
      <w:tr w:rsidR="00A071B1" w:rsidRPr="00722305" w:rsidTr="00EE185B">
        <w:trPr>
          <w:gridAfter w:val="1"/>
          <w:wAfter w:w="20" w:type="dxa"/>
          <w:tblCellSpacing w:w="0" w:type="dxa"/>
        </w:trPr>
        <w:tc>
          <w:tcPr>
            <w:tcW w:w="2695"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7. Cita informācija</w:t>
            </w:r>
          </w:p>
        </w:tc>
        <w:tc>
          <w:tcPr>
            <w:tcW w:w="6386" w:type="dxa"/>
            <w:gridSpan w:val="13"/>
            <w:tcBorders>
              <w:top w:val="outset" w:sz="6" w:space="0" w:color="auto"/>
              <w:left w:val="outset" w:sz="6" w:space="0" w:color="auto"/>
              <w:bottom w:val="outset" w:sz="6" w:space="0" w:color="auto"/>
              <w:right w:val="outset" w:sz="6" w:space="0" w:color="auto"/>
            </w:tcBorders>
          </w:tcPr>
          <w:p w:rsidR="00A071B1" w:rsidRPr="00722305" w:rsidRDefault="00A071B1" w:rsidP="00752F76">
            <w:pPr>
              <w:spacing w:before="100" w:beforeAutospacing="1" w:after="100" w:afterAutospacing="1"/>
              <w:jc w:val="both"/>
              <w:rPr>
                <w:sz w:val="28"/>
                <w:szCs w:val="28"/>
              </w:rPr>
            </w:pPr>
            <w:r w:rsidRPr="00EE185B">
              <w:rPr>
                <w:sz w:val="28"/>
                <w:szCs w:val="28"/>
              </w:rPr>
              <w:t> </w:t>
            </w:r>
            <w:r w:rsidR="00752F76">
              <w:rPr>
                <w:iCs/>
                <w:sz w:val="28"/>
                <w:szCs w:val="28"/>
              </w:rPr>
              <w:t>Nav</w:t>
            </w:r>
          </w:p>
        </w:tc>
      </w:tr>
      <w:tr w:rsidR="00A071B1"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jc w:val="center"/>
              <w:rPr>
                <w:b/>
                <w:sz w:val="28"/>
                <w:szCs w:val="28"/>
              </w:rPr>
            </w:pPr>
            <w:r w:rsidRPr="00722305">
              <w:rPr>
                <w:i/>
                <w:iCs/>
                <w:sz w:val="28"/>
                <w:szCs w:val="28"/>
              </w:rPr>
              <w:t> </w:t>
            </w:r>
            <w:r w:rsidRPr="00722305">
              <w:rPr>
                <w:b/>
                <w:sz w:val="28"/>
                <w:szCs w:val="28"/>
              </w:rPr>
              <w:t>IV. Tiesību akta projekta ietekme uz spēkā esošo tiesību normu sistēmu</w:t>
            </w:r>
          </w:p>
        </w:tc>
      </w:tr>
      <w:tr w:rsidR="00A071B1"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1.</w:t>
            </w:r>
          </w:p>
        </w:tc>
        <w:tc>
          <w:tcPr>
            <w:tcW w:w="3934"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Nepieciešamie saistītie tiesību aktu projekti</w:t>
            </w:r>
          </w:p>
        </w:tc>
        <w:tc>
          <w:tcPr>
            <w:tcW w:w="4111" w:type="dxa"/>
            <w:gridSpan w:val="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722305" w:rsidTr="00EE185B">
        <w:trPr>
          <w:tblCellSpacing w:w="0" w:type="dxa"/>
        </w:trPr>
        <w:tc>
          <w:tcPr>
            <w:tcW w:w="1056" w:type="dxa"/>
            <w:gridSpan w:val="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2.</w:t>
            </w:r>
          </w:p>
        </w:tc>
        <w:tc>
          <w:tcPr>
            <w:tcW w:w="3934"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Cita informācija</w:t>
            </w:r>
          </w:p>
        </w:tc>
        <w:tc>
          <w:tcPr>
            <w:tcW w:w="4111" w:type="dxa"/>
            <w:gridSpan w:val="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Pr>
                <w:sz w:val="28"/>
                <w:szCs w:val="28"/>
              </w:rPr>
              <w:t>Nav</w:t>
            </w:r>
          </w:p>
          <w:p w:rsidR="00A071B1" w:rsidRPr="00722305" w:rsidRDefault="00A071B1" w:rsidP="00722305">
            <w:pPr>
              <w:spacing w:before="100" w:beforeAutospacing="1" w:after="100" w:afterAutospacing="1"/>
              <w:rPr>
                <w:sz w:val="28"/>
                <w:szCs w:val="28"/>
              </w:rPr>
            </w:pPr>
          </w:p>
        </w:tc>
      </w:tr>
      <w:tr w:rsidR="00A071B1"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jc w:val="center"/>
              <w:rPr>
                <w:b/>
                <w:sz w:val="28"/>
                <w:szCs w:val="28"/>
              </w:rPr>
            </w:pPr>
            <w:r w:rsidRPr="00722305">
              <w:rPr>
                <w:sz w:val="28"/>
                <w:szCs w:val="28"/>
              </w:rPr>
              <w:t> </w:t>
            </w:r>
            <w:r w:rsidRPr="00722305">
              <w:rPr>
                <w:b/>
                <w:sz w:val="28"/>
                <w:szCs w:val="28"/>
              </w:rPr>
              <w:t>V. Tiesību akta projekta atbilstība Latvijas Republikas starptautiskajām saistībām</w:t>
            </w:r>
          </w:p>
        </w:tc>
      </w:tr>
      <w:tr w:rsidR="00A071B1"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1.</w:t>
            </w:r>
          </w:p>
        </w:tc>
        <w:tc>
          <w:tcPr>
            <w:tcW w:w="3877"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Saistības pret Eiropas Savienību</w:t>
            </w:r>
          </w:p>
        </w:tc>
        <w:tc>
          <w:tcPr>
            <w:tcW w:w="4177"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903762"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2.</w:t>
            </w:r>
          </w:p>
        </w:tc>
        <w:tc>
          <w:tcPr>
            <w:tcW w:w="3877" w:type="dxa"/>
            <w:gridSpan w:val="10"/>
            <w:tcBorders>
              <w:top w:val="outset" w:sz="6" w:space="0" w:color="auto"/>
              <w:left w:val="outset" w:sz="6" w:space="0" w:color="auto"/>
              <w:bottom w:val="outset" w:sz="6" w:space="0" w:color="auto"/>
              <w:right w:val="outset" w:sz="6" w:space="0" w:color="auto"/>
            </w:tcBorders>
          </w:tcPr>
          <w:p w:rsidR="00A071B1" w:rsidRPr="00171877" w:rsidRDefault="00A071B1" w:rsidP="00722305">
            <w:pPr>
              <w:spacing w:before="100" w:beforeAutospacing="1" w:after="100" w:afterAutospacing="1"/>
              <w:rPr>
                <w:sz w:val="28"/>
                <w:szCs w:val="28"/>
              </w:rPr>
            </w:pPr>
            <w:r w:rsidRPr="00171877">
              <w:rPr>
                <w:sz w:val="28"/>
                <w:szCs w:val="28"/>
              </w:rPr>
              <w:t> Citas starptautiskās saistības</w:t>
            </w:r>
          </w:p>
        </w:tc>
        <w:tc>
          <w:tcPr>
            <w:tcW w:w="4177" w:type="dxa"/>
            <w:gridSpan w:val="8"/>
            <w:tcBorders>
              <w:top w:val="outset" w:sz="6" w:space="0" w:color="auto"/>
              <w:left w:val="outset" w:sz="6" w:space="0" w:color="auto"/>
              <w:bottom w:val="outset" w:sz="6" w:space="0" w:color="auto"/>
              <w:right w:val="outset" w:sz="6" w:space="0" w:color="auto"/>
            </w:tcBorders>
          </w:tcPr>
          <w:p w:rsidR="00A071B1" w:rsidRPr="00171877" w:rsidRDefault="00A071B1" w:rsidP="00171877">
            <w:pPr>
              <w:jc w:val="both"/>
              <w:rPr>
                <w:sz w:val="28"/>
                <w:szCs w:val="28"/>
              </w:rPr>
            </w:pPr>
            <w:r w:rsidRPr="00171877">
              <w:rPr>
                <w:sz w:val="28"/>
                <w:szCs w:val="28"/>
              </w:rPr>
              <w:t> Likumprojekts netieši skar Latvijas saistības Apvienoto Nāciju Organizācijas un Eiropas padomes ietvaros, kā arī Latvijas saistības, kas izriet no cilvēktiesības regulējošajiem  starptautiskajiem līgumiem proti, Latvijas pienākumu nodrošināt iedzīvotāju tiesības uz taisnīgu tiesu, tostarp savlaicīgu lietu izskatīšanu saprātīgā termiņā.</w:t>
            </w:r>
          </w:p>
          <w:p w:rsidR="00A071B1" w:rsidRPr="00171877" w:rsidRDefault="00A071B1" w:rsidP="00171877">
            <w:pPr>
              <w:jc w:val="both"/>
              <w:rPr>
                <w:sz w:val="28"/>
                <w:szCs w:val="28"/>
              </w:rPr>
            </w:pPr>
          </w:p>
        </w:tc>
      </w:tr>
      <w:tr w:rsidR="00A071B1" w:rsidRPr="00722305" w:rsidTr="00EE185B">
        <w:trPr>
          <w:tblCellSpacing w:w="0" w:type="dxa"/>
        </w:trPr>
        <w:tc>
          <w:tcPr>
            <w:tcW w:w="1047"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3.</w:t>
            </w:r>
          </w:p>
        </w:tc>
        <w:tc>
          <w:tcPr>
            <w:tcW w:w="3877"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Cita informācija</w:t>
            </w:r>
          </w:p>
        </w:tc>
        <w:tc>
          <w:tcPr>
            <w:tcW w:w="4177"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w:t>
            </w:r>
          </w:p>
          <w:p w:rsidR="00A071B1" w:rsidRPr="00722305" w:rsidRDefault="00A071B1" w:rsidP="00722305">
            <w:pPr>
              <w:spacing w:before="100" w:beforeAutospacing="1" w:after="100" w:afterAutospacing="1"/>
              <w:rPr>
                <w:sz w:val="28"/>
                <w:szCs w:val="28"/>
              </w:rPr>
            </w:pPr>
          </w:p>
        </w:tc>
      </w:tr>
      <w:tr w:rsidR="00A071B1" w:rsidRPr="00722305" w:rsidTr="008B20B1">
        <w:trPr>
          <w:trHeight w:val="52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jc w:val="center"/>
              <w:rPr>
                <w:b/>
                <w:sz w:val="28"/>
                <w:szCs w:val="28"/>
              </w:rPr>
            </w:pPr>
            <w:r w:rsidRPr="00722305">
              <w:rPr>
                <w:sz w:val="28"/>
                <w:szCs w:val="28"/>
              </w:rPr>
              <w:t> </w:t>
            </w:r>
            <w:r w:rsidRPr="00722305">
              <w:rPr>
                <w:b/>
                <w:sz w:val="28"/>
                <w:szCs w:val="28"/>
              </w:rPr>
              <w:t>1.tabula</w:t>
            </w:r>
          </w:p>
          <w:p w:rsidR="00A071B1" w:rsidRPr="00722305" w:rsidRDefault="00A071B1" w:rsidP="00722305">
            <w:pPr>
              <w:spacing w:before="100" w:beforeAutospacing="1" w:after="100" w:afterAutospacing="1"/>
              <w:jc w:val="center"/>
              <w:rPr>
                <w:sz w:val="28"/>
                <w:szCs w:val="28"/>
              </w:rPr>
            </w:pPr>
            <w:r w:rsidRPr="00722305">
              <w:rPr>
                <w:b/>
                <w:sz w:val="28"/>
                <w:szCs w:val="28"/>
              </w:rPr>
              <w:t>Tiesību akta projekta atbilstība ES tiesību aktiem</w:t>
            </w:r>
          </w:p>
        </w:tc>
      </w:tr>
      <w:tr w:rsidR="00A071B1" w:rsidRPr="00722305" w:rsidTr="008B20B1">
        <w:trPr>
          <w:trHeight w:val="1252"/>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Attiecīgā ES tiesību akta datums, numurs un nosaukums</w:t>
            </w:r>
          </w:p>
        </w:tc>
        <w:tc>
          <w:tcPr>
            <w:tcW w:w="7300" w:type="dxa"/>
            <w:gridSpan w:val="1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Aizpilda, ja ar projektu tiek pārņemts vai ieviests vairāk nekā viens ES tiesību akts – jānorāda tā pati informācija, kas prasīta instrukcijas 55.1.apakšpunktā un jau tikusi norādīta arī V sadaļas 1.punkta ietvaros</w:t>
            </w:r>
          </w:p>
        </w:tc>
      </w:tr>
      <w:tr w:rsidR="00A071B1"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3" w:lineRule="atLeast"/>
              <w:rPr>
                <w:sz w:val="28"/>
                <w:szCs w:val="28"/>
              </w:rPr>
            </w:pPr>
            <w:r w:rsidRPr="00722305">
              <w:rPr>
                <w:sz w:val="28"/>
                <w:szCs w:val="28"/>
              </w:rPr>
              <w:t>  </w:t>
            </w:r>
          </w:p>
        </w:tc>
      </w:tr>
      <w:tr w:rsidR="00A071B1" w:rsidRPr="00722305" w:rsidTr="00EE185B">
        <w:trPr>
          <w:trHeight w:val="165"/>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5" w:lineRule="atLeast"/>
              <w:rPr>
                <w:sz w:val="28"/>
                <w:szCs w:val="28"/>
              </w:rPr>
            </w:pPr>
            <w:r w:rsidRPr="00722305">
              <w:rPr>
                <w:sz w:val="28"/>
                <w:szCs w:val="28"/>
              </w:rPr>
              <w:t> A</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5" w:lineRule="atLeast"/>
              <w:rPr>
                <w:sz w:val="28"/>
                <w:szCs w:val="28"/>
              </w:rPr>
            </w:pPr>
            <w:r w:rsidRPr="00722305">
              <w:rPr>
                <w:sz w:val="28"/>
                <w:szCs w:val="28"/>
              </w:rPr>
              <w:t> B</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5" w:lineRule="atLeast"/>
              <w:rPr>
                <w:sz w:val="28"/>
                <w:szCs w:val="28"/>
              </w:rPr>
            </w:pPr>
            <w:r w:rsidRPr="00722305">
              <w:rPr>
                <w:sz w:val="28"/>
                <w:szCs w:val="28"/>
              </w:rPr>
              <w:t> C</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5" w:lineRule="atLeast"/>
              <w:rPr>
                <w:sz w:val="28"/>
                <w:szCs w:val="28"/>
              </w:rPr>
            </w:pPr>
            <w:r w:rsidRPr="00722305">
              <w:rPr>
                <w:sz w:val="28"/>
                <w:szCs w:val="28"/>
              </w:rPr>
              <w:t> D</w:t>
            </w:r>
          </w:p>
        </w:tc>
      </w:tr>
      <w:tr w:rsidR="00A071B1" w:rsidRPr="00722305" w:rsidTr="00EE185B">
        <w:trPr>
          <w:trHeight w:val="470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Attiecīgā ES tiesību akta panta numurs (uzskaitot katru tiesību akta</w:t>
            </w:r>
            <w:r w:rsidRPr="00722305">
              <w:rPr>
                <w:sz w:val="28"/>
                <w:szCs w:val="28"/>
              </w:rPr>
              <w:br/>
              <w:t>vienību – pantu, daļu, punktu, apakšpunktu)</w:t>
            </w:r>
          </w:p>
        </w:tc>
        <w:tc>
          <w:tcPr>
            <w:tcW w:w="1667"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Projekta vienība, kas pārņem vai ievieš katru šīs tabulas A ailē minēto ES tiesību akta vienību</w:t>
            </w:r>
          </w:p>
        </w:tc>
        <w:tc>
          <w:tcPr>
            <w:tcW w:w="2842"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Informācija par to, vai šīs tabulas A ailē minētās ES tiesību akta vienības tiek pārņemtas vai ieviestas pilnībā vai daļēji.</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Ja attiecīgā ES tiesību akta vienība tiek pārņemta vai ieviesta daļēji, – sniedz attiecīgu skaidrojumu, kā arī precīzi norāda, kad un kādā veidā ES tiesību akta vienība tiks pārņemta vai ieviesta pilnībā.</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Norāda institūciju, kas ir atbildīga par šo saistību izpildi pilnībā</w:t>
            </w:r>
          </w:p>
        </w:tc>
        <w:tc>
          <w:tcPr>
            <w:tcW w:w="2791"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Informācija par to, vai šīs tabulas B ailē minētās projekta vienības paredz stingrākas prasības nekā šīs tabulas A ailē minētās ES tiesību akta vienības.</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Ja projekts satur stingrākas prasības nekā attiecīgais ES tiesību akts, – norāda pamatojumu un samērīgumu.</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071B1" w:rsidRPr="00722305" w:rsidTr="00EE185B">
        <w:trPr>
          <w:trHeight w:val="2068"/>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c>
          <w:tcPr>
            <w:tcW w:w="1667"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c>
          <w:tcPr>
            <w:tcW w:w="2842" w:type="dxa"/>
            <w:gridSpan w:val="8"/>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p w:rsidR="00A071B1" w:rsidRPr="00722305" w:rsidRDefault="00A071B1" w:rsidP="00722305">
            <w:pPr>
              <w:spacing w:before="100" w:beforeAutospacing="1" w:after="100" w:afterAutospacing="1"/>
              <w:rPr>
                <w:sz w:val="28"/>
                <w:szCs w:val="28"/>
              </w:rPr>
            </w:pPr>
          </w:p>
        </w:tc>
        <w:tc>
          <w:tcPr>
            <w:tcW w:w="2791" w:type="dxa"/>
            <w:gridSpan w:val="4"/>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722305" w:rsidTr="00EE185B">
        <w:trPr>
          <w:trHeight w:val="19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91" w:lineRule="atLeast"/>
              <w:rPr>
                <w:sz w:val="28"/>
                <w:szCs w:val="28"/>
              </w:rPr>
            </w:pPr>
            <w:r w:rsidRPr="00722305">
              <w:rPr>
                <w:sz w:val="28"/>
                <w:szCs w:val="28"/>
              </w:rPr>
              <w:t>  </w:t>
            </w:r>
          </w:p>
        </w:tc>
        <w:tc>
          <w:tcPr>
            <w:tcW w:w="1667" w:type="dxa"/>
            <w:gridSpan w:val="4"/>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91" w:lineRule="atLeast"/>
              <w:rPr>
                <w:sz w:val="28"/>
                <w:szCs w:val="28"/>
              </w:rPr>
            </w:pPr>
            <w:r w:rsidRPr="00722305">
              <w:rPr>
                <w:sz w:val="28"/>
                <w:szCs w:val="28"/>
              </w:rPr>
              <w:t>  </w:t>
            </w:r>
          </w:p>
        </w:tc>
        <w:tc>
          <w:tcPr>
            <w:tcW w:w="2842" w:type="dxa"/>
            <w:gridSpan w:val="8"/>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91" w:lineRule="atLeast"/>
              <w:rPr>
                <w:sz w:val="28"/>
                <w:szCs w:val="28"/>
              </w:rPr>
            </w:pPr>
            <w:r w:rsidRPr="00722305">
              <w:rPr>
                <w:sz w:val="28"/>
                <w:szCs w:val="28"/>
              </w:rPr>
              <w:t>  </w:t>
            </w:r>
          </w:p>
        </w:tc>
        <w:tc>
          <w:tcPr>
            <w:tcW w:w="2791" w:type="dxa"/>
            <w:gridSpan w:val="4"/>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91" w:lineRule="atLeast"/>
              <w:rPr>
                <w:sz w:val="28"/>
                <w:szCs w:val="28"/>
              </w:rPr>
            </w:pPr>
            <w:r w:rsidRPr="00722305">
              <w:rPr>
                <w:sz w:val="28"/>
                <w:szCs w:val="28"/>
              </w:rPr>
              <w:t>  </w:t>
            </w:r>
          </w:p>
        </w:tc>
      </w:tr>
      <w:tr w:rsidR="00A071B1" w:rsidRPr="00722305" w:rsidTr="008B20B1">
        <w:trPr>
          <w:trHeight w:val="281"/>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xml:space="preserve"> Kā ir izmantota ES tiesību aktā paredzētā </w:t>
            </w:r>
            <w:r w:rsidRPr="00722305">
              <w:rPr>
                <w:sz w:val="28"/>
                <w:szCs w:val="28"/>
              </w:rPr>
              <w:lastRenderedPageBreak/>
              <w:t>rīcības brīvība dalībvalstij pārņemt vai ieviest noteiktas ES tiesību akta normas.</w:t>
            </w:r>
          </w:p>
          <w:p w:rsidR="00A071B1" w:rsidRPr="00722305" w:rsidRDefault="00A071B1" w:rsidP="00722305">
            <w:pPr>
              <w:spacing w:before="100" w:beforeAutospacing="1" w:after="100" w:afterAutospacing="1"/>
              <w:rPr>
                <w:sz w:val="28"/>
                <w:szCs w:val="28"/>
              </w:rPr>
            </w:pPr>
            <w:r w:rsidRPr="00722305">
              <w:rPr>
                <w:sz w:val="28"/>
                <w:szCs w:val="28"/>
              </w:rPr>
              <w:t>Kādēļ?</w:t>
            </w:r>
          </w:p>
        </w:tc>
        <w:tc>
          <w:tcPr>
            <w:tcW w:w="7300" w:type="dxa"/>
            <w:gridSpan w:val="1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w:t>
            </w:r>
            <w:r>
              <w:rPr>
                <w:sz w:val="28"/>
                <w:szCs w:val="28"/>
              </w:rPr>
              <w:t>Nav attiecināms</w:t>
            </w:r>
          </w:p>
        </w:tc>
      </w:tr>
      <w:tr w:rsidR="00A071B1" w:rsidRPr="00722305" w:rsidTr="008B20B1">
        <w:trPr>
          <w:trHeight w:val="913"/>
          <w:tblCellSpacing w:w="0" w:type="dxa"/>
        </w:trPr>
        <w:tc>
          <w:tcPr>
            <w:tcW w:w="1801" w:type="dxa"/>
            <w:gridSpan w:val="6"/>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00" w:type="dxa"/>
            <w:gridSpan w:val="1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722305" w:rsidTr="008B20B1">
        <w:trPr>
          <w:trHeight w:val="579"/>
          <w:tblCellSpacing w:w="0" w:type="dxa"/>
        </w:trPr>
        <w:tc>
          <w:tcPr>
            <w:tcW w:w="1801" w:type="dxa"/>
            <w:gridSpan w:val="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Cita informācija</w:t>
            </w:r>
          </w:p>
        </w:tc>
        <w:tc>
          <w:tcPr>
            <w:tcW w:w="7300" w:type="dxa"/>
            <w:gridSpan w:val="16"/>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w:t>
            </w:r>
          </w:p>
          <w:p w:rsidR="00A071B1" w:rsidRPr="00722305" w:rsidRDefault="00A071B1" w:rsidP="00722305">
            <w:pPr>
              <w:spacing w:before="100" w:beforeAutospacing="1" w:after="100" w:afterAutospacing="1"/>
              <w:rPr>
                <w:sz w:val="28"/>
                <w:szCs w:val="28"/>
              </w:rPr>
            </w:pPr>
          </w:p>
        </w:tc>
      </w:tr>
      <w:tr w:rsidR="00A071B1" w:rsidRPr="00722305" w:rsidTr="008B20B1">
        <w:trPr>
          <w:trHeight w:val="792"/>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jc w:val="center"/>
              <w:rPr>
                <w:b/>
                <w:sz w:val="28"/>
                <w:szCs w:val="28"/>
              </w:rPr>
            </w:pPr>
            <w:r w:rsidRPr="00722305">
              <w:rPr>
                <w:sz w:val="28"/>
                <w:szCs w:val="28"/>
              </w:rPr>
              <w:t> </w:t>
            </w:r>
            <w:r w:rsidRPr="00722305">
              <w:rPr>
                <w:b/>
                <w:sz w:val="28"/>
                <w:szCs w:val="28"/>
              </w:rPr>
              <w:t>2.tabula</w:t>
            </w:r>
          </w:p>
          <w:p w:rsidR="00A071B1" w:rsidRPr="00722305" w:rsidRDefault="00A071B1" w:rsidP="00722305">
            <w:pPr>
              <w:spacing w:before="100" w:beforeAutospacing="1" w:after="100" w:afterAutospacing="1"/>
              <w:jc w:val="center"/>
              <w:rPr>
                <w:b/>
                <w:sz w:val="28"/>
                <w:szCs w:val="28"/>
              </w:rPr>
            </w:pPr>
            <w:r w:rsidRPr="00722305">
              <w:rPr>
                <w:b/>
                <w:sz w:val="28"/>
                <w:szCs w:val="28"/>
              </w:rPr>
              <w:t>Ar tiesību akta projektu uzņemtās saistības, kas izriet no starptautiskajiem tiesību aktiem vai starptautiskas institūcijas vai organizācijas dokumentiem</w:t>
            </w:r>
          </w:p>
          <w:p w:rsidR="00A071B1" w:rsidRPr="00722305" w:rsidRDefault="00A071B1" w:rsidP="00722305">
            <w:pPr>
              <w:spacing w:before="100" w:beforeAutospacing="1" w:after="100" w:afterAutospacing="1"/>
              <w:jc w:val="center"/>
              <w:rPr>
                <w:sz w:val="28"/>
                <w:szCs w:val="28"/>
              </w:rPr>
            </w:pPr>
            <w:r w:rsidRPr="00722305">
              <w:rPr>
                <w:b/>
                <w:sz w:val="28"/>
                <w:szCs w:val="28"/>
              </w:rPr>
              <w:t>Pasākumi šo saistību izpildei</w:t>
            </w:r>
          </w:p>
        </w:tc>
      </w:tr>
      <w:tr w:rsidR="00A071B1" w:rsidRPr="00722305" w:rsidTr="008B20B1">
        <w:trPr>
          <w:trHeight w:val="1596"/>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lastRenderedPageBreak/>
              <w:t> Attiecīgā starptautiskā tiesību akta vai starptautiskas institūcijas vai organizācijas dokumenta (turpmāk – starptautiskais dokuments) datums, numurs un nosaukums</w:t>
            </w:r>
          </w:p>
        </w:tc>
        <w:tc>
          <w:tcPr>
            <w:tcW w:w="7015" w:type="dxa"/>
            <w:gridSpan w:val="1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722305" w:rsidTr="008B20B1">
        <w:trPr>
          <w:trHeight w:val="163"/>
          <w:tblCellSpacing w:w="0" w:type="dxa"/>
        </w:trPr>
        <w:tc>
          <w:tcPr>
            <w:tcW w:w="9101" w:type="dxa"/>
            <w:gridSpan w:val="22"/>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3" w:lineRule="atLeast"/>
              <w:rPr>
                <w:sz w:val="28"/>
                <w:szCs w:val="28"/>
              </w:rPr>
            </w:pPr>
            <w:r w:rsidRPr="00722305">
              <w:rPr>
                <w:sz w:val="28"/>
                <w:szCs w:val="28"/>
              </w:rPr>
              <w:t>  </w:t>
            </w:r>
          </w:p>
        </w:tc>
      </w:tr>
      <w:tr w:rsidR="00A071B1"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A</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B</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rPr>
                <w:sz w:val="28"/>
                <w:szCs w:val="28"/>
              </w:rPr>
            </w:pPr>
            <w:r w:rsidRPr="00722305">
              <w:rPr>
                <w:sz w:val="28"/>
                <w:szCs w:val="28"/>
              </w:rPr>
              <w:t> C</w:t>
            </w:r>
          </w:p>
        </w:tc>
      </w:tr>
      <w:tr w:rsidR="00A071B1" w:rsidRPr="00722305" w:rsidTr="00EE185B">
        <w:trPr>
          <w:trHeight w:val="341"/>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Starptautiskās saistības (pēc būtības), kas izriet no norādītā starptautiskā dokumenta.</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Konkrēti veicamie pasākumi vai uzdevumi, kas nepieciešami šo starptautisko saistību izpildei</w:t>
            </w:r>
          </w:p>
        </w:tc>
        <w:tc>
          <w:tcPr>
            <w:tcW w:w="3099"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Ja pasākumi vai uzdevumi, ar ko tiks izpildītas starptautiskās saistības, tiek noteikti projektā, norāda attiecīgo projekta vienību.</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Vai arī norāda dokumentu, kurā sniegts izvērsts skaidrojums, kādā veidā tiks nodrošināta starptautisko saistību izpilde</w:t>
            </w:r>
          </w:p>
        </w:tc>
        <w:tc>
          <w:tcPr>
            <w:tcW w:w="3916" w:type="dxa"/>
            <w:gridSpan w:val="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Informācija par to, vai starptautiskās saistības, kas minētas šīs tabulas A ailē, tiek izpildītas pilnībā vai daļēji.</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Ja attiecīgās starptautiskās saistības tiek izpildītas daļēji, sniedz attiecīgu skaidrojumu, kā arī precīzi norāda, kad un kādā veidā starptautiskās saistības tiks izpildītas pilnībā.</w:t>
            </w:r>
          </w:p>
          <w:p w:rsidR="00A071B1" w:rsidRPr="00722305" w:rsidRDefault="00A071B1" w:rsidP="00722305">
            <w:pPr>
              <w:spacing w:before="100" w:beforeAutospacing="1" w:after="100" w:afterAutospacing="1"/>
              <w:rPr>
                <w:sz w:val="28"/>
                <w:szCs w:val="28"/>
              </w:rPr>
            </w:pPr>
            <w:r w:rsidRPr="00722305">
              <w:rPr>
                <w:sz w:val="28"/>
                <w:szCs w:val="28"/>
              </w:rPr>
              <w:t> </w:t>
            </w:r>
          </w:p>
          <w:p w:rsidR="00A071B1" w:rsidRPr="00722305" w:rsidRDefault="00A071B1" w:rsidP="00722305">
            <w:pPr>
              <w:spacing w:before="100" w:beforeAutospacing="1" w:after="100" w:afterAutospacing="1"/>
              <w:rPr>
                <w:sz w:val="28"/>
                <w:szCs w:val="28"/>
              </w:rPr>
            </w:pPr>
            <w:r w:rsidRPr="00722305">
              <w:rPr>
                <w:sz w:val="28"/>
                <w:szCs w:val="28"/>
              </w:rPr>
              <w:t>Norāda institūciju, kas ir atbildīga par šo saistību izpildi pilnībā</w:t>
            </w:r>
          </w:p>
        </w:tc>
      </w:tr>
      <w:tr w:rsidR="00A071B1" w:rsidRPr="00722305" w:rsidTr="00EE185B">
        <w:trPr>
          <w:trHeight w:val="1425"/>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c>
          <w:tcPr>
            <w:tcW w:w="3099"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c>
          <w:tcPr>
            <w:tcW w:w="3916" w:type="dxa"/>
            <w:gridSpan w:val="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p w:rsidR="00A071B1" w:rsidRPr="00722305" w:rsidRDefault="00A071B1" w:rsidP="00722305">
            <w:pPr>
              <w:spacing w:before="100" w:beforeAutospacing="1" w:after="100" w:afterAutospacing="1"/>
              <w:rPr>
                <w:sz w:val="28"/>
                <w:szCs w:val="28"/>
              </w:rPr>
            </w:pPr>
          </w:p>
        </w:tc>
      </w:tr>
      <w:tr w:rsidR="00A071B1" w:rsidRPr="00722305" w:rsidTr="00EE185B">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1" w:lineRule="atLeast"/>
              <w:rPr>
                <w:sz w:val="28"/>
                <w:szCs w:val="28"/>
              </w:rPr>
            </w:pPr>
            <w:r w:rsidRPr="00722305">
              <w:rPr>
                <w:sz w:val="28"/>
                <w:szCs w:val="28"/>
              </w:rPr>
              <w:t>  </w:t>
            </w:r>
          </w:p>
        </w:tc>
        <w:tc>
          <w:tcPr>
            <w:tcW w:w="3099" w:type="dxa"/>
            <w:gridSpan w:val="10"/>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1" w:lineRule="atLeast"/>
              <w:rPr>
                <w:sz w:val="28"/>
                <w:szCs w:val="28"/>
              </w:rPr>
            </w:pPr>
            <w:r w:rsidRPr="00722305">
              <w:rPr>
                <w:sz w:val="28"/>
                <w:szCs w:val="28"/>
              </w:rPr>
              <w:t>  </w:t>
            </w:r>
          </w:p>
        </w:tc>
        <w:tc>
          <w:tcPr>
            <w:tcW w:w="3916" w:type="dxa"/>
            <w:gridSpan w:val="5"/>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1" w:lineRule="atLeast"/>
              <w:rPr>
                <w:sz w:val="28"/>
                <w:szCs w:val="28"/>
              </w:rPr>
            </w:pPr>
            <w:r w:rsidRPr="00722305">
              <w:rPr>
                <w:sz w:val="28"/>
                <w:szCs w:val="28"/>
              </w:rPr>
              <w:t>  </w:t>
            </w:r>
          </w:p>
        </w:tc>
      </w:tr>
      <w:tr w:rsidR="00A071B1" w:rsidRPr="00722305" w:rsidTr="008B20B1">
        <w:trPr>
          <w:trHeight w:val="161"/>
          <w:tblCellSpacing w:w="0" w:type="dxa"/>
        </w:trPr>
        <w:tc>
          <w:tcPr>
            <w:tcW w:w="2086" w:type="dxa"/>
            <w:gridSpan w:val="7"/>
            <w:tcBorders>
              <w:top w:val="outset" w:sz="6" w:space="0" w:color="auto"/>
              <w:left w:val="outset" w:sz="6" w:space="0" w:color="auto"/>
              <w:bottom w:val="outset" w:sz="6" w:space="0" w:color="auto"/>
              <w:right w:val="outset" w:sz="6" w:space="0" w:color="auto"/>
            </w:tcBorders>
            <w:vAlign w:val="center"/>
          </w:tcPr>
          <w:p w:rsidR="00A071B1" w:rsidRPr="00722305" w:rsidRDefault="00A071B1" w:rsidP="00722305">
            <w:pPr>
              <w:spacing w:before="100" w:beforeAutospacing="1" w:after="100" w:afterAutospacing="1" w:line="161" w:lineRule="atLeast"/>
              <w:rPr>
                <w:sz w:val="28"/>
                <w:szCs w:val="28"/>
              </w:rPr>
            </w:pPr>
            <w:r w:rsidRPr="00722305">
              <w:rPr>
                <w:sz w:val="28"/>
                <w:szCs w:val="28"/>
              </w:rPr>
              <w:t xml:space="preserve"> Vai starptautiskajā dokumentā paredzētās </w:t>
            </w:r>
            <w:r w:rsidRPr="00722305">
              <w:rPr>
                <w:sz w:val="28"/>
                <w:szCs w:val="28"/>
              </w:rPr>
              <w:lastRenderedPageBreak/>
              <w:t>saistības nav pretrunā ar jau esošajām Latvijas Republikas starptautiskajām saistībām</w:t>
            </w:r>
          </w:p>
        </w:tc>
        <w:tc>
          <w:tcPr>
            <w:tcW w:w="7015" w:type="dxa"/>
            <w:gridSpan w:val="1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line="161" w:lineRule="atLeast"/>
              <w:rPr>
                <w:sz w:val="28"/>
                <w:szCs w:val="28"/>
              </w:rPr>
            </w:pPr>
            <w:r w:rsidRPr="00722305">
              <w:rPr>
                <w:sz w:val="28"/>
                <w:szCs w:val="28"/>
              </w:rPr>
              <w:lastRenderedPageBreak/>
              <w:t> </w:t>
            </w:r>
            <w:r>
              <w:rPr>
                <w:sz w:val="28"/>
                <w:szCs w:val="28"/>
              </w:rPr>
              <w:t>Nav attiecināms</w:t>
            </w:r>
          </w:p>
        </w:tc>
      </w:tr>
      <w:tr w:rsidR="00A071B1" w:rsidRPr="00722305" w:rsidTr="008B20B1">
        <w:trPr>
          <w:trHeight w:val="709"/>
          <w:tblCellSpacing w:w="0" w:type="dxa"/>
        </w:trPr>
        <w:tc>
          <w:tcPr>
            <w:tcW w:w="2086" w:type="dxa"/>
            <w:gridSpan w:val="7"/>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Cita informācija</w:t>
            </w:r>
          </w:p>
        </w:tc>
        <w:tc>
          <w:tcPr>
            <w:tcW w:w="7015" w:type="dxa"/>
            <w:gridSpan w:val="15"/>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w:t>
            </w:r>
          </w:p>
          <w:p w:rsidR="00A071B1" w:rsidRPr="00722305" w:rsidRDefault="00A071B1" w:rsidP="00722305">
            <w:pPr>
              <w:spacing w:before="100" w:beforeAutospacing="1" w:after="100" w:afterAutospacing="1"/>
              <w:rPr>
                <w:sz w:val="28"/>
                <w:szCs w:val="28"/>
              </w:rPr>
            </w:pPr>
          </w:p>
        </w:tc>
      </w:tr>
      <w:tr w:rsidR="00A071B1"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jc w:val="center"/>
              <w:rPr>
                <w:sz w:val="28"/>
                <w:szCs w:val="28"/>
              </w:rPr>
            </w:pPr>
            <w:r w:rsidRPr="00722305">
              <w:rPr>
                <w:b/>
                <w:bCs/>
                <w:sz w:val="28"/>
                <w:szCs w:val="28"/>
              </w:rPr>
              <w:t> VI. Sabiedrības līdzdalība un šīs līdzdalības rezultāti</w:t>
            </w:r>
          </w:p>
        </w:tc>
      </w:tr>
      <w:tr w:rsidR="00A071B1" w:rsidRPr="00722305" w:rsidTr="00EE185B">
        <w:trPr>
          <w:trHeight w:val="55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1.</w:t>
            </w:r>
          </w:p>
        </w:tc>
        <w:tc>
          <w:tcPr>
            <w:tcW w:w="3902"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Sabiedrības informēšana par projekta izstrādes uzsākšanu</w:t>
            </w:r>
          </w:p>
        </w:tc>
        <w:tc>
          <w:tcPr>
            <w:tcW w:w="4690" w:type="dxa"/>
            <w:gridSpan w:val="10"/>
            <w:tcBorders>
              <w:top w:val="outset" w:sz="6" w:space="0" w:color="auto"/>
              <w:left w:val="outset" w:sz="6" w:space="0" w:color="auto"/>
              <w:bottom w:val="outset" w:sz="6" w:space="0" w:color="auto"/>
              <w:right w:val="outset" w:sz="6" w:space="0" w:color="auto"/>
            </w:tcBorders>
          </w:tcPr>
          <w:p w:rsidR="00A071B1" w:rsidRPr="00171877" w:rsidRDefault="00A071B1" w:rsidP="00171877">
            <w:pPr>
              <w:spacing w:before="100" w:beforeAutospacing="1" w:after="100" w:afterAutospacing="1"/>
              <w:jc w:val="both"/>
              <w:rPr>
                <w:sz w:val="28"/>
                <w:szCs w:val="28"/>
              </w:rPr>
            </w:pPr>
            <w:r w:rsidRPr="00171877">
              <w:rPr>
                <w:sz w:val="28"/>
                <w:szCs w:val="28"/>
              </w:rPr>
              <w:t>Nav attiecināms</w:t>
            </w:r>
          </w:p>
        </w:tc>
      </w:tr>
      <w:tr w:rsidR="00A071B1" w:rsidRPr="00722305" w:rsidTr="00EE185B">
        <w:trPr>
          <w:trHeight w:val="339"/>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2.</w:t>
            </w:r>
          </w:p>
        </w:tc>
        <w:tc>
          <w:tcPr>
            <w:tcW w:w="3902"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Sabiedrības līdzdalība projekta izstrādē</w:t>
            </w:r>
          </w:p>
        </w:tc>
        <w:tc>
          <w:tcPr>
            <w:tcW w:w="4690" w:type="dxa"/>
            <w:gridSpan w:val="10"/>
            <w:tcBorders>
              <w:top w:val="outset" w:sz="6" w:space="0" w:color="auto"/>
              <w:left w:val="outset" w:sz="6" w:space="0" w:color="auto"/>
              <w:bottom w:val="outset" w:sz="6" w:space="0" w:color="auto"/>
              <w:right w:val="outset" w:sz="6" w:space="0" w:color="auto"/>
            </w:tcBorders>
          </w:tcPr>
          <w:p w:rsidR="00A071B1" w:rsidRPr="00171877" w:rsidRDefault="00A071B1" w:rsidP="00171877">
            <w:pPr>
              <w:spacing w:before="100" w:beforeAutospacing="1" w:after="100" w:afterAutospacing="1"/>
              <w:jc w:val="both"/>
              <w:rPr>
                <w:sz w:val="28"/>
                <w:szCs w:val="28"/>
              </w:rPr>
            </w:pPr>
            <w:r>
              <w:rPr>
                <w:sz w:val="28"/>
                <w:szCs w:val="28"/>
              </w:rPr>
              <w:t xml:space="preserve">Sabiedrība par likumprojektu tiks informēta, to izsludinot Valsts sekretāru sanāksmē. </w:t>
            </w:r>
          </w:p>
        </w:tc>
      </w:tr>
      <w:tr w:rsidR="00A071B1" w:rsidRPr="00722305" w:rsidTr="00EE185B">
        <w:trPr>
          <w:trHeight w:val="37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3.</w:t>
            </w:r>
          </w:p>
        </w:tc>
        <w:tc>
          <w:tcPr>
            <w:tcW w:w="3902"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Sabiedrības līdzdalības rezultāti</w:t>
            </w:r>
          </w:p>
        </w:tc>
        <w:tc>
          <w:tcPr>
            <w:tcW w:w="4690"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 attiecināms</w:t>
            </w:r>
          </w:p>
        </w:tc>
      </w:tr>
      <w:tr w:rsidR="00A071B1" w:rsidRPr="00722305" w:rsidTr="00EE185B">
        <w:trPr>
          <w:trHeight w:val="39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4.</w:t>
            </w:r>
          </w:p>
        </w:tc>
        <w:tc>
          <w:tcPr>
            <w:tcW w:w="3902"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Saeimas un ekspertu līdzdalība</w:t>
            </w:r>
          </w:p>
        </w:tc>
        <w:tc>
          <w:tcPr>
            <w:tcW w:w="4690" w:type="dxa"/>
            <w:gridSpan w:val="10"/>
            <w:tcBorders>
              <w:top w:val="outset" w:sz="6" w:space="0" w:color="auto"/>
              <w:left w:val="outset" w:sz="6" w:space="0" w:color="auto"/>
              <w:bottom w:val="outset" w:sz="6" w:space="0" w:color="auto"/>
              <w:right w:val="outset" w:sz="6" w:space="0" w:color="auto"/>
            </w:tcBorders>
          </w:tcPr>
          <w:p w:rsidR="00A071B1" w:rsidRDefault="00A071B1" w:rsidP="00171877">
            <w:pPr>
              <w:jc w:val="both"/>
              <w:rPr>
                <w:sz w:val="28"/>
                <w:szCs w:val="28"/>
              </w:rPr>
            </w:pPr>
            <w:r w:rsidRPr="00722305">
              <w:rPr>
                <w:sz w:val="28"/>
                <w:szCs w:val="28"/>
              </w:rPr>
              <w:t> </w:t>
            </w:r>
            <w:r w:rsidRPr="00FF1A7B">
              <w:rPr>
                <w:sz w:val="28"/>
                <w:szCs w:val="28"/>
              </w:rPr>
              <w:t>Likumprojekta izstrādes gaitā konsultācijas notikušas ar Sabiedriskās politikas centra „</w:t>
            </w:r>
            <w:proofErr w:type="spellStart"/>
            <w:r w:rsidRPr="00FF1A7B">
              <w:rPr>
                <w:sz w:val="28"/>
                <w:szCs w:val="28"/>
              </w:rPr>
              <w:t>Providus</w:t>
            </w:r>
            <w:proofErr w:type="spellEnd"/>
            <w:r w:rsidRPr="00FF1A7B">
              <w:rPr>
                <w:sz w:val="28"/>
                <w:szCs w:val="28"/>
              </w:rPr>
              <w:t>” pārstāvi.</w:t>
            </w:r>
          </w:p>
          <w:p w:rsidR="00A071B1" w:rsidRPr="00722305" w:rsidRDefault="00A071B1" w:rsidP="00171877">
            <w:pPr>
              <w:jc w:val="both"/>
              <w:rPr>
                <w:sz w:val="28"/>
                <w:szCs w:val="28"/>
              </w:rPr>
            </w:pPr>
            <w:r>
              <w:rPr>
                <w:sz w:val="28"/>
                <w:szCs w:val="28"/>
              </w:rPr>
              <w:t>Notika konsultācijas ar administratīvo tiesu tiesnešiem.</w:t>
            </w:r>
          </w:p>
        </w:tc>
      </w:tr>
      <w:tr w:rsidR="00A071B1"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5.</w:t>
            </w:r>
          </w:p>
        </w:tc>
        <w:tc>
          <w:tcPr>
            <w:tcW w:w="3902"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Cita informācija</w:t>
            </w:r>
          </w:p>
          <w:p w:rsidR="00A071B1" w:rsidRPr="00722305" w:rsidRDefault="00A071B1" w:rsidP="00722305">
            <w:pPr>
              <w:spacing w:before="100" w:beforeAutospacing="1" w:after="100" w:afterAutospacing="1"/>
              <w:rPr>
                <w:sz w:val="28"/>
                <w:szCs w:val="28"/>
              </w:rPr>
            </w:pPr>
            <w:r w:rsidRPr="00722305">
              <w:rPr>
                <w:sz w:val="28"/>
                <w:szCs w:val="28"/>
              </w:rPr>
              <w:t> </w:t>
            </w:r>
          </w:p>
        </w:tc>
        <w:tc>
          <w:tcPr>
            <w:tcW w:w="4690" w:type="dxa"/>
            <w:gridSpan w:val="10"/>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w:t>
            </w:r>
          </w:p>
          <w:p w:rsidR="00A071B1" w:rsidRPr="00722305" w:rsidRDefault="00A071B1" w:rsidP="00722305">
            <w:pPr>
              <w:spacing w:before="100" w:beforeAutospacing="1" w:after="100" w:afterAutospacing="1"/>
              <w:rPr>
                <w:sz w:val="28"/>
                <w:szCs w:val="28"/>
              </w:rPr>
            </w:pPr>
          </w:p>
        </w:tc>
      </w:tr>
      <w:tr w:rsidR="00A071B1" w:rsidRPr="00722305" w:rsidTr="008B20B1">
        <w:trPr>
          <w:tblCellSpacing w:w="0" w:type="dxa"/>
        </w:trPr>
        <w:tc>
          <w:tcPr>
            <w:tcW w:w="9101" w:type="dxa"/>
            <w:gridSpan w:val="2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jc w:val="center"/>
              <w:rPr>
                <w:sz w:val="28"/>
                <w:szCs w:val="28"/>
              </w:rPr>
            </w:pPr>
            <w:r w:rsidRPr="00722305">
              <w:rPr>
                <w:sz w:val="28"/>
                <w:szCs w:val="28"/>
              </w:rPr>
              <w:t> </w:t>
            </w:r>
            <w:r w:rsidRPr="00722305">
              <w:rPr>
                <w:b/>
                <w:bCs/>
                <w:sz w:val="28"/>
                <w:szCs w:val="28"/>
              </w:rPr>
              <w:t>VII. Tiesību akta projekta izpildes nodrošināšana un tās ietekme uz institūcijām</w:t>
            </w:r>
          </w:p>
        </w:tc>
      </w:tr>
      <w:tr w:rsidR="00A071B1" w:rsidRPr="00722305" w:rsidTr="00EE185B">
        <w:trPr>
          <w:trHeight w:val="427"/>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1.</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Projekta izpildē iesaistītās institūcijas</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171877">
            <w:pPr>
              <w:spacing w:before="100" w:beforeAutospacing="1" w:after="100" w:afterAutospacing="1"/>
              <w:jc w:val="both"/>
              <w:rPr>
                <w:sz w:val="28"/>
                <w:szCs w:val="28"/>
              </w:rPr>
            </w:pPr>
            <w:r w:rsidRPr="00722305">
              <w:rPr>
                <w:sz w:val="28"/>
                <w:szCs w:val="28"/>
              </w:rPr>
              <w:t> </w:t>
            </w:r>
            <w:r w:rsidRPr="00E34A6F">
              <w:rPr>
                <w:sz w:val="28"/>
                <w:szCs w:val="28"/>
              </w:rPr>
              <w:t>Normatīvā akta izpilde tiks īstenota, iestādēm un tiesām piemērojot Administratīvā procesa likumu.</w:t>
            </w:r>
          </w:p>
        </w:tc>
      </w:tr>
      <w:tr w:rsidR="00A071B1" w:rsidRPr="00722305" w:rsidTr="00EE185B">
        <w:trPr>
          <w:trHeight w:val="46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2.</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Projekta izpildes ietekme uz pārvaldes funkcijām</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171877">
            <w:pPr>
              <w:spacing w:before="100" w:beforeAutospacing="1" w:after="100" w:afterAutospacing="1"/>
              <w:jc w:val="both"/>
              <w:rPr>
                <w:sz w:val="28"/>
                <w:szCs w:val="28"/>
              </w:rPr>
            </w:pPr>
            <w:r w:rsidRPr="00722305">
              <w:rPr>
                <w:sz w:val="28"/>
                <w:szCs w:val="28"/>
              </w:rPr>
              <w:t> </w:t>
            </w:r>
            <w:r>
              <w:rPr>
                <w:sz w:val="28"/>
                <w:szCs w:val="28"/>
              </w:rPr>
              <w:t>Nav attiecināms</w:t>
            </w:r>
          </w:p>
        </w:tc>
      </w:tr>
      <w:tr w:rsidR="00A071B1" w:rsidRPr="00722305" w:rsidTr="00EE185B">
        <w:trPr>
          <w:trHeight w:val="725"/>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3.</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Projekta izpildes ietekme uz pārvaldes institucionālo struktūru.</w:t>
            </w:r>
          </w:p>
          <w:p w:rsidR="00A071B1" w:rsidRPr="00722305" w:rsidRDefault="00A071B1" w:rsidP="00722305">
            <w:pPr>
              <w:spacing w:before="100" w:beforeAutospacing="1" w:after="100" w:afterAutospacing="1"/>
              <w:rPr>
                <w:sz w:val="28"/>
                <w:szCs w:val="28"/>
              </w:rPr>
            </w:pPr>
            <w:r w:rsidRPr="00722305">
              <w:rPr>
                <w:sz w:val="28"/>
                <w:szCs w:val="28"/>
              </w:rPr>
              <w:t>Jaunu institūciju izveide</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Pr>
                <w:sz w:val="28"/>
                <w:szCs w:val="28"/>
              </w:rPr>
              <w:t>Nav attiecināms</w:t>
            </w:r>
          </w:p>
        </w:tc>
      </w:tr>
      <w:tr w:rsidR="00A071B1" w:rsidRPr="00722305" w:rsidTr="00EE185B">
        <w:trPr>
          <w:trHeight w:val="780"/>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4.</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Projekta izpildes ietekme uz pārvaldes institucionālo struktūru.</w:t>
            </w:r>
          </w:p>
          <w:p w:rsidR="00A071B1" w:rsidRPr="00722305" w:rsidRDefault="00A071B1" w:rsidP="00722305">
            <w:pPr>
              <w:spacing w:before="100" w:beforeAutospacing="1" w:after="100" w:afterAutospacing="1"/>
              <w:rPr>
                <w:sz w:val="28"/>
                <w:szCs w:val="28"/>
              </w:rPr>
            </w:pPr>
            <w:r w:rsidRPr="00722305">
              <w:rPr>
                <w:sz w:val="28"/>
                <w:szCs w:val="28"/>
              </w:rPr>
              <w:t>Esošu institūciju likvidācija</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Pr>
                <w:sz w:val="28"/>
                <w:szCs w:val="28"/>
              </w:rPr>
              <w:t>Nav attiecināms</w:t>
            </w:r>
          </w:p>
        </w:tc>
      </w:tr>
      <w:tr w:rsidR="00A071B1" w:rsidRPr="00722305" w:rsidTr="00EE185B">
        <w:trPr>
          <w:trHeight w:val="703"/>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5.</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xml:space="preserve"> Projekta izpildes ietekme uz </w:t>
            </w:r>
            <w:r w:rsidRPr="00722305">
              <w:rPr>
                <w:sz w:val="28"/>
                <w:szCs w:val="28"/>
              </w:rPr>
              <w:lastRenderedPageBreak/>
              <w:t>pārvaldes institucionālo struktūru.</w:t>
            </w:r>
          </w:p>
          <w:p w:rsidR="00A071B1" w:rsidRPr="00722305" w:rsidRDefault="00A071B1" w:rsidP="00722305">
            <w:pPr>
              <w:spacing w:before="100" w:beforeAutospacing="1" w:after="100" w:afterAutospacing="1"/>
              <w:rPr>
                <w:sz w:val="28"/>
                <w:szCs w:val="28"/>
              </w:rPr>
            </w:pPr>
            <w:r w:rsidRPr="00722305">
              <w:rPr>
                <w:sz w:val="28"/>
                <w:szCs w:val="28"/>
              </w:rPr>
              <w:t>Esošu institūciju reorganizācija</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w:t>
            </w:r>
            <w:r>
              <w:rPr>
                <w:sz w:val="28"/>
                <w:szCs w:val="28"/>
              </w:rPr>
              <w:t>Nav attiecināms</w:t>
            </w:r>
          </w:p>
        </w:tc>
      </w:tr>
      <w:tr w:rsidR="00A071B1" w:rsidRPr="00722305" w:rsidTr="00EE185B">
        <w:trPr>
          <w:trHeight w:val="476"/>
          <w:tblCellSpacing w:w="0" w:type="dxa"/>
        </w:trPr>
        <w:tc>
          <w:tcPr>
            <w:tcW w:w="509" w:type="dxa"/>
            <w:gridSpan w:val="2"/>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lastRenderedPageBreak/>
              <w:t> 6.</w:t>
            </w:r>
          </w:p>
        </w:tc>
        <w:tc>
          <w:tcPr>
            <w:tcW w:w="3918" w:type="dxa"/>
            <w:gridSpan w:val="11"/>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Cita informācija</w:t>
            </w:r>
          </w:p>
        </w:tc>
        <w:tc>
          <w:tcPr>
            <w:tcW w:w="4674" w:type="dxa"/>
            <w:gridSpan w:val="9"/>
            <w:tcBorders>
              <w:top w:val="outset" w:sz="6" w:space="0" w:color="auto"/>
              <w:left w:val="outset" w:sz="6" w:space="0" w:color="auto"/>
              <w:bottom w:val="outset" w:sz="6" w:space="0" w:color="auto"/>
              <w:right w:val="outset" w:sz="6" w:space="0" w:color="auto"/>
            </w:tcBorders>
          </w:tcPr>
          <w:p w:rsidR="00A071B1" w:rsidRPr="00722305" w:rsidRDefault="00A071B1" w:rsidP="00722305">
            <w:pPr>
              <w:spacing w:before="100" w:beforeAutospacing="1" w:after="100" w:afterAutospacing="1"/>
              <w:rPr>
                <w:sz w:val="28"/>
                <w:szCs w:val="28"/>
              </w:rPr>
            </w:pPr>
            <w:r w:rsidRPr="00722305">
              <w:rPr>
                <w:sz w:val="28"/>
                <w:szCs w:val="28"/>
              </w:rPr>
              <w:t> </w:t>
            </w:r>
            <w:r>
              <w:rPr>
                <w:sz w:val="28"/>
                <w:szCs w:val="28"/>
              </w:rPr>
              <w:t>Nav</w:t>
            </w:r>
          </w:p>
          <w:p w:rsidR="00A071B1" w:rsidRPr="00722305" w:rsidRDefault="00A071B1" w:rsidP="00722305">
            <w:pPr>
              <w:spacing w:before="100" w:beforeAutospacing="1" w:after="100" w:afterAutospacing="1"/>
              <w:rPr>
                <w:sz w:val="28"/>
                <w:szCs w:val="28"/>
              </w:rPr>
            </w:pPr>
          </w:p>
        </w:tc>
      </w:tr>
    </w:tbl>
    <w:p w:rsidR="008B20B1" w:rsidRDefault="00722305" w:rsidP="00722305">
      <w:pPr>
        <w:spacing w:before="100" w:beforeAutospacing="1" w:after="100" w:afterAutospacing="1"/>
        <w:rPr>
          <w:sz w:val="28"/>
          <w:szCs w:val="28"/>
        </w:rPr>
      </w:pPr>
      <w:r w:rsidRPr="00722305">
        <w:rPr>
          <w:sz w:val="28"/>
          <w:szCs w:val="28"/>
        </w:rPr>
        <w:t> </w:t>
      </w:r>
    </w:p>
    <w:p w:rsidR="00DB07F9" w:rsidRPr="00722305" w:rsidRDefault="00DB07F9" w:rsidP="00722305">
      <w:pPr>
        <w:spacing w:before="100" w:beforeAutospacing="1" w:after="100" w:afterAutospacing="1"/>
        <w:rPr>
          <w:sz w:val="28"/>
          <w:szCs w:val="28"/>
        </w:rPr>
      </w:pPr>
    </w:p>
    <w:p w:rsidR="00EB765B" w:rsidRDefault="00EB765B" w:rsidP="00EB765B">
      <w:pPr>
        <w:rPr>
          <w:sz w:val="28"/>
          <w:szCs w:val="28"/>
        </w:rPr>
      </w:pPr>
      <w:r>
        <w:rPr>
          <w:bCs/>
          <w:sz w:val="28"/>
          <w:szCs w:val="28"/>
        </w:rPr>
        <w:t>Tieslietu ministr</w:t>
      </w:r>
      <w:r w:rsidR="00DB07F9">
        <w:rPr>
          <w:bCs/>
          <w:sz w:val="28"/>
          <w:szCs w:val="28"/>
        </w:rPr>
        <w:t>s</w:t>
      </w:r>
      <w:proofErr w:type="gramStart"/>
      <w:r>
        <w:rPr>
          <w:bCs/>
          <w:sz w:val="28"/>
          <w:szCs w:val="28"/>
        </w:rPr>
        <w:t xml:space="preserve">                                                          </w:t>
      </w:r>
      <w:proofErr w:type="gramEnd"/>
      <w:r>
        <w:rPr>
          <w:sz w:val="28"/>
          <w:szCs w:val="28"/>
        </w:rPr>
        <w:tab/>
      </w:r>
      <w:r w:rsidR="00DB07F9">
        <w:rPr>
          <w:sz w:val="28"/>
          <w:szCs w:val="28"/>
        </w:rPr>
        <w:t xml:space="preserve">         A. Štokenbergs</w:t>
      </w:r>
      <w:r>
        <w:rPr>
          <w:sz w:val="28"/>
          <w:szCs w:val="28"/>
        </w:rPr>
        <w:t xml:space="preserve">  </w:t>
      </w:r>
    </w:p>
    <w:p w:rsidR="00EB765B" w:rsidRDefault="00EB765B" w:rsidP="00EB765B">
      <w:pPr>
        <w:ind w:firstLine="709"/>
        <w:rPr>
          <w:sz w:val="28"/>
          <w:szCs w:val="28"/>
        </w:rPr>
      </w:pPr>
    </w:p>
    <w:p w:rsidR="00EB765B" w:rsidRDefault="00EB765B" w:rsidP="00EB765B">
      <w:pPr>
        <w:ind w:firstLine="709"/>
        <w:rPr>
          <w:sz w:val="28"/>
          <w:szCs w:val="28"/>
        </w:rPr>
      </w:pPr>
    </w:p>
    <w:p w:rsidR="00EB765B" w:rsidRDefault="00EB765B" w:rsidP="00EB765B">
      <w:pPr>
        <w:rPr>
          <w:sz w:val="28"/>
          <w:szCs w:val="28"/>
        </w:rPr>
      </w:pPr>
      <w:r>
        <w:rPr>
          <w:sz w:val="28"/>
          <w:szCs w:val="28"/>
        </w:rPr>
        <w:t>Valsts sekretārs                                                                              M. Lazdovskis</w:t>
      </w: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F805E3" w:rsidRDefault="00F805E3" w:rsidP="00722305">
      <w:pPr>
        <w:pStyle w:val="Kjene"/>
        <w:tabs>
          <w:tab w:val="clear" w:pos="4153"/>
          <w:tab w:val="clear" w:pos="8306"/>
        </w:tabs>
        <w:spacing w:before="100" w:beforeAutospacing="1" w:after="100" w:afterAutospacing="1"/>
        <w:contextualSpacing/>
        <w:rPr>
          <w:sz w:val="20"/>
          <w:szCs w:val="20"/>
        </w:rPr>
      </w:pPr>
    </w:p>
    <w:p w:rsidR="00DB07F9" w:rsidRDefault="00DB07F9" w:rsidP="00722305">
      <w:pPr>
        <w:pStyle w:val="Kjene"/>
        <w:tabs>
          <w:tab w:val="clear" w:pos="4153"/>
          <w:tab w:val="clear" w:pos="8306"/>
        </w:tabs>
        <w:spacing w:before="100" w:beforeAutospacing="1" w:after="100" w:afterAutospacing="1"/>
        <w:contextualSpacing/>
        <w:rPr>
          <w:sz w:val="20"/>
          <w:szCs w:val="20"/>
        </w:rPr>
      </w:pPr>
    </w:p>
    <w:p w:rsidR="00722305" w:rsidRDefault="00722305"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AB4509" w:rsidRDefault="00AB4509" w:rsidP="00722305">
      <w:pPr>
        <w:pStyle w:val="Kjene"/>
        <w:tabs>
          <w:tab w:val="clear" w:pos="4153"/>
          <w:tab w:val="clear" w:pos="8306"/>
        </w:tabs>
        <w:spacing w:before="100" w:beforeAutospacing="1" w:after="100" w:afterAutospacing="1"/>
        <w:contextualSpacing/>
        <w:rPr>
          <w:sz w:val="20"/>
          <w:szCs w:val="20"/>
        </w:rPr>
      </w:pPr>
    </w:p>
    <w:p w:rsidR="00722305" w:rsidRPr="00914C0E" w:rsidRDefault="00752F76" w:rsidP="00722305">
      <w:pPr>
        <w:pStyle w:val="Kjene"/>
        <w:tabs>
          <w:tab w:val="clear" w:pos="4153"/>
          <w:tab w:val="clear" w:pos="8306"/>
        </w:tabs>
        <w:spacing w:before="100" w:beforeAutospacing="1" w:after="100" w:afterAutospacing="1"/>
        <w:contextualSpacing/>
        <w:rPr>
          <w:sz w:val="20"/>
          <w:szCs w:val="20"/>
        </w:rPr>
      </w:pPr>
      <w:r>
        <w:rPr>
          <w:sz w:val="20"/>
          <w:szCs w:val="20"/>
        </w:rPr>
        <w:t>0</w:t>
      </w:r>
      <w:r w:rsidR="00AB4509">
        <w:rPr>
          <w:sz w:val="20"/>
          <w:szCs w:val="20"/>
        </w:rPr>
        <w:t>2.12.2010. 11</w:t>
      </w:r>
      <w:r w:rsidR="00722305" w:rsidRPr="00914C0E">
        <w:rPr>
          <w:sz w:val="20"/>
          <w:szCs w:val="20"/>
        </w:rPr>
        <w:t>:</w:t>
      </w:r>
      <w:r w:rsidR="00AB4509">
        <w:rPr>
          <w:sz w:val="20"/>
          <w:szCs w:val="20"/>
        </w:rPr>
        <w:t>15</w:t>
      </w:r>
    </w:p>
    <w:p w:rsidR="00722305" w:rsidRPr="00914C0E" w:rsidRDefault="00AB4509" w:rsidP="00722305">
      <w:pPr>
        <w:pStyle w:val="Kjene"/>
        <w:tabs>
          <w:tab w:val="clear" w:pos="4153"/>
          <w:tab w:val="clear" w:pos="8306"/>
        </w:tabs>
        <w:spacing w:before="100" w:beforeAutospacing="1" w:after="100" w:afterAutospacing="1"/>
        <w:contextualSpacing/>
        <w:rPr>
          <w:sz w:val="20"/>
          <w:szCs w:val="20"/>
        </w:rPr>
      </w:pPr>
      <w:r>
        <w:rPr>
          <w:sz w:val="20"/>
          <w:szCs w:val="20"/>
        </w:rPr>
        <w:t>3 621</w:t>
      </w:r>
    </w:p>
    <w:p w:rsidR="00722305" w:rsidRPr="00F407DD" w:rsidRDefault="00722305" w:rsidP="00722305">
      <w:pPr>
        <w:pStyle w:val="Kjene"/>
        <w:tabs>
          <w:tab w:val="clear" w:pos="4153"/>
          <w:tab w:val="clear" w:pos="8306"/>
        </w:tabs>
        <w:spacing w:before="100" w:beforeAutospacing="1" w:after="100" w:afterAutospacing="1"/>
        <w:contextualSpacing/>
        <w:rPr>
          <w:sz w:val="20"/>
          <w:szCs w:val="20"/>
        </w:rPr>
      </w:pPr>
      <w:r>
        <w:rPr>
          <w:sz w:val="20"/>
          <w:szCs w:val="20"/>
        </w:rPr>
        <w:t>N. Laveniece-Straupmane</w:t>
      </w:r>
    </w:p>
    <w:p w:rsidR="00722305" w:rsidRPr="007A3DBF" w:rsidRDefault="00722305" w:rsidP="00722305">
      <w:pPr>
        <w:pStyle w:val="Kjene"/>
        <w:tabs>
          <w:tab w:val="clear" w:pos="4153"/>
          <w:tab w:val="clear" w:pos="8306"/>
        </w:tabs>
        <w:spacing w:before="100" w:beforeAutospacing="1" w:after="100" w:afterAutospacing="1"/>
        <w:contextualSpacing/>
        <w:rPr>
          <w:sz w:val="28"/>
          <w:szCs w:val="28"/>
        </w:rPr>
      </w:pPr>
      <w:bookmarkStart w:id="1" w:name="OLE_LINK1"/>
      <w:bookmarkStart w:id="2" w:name="OLE_LINK2"/>
      <w:r w:rsidRPr="00F407DD">
        <w:rPr>
          <w:sz w:val="20"/>
          <w:szCs w:val="20"/>
        </w:rPr>
        <w:t>670369</w:t>
      </w:r>
      <w:r>
        <w:rPr>
          <w:sz w:val="20"/>
          <w:szCs w:val="20"/>
        </w:rPr>
        <w:t>08</w:t>
      </w:r>
      <w:r w:rsidRPr="00F407DD">
        <w:rPr>
          <w:sz w:val="20"/>
          <w:szCs w:val="20"/>
        </w:rPr>
        <w:t xml:space="preserve">, </w:t>
      </w:r>
      <w:r w:rsidRPr="00722305">
        <w:rPr>
          <w:sz w:val="20"/>
          <w:szCs w:val="20"/>
        </w:rPr>
        <w:t>Natalija.</w:t>
      </w:r>
      <w:bookmarkEnd w:id="1"/>
      <w:bookmarkEnd w:id="2"/>
      <w:r>
        <w:rPr>
          <w:sz w:val="20"/>
          <w:szCs w:val="20"/>
        </w:rPr>
        <w:t>Laveniece-Straupmane@tm.gov.lv</w:t>
      </w:r>
    </w:p>
    <w:p w:rsidR="00276859" w:rsidRPr="00722305" w:rsidRDefault="00276859" w:rsidP="00722305">
      <w:pPr>
        <w:rPr>
          <w:sz w:val="28"/>
          <w:szCs w:val="28"/>
        </w:rPr>
      </w:pPr>
    </w:p>
    <w:sectPr w:rsidR="00276859" w:rsidRPr="00722305" w:rsidSect="006E3A20">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F8" w:rsidRDefault="00E160F8">
      <w:r>
        <w:separator/>
      </w:r>
    </w:p>
  </w:endnote>
  <w:endnote w:type="continuationSeparator" w:id="0">
    <w:p w:rsidR="00E160F8" w:rsidRDefault="00E1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BF6F19" w:rsidP="00437C53">
    <w:pPr>
      <w:spacing w:before="100" w:beforeAutospacing="1" w:after="100" w:afterAutospacing="1"/>
      <w:jc w:val="both"/>
      <w:rPr>
        <w:sz w:val="20"/>
        <w:szCs w:val="20"/>
      </w:rPr>
    </w:pPr>
    <w:r w:rsidRPr="00F805E3">
      <w:rPr>
        <w:sz w:val="20"/>
        <w:szCs w:val="20"/>
      </w:rPr>
      <w:t>TMAnot_</w:t>
    </w:r>
    <w:r w:rsidR="00752F76">
      <w:rPr>
        <w:sz w:val="20"/>
        <w:szCs w:val="20"/>
      </w:rPr>
      <w:t>0</w:t>
    </w:r>
    <w:r w:rsidR="00AB4509">
      <w:rPr>
        <w:sz w:val="20"/>
        <w:szCs w:val="20"/>
      </w:rPr>
      <w:t>2</w:t>
    </w:r>
    <w:r w:rsidR="00752F76">
      <w:rPr>
        <w:sz w:val="20"/>
        <w:szCs w:val="20"/>
      </w:rPr>
      <w:t>12</w:t>
    </w:r>
    <w:r w:rsidRPr="00F805E3">
      <w:rPr>
        <w:sz w:val="20"/>
        <w:szCs w:val="20"/>
      </w:rPr>
      <w:t>10_APLgroz</w:t>
    </w:r>
    <w:r w:rsidRPr="00437C53">
      <w:rPr>
        <w:sz w:val="20"/>
        <w:szCs w:val="20"/>
      </w:rPr>
      <w:t xml:space="preserve">; </w:t>
    </w:r>
    <w:r w:rsidRPr="00437C53">
      <w:rPr>
        <w:bCs/>
        <w:sz w:val="20"/>
        <w:szCs w:val="20"/>
      </w:rPr>
      <w:t>Likumprojekta „Grozījumi Administratīvā procesa likumā” sākotnējās ietekmes novērtējuma ziņojums (anotācija)</w:t>
    </w:r>
  </w:p>
  <w:p w:rsidR="00BF6F19" w:rsidRPr="00A676C4" w:rsidRDefault="00BF6F19" w:rsidP="00716481">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Pr="00437C53" w:rsidRDefault="00752F76" w:rsidP="00437C53">
    <w:pPr>
      <w:spacing w:before="100" w:beforeAutospacing="1" w:after="100" w:afterAutospacing="1"/>
      <w:jc w:val="both"/>
      <w:rPr>
        <w:sz w:val="20"/>
        <w:szCs w:val="20"/>
      </w:rPr>
    </w:pPr>
    <w:r w:rsidRPr="00F805E3">
      <w:rPr>
        <w:sz w:val="20"/>
        <w:szCs w:val="20"/>
      </w:rPr>
      <w:t>TMAnot_</w:t>
    </w:r>
    <w:r>
      <w:rPr>
        <w:sz w:val="20"/>
        <w:szCs w:val="20"/>
      </w:rPr>
      <w:t>0</w:t>
    </w:r>
    <w:r w:rsidR="00AB4509">
      <w:rPr>
        <w:sz w:val="20"/>
        <w:szCs w:val="20"/>
      </w:rPr>
      <w:t>2</w:t>
    </w:r>
    <w:r>
      <w:rPr>
        <w:sz w:val="20"/>
        <w:szCs w:val="20"/>
      </w:rPr>
      <w:t>12</w:t>
    </w:r>
    <w:r w:rsidRPr="00F805E3">
      <w:rPr>
        <w:sz w:val="20"/>
        <w:szCs w:val="20"/>
      </w:rPr>
      <w:t>10_APLgroz</w:t>
    </w:r>
    <w:r w:rsidR="00BF6F19" w:rsidRPr="00437C53">
      <w:rPr>
        <w:sz w:val="20"/>
        <w:szCs w:val="20"/>
      </w:rPr>
      <w:t xml:space="preserve">; </w:t>
    </w:r>
    <w:r w:rsidR="00BF6F19" w:rsidRPr="00437C53">
      <w:rPr>
        <w:bCs/>
        <w:sz w:val="20"/>
        <w:szCs w:val="20"/>
      </w:rPr>
      <w:t>Likumprojekta „Grozījumi Administratīvā procesa likumā” sākotnējās ietekmes novērtējuma ziņojums (anotācija)</w:t>
    </w:r>
  </w:p>
  <w:p w:rsidR="00BF6F19" w:rsidRPr="00716481" w:rsidRDefault="00BF6F19" w:rsidP="00A676C4">
    <w:pPr>
      <w:jc w:val="both"/>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F8" w:rsidRDefault="00E160F8">
      <w:r>
        <w:separator/>
      </w:r>
    </w:p>
  </w:footnote>
  <w:footnote w:type="continuationSeparator" w:id="0">
    <w:p w:rsidR="00E160F8" w:rsidRDefault="00E16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307B42"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end"/>
    </w:r>
  </w:p>
  <w:p w:rsidR="00BF6F19" w:rsidRDefault="00BF6F1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19" w:rsidRDefault="00307B42" w:rsidP="003C449B">
    <w:pPr>
      <w:pStyle w:val="Galvene"/>
      <w:framePr w:wrap="around" w:vAnchor="text" w:hAnchor="margin" w:xAlign="center" w:y="1"/>
      <w:rPr>
        <w:rStyle w:val="Lappusesnumurs"/>
      </w:rPr>
    </w:pPr>
    <w:r>
      <w:rPr>
        <w:rStyle w:val="Lappusesnumurs"/>
      </w:rPr>
      <w:fldChar w:fldCharType="begin"/>
    </w:r>
    <w:r w:rsidR="00BF6F19">
      <w:rPr>
        <w:rStyle w:val="Lappusesnumurs"/>
      </w:rPr>
      <w:instrText xml:space="preserve">PAGE  </w:instrText>
    </w:r>
    <w:r>
      <w:rPr>
        <w:rStyle w:val="Lappusesnumurs"/>
      </w:rPr>
      <w:fldChar w:fldCharType="separate"/>
    </w:r>
    <w:r w:rsidR="00AB4509">
      <w:rPr>
        <w:rStyle w:val="Lappusesnumurs"/>
        <w:noProof/>
      </w:rPr>
      <w:t>16</w:t>
    </w:r>
    <w:r>
      <w:rPr>
        <w:rStyle w:val="Lappusesnumurs"/>
      </w:rPr>
      <w:fldChar w:fldCharType="end"/>
    </w:r>
  </w:p>
  <w:p w:rsidR="00BF6F19" w:rsidRDefault="00BF6F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BBB79E8"/>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9F749F"/>
    <w:multiLevelType w:val="hybridMultilevel"/>
    <w:tmpl w:val="879E1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2E75E6"/>
    <w:multiLevelType w:val="hybridMultilevel"/>
    <w:tmpl w:val="CA2441B6"/>
    <w:lvl w:ilvl="0" w:tplc="C3DA2646">
      <w:start w:val="1"/>
      <w:numFmt w:val="lowerLetter"/>
      <w:lvlText w:val="%1)"/>
      <w:lvlJc w:val="left"/>
      <w:pPr>
        <w:ind w:left="625" w:hanging="360"/>
      </w:pPr>
      <w:rPr>
        <w:rFonts w:hint="default"/>
      </w:r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BE6FB2"/>
    <w:multiLevelType w:val="hybridMultilevel"/>
    <w:tmpl w:val="13B66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8A4F8B"/>
    <w:multiLevelType w:val="hybridMultilevel"/>
    <w:tmpl w:val="22F689DE"/>
    <w:lvl w:ilvl="0" w:tplc="853009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916F2"/>
    <w:multiLevelType w:val="hybridMultilevel"/>
    <w:tmpl w:val="D75C86BC"/>
    <w:lvl w:ilvl="0" w:tplc="BC8610F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E9752B"/>
    <w:multiLevelType w:val="hybridMultilevel"/>
    <w:tmpl w:val="C88E6BA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3C1E5B"/>
    <w:multiLevelType w:val="hybridMultilevel"/>
    <w:tmpl w:val="F5E8660E"/>
    <w:lvl w:ilvl="0" w:tplc="915E67D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7"/>
  </w:num>
  <w:num w:numId="2">
    <w:abstractNumId w:val="17"/>
  </w:num>
  <w:num w:numId="3">
    <w:abstractNumId w:val="4"/>
  </w:num>
  <w:num w:numId="4">
    <w:abstractNumId w:val="1"/>
  </w:num>
  <w:num w:numId="5">
    <w:abstractNumId w:val="0"/>
  </w:num>
  <w:num w:numId="6">
    <w:abstractNumId w:val="14"/>
  </w:num>
  <w:num w:numId="7">
    <w:abstractNumId w:val="18"/>
  </w:num>
  <w:num w:numId="8">
    <w:abstractNumId w:val="11"/>
  </w:num>
  <w:num w:numId="9">
    <w:abstractNumId w:val="2"/>
  </w:num>
  <w:num w:numId="10">
    <w:abstractNumId w:val="12"/>
  </w:num>
  <w:num w:numId="11">
    <w:abstractNumId w:val="13"/>
  </w:num>
  <w:num w:numId="12">
    <w:abstractNumId w:val="15"/>
  </w:num>
  <w:num w:numId="13">
    <w:abstractNumId w:val="16"/>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3"/>
  </w:num>
  <w:num w:numId="19">
    <w:abstractNumId w:val="8"/>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7CCF"/>
    <w:rsid w:val="00011D24"/>
    <w:rsid w:val="00013FF4"/>
    <w:rsid w:val="00017441"/>
    <w:rsid w:val="00020B2E"/>
    <w:rsid w:val="00020FE1"/>
    <w:rsid w:val="00022E13"/>
    <w:rsid w:val="00026B88"/>
    <w:rsid w:val="00032388"/>
    <w:rsid w:val="00035029"/>
    <w:rsid w:val="000352CF"/>
    <w:rsid w:val="00035CE2"/>
    <w:rsid w:val="000364B0"/>
    <w:rsid w:val="00040480"/>
    <w:rsid w:val="00041BFC"/>
    <w:rsid w:val="00041CF7"/>
    <w:rsid w:val="00044150"/>
    <w:rsid w:val="00050E64"/>
    <w:rsid w:val="00053F3B"/>
    <w:rsid w:val="00054097"/>
    <w:rsid w:val="0005553B"/>
    <w:rsid w:val="000566B5"/>
    <w:rsid w:val="000604D2"/>
    <w:rsid w:val="00060B81"/>
    <w:rsid w:val="0006396B"/>
    <w:rsid w:val="00063BBE"/>
    <w:rsid w:val="0007134F"/>
    <w:rsid w:val="000748F1"/>
    <w:rsid w:val="00080751"/>
    <w:rsid w:val="00081646"/>
    <w:rsid w:val="000844F0"/>
    <w:rsid w:val="0008565F"/>
    <w:rsid w:val="00086135"/>
    <w:rsid w:val="0008637D"/>
    <w:rsid w:val="00086CF6"/>
    <w:rsid w:val="0009005E"/>
    <w:rsid w:val="000908D3"/>
    <w:rsid w:val="000922FE"/>
    <w:rsid w:val="00093B71"/>
    <w:rsid w:val="000941C5"/>
    <w:rsid w:val="00094268"/>
    <w:rsid w:val="0009479F"/>
    <w:rsid w:val="00097348"/>
    <w:rsid w:val="000A6451"/>
    <w:rsid w:val="000B064E"/>
    <w:rsid w:val="000B0699"/>
    <w:rsid w:val="000B69CF"/>
    <w:rsid w:val="000C017C"/>
    <w:rsid w:val="000C7887"/>
    <w:rsid w:val="000C790C"/>
    <w:rsid w:val="000D6C06"/>
    <w:rsid w:val="000D7FB8"/>
    <w:rsid w:val="000E2F9C"/>
    <w:rsid w:val="000E3435"/>
    <w:rsid w:val="000E4A9A"/>
    <w:rsid w:val="000E6799"/>
    <w:rsid w:val="000F042D"/>
    <w:rsid w:val="000F061D"/>
    <w:rsid w:val="000F0D0F"/>
    <w:rsid w:val="000F1F92"/>
    <w:rsid w:val="000F4794"/>
    <w:rsid w:val="00102F63"/>
    <w:rsid w:val="00103609"/>
    <w:rsid w:val="00105029"/>
    <w:rsid w:val="0010576D"/>
    <w:rsid w:val="0010600E"/>
    <w:rsid w:val="00106541"/>
    <w:rsid w:val="0010663A"/>
    <w:rsid w:val="00106ECE"/>
    <w:rsid w:val="0011099E"/>
    <w:rsid w:val="00111050"/>
    <w:rsid w:val="00113DC8"/>
    <w:rsid w:val="0011464B"/>
    <w:rsid w:val="0011580F"/>
    <w:rsid w:val="00117D3D"/>
    <w:rsid w:val="0012044F"/>
    <w:rsid w:val="00124A4B"/>
    <w:rsid w:val="00124F12"/>
    <w:rsid w:val="00125004"/>
    <w:rsid w:val="0012565E"/>
    <w:rsid w:val="00125ED2"/>
    <w:rsid w:val="00127AAD"/>
    <w:rsid w:val="00135B13"/>
    <w:rsid w:val="001405CF"/>
    <w:rsid w:val="00142EC3"/>
    <w:rsid w:val="001446A6"/>
    <w:rsid w:val="00144E3A"/>
    <w:rsid w:val="0015060C"/>
    <w:rsid w:val="00150BC9"/>
    <w:rsid w:val="0016018A"/>
    <w:rsid w:val="00161F0E"/>
    <w:rsid w:val="0016689E"/>
    <w:rsid w:val="001668F9"/>
    <w:rsid w:val="00170E2A"/>
    <w:rsid w:val="00171877"/>
    <w:rsid w:val="00173138"/>
    <w:rsid w:val="00173284"/>
    <w:rsid w:val="00173B3D"/>
    <w:rsid w:val="00177394"/>
    <w:rsid w:val="00181562"/>
    <w:rsid w:val="00182C18"/>
    <w:rsid w:val="00183983"/>
    <w:rsid w:val="00183CC2"/>
    <w:rsid w:val="00184EC2"/>
    <w:rsid w:val="001861C2"/>
    <w:rsid w:val="001900E4"/>
    <w:rsid w:val="00190F88"/>
    <w:rsid w:val="00191AD0"/>
    <w:rsid w:val="001A0BB0"/>
    <w:rsid w:val="001A4066"/>
    <w:rsid w:val="001A4BC3"/>
    <w:rsid w:val="001A6656"/>
    <w:rsid w:val="001A6791"/>
    <w:rsid w:val="001A6AE4"/>
    <w:rsid w:val="001B01FD"/>
    <w:rsid w:val="001B4A71"/>
    <w:rsid w:val="001B57A4"/>
    <w:rsid w:val="001B5C28"/>
    <w:rsid w:val="001C573E"/>
    <w:rsid w:val="001D4296"/>
    <w:rsid w:val="001D542E"/>
    <w:rsid w:val="001D54B0"/>
    <w:rsid w:val="001D5B54"/>
    <w:rsid w:val="001E0304"/>
    <w:rsid w:val="001E1DBF"/>
    <w:rsid w:val="001E2860"/>
    <w:rsid w:val="001E4635"/>
    <w:rsid w:val="001E4639"/>
    <w:rsid w:val="001E4A7D"/>
    <w:rsid w:val="001E546B"/>
    <w:rsid w:val="001E7920"/>
    <w:rsid w:val="001F0A39"/>
    <w:rsid w:val="001F390E"/>
    <w:rsid w:val="001F3C15"/>
    <w:rsid w:val="001F43A8"/>
    <w:rsid w:val="001F5CD6"/>
    <w:rsid w:val="00210A2E"/>
    <w:rsid w:val="0021263D"/>
    <w:rsid w:val="00213F0C"/>
    <w:rsid w:val="00214094"/>
    <w:rsid w:val="002144FE"/>
    <w:rsid w:val="0021592D"/>
    <w:rsid w:val="00215EE2"/>
    <w:rsid w:val="00222D76"/>
    <w:rsid w:val="00223EB1"/>
    <w:rsid w:val="00225DBA"/>
    <w:rsid w:val="00226368"/>
    <w:rsid w:val="00226406"/>
    <w:rsid w:val="002311E7"/>
    <w:rsid w:val="00231290"/>
    <w:rsid w:val="00231344"/>
    <w:rsid w:val="00231BA9"/>
    <w:rsid w:val="0023436E"/>
    <w:rsid w:val="002347C0"/>
    <w:rsid w:val="00234A01"/>
    <w:rsid w:val="0023691D"/>
    <w:rsid w:val="00241A6C"/>
    <w:rsid w:val="00242D2B"/>
    <w:rsid w:val="002531F5"/>
    <w:rsid w:val="00253A17"/>
    <w:rsid w:val="002556D2"/>
    <w:rsid w:val="00260498"/>
    <w:rsid w:val="00262067"/>
    <w:rsid w:val="00262E2B"/>
    <w:rsid w:val="002637FC"/>
    <w:rsid w:val="00267B28"/>
    <w:rsid w:val="00270429"/>
    <w:rsid w:val="0027147E"/>
    <w:rsid w:val="00271C62"/>
    <w:rsid w:val="002723E9"/>
    <w:rsid w:val="00276259"/>
    <w:rsid w:val="00276859"/>
    <w:rsid w:val="00277929"/>
    <w:rsid w:val="00280A06"/>
    <w:rsid w:val="00283028"/>
    <w:rsid w:val="00283B82"/>
    <w:rsid w:val="002846E9"/>
    <w:rsid w:val="00284C34"/>
    <w:rsid w:val="0029066C"/>
    <w:rsid w:val="002914C5"/>
    <w:rsid w:val="002931A7"/>
    <w:rsid w:val="00294C90"/>
    <w:rsid w:val="00295E23"/>
    <w:rsid w:val="00297BC8"/>
    <w:rsid w:val="002A0631"/>
    <w:rsid w:val="002A3B3D"/>
    <w:rsid w:val="002A79AF"/>
    <w:rsid w:val="002B2D20"/>
    <w:rsid w:val="002B50DB"/>
    <w:rsid w:val="002B5CDC"/>
    <w:rsid w:val="002B6170"/>
    <w:rsid w:val="002B7A2A"/>
    <w:rsid w:val="002C0016"/>
    <w:rsid w:val="002C12AB"/>
    <w:rsid w:val="002C270D"/>
    <w:rsid w:val="002C7CAC"/>
    <w:rsid w:val="002D0C45"/>
    <w:rsid w:val="002D1FDD"/>
    <w:rsid w:val="002D3306"/>
    <w:rsid w:val="002D352C"/>
    <w:rsid w:val="002D48AA"/>
    <w:rsid w:val="002D7BAA"/>
    <w:rsid w:val="002D7F54"/>
    <w:rsid w:val="002E0864"/>
    <w:rsid w:val="002E2ED9"/>
    <w:rsid w:val="002E347D"/>
    <w:rsid w:val="002E39BF"/>
    <w:rsid w:val="002E3FF4"/>
    <w:rsid w:val="002E64DE"/>
    <w:rsid w:val="002E654E"/>
    <w:rsid w:val="002F0EAE"/>
    <w:rsid w:val="002F4F85"/>
    <w:rsid w:val="002F5AD3"/>
    <w:rsid w:val="002F6D6D"/>
    <w:rsid w:val="002F73E8"/>
    <w:rsid w:val="002F78C8"/>
    <w:rsid w:val="00300CF1"/>
    <w:rsid w:val="003012E6"/>
    <w:rsid w:val="00301CF3"/>
    <w:rsid w:val="00307B42"/>
    <w:rsid w:val="00311DD0"/>
    <w:rsid w:val="003144B6"/>
    <w:rsid w:val="00316DA6"/>
    <w:rsid w:val="003208C8"/>
    <w:rsid w:val="0032715C"/>
    <w:rsid w:val="00327EAE"/>
    <w:rsid w:val="00331330"/>
    <w:rsid w:val="003355DB"/>
    <w:rsid w:val="00337CA5"/>
    <w:rsid w:val="003412E7"/>
    <w:rsid w:val="003439D8"/>
    <w:rsid w:val="00344D0C"/>
    <w:rsid w:val="003478A6"/>
    <w:rsid w:val="0035116C"/>
    <w:rsid w:val="003549E1"/>
    <w:rsid w:val="003556A4"/>
    <w:rsid w:val="00357337"/>
    <w:rsid w:val="00361527"/>
    <w:rsid w:val="00362478"/>
    <w:rsid w:val="00366683"/>
    <w:rsid w:val="00371103"/>
    <w:rsid w:val="0037200E"/>
    <w:rsid w:val="00372061"/>
    <w:rsid w:val="00372C5B"/>
    <w:rsid w:val="0037395F"/>
    <w:rsid w:val="00375B25"/>
    <w:rsid w:val="003820E8"/>
    <w:rsid w:val="003867F5"/>
    <w:rsid w:val="00390CD2"/>
    <w:rsid w:val="00396542"/>
    <w:rsid w:val="0039685B"/>
    <w:rsid w:val="003976ED"/>
    <w:rsid w:val="003A3074"/>
    <w:rsid w:val="003A31A6"/>
    <w:rsid w:val="003A4318"/>
    <w:rsid w:val="003A494F"/>
    <w:rsid w:val="003A6942"/>
    <w:rsid w:val="003A6F2D"/>
    <w:rsid w:val="003A7D60"/>
    <w:rsid w:val="003A7F0C"/>
    <w:rsid w:val="003A7F79"/>
    <w:rsid w:val="003B6404"/>
    <w:rsid w:val="003C037D"/>
    <w:rsid w:val="003C06CE"/>
    <w:rsid w:val="003C0F31"/>
    <w:rsid w:val="003C449B"/>
    <w:rsid w:val="003C5901"/>
    <w:rsid w:val="003D041E"/>
    <w:rsid w:val="003D21FF"/>
    <w:rsid w:val="003E11C4"/>
    <w:rsid w:val="003E2B1F"/>
    <w:rsid w:val="003E5046"/>
    <w:rsid w:val="003F0112"/>
    <w:rsid w:val="003F071A"/>
    <w:rsid w:val="003F0D3E"/>
    <w:rsid w:val="003F160B"/>
    <w:rsid w:val="003F6F29"/>
    <w:rsid w:val="00400032"/>
    <w:rsid w:val="00400B5B"/>
    <w:rsid w:val="00404E3C"/>
    <w:rsid w:val="00405A00"/>
    <w:rsid w:val="00405ADA"/>
    <w:rsid w:val="00405FC6"/>
    <w:rsid w:val="00411225"/>
    <w:rsid w:val="00420870"/>
    <w:rsid w:val="004210E3"/>
    <w:rsid w:val="0043769F"/>
    <w:rsid w:val="0043791B"/>
    <w:rsid w:val="00437C53"/>
    <w:rsid w:val="00441483"/>
    <w:rsid w:val="00441BCB"/>
    <w:rsid w:val="004422DD"/>
    <w:rsid w:val="004434A6"/>
    <w:rsid w:val="004436CB"/>
    <w:rsid w:val="00450E56"/>
    <w:rsid w:val="0045176A"/>
    <w:rsid w:val="00452578"/>
    <w:rsid w:val="0045407D"/>
    <w:rsid w:val="00456332"/>
    <w:rsid w:val="00457DC4"/>
    <w:rsid w:val="00461826"/>
    <w:rsid w:val="00462298"/>
    <w:rsid w:val="0046331F"/>
    <w:rsid w:val="0046753D"/>
    <w:rsid w:val="00471D21"/>
    <w:rsid w:val="00473A7A"/>
    <w:rsid w:val="0047436F"/>
    <w:rsid w:val="00476CC6"/>
    <w:rsid w:val="004800F9"/>
    <w:rsid w:val="00481A5F"/>
    <w:rsid w:val="00483CB0"/>
    <w:rsid w:val="004864EB"/>
    <w:rsid w:val="00486CC4"/>
    <w:rsid w:val="00490C78"/>
    <w:rsid w:val="0049134A"/>
    <w:rsid w:val="0049484F"/>
    <w:rsid w:val="0049709E"/>
    <w:rsid w:val="00497B1D"/>
    <w:rsid w:val="004A25F9"/>
    <w:rsid w:val="004A29A8"/>
    <w:rsid w:val="004A58CB"/>
    <w:rsid w:val="004A5E43"/>
    <w:rsid w:val="004A6EE9"/>
    <w:rsid w:val="004A7624"/>
    <w:rsid w:val="004B008F"/>
    <w:rsid w:val="004B1795"/>
    <w:rsid w:val="004B56DD"/>
    <w:rsid w:val="004B7745"/>
    <w:rsid w:val="004C020F"/>
    <w:rsid w:val="004C0EAA"/>
    <w:rsid w:val="004C1AFD"/>
    <w:rsid w:val="004C4B65"/>
    <w:rsid w:val="004C4FBA"/>
    <w:rsid w:val="004C558B"/>
    <w:rsid w:val="004C5BAB"/>
    <w:rsid w:val="004D04F1"/>
    <w:rsid w:val="004D2A02"/>
    <w:rsid w:val="004D72E9"/>
    <w:rsid w:val="004E0CBB"/>
    <w:rsid w:val="004E3B85"/>
    <w:rsid w:val="004E5745"/>
    <w:rsid w:val="004E6139"/>
    <w:rsid w:val="004E6DF2"/>
    <w:rsid w:val="004F1F88"/>
    <w:rsid w:val="004F5F1B"/>
    <w:rsid w:val="004F6288"/>
    <w:rsid w:val="004F6D1F"/>
    <w:rsid w:val="004F7D3C"/>
    <w:rsid w:val="0050011F"/>
    <w:rsid w:val="00502374"/>
    <w:rsid w:val="00504B4F"/>
    <w:rsid w:val="005060A1"/>
    <w:rsid w:val="00513B7D"/>
    <w:rsid w:val="00513E83"/>
    <w:rsid w:val="00514E20"/>
    <w:rsid w:val="00516072"/>
    <w:rsid w:val="005166CB"/>
    <w:rsid w:val="005218ED"/>
    <w:rsid w:val="005242DB"/>
    <w:rsid w:val="005258A4"/>
    <w:rsid w:val="005313F4"/>
    <w:rsid w:val="005332EC"/>
    <w:rsid w:val="00533AA2"/>
    <w:rsid w:val="00533B6F"/>
    <w:rsid w:val="00534418"/>
    <w:rsid w:val="005353AB"/>
    <w:rsid w:val="0053606D"/>
    <w:rsid w:val="00536275"/>
    <w:rsid w:val="00541746"/>
    <w:rsid w:val="00545CE5"/>
    <w:rsid w:val="005506B3"/>
    <w:rsid w:val="005513F3"/>
    <w:rsid w:val="005560BC"/>
    <w:rsid w:val="005573BE"/>
    <w:rsid w:val="00565DAD"/>
    <w:rsid w:val="00567AF0"/>
    <w:rsid w:val="00572700"/>
    <w:rsid w:val="00576621"/>
    <w:rsid w:val="00580468"/>
    <w:rsid w:val="00581F4B"/>
    <w:rsid w:val="00582309"/>
    <w:rsid w:val="0058235A"/>
    <w:rsid w:val="0058494E"/>
    <w:rsid w:val="00585996"/>
    <w:rsid w:val="00585DE7"/>
    <w:rsid w:val="0058603B"/>
    <w:rsid w:val="005874BF"/>
    <w:rsid w:val="0059431B"/>
    <w:rsid w:val="005A07F1"/>
    <w:rsid w:val="005A39CC"/>
    <w:rsid w:val="005A4333"/>
    <w:rsid w:val="005A5027"/>
    <w:rsid w:val="005A5EF2"/>
    <w:rsid w:val="005A684E"/>
    <w:rsid w:val="005B002E"/>
    <w:rsid w:val="005B25A6"/>
    <w:rsid w:val="005B382C"/>
    <w:rsid w:val="005B3A59"/>
    <w:rsid w:val="005B4730"/>
    <w:rsid w:val="005B4D7C"/>
    <w:rsid w:val="005B69A4"/>
    <w:rsid w:val="005B6C2B"/>
    <w:rsid w:val="005C1B8A"/>
    <w:rsid w:val="005C2191"/>
    <w:rsid w:val="005D2E23"/>
    <w:rsid w:val="005D68CD"/>
    <w:rsid w:val="005E05D7"/>
    <w:rsid w:val="005E41E7"/>
    <w:rsid w:val="005E450F"/>
    <w:rsid w:val="005E5486"/>
    <w:rsid w:val="005F71CA"/>
    <w:rsid w:val="0060634E"/>
    <w:rsid w:val="006153FB"/>
    <w:rsid w:val="006216A4"/>
    <w:rsid w:val="00621F4B"/>
    <w:rsid w:val="0062298A"/>
    <w:rsid w:val="00625270"/>
    <w:rsid w:val="00626514"/>
    <w:rsid w:val="00626589"/>
    <w:rsid w:val="00631393"/>
    <w:rsid w:val="006339A0"/>
    <w:rsid w:val="00636B5A"/>
    <w:rsid w:val="006372E7"/>
    <w:rsid w:val="00637CEE"/>
    <w:rsid w:val="006407B7"/>
    <w:rsid w:val="006413A8"/>
    <w:rsid w:val="00642E56"/>
    <w:rsid w:val="00643E62"/>
    <w:rsid w:val="00647E2D"/>
    <w:rsid w:val="00651E00"/>
    <w:rsid w:val="006535C8"/>
    <w:rsid w:val="006542F4"/>
    <w:rsid w:val="0065569F"/>
    <w:rsid w:val="00660E52"/>
    <w:rsid w:val="00664943"/>
    <w:rsid w:val="00670539"/>
    <w:rsid w:val="006720A8"/>
    <w:rsid w:val="00674572"/>
    <w:rsid w:val="00674575"/>
    <w:rsid w:val="0067613A"/>
    <w:rsid w:val="00677CF3"/>
    <w:rsid w:val="00687763"/>
    <w:rsid w:val="00687A54"/>
    <w:rsid w:val="00692B0D"/>
    <w:rsid w:val="00693E0E"/>
    <w:rsid w:val="00695E70"/>
    <w:rsid w:val="006A00ED"/>
    <w:rsid w:val="006A01FD"/>
    <w:rsid w:val="006A1AE3"/>
    <w:rsid w:val="006A2D17"/>
    <w:rsid w:val="006A485C"/>
    <w:rsid w:val="006A7A15"/>
    <w:rsid w:val="006B335D"/>
    <w:rsid w:val="006B38B1"/>
    <w:rsid w:val="006B577B"/>
    <w:rsid w:val="006B5934"/>
    <w:rsid w:val="006C2122"/>
    <w:rsid w:val="006C2DA8"/>
    <w:rsid w:val="006C30E1"/>
    <w:rsid w:val="006C4607"/>
    <w:rsid w:val="006C6C6D"/>
    <w:rsid w:val="006D0B19"/>
    <w:rsid w:val="006D33FC"/>
    <w:rsid w:val="006D48F1"/>
    <w:rsid w:val="006E3251"/>
    <w:rsid w:val="006E3A20"/>
    <w:rsid w:val="006E72AC"/>
    <w:rsid w:val="006F0145"/>
    <w:rsid w:val="006F45BE"/>
    <w:rsid w:val="006F47EF"/>
    <w:rsid w:val="007004FC"/>
    <w:rsid w:val="00704659"/>
    <w:rsid w:val="00706670"/>
    <w:rsid w:val="00712D43"/>
    <w:rsid w:val="00716481"/>
    <w:rsid w:val="00722305"/>
    <w:rsid w:val="0072417C"/>
    <w:rsid w:val="007304C5"/>
    <w:rsid w:val="00734450"/>
    <w:rsid w:val="00735678"/>
    <w:rsid w:val="00735A84"/>
    <w:rsid w:val="00745B1C"/>
    <w:rsid w:val="00745F67"/>
    <w:rsid w:val="0075039E"/>
    <w:rsid w:val="00751ECB"/>
    <w:rsid w:val="00752983"/>
    <w:rsid w:val="00752D9D"/>
    <w:rsid w:val="00752F76"/>
    <w:rsid w:val="00754784"/>
    <w:rsid w:val="00757929"/>
    <w:rsid w:val="00757C6E"/>
    <w:rsid w:val="00762BDA"/>
    <w:rsid w:val="00767FB2"/>
    <w:rsid w:val="00770B9B"/>
    <w:rsid w:val="00770F68"/>
    <w:rsid w:val="00777A03"/>
    <w:rsid w:val="007805FD"/>
    <w:rsid w:val="00784422"/>
    <w:rsid w:val="00784AD6"/>
    <w:rsid w:val="00787CD9"/>
    <w:rsid w:val="00787E8C"/>
    <w:rsid w:val="00792EB4"/>
    <w:rsid w:val="00794CF8"/>
    <w:rsid w:val="00795B17"/>
    <w:rsid w:val="00797BDE"/>
    <w:rsid w:val="007A099C"/>
    <w:rsid w:val="007A21F9"/>
    <w:rsid w:val="007A3DBF"/>
    <w:rsid w:val="007A42CE"/>
    <w:rsid w:val="007B16AF"/>
    <w:rsid w:val="007B2CEF"/>
    <w:rsid w:val="007B3940"/>
    <w:rsid w:val="007B3A00"/>
    <w:rsid w:val="007B3B54"/>
    <w:rsid w:val="007B3FA0"/>
    <w:rsid w:val="007B4ED8"/>
    <w:rsid w:val="007B52C9"/>
    <w:rsid w:val="007C0F2C"/>
    <w:rsid w:val="007C2BCC"/>
    <w:rsid w:val="007C4EF0"/>
    <w:rsid w:val="007C7B8D"/>
    <w:rsid w:val="007D099D"/>
    <w:rsid w:val="007E127C"/>
    <w:rsid w:val="007E1593"/>
    <w:rsid w:val="007E1D45"/>
    <w:rsid w:val="007E2664"/>
    <w:rsid w:val="007E3ABF"/>
    <w:rsid w:val="007E430E"/>
    <w:rsid w:val="007E5BFA"/>
    <w:rsid w:val="007E6689"/>
    <w:rsid w:val="007E731C"/>
    <w:rsid w:val="007F0A03"/>
    <w:rsid w:val="007F0D14"/>
    <w:rsid w:val="007F7687"/>
    <w:rsid w:val="00800F77"/>
    <w:rsid w:val="00803692"/>
    <w:rsid w:val="00804491"/>
    <w:rsid w:val="00810040"/>
    <w:rsid w:val="00810637"/>
    <w:rsid w:val="00810EC2"/>
    <w:rsid w:val="00814DB1"/>
    <w:rsid w:val="00816F87"/>
    <w:rsid w:val="00817964"/>
    <w:rsid w:val="0082023A"/>
    <w:rsid w:val="008208E5"/>
    <w:rsid w:val="00821A7A"/>
    <w:rsid w:val="0082267C"/>
    <w:rsid w:val="00823E12"/>
    <w:rsid w:val="008253F8"/>
    <w:rsid w:val="008253FC"/>
    <w:rsid w:val="00827BC5"/>
    <w:rsid w:val="00830693"/>
    <w:rsid w:val="00830E2A"/>
    <w:rsid w:val="00831255"/>
    <w:rsid w:val="008325E4"/>
    <w:rsid w:val="00832A2B"/>
    <w:rsid w:val="008335B1"/>
    <w:rsid w:val="00834F65"/>
    <w:rsid w:val="008351C4"/>
    <w:rsid w:val="00840B3E"/>
    <w:rsid w:val="00840CB8"/>
    <w:rsid w:val="0084275C"/>
    <w:rsid w:val="008438B1"/>
    <w:rsid w:val="00844A52"/>
    <w:rsid w:val="00845811"/>
    <w:rsid w:val="00846994"/>
    <w:rsid w:val="00847AEB"/>
    <w:rsid w:val="00850451"/>
    <w:rsid w:val="00852042"/>
    <w:rsid w:val="0085349B"/>
    <w:rsid w:val="008534C9"/>
    <w:rsid w:val="0085599D"/>
    <w:rsid w:val="00855CB9"/>
    <w:rsid w:val="00860C7E"/>
    <w:rsid w:val="00861616"/>
    <w:rsid w:val="00863CA7"/>
    <w:rsid w:val="00865AD1"/>
    <w:rsid w:val="00867333"/>
    <w:rsid w:val="00867823"/>
    <w:rsid w:val="0087510C"/>
    <w:rsid w:val="008801B8"/>
    <w:rsid w:val="008844B4"/>
    <w:rsid w:val="008907F5"/>
    <w:rsid w:val="00893F1C"/>
    <w:rsid w:val="00894639"/>
    <w:rsid w:val="0089502B"/>
    <w:rsid w:val="0089738E"/>
    <w:rsid w:val="00897A08"/>
    <w:rsid w:val="008A55CF"/>
    <w:rsid w:val="008B20B1"/>
    <w:rsid w:val="008B25BF"/>
    <w:rsid w:val="008B341F"/>
    <w:rsid w:val="008B5FDB"/>
    <w:rsid w:val="008B6481"/>
    <w:rsid w:val="008B732D"/>
    <w:rsid w:val="008B7E81"/>
    <w:rsid w:val="008B7F86"/>
    <w:rsid w:val="008C50F4"/>
    <w:rsid w:val="008C5649"/>
    <w:rsid w:val="008C72DF"/>
    <w:rsid w:val="008D1C34"/>
    <w:rsid w:val="008D4C22"/>
    <w:rsid w:val="008D5328"/>
    <w:rsid w:val="008D726D"/>
    <w:rsid w:val="008D7A5D"/>
    <w:rsid w:val="008E2CC5"/>
    <w:rsid w:val="008E44A2"/>
    <w:rsid w:val="008E697D"/>
    <w:rsid w:val="008E6F7C"/>
    <w:rsid w:val="008E7C78"/>
    <w:rsid w:val="008F2F88"/>
    <w:rsid w:val="008F4176"/>
    <w:rsid w:val="008F5A5A"/>
    <w:rsid w:val="008F6596"/>
    <w:rsid w:val="00900962"/>
    <w:rsid w:val="00903263"/>
    <w:rsid w:val="00903762"/>
    <w:rsid w:val="00906A21"/>
    <w:rsid w:val="009079C3"/>
    <w:rsid w:val="00910462"/>
    <w:rsid w:val="00915275"/>
    <w:rsid w:val="00915AB1"/>
    <w:rsid w:val="00915B22"/>
    <w:rsid w:val="00917532"/>
    <w:rsid w:val="00917ED9"/>
    <w:rsid w:val="009235BA"/>
    <w:rsid w:val="00924023"/>
    <w:rsid w:val="00924CE2"/>
    <w:rsid w:val="00925B9F"/>
    <w:rsid w:val="00931AED"/>
    <w:rsid w:val="00933A12"/>
    <w:rsid w:val="009342B3"/>
    <w:rsid w:val="0094081A"/>
    <w:rsid w:val="00945F78"/>
    <w:rsid w:val="009476A3"/>
    <w:rsid w:val="0095334F"/>
    <w:rsid w:val="009539DE"/>
    <w:rsid w:val="00960405"/>
    <w:rsid w:val="00961324"/>
    <w:rsid w:val="009621E0"/>
    <w:rsid w:val="00962879"/>
    <w:rsid w:val="0096380C"/>
    <w:rsid w:val="00963D9C"/>
    <w:rsid w:val="00965897"/>
    <w:rsid w:val="009672A8"/>
    <w:rsid w:val="00967424"/>
    <w:rsid w:val="0096765C"/>
    <w:rsid w:val="00970E30"/>
    <w:rsid w:val="009727E4"/>
    <w:rsid w:val="009730E5"/>
    <w:rsid w:val="009730EF"/>
    <w:rsid w:val="009735A9"/>
    <w:rsid w:val="00974635"/>
    <w:rsid w:val="00976E09"/>
    <w:rsid w:val="00977BD0"/>
    <w:rsid w:val="009825C5"/>
    <w:rsid w:val="00993063"/>
    <w:rsid w:val="009934C5"/>
    <w:rsid w:val="00993B85"/>
    <w:rsid w:val="00994C0F"/>
    <w:rsid w:val="009A2D7E"/>
    <w:rsid w:val="009A7E7E"/>
    <w:rsid w:val="009B22D7"/>
    <w:rsid w:val="009B2D45"/>
    <w:rsid w:val="009B62E8"/>
    <w:rsid w:val="009B72ED"/>
    <w:rsid w:val="009C5BD8"/>
    <w:rsid w:val="009C6DEB"/>
    <w:rsid w:val="009D12D6"/>
    <w:rsid w:val="009D58D0"/>
    <w:rsid w:val="009D6504"/>
    <w:rsid w:val="009D6601"/>
    <w:rsid w:val="009D7E74"/>
    <w:rsid w:val="009E12D7"/>
    <w:rsid w:val="009E329A"/>
    <w:rsid w:val="009E3A70"/>
    <w:rsid w:val="009E61F1"/>
    <w:rsid w:val="009E661A"/>
    <w:rsid w:val="009F2284"/>
    <w:rsid w:val="009F25BB"/>
    <w:rsid w:val="009F49D6"/>
    <w:rsid w:val="00A02777"/>
    <w:rsid w:val="00A02C89"/>
    <w:rsid w:val="00A03153"/>
    <w:rsid w:val="00A06781"/>
    <w:rsid w:val="00A071B1"/>
    <w:rsid w:val="00A074C3"/>
    <w:rsid w:val="00A12FCA"/>
    <w:rsid w:val="00A1509C"/>
    <w:rsid w:val="00A165E7"/>
    <w:rsid w:val="00A20520"/>
    <w:rsid w:val="00A240AA"/>
    <w:rsid w:val="00A255FC"/>
    <w:rsid w:val="00A26419"/>
    <w:rsid w:val="00A308D6"/>
    <w:rsid w:val="00A316D5"/>
    <w:rsid w:val="00A32716"/>
    <w:rsid w:val="00A34260"/>
    <w:rsid w:val="00A4061D"/>
    <w:rsid w:val="00A40C38"/>
    <w:rsid w:val="00A40C68"/>
    <w:rsid w:val="00A41CF3"/>
    <w:rsid w:val="00A42A0D"/>
    <w:rsid w:val="00A44ACA"/>
    <w:rsid w:val="00A4542B"/>
    <w:rsid w:val="00A51EDC"/>
    <w:rsid w:val="00A54B07"/>
    <w:rsid w:val="00A55B35"/>
    <w:rsid w:val="00A579D0"/>
    <w:rsid w:val="00A6053B"/>
    <w:rsid w:val="00A605F0"/>
    <w:rsid w:val="00A62B86"/>
    <w:rsid w:val="00A63C06"/>
    <w:rsid w:val="00A64B19"/>
    <w:rsid w:val="00A654AE"/>
    <w:rsid w:val="00A656AE"/>
    <w:rsid w:val="00A676C4"/>
    <w:rsid w:val="00A70CFD"/>
    <w:rsid w:val="00A72A0B"/>
    <w:rsid w:val="00A74A37"/>
    <w:rsid w:val="00A80965"/>
    <w:rsid w:val="00A81E42"/>
    <w:rsid w:val="00A84963"/>
    <w:rsid w:val="00A864FE"/>
    <w:rsid w:val="00A86F41"/>
    <w:rsid w:val="00A87D04"/>
    <w:rsid w:val="00A87D15"/>
    <w:rsid w:val="00A91D12"/>
    <w:rsid w:val="00A94463"/>
    <w:rsid w:val="00A950C5"/>
    <w:rsid w:val="00AA1D25"/>
    <w:rsid w:val="00AA33B5"/>
    <w:rsid w:val="00AA4642"/>
    <w:rsid w:val="00AA4E58"/>
    <w:rsid w:val="00AA6042"/>
    <w:rsid w:val="00AB00B7"/>
    <w:rsid w:val="00AB0DF8"/>
    <w:rsid w:val="00AB19FB"/>
    <w:rsid w:val="00AB2B1A"/>
    <w:rsid w:val="00AB38F0"/>
    <w:rsid w:val="00AB397F"/>
    <w:rsid w:val="00AB4509"/>
    <w:rsid w:val="00AB467F"/>
    <w:rsid w:val="00AB57FD"/>
    <w:rsid w:val="00AB5832"/>
    <w:rsid w:val="00AC51F2"/>
    <w:rsid w:val="00AD01F0"/>
    <w:rsid w:val="00AD1FD1"/>
    <w:rsid w:val="00AD28EB"/>
    <w:rsid w:val="00AD44EC"/>
    <w:rsid w:val="00AD6B7C"/>
    <w:rsid w:val="00AD7C4B"/>
    <w:rsid w:val="00AE086F"/>
    <w:rsid w:val="00AE2196"/>
    <w:rsid w:val="00AE2B5A"/>
    <w:rsid w:val="00AE3637"/>
    <w:rsid w:val="00AE5066"/>
    <w:rsid w:val="00AE5E24"/>
    <w:rsid w:val="00AE61B7"/>
    <w:rsid w:val="00AE6CBA"/>
    <w:rsid w:val="00AE79AD"/>
    <w:rsid w:val="00AF034E"/>
    <w:rsid w:val="00AF0AC6"/>
    <w:rsid w:val="00AF35E4"/>
    <w:rsid w:val="00AF3720"/>
    <w:rsid w:val="00AF4DB4"/>
    <w:rsid w:val="00AF5CDE"/>
    <w:rsid w:val="00AF73DF"/>
    <w:rsid w:val="00B108D7"/>
    <w:rsid w:val="00B11A57"/>
    <w:rsid w:val="00B13162"/>
    <w:rsid w:val="00B13846"/>
    <w:rsid w:val="00B16188"/>
    <w:rsid w:val="00B179A1"/>
    <w:rsid w:val="00B17D75"/>
    <w:rsid w:val="00B211C3"/>
    <w:rsid w:val="00B22BA1"/>
    <w:rsid w:val="00B231CF"/>
    <w:rsid w:val="00B254C7"/>
    <w:rsid w:val="00B25597"/>
    <w:rsid w:val="00B267B9"/>
    <w:rsid w:val="00B26EB0"/>
    <w:rsid w:val="00B27541"/>
    <w:rsid w:val="00B27D74"/>
    <w:rsid w:val="00B30172"/>
    <w:rsid w:val="00B30C07"/>
    <w:rsid w:val="00B32EAC"/>
    <w:rsid w:val="00B330AF"/>
    <w:rsid w:val="00B332D1"/>
    <w:rsid w:val="00B33E09"/>
    <w:rsid w:val="00B42594"/>
    <w:rsid w:val="00B44CF6"/>
    <w:rsid w:val="00B50708"/>
    <w:rsid w:val="00B50C68"/>
    <w:rsid w:val="00B51293"/>
    <w:rsid w:val="00B52B1E"/>
    <w:rsid w:val="00B55481"/>
    <w:rsid w:val="00B56C32"/>
    <w:rsid w:val="00B57ACF"/>
    <w:rsid w:val="00B649EE"/>
    <w:rsid w:val="00B64BB1"/>
    <w:rsid w:val="00B73166"/>
    <w:rsid w:val="00B81363"/>
    <w:rsid w:val="00B8338C"/>
    <w:rsid w:val="00B8426C"/>
    <w:rsid w:val="00B84E65"/>
    <w:rsid w:val="00B850E0"/>
    <w:rsid w:val="00B86D31"/>
    <w:rsid w:val="00B873AC"/>
    <w:rsid w:val="00B91B8D"/>
    <w:rsid w:val="00B93F18"/>
    <w:rsid w:val="00B94E90"/>
    <w:rsid w:val="00B97BFD"/>
    <w:rsid w:val="00BA0F80"/>
    <w:rsid w:val="00BA2B06"/>
    <w:rsid w:val="00BB0114"/>
    <w:rsid w:val="00BB0A82"/>
    <w:rsid w:val="00BB3DCB"/>
    <w:rsid w:val="00BB7C94"/>
    <w:rsid w:val="00BC0A9D"/>
    <w:rsid w:val="00BC79BF"/>
    <w:rsid w:val="00BD0BAD"/>
    <w:rsid w:val="00BD0D95"/>
    <w:rsid w:val="00BD0EAA"/>
    <w:rsid w:val="00BD5C73"/>
    <w:rsid w:val="00BD5E07"/>
    <w:rsid w:val="00BE0DD5"/>
    <w:rsid w:val="00BE1DF3"/>
    <w:rsid w:val="00BE3D4E"/>
    <w:rsid w:val="00BE5428"/>
    <w:rsid w:val="00BF0054"/>
    <w:rsid w:val="00BF123A"/>
    <w:rsid w:val="00BF1480"/>
    <w:rsid w:val="00BF40ED"/>
    <w:rsid w:val="00BF50F8"/>
    <w:rsid w:val="00BF5B13"/>
    <w:rsid w:val="00BF5BC2"/>
    <w:rsid w:val="00BF5BD8"/>
    <w:rsid w:val="00BF6F19"/>
    <w:rsid w:val="00C016C0"/>
    <w:rsid w:val="00C1133D"/>
    <w:rsid w:val="00C14CA0"/>
    <w:rsid w:val="00C2213B"/>
    <w:rsid w:val="00C23C04"/>
    <w:rsid w:val="00C24196"/>
    <w:rsid w:val="00C27A08"/>
    <w:rsid w:val="00C305CF"/>
    <w:rsid w:val="00C306DF"/>
    <w:rsid w:val="00C30AB1"/>
    <w:rsid w:val="00C31312"/>
    <w:rsid w:val="00C326C6"/>
    <w:rsid w:val="00C35295"/>
    <w:rsid w:val="00C36ADD"/>
    <w:rsid w:val="00C36E74"/>
    <w:rsid w:val="00C40595"/>
    <w:rsid w:val="00C41621"/>
    <w:rsid w:val="00C41A41"/>
    <w:rsid w:val="00C41DFE"/>
    <w:rsid w:val="00C41FCB"/>
    <w:rsid w:val="00C42994"/>
    <w:rsid w:val="00C42DBF"/>
    <w:rsid w:val="00C43F4D"/>
    <w:rsid w:val="00C44762"/>
    <w:rsid w:val="00C449FA"/>
    <w:rsid w:val="00C46204"/>
    <w:rsid w:val="00C50969"/>
    <w:rsid w:val="00C5384F"/>
    <w:rsid w:val="00C56964"/>
    <w:rsid w:val="00C57C22"/>
    <w:rsid w:val="00C57F0A"/>
    <w:rsid w:val="00C606EA"/>
    <w:rsid w:val="00C60AA2"/>
    <w:rsid w:val="00C610AB"/>
    <w:rsid w:val="00C62EEE"/>
    <w:rsid w:val="00C656D5"/>
    <w:rsid w:val="00C67103"/>
    <w:rsid w:val="00C709FC"/>
    <w:rsid w:val="00C71BB9"/>
    <w:rsid w:val="00C71F73"/>
    <w:rsid w:val="00C7259E"/>
    <w:rsid w:val="00C80AB9"/>
    <w:rsid w:val="00C84619"/>
    <w:rsid w:val="00C85D05"/>
    <w:rsid w:val="00C873C6"/>
    <w:rsid w:val="00C936AA"/>
    <w:rsid w:val="00C94C28"/>
    <w:rsid w:val="00C94D27"/>
    <w:rsid w:val="00CA04F4"/>
    <w:rsid w:val="00CA1CBB"/>
    <w:rsid w:val="00CA1F54"/>
    <w:rsid w:val="00CA693F"/>
    <w:rsid w:val="00CA7534"/>
    <w:rsid w:val="00CB0247"/>
    <w:rsid w:val="00CB1BF0"/>
    <w:rsid w:val="00CB3440"/>
    <w:rsid w:val="00CB4B35"/>
    <w:rsid w:val="00CB549C"/>
    <w:rsid w:val="00CB5BA2"/>
    <w:rsid w:val="00CB73B4"/>
    <w:rsid w:val="00CB77E9"/>
    <w:rsid w:val="00CC041E"/>
    <w:rsid w:val="00CC1692"/>
    <w:rsid w:val="00CC4D20"/>
    <w:rsid w:val="00CC6D7D"/>
    <w:rsid w:val="00CC70C5"/>
    <w:rsid w:val="00CD138B"/>
    <w:rsid w:val="00CD1841"/>
    <w:rsid w:val="00CD3047"/>
    <w:rsid w:val="00CD3D9D"/>
    <w:rsid w:val="00CD3E31"/>
    <w:rsid w:val="00CD74A3"/>
    <w:rsid w:val="00CE0527"/>
    <w:rsid w:val="00CE13AE"/>
    <w:rsid w:val="00CE5B23"/>
    <w:rsid w:val="00CE6120"/>
    <w:rsid w:val="00CF0CB1"/>
    <w:rsid w:val="00CF10EC"/>
    <w:rsid w:val="00CF6108"/>
    <w:rsid w:val="00CF70AD"/>
    <w:rsid w:val="00CF7729"/>
    <w:rsid w:val="00CF79EE"/>
    <w:rsid w:val="00CF7EF1"/>
    <w:rsid w:val="00D00059"/>
    <w:rsid w:val="00D054FD"/>
    <w:rsid w:val="00D1009C"/>
    <w:rsid w:val="00D102A7"/>
    <w:rsid w:val="00D107FA"/>
    <w:rsid w:val="00D12275"/>
    <w:rsid w:val="00D12766"/>
    <w:rsid w:val="00D13A96"/>
    <w:rsid w:val="00D20F1B"/>
    <w:rsid w:val="00D20FF4"/>
    <w:rsid w:val="00D21645"/>
    <w:rsid w:val="00D219BD"/>
    <w:rsid w:val="00D24D2C"/>
    <w:rsid w:val="00D33125"/>
    <w:rsid w:val="00D33BD4"/>
    <w:rsid w:val="00D3536D"/>
    <w:rsid w:val="00D35881"/>
    <w:rsid w:val="00D36AFB"/>
    <w:rsid w:val="00D40755"/>
    <w:rsid w:val="00D4105F"/>
    <w:rsid w:val="00D42AAB"/>
    <w:rsid w:val="00D434CD"/>
    <w:rsid w:val="00D515D7"/>
    <w:rsid w:val="00D60055"/>
    <w:rsid w:val="00D60987"/>
    <w:rsid w:val="00D60C2B"/>
    <w:rsid w:val="00D64929"/>
    <w:rsid w:val="00D66752"/>
    <w:rsid w:val="00D70F98"/>
    <w:rsid w:val="00D7287A"/>
    <w:rsid w:val="00D767F9"/>
    <w:rsid w:val="00D7728E"/>
    <w:rsid w:val="00D801D1"/>
    <w:rsid w:val="00D848C5"/>
    <w:rsid w:val="00D86486"/>
    <w:rsid w:val="00D90D92"/>
    <w:rsid w:val="00D919AD"/>
    <w:rsid w:val="00D9567E"/>
    <w:rsid w:val="00DA0DB7"/>
    <w:rsid w:val="00DA2172"/>
    <w:rsid w:val="00DA5486"/>
    <w:rsid w:val="00DA7DA5"/>
    <w:rsid w:val="00DB073B"/>
    <w:rsid w:val="00DB07F9"/>
    <w:rsid w:val="00DB2955"/>
    <w:rsid w:val="00DB38F2"/>
    <w:rsid w:val="00DB78F0"/>
    <w:rsid w:val="00DC1D8A"/>
    <w:rsid w:val="00DC2E43"/>
    <w:rsid w:val="00DC37E6"/>
    <w:rsid w:val="00DC45BD"/>
    <w:rsid w:val="00DC6616"/>
    <w:rsid w:val="00DD095C"/>
    <w:rsid w:val="00DD1020"/>
    <w:rsid w:val="00DD103A"/>
    <w:rsid w:val="00DD1330"/>
    <w:rsid w:val="00DD416B"/>
    <w:rsid w:val="00DD488D"/>
    <w:rsid w:val="00DD5BF0"/>
    <w:rsid w:val="00DD5CA7"/>
    <w:rsid w:val="00DE01C4"/>
    <w:rsid w:val="00DE03E2"/>
    <w:rsid w:val="00DE0B83"/>
    <w:rsid w:val="00DE11B3"/>
    <w:rsid w:val="00DE1A81"/>
    <w:rsid w:val="00DE1C13"/>
    <w:rsid w:val="00DE4E10"/>
    <w:rsid w:val="00DE7FCE"/>
    <w:rsid w:val="00DF1FD3"/>
    <w:rsid w:val="00DF1FF5"/>
    <w:rsid w:val="00DF3126"/>
    <w:rsid w:val="00DF645D"/>
    <w:rsid w:val="00E01D8D"/>
    <w:rsid w:val="00E02ABF"/>
    <w:rsid w:val="00E02FED"/>
    <w:rsid w:val="00E05107"/>
    <w:rsid w:val="00E0657A"/>
    <w:rsid w:val="00E14995"/>
    <w:rsid w:val="00E15037"/>
    <w:rsid w:val="00E160F8"/>
    <w:rsid w:val="00E179CD"/>
    <w:rsid w:val="00E23E8D"/>
    <w:rsid w:val="00E3042F"/>
    <w:rsid w:val="00E30AB6"/>
    <w:rsid w:val="00E31E30"/>
    <w:rsid w:val="00E34E6E"/>
    <w:rsid w:val="00E369A4"/>
    <w:rsid w:val="00E37E45"/>
    <w:rsid w:val="00E37F98"/>
    <w:rsid w:val="00E44192"/>
    <w:rsid w:val="00E46559"/>
    <w:rsid w:val="00E47E79"/>
    <w:rsid w:val="00E50F21"/>
    <w:rsid w:val="00E554B7"/>
    <w:rsid w:val="00E61E7C"/>
    <w:rsid w:val="00E62516"/>
    <w:rsid w:val="00E62FA3"/>
    <w:rsid w:val="00E633E1"/>
    <w:rsid w:val="00E6670C"/>
    <w:rsid w:val="00E77162"/>
    <w:rsid w:val="00E776E8"/>
    <w:rsid w:val="00E82E7B"/>
    <w:rsid w:val="00E92C1F"/>
    <w:rsid w:val="00E939E7"/>
    <w:rsid w:val="00E93CA6"/>
    <w:rsid w:val="00E95D4B"/>
    <w:rsid w:val="00E974C3"/>
    <w:rsid w:val="00EA3511"/>
    <w:rsid w:val="00EA5005"/>
    <w:rsid w:val="00EA5E18"/>
    <w:rsid w:val="00EA7E62"/>
    <w:rsid w:val="00EB199F"/>
    <w:rsid w:val="00EB1A64"/>
    <w:rsid w:val="00EB7171"/>
    <w:rsid w:val="00EB765B"/>
    <w:rsid w:val="00EC23F7"/>
    <w:rsid w:val="00EC2C29"/>
    <w:rsid w:val="00EC4BD8"/>
    <w:rsid w:val="00EC61F1"/>
    <w:rsid w:val="00EC63EB"/>
    <w:rsid w:val="00EC75E8"/>
    <w:rsid w:val="00ED282B"/>
    <w:rsid w:val="00ED412F"/>
    <w:rsid w:val="00ED7AB9"/>
    <w:rsid w:val="00EE185B"/>
    <w:rsid w:val="00EE5CD6"/>
    <w:rsid w:val="00EE7DB5"/>
    <w:rsid w:val="00EF2F0F"/>
    <w:rsid w:val="00EF36B2"/>
    <w:rsid w:val="00EF5EA4"/>
    <w:rsid w:val="00EF5EDA"/>
    <w:rsid w:val="00F0293E"/>
    <w:rsid w:val="00F051A9"/>
    <w:rsid w:val="00F07392"/>
    <w:rsid w:val="00F07397"/>
    <w:rsid w:val="00F12055"/>
    <w:rsid w:val="00F12393"/>
    <w:rsid w:val="00F12B46"/>
    <w:rsid w:val="00F13F87"/>
    <w:rsid w:val="00F16A37"/>
    <w:rsid w:val="00F201EC"/>
    <w:rsid w:val="00F208A9"/>
    <w:rsid w:val="00F209CC"/>
    <w:rsid w:val="00F33494"/>
    <w:rsid w:val="00F355D7"/>
    <w:rsid w:val="00F35DE0"/>
    <w:rsid w:val="00F41D75"/>
    <w:rsid w:val="00F45F89"/>
    <w:rsid w:val="00F511A9"/>
    <w:rsid w:val="00F5139D"/>
    <w:rsid w:val="00F57A99"/>
    <w:rsid w:val="00F6097A"/>
    <w:rsid w:val="00F6136B"/>
    <w:rsid w:val="00F624B7"/>
    <w:rsid w:val="00F63DAC"/>
    <w:rsid w:val="00F6416F"/>
    <w:rsid w:val="00F6642C"/>
    <w:rsid w:val="00F71A1A"/>
    <w:rsid w:val="00F7318C"/>
    <w:rsid w:val="00F73201"/>
    <w:rsid w:val="00F7454F"/>
    <w:rsid w:val="00F778CB"/>
    <w:rsid w:val="00F77988"/>
    <w:rsid w:val="00F77F48"/>
    <w:rsid w:val="00F805E3"/>
    <w:rsid w:val="00F82CAB"/>
    <w:rsid w:val="00F8572A"/>
    <w:rsid w:val="00F93633"/>
    <w:rsid w:val="00FA5F39"/>
    <w:rsid w:val="00FB1237"/>
    <w:rsid w:val="00FB30F1"/>
    <w:rsid w:val="00FB53E7"/>
    <w:rsid w:val="00FB6EB7"/>
    <w:rsid w:val="00FC0509"/>
    <w:rsid w:val="00FC1108"/>
    <w:rsid w:val="00FC185B"/>
    <w:rsid w:val="00FC3256"/>
    <w:rsid w:val="00FC67FC"/>
    <w:rsid w:val="00FC7A7F"/>
    <w:rsid w:val="00FD036E"/>
    <w:rsid w:val="00FD2C2C"/>
    <w:rsid w:val="00FD616F"/>
    <w:rsid w:val="00FD73BC"/>
    <w:rsid w:val="00FD77B0"/>
    <w:rsid w:val="00FE175E"/>
    <w:rsid w:val="00FE5FE2"/>
    <w:rsid w:val="00FF3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uiPriority w:val="99"/>
    <w:rsid w:val="008C5649"/>
    <w:rPr>
      <w:sz w:val="20"/>
      <w:szCs w:val="20"/>
    </w:rPr>
  </w:style>
  <w:style w:type="character" w:customStyle="1" w:styleId="KomentratekstsRakstz">
    <w:name w:val="Komentāra teksts Rakstz."/>
    <w:basedOn w:val="Noklusjumarindkopasfonts"/>
    <w:link w:val="Komentrateksts"/>
    <w:uiPriority w:val="99"/>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naispant">
    <w:name w:val="naispant"/>
    <w:basedOn w:val="Parastais"/>
    <w:rsid w:val="00EC75E8"/>
    <w:pPr>
      <w:spacing w:before="100" w:beforeAutospacing="1" w:after="100" w:afterAutospacing="1"/>
    </w:pPr>
    <w:rPr>
      <w:rFonts w:eastAsia="Calibri"/>
    </w:rPr>
  </w:style>
  <w:style w:type="paragraph" w:customStyle="1" w:styleId="c2">
    <w:name w:val="c2"/>
    <w:basedOn w:val="Parastais"/>
    <w:rsid w:val="00FD616F"/>
    <w:pPr>
      <w:spacing w:before="100" w:beforeAutospacing="1" w:after="100" w:afterAutospacing="1"/>
    </w:pPr>
  </w:style>
  <w:style w:type="character" w:customStyle="1" w:styleId="c1">
    <w:name w:val="c1"/>
    <w:basedOn w:val="Noklusjumarindkopasfonts"/>
    <w:rsid w:val="00FD616F"/>
  </w:style>
  <w:style w:type="paragraph" w:styleId="Sarakstarindkopa">
    <w:name w:val="List Paragraph"/>
    <w:basedOn w:val="Parastais"/>
    <w:uiPriority w:val="34"/>
    <w:qFormat/>
    <w:rsid w:val="00FD616F"/>
    <w:pPr>
      <w:ind w:left="720"/>
    </w:pPr>
    <w:rPr>
      <w:rFonts w:ascii="Calibri" w:eastAsia="Calibri" w:hAnsi="Calibri"/>
      <w:sz w:val="22"/>
      <w:szCs w:val="22"/>
    </w:rPr>
  </w:style>
  <w:style w:type="character" w:customStyle="1" w:styleId="GalveneRakstz">
    <w:name w:val="Galvene Rakstz."/>
    <w:basedOn w:val="Noklusjumarindkopasfonts"/>
    <w:link w:val="Galvene"/>
    <w:uiPriority w:val="99"/>
    <w:rsid w:val="008D5328"/>
    <w:rPr>
      <w:sz w:val="24"/>
      <w:szCs w:val="24"/>
    </w:rPr>
  </w:style>
  <w:style w:type="character" w:styleId="Izmantotahipersaite">
    <w:name w:val="FollowedHyperlink"/>
    <w:basedOn w:val="Noklusjumarindkopasfonts"/>
    <w:rsid w:val="00404E3C"/>
    <w:rPr>
      <w:color w:val="800080"/>
      <w:u w:val="single"/>
    </w:rPr>
  </w:style>
  <w:style w:type="character" w:customStyle="1" w:styleId="spelle">
    <w:name w:val="spelle"/>
    <w:basedOn w:val="Noklusjumarindkopasfonts"/>
    <w:rsid w:val="00E05107"/>
  </w:style>
  <w:style w:type="paragraph" w:styleId="ParastaisWeb">
    <w:name w:val="Normal (Web)"/>
    <w:basedOn w:val="Parastais"/>
    <w:uiPriority w:val="99"/>
    <w:unhideWhenUsed/>
    <w:rsid w:val="00716481"/>
    <w:pPr>
      <w:spacing w:before="51" w:after="51"/>
    </w:pPr>
  </w:style>
  <w:style w:type="paragraph" w:styleId="Pamatteksts">
    <w:name w:val="Body Text"/>
    <w:basedOn w:val="Parastais"/>
    <w:link w:val="PamattekstsRakstz"/>
    <w:uiPriority w:val="99"/>
    <w:unhideWhenUsed/>
    <w:rsid w:val="00716481"/>
    <w:pPr>
      <w:spacing w:after="120" w:line="276" w:lineRule="auto"/>
    </w:pPr>
    <w:rPr>
      <w:rFonts w:eastAsia="Calibri"/>
      <w:lang w:eastAsia="en-US"/>
    </w:rPr>
  </w:style>
  <w:style w:type="character" w:customStyle="1" w:styleId="PamattekstsRakstz">
    <w:name w:val="Pamatteksts Rakstz."/>
    <w:basedOn w:val="Noklusjumarindkopasfonts"/>
    <w:link w:val="Pamatteksts"/>
    <w:uiPriority w:val="99"/>
    <w:rsid w:val="00716481"/>
    <w:rPr>
      <w:rFonts w:eastAsia="Calibri"/>
      <w:sz w:val="24"/>
      <w:szCs w:val="24"/>
      <w:lang w:eastAsia="en-US"/>
    </w:rPr>
  </w:style>
  <w:style w:type="character" w:styleId="Izteiksmgs">
    <w:name w:val="Strong"/>
    <w:basedOn w:val="Noklusjumarindkopasfonts"/>
    <w:uiPriority w:val="22"/>
    <w:qFormat/>
    <w:rsid w:val="00F35DE0"/>
    <w:rPr>
      <w:b/>
      <w:bCs/>
    </w:rPr>
  </w:style>
  <w:style w:type="paragraph" w:styleId="Pamatteksts2">
    <w:name w:val="Body Text 2"/>
    <w:basedOn w:val="Parastais"/>
    <w:link w:val="Pamatteksts2Rakstz"/>
    <w:uiPriority w:val="99"/>
    <w:unhideWhenUsed/>
    <w:rsid w:val="00437C53"/>
    <w:pPr>
      <w:spacing w:after="120" w:line="480" w:lineRule="auto"/>
    </w:pPr>
    <w:rPr>
      <w:lang w:val="en-GB" w:eastAsia="en-US"/>
    </w:rPr>
  </w:style>
  <w:style w:type="character" w:customStyle="1" w:styleId="Pamatteksts2Rakstz">
    <w:name w:val="Pamatteksts 2 Rakstz."/>
    <w:basedOn w:val="Noklusjumarindkopasfonts"/>
    <w:link w:val="Pamatteksts2"/>
    <w:uiPriority w:val="99"/>
    <w:rsid w:val="00437C53"/>
    <w:rPr>
      <w:sz w:val="24"/>
      <w:szCs w:val="24"/>
      <w:lang w:val="en-GB" w:eastAsia="en-US"/>
    </w:rPr>
  </w:style>
  <w:style w:type="character" w:customStyle="1" w:styleId="yshortcuts">
    <w:name w:val="yshortcuts"/>
    <w:basedOn w:val="Noklusjumarindkopasfonts"/>
    <w:rsid w:val="00437C53"/>
  </w:style>
</w:styles>
</file>

<file path=word/webSettings.xml><?xml version="1.0" encoding="utf-8"?>
<w:webSettings xmlns:r="http://schemas.openxmlformats.org/officeDocument/2006/relationships" xmlns:w="http://schemas.openxmlformats.org/wordprocessingml/2006/main">
  <w:divs>
    <w:div w:id="189806150">
      <w:bodyDiv w:val="1"/>
      <w:marLeft w:val="0"/>
      <w:marRight w:val="0"/>
      <w:marTop w:val="0"/>
      <w:marBottom w:val="0"/>
      <w:divBdr>
        <w:top w:val="none" w:sz="0" w:space="0" w:color="auto"/>
        <w:left w:val="none" w:sz="0" w:space="0" w:color="auto"/>
        <w:bottom w:val="none" w:sz="0" w:space="0" w:color="auto"/>
        <w:right w:val="none" w:sz="0" w:space="0" w:color="auto"/>
      </w:divBdr>
    </w:div>
    <w:div w:id="263660642">
      <w:bodyDiv w:val="1"/>
      <w:marLeft w:val="0"/>
      <w:marRight w:val="0"/>
      <w:marTop w:val="0"/>
      <w:marBottom w:val="0"/>
      <w:divBdr>
        <w:top w:val="none" w:sz="0" w:space="0" w:color="auto"/>
        <w:left w:val="none" w:sz="0" w:space="0" w:color="auto"/>
        <w:bottom w:val="none" w:sz="0" w:space="0" w:color="auto"/>
        <w:right w:val="none" w:sz="0" w:space="0" w:color="auto"/>
      </w:divBdr>
    </w:div>
    <w:div w:id="529150514">
      <w:bodyDiv w:val="1"/>
      <w:marLeft w:val="0"/>
      <w:marRight w:val="0"/>
      <w:marTop w:val="0"/>
      <w:marBottom w:val="0"/>
      <w:divBdr>
        <w:top w:val="none" w:sz="0" w:space="0" w:color="auto"/>
        <w:left w:val="none" w:sz="0" w:space="0" w:color="auto"/>
        <w:bottom w:val="none" w:sz="0" w:space="0" w:color="auto"/>
        <w:right w:val="none" w:sz="0" w:space="0" w:color="auto"/>
      </w:divBdr>
    </w:div>
    <w:div w:id="813564313">
      <w:bodyDiv w:val="1"/>
      <w:marLeft w:val="0"/>
      <w:marRight w:val="0"/>
      <w:marTop w:val="0"/>
      <w:marBottom w:val="0"/>
      <w:divBdr>
        <w:top w:val="none" w:sz="0" w:space="0" w:color="auto"/>
        <w:left w:val="none" w:sz="0" w:space="0" w:color="auto"/>
        <w:bottom w:val="none" w:sz="0" w:space="0" w:color="auto"/>
        <w:right w:val="none" w:sz="0" w:space="0" w:color="auto"/>
      </w:divBdr>
      <w:divsChild>
        <w:div w:id="1519912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28677844">
      <w:bodyDiv w:val="1"/>
      <w:marLeft w:val="0"/>
      <w:marRight w:val="0"/>
      <w:marTop w:val="0"/>
      <w:marBottom w:val="0"/>
      <w:divBdr>
        <w:top w:val="none" w:sz="0" w:space="0" w:color="auto"/>
        <w:left w:val="none" w:sz="0" w:space="0" w:color="auto"/>
        <w:bottom w:val="none" w:sz="0" w:space="0" w:color="auto"/>
        <w:right w:val="none" w:sz="0" w:space="0" w:color="auto"/>
      </w:divBdr>
      <w:divsChild>
        <w:div w:id="5863795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hr.coe.int/NR/rdonlyres/DF4E8456-77B3-4E67-8944-B908143A7E2C/0/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3621</Words>
  <Characters>24754</Characters>
  <Application>Microsoft Office Word</Application>
  <DocSecurity>0</DocSecurity>
  <Lines>206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Administratīvā procesa likumā” sākotnējās ietekmes novērtējuma ziņojums (anotācija)</vt:lpstr>
      <vt:lpstr>Likumprojekta „Grozījumi Administratīvā procesa likumā” sākotnējās ietekmes novērtējuma ziņojums (anotācija)</vt:lpstr>
    </vt:vector>
  </TitlesOfParts>
  <Company>Tieslietu Ministrija</Company>
  <LinksUpToDate>false</LinksUpToDate>
  <CharactersWithSpaces>28319</CharactersWithSpaces>
  <SharedDoc>false</SharedDoc>
  <HLinks>
    <vt:vector size="12" baseType="variant">
      <vt:variant>
        <vt:i4>1245268</vt:i4>
      </vt:variant>
      <vt:variant>
        <vt:i4>3</vt:i4>
      </vt:variant>
      <vt:variant>
        <vt:i4>0</vt:i4>
      </vt:variant>
      <vt:variant>
        <vt:i4>5</vt:i4>
      </vt:variant>
      <vt:variant>
        <vt:lpwstr>http://pro.nais.lv/naiser/text.cfm?Ref=0103012001102532779&amp;Req=0103012001102532779&amp;Key=0103011998101432785&amp;Hash=</vt:lpwstr>
      </vt:variant>
      <vt:variant>
        <vt:lpwstr/>
      </vt:variant>
      <vt:variant>
        <vt:i4>8257599</vt:i4>
      </vt:variant>
      <vt:variant>
        <vt:i4>0</vt:i4>
      </vt:variant>
      <vt:variant>
        <vt:i4>0</vt:i4>
      </vt:variant>
      <vt:variant>
        <vt:i4>5</vt:i4>
      </vt:variant>
      <vt:variant>
        <vt:lpwstr>http://www.echr.coe.int/NR/rdonlyres/DF4E8456-77B3-4E67-8944-B908143A7E2C/0/Information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Tieslietu ministrija</dc:creator>
  <dc:description>Natalija.Laveniece-Straupamane@tm.gov.lv; 6706908</dc:description>
  <cp:lastModifiedBy>Natalija Laveniece-Straupmane</cp:lastModifiedBy>
  <cp:revision>5</cp:revision>
  <cp:lastPrinted>2010-07-08T08:49:00Z</cp:lastPrinted>
  <dcterms:created xsi:type="dcterms:W3CDTF">2010-11-30T12:00:00Z</dcterms:created>
  <dcterms:modified xsi:type="dcterms:W3CDTF">2010-12-02T09:15:00Z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