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67213C" w:rsidRDefault="00852042" w:rsidP="00D41DCB">
      <w:pPr>
        <w:pStyle w:val="naislab"/>
        <w:spacing w:before="0" w:after="0"/>
        <w:jc w:val="center"/>
        <w:rPr>
          <w:sz w:val="22"/>
          <w:szCs w:val="22"/>
        </w:rPr>
      </w:pPr>
    </w:p>
    <w:p w:rsidR="008C5649" w:rsidRPr="001438F0" w:rsidRDefault="00D77142" w:rsidP="00214094">
      <w:pPr>
        <w:pStyle w:val="naislab"/>
        <w:spacing w:before="0" w:after="0"/>
        <w:jc w:val="center"/>
        <w:outlineLvl w:val="0"/>
        <w:rPr>
          <w:b/>
          <w:sz w:val="22"/>
          <w:szCs w:val="22"/>
        </w:rPr>
      </w:pPr>
      <w:r w:rsidRPr="001438F0">
        <w:rPr>
          <w:b/>
          <w:sz w:val="22"/>
          <w:szCs w:val="22"/>
        </w:rPr>
        <w:t xml:space="preserve">Likumprojekta „Grozījumi likumā „Par politiski represētās personas statusa noteikšanu komunistiskajā un nacistiskajā režīmā cietušajiem”” </w:t>
      </w:r>
      <w:r w:rsidR="001B12CA" w:rsidRPr="001438F0">
        <w:rPr>
          <w:b/>
          <w:sz w:val="22"/>
          <w:szCs w:val="22"/>
        </w:rPr>
        <w:t>sākotnējās ietekmes novērtējuma ziņojums (</w:t>
      </w:r>
      <w:r w:rsidRPr="001438F0">
        <w:rPr>
          <w:b/>
          <w:sz w:val="22"/>
          <w:szCs w:val="22"/>
        </w:rPr>
        <w:t>anotācija</w:t>
      </w:r>
      <w:r w:rsidR="001B12CA" w:rsidRPr="001438F0">
        <w:rPr>
          <w:b/>
          <w:sz w:val="22"/>
          <w:szCs w:val="22"/>
        </w:rPr>
        <w:t>)</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857"/>
        <w:gridCol w:w="6318"/>
      </w:tblGrid>
      <w:tr w:rsidR="00852042" w:rsidRPr="001438F0">
        <w:tc>
          <w:tcPr>
            <w:tcW w:w="9725" w:type="dxa"/>
            <w:gridSpan w:val="3"/>
            <w:vAlign w:val="center"/>
          </w:tcPr>
          <w:p w:rsidR="00852042" w:rsidRPr="001438F0" w:rsidRDefault="00852042" w:rsidP="006C4607">
            <w:pPr>
              <w:pStyle w:val="naisnod"/>
              <w:spacing w:before="0" w:after="0"/>
              <w:rPr>
                <w:sz w:val="22"/>
                <w:szCs w:val="22"/>
              </w:rPr>
            </w:pPr>
            <w:r w:rsidRPr="001438F0">
              <w:rPr>
                <w:sz w:val="22"/>
                <w:szCs w:val="22"/>
              </w:rPr>
              <w:t>I</w:t>
            </w:r>
            <w:r w:rsidR="000941C5" w:rsidRPr="001438F0">
              <w:rPr>
                <w:sz w:val="22"/>
                <w:szCs w:val="22"/>
              </w:rPr>
              <w:t>.</w:t>
            </w:r>
            <w:r w:rsidRPr="001438F0">
              <w:rPr>
                <w:sz w:val="22"/>
                <w:szCs w:val="22"/>
              </w:rPr>
              <w:t xml:space="preserve"> Tiesību akta </w:t>
            </w:r>
            <w:r w:rsidR="002E3FF4" w:rsidRPr="001438F0">
              <w:rPr>
                <w:sz w:val="22"/>
                <w:szCs w:val="22"/>
              </w:rPr>
              <w:t xml:space="preserve">projekta </w:t>
            </w:r>
            <w:r w:rsidRPr="001438F0">
              <w:rPr>
                <w:sz w:val="22"/>
                <w:szCs w:val="22"/>
              </w:rPr>
              <w:t>izstrādes nepieciešamība</w:t>
            </w:r>
          </w:p>
        </w:tc>
      </w:tr>
      <w:tr w:rsidR="00262E2B" w:rsidRPr="001438F0" w:rsidTr="00DF4DD9">
        <w:trPr>
          <w:trHeight w:val="630"/>
        </w:trPr>
        <w:tc>
          <w:tcPr>
            <w:tcW w:w="550" w:type="dxa"/>
          </w:tcPr>
          <w:p w:rsidR="00262E2B" w:rsidRPr="001438F0" w:rsidRDefault="00262E2B" w:rsidP="006C4607">
            <w:pPr>
              <w:pStyle w:val="naiskr"/>
              <w:spacing w:before="0" w:after="0"/>
              <w:rPr>
                <w:sz w:val="22"/>
                <w:szCs w:val="22"/>
              </w:rPr>
            </w:pPr>
            <w:r w:rsidRPr="001438F0">
              <w:rPr>
                <w:sz w:val="22"/>
                <w:szCs w:val="22"/>
              </w:rPr>
              <w:t>1.</w:t>
            </w:r>
          </w:p>
        </w:tc>
        <w:tc>
          <w:tcPr>
            <w:tcW w:w="2857" w:type="dxa"/>
          </w:tcPr>
          <w:p w:rsidR="00262E2B" w:rsidRPr="001438F0" w:rsidRDefault="002D7F54" w:rsidP="006C4607">
            <w:pPr>
              <w:pStyle w:val="naiskr"/>
              <w:spacing w:before="0" w:after="0"/>
              <w:ind w:hanging="10"/>
              <w:rPr>
                <w:sz w:val="22"/>
                <w:szCs w:val="22"/>
              </w:rPr>
            </w:pPr>
            <w:r w:rsidRPr="001438F0">
              <w:rPr>
                <w:sz w:val="22"/>
                <w:szCs w:val="22"/>
              </w:rPr>
              <w:t>Pamatojums</w:t>
            </w:r>
          </w:p>
        </w:tc>
        <w:tc>
          <w:tcPr>
            <w:tcW w:w="6318" w:type="dxa"/>
          </w:tcPr>
          <w:p w:rsidR="00262E2B" w:rsidRPr="001438F0" w:rsidRDefault="00DF4DD9" w:rsidP="001B12CA">
            <w:pPr>
              <w:ind w:right="-2"/>
              <w:jc w:val="both"/>
              <w:rPr>
                <w:sz w:val="22"/>
                <w:szCs w:val="22"/>
              </w:rPr>
            </w:pPr>
            <w:r w:rsidRPr="001438F0">
              <w:rPr>
                <w:sz w:val="22"/>
                <w:szCs w:val="22"/>
              </w:rPr>
              <w:t>Likumprojekts „Grozījumi likumā „Par politiski represētās personas statusa noteikšanu komunistiskajā un nacistiskajā režīmā cietušajiem” (turpmāk – likumprojekts) izstrādāts saskaņā ar Ministru prezidenta 2011.gada 21.janvāra rezolūciju Nr. 90/TA-154, ievērojot Saeimas Cilvēktiesību un sabiedrisko lietu komisijas (turpmāk – komisija) 2011.gada 18.janvāra vēstulē Nr. 9/4-2-N/2-2011minēto</w:t>
            </w:r>
            <w:r w:rsidR="001B12CA" w:rsidRPr="001438F0">
              <w:rPr>
                <w:sz w:val="22"/>
                <w:szCs w:val="22"/>
              </w:rPr>
              <w:t>.</w:t>
            </w:r>
          </w:p>
        </w:tc>
      </w:tr>
      <w:tr w:rsidR="00262E2B" w:rsidRPr="001438F0" w:rsidTr="00DF4DD9">
        <w:trPr>
          <w:trHeight w:val="472"/>
        </w:trPr>
        <w:tc>
          <w:tcPr>
            <w:tcW w:w="550" w:type="dxa"/>
          </w:tcPr>
          <w:p w:rsidR="00262E2B" w:rsidRPr="001438F0" w:rsidRDefault="00262E2B" w:rsidP="006C4607">
            <w:pPr>
              <w:pStyle w:val="naiskr"/>
              <w:spacing w:before="0" w:after="0"/>
              <w:rPr>
                <w:sz w:val="22"/>
                <w:szCs w:val="22"/>
              </w:rPr>
            </w:pPr>
            <w:r w:rsidRPr="001438F0">
              <w:rPr>
                <w:sz w:val="22"/>
                <w:szCs w:val="22"/>
              </w:rPr>
              <w:t>2.</w:t>
            </w:r>
          </w:p>
        </w:tc>
        <w:tc>
          <w:tcPr>
            <w:tcW w:w="2857" w:type="dxa"/>
          </w:tcPr>
          <w:p w:rsidR="00262E2B" w:rsidRPr="001438F0" w:rsidRDefault="00262E2B" w:rsidP="006C4607">
            <w:pPr>
              <w:pStyle w:val="naiskr"/>
              <w:tabs>
                <w:tab w:val="left" w:pos="170"/>
              </w:tabs>
              <w:spacing w:before="0" w:after="0"/>
              <w:rPr>
                <w:sz w:val="22"/>
                <w:szCs w:val="22"/>
              </w:rPr>
            </w:pPr>
            <w:r w:rsidRPr="001438F0">
              <w:rPr>
                <w:sz w:val="22"/>
                <w:szCs w:val="22"/>
              </w:rPr>
              <w:t>Pašreizējā situācija</w:t>
            </w:r>
            <w:r w:rsidR="001F5CD6" w:rsidRPr="001438F0">
              <w:rPr>
                <w:sz w:val="22"/>
                <w:szCs w:val="22"/>
              </w:rPr>
              <w:t xml:space="preserve"> un problēmas</w:t>
            </w:r>
          </w:p>
        </w:tc>
        <w:tc>
          <w:tcPr>
            <w:tcW w:w="6318" w:type="dxa"/>
          </w:tcPr>
          <w:p w:rsidR="007972E4" w:rsidRPr="001438F0" w:rsidRDefault="00DF4DD9" w:rsidP="00DF4DD9">
            <w:pPr>
              <w:pStyle w:val="naiskr"/>
              <w:spacing w:before="0" w:after="0"/>
              <w:jc w:val="both"/>
              <w:rPr>
                <w:sz w:val="22"/>
                <w:szCs w:val="22"/>
              </w:rPr>
            </w:pPr>
            <w:r w:rsidRPr="001438F0">
              <w:rPr>
                <w:sz w:val="22"/>
                <w:szCs w:val="22"/>
              </w:rPr>
              <w:t>Saskaņā ar  likuma „Par politiski represētās personas statusa noteikšanu komunistiskajā un nacistiskajā režīmā cietušajiem” 11.pantu politiski represētās personas statusu piešķir vietējā pašvaldība, kas veikusi attiecīgās personas reģistrāciju dzīvesvietā. Latvijas pilsoņiem, kuru pastāvīgā dzīvesvieta ir ārvalstīs, politiski represētās personas statusu piešķir Tieslietu ministrija. Iesniegto materiālu iepriekšējai izskatīšanai izveidojama komisija, kurā iekļaujami politiski represēto personu sabiedrisko organizāciju pārstāvji.</w:t>
            </w:r>
          </w:p>
          <w:p w:rsidR="00DF4DD9" w:rsidRPr="001438F0" w:rsidRDefault="00DF4DD9" w:rsidP="001B12CA">
            <w:pPr>
              <w:ind w:right="-2"/>
              <w:jc w:val="both"/>
              <w:rPr>
                <w:bCs/>
                <w:sz w:val="22"/>
                <w:szCs w:val="22"/>
              </w:rPr>
            </w:pPr>
            <w:r w:rsidRPr="001438F0">
              <w:rPr>
                <w:sz w:val="22"/>
                <w:szCs w:val="22"/>
              </w:rPr>
              <w:t xml:space="preserve">Šāda kārtība, saskaņā ar kuru politiski represētās personas statusu piešķir vietējā pašvaldība atbilstoši personu reģistrētajai dzīvesvietai, pastāv kopš pagājušā gadsimta 90-to gadu sākuma. Taču Latvijas Politiski represēto apvienība (turpmāk – apvienība) vairakkārt 2009.gadā vērsās ar iesniegumiem Tieslietu ministrijā un  pie Ministru prezidenta, kuros pauda satraukumu par to, ka joprojām tiek piešķirts politiski represētās personas statuss un izsniegtas politiski represētās personas apliecības, lai gan apvienības ieskatā šim procesam faktiski bija jau jāizbeidzas. Apvienība norādīja, ka tas liecina par lēmējinstitūciju nekompetenci, profesionalitātes trūkumu un pat par ļaunprātību un to varētu izskaust, ja politiski represētā statusa jautājumu risināšana notiktu centralizēti ar valsts tiešās pārvaldes iestāžu lēmumiem. Tā kā </w:t>
            </w:r>
            <w:r w:rsidRPr="001438F0">
              <w:rPr>
                <w:bCs/>
                <w:sz w:val="22"/>
                <w:szCs w:val="22"/>
              </w:rPr>
              <w:t xml:space="preserve"> valdības politika tiek virzīta uz to, lai</w:t>
            </w:r>
            <w:r w:rsidRPr="001438F0">
              <w:rPr>
                <w:sz w:val="22"/>
                <w:szCs w:val="22"/>
              </w:rPr>
              <w:t xml:space="preserve"> </w:t>
            </w:r>
            <w:r w:rsidRPr="001438F0">
              <w:rPr>
                <w:bCs/>
                <w:sz w:val="22"/>
                <w:szCs w:val="22"/>
              </w:rPr>
              <w:t>visi iedzīvotājiem nepieciešamie pakalpojumi tiktu maksimāli pietuvināti to saņēmējiem, kā arī nebija vērojama objektīva nepieciešamība politiski represētās personas statusa piešķiršanu nodot kādas vienas</w:t>
            </w:r>
            <w:r w:rsidRPr="001438F0">
              <w:rPr>
                <w:sz w:val="22"/>
                <w:szCs w:val="22"/>
              </w:rPr>
              <w:t xml:space="preserve"> valsts tiešās pārvaldes iestādes kompetencē,</w:t>
            </w:r>
            <w:r w:rsidRPr="001438F0">
              <w:rPr>
                <w:bCs/>
                <w:sz w:val="22"/>
                <w:szCs w:val="22"/>
              </w:rPr>
              <w:t xml:space="preserve"> </w:t>
            </w:r>
            <w:r w:rsidRPr="001438F0">
              <w:rPr>
                <w:sz w:val="22"/>
                <w:szCs w:val="22"/>
              </w:rPr>
              <w:t>Ministru kabinets 2010.gada 9.augustā informēja komisiju, ka ir saglabājama līdzšinējā ilgākā laika posmā nodibinātā kārtība, jo tādējādi tiek nodrošināta uz iedzīvotājiem vērsta valsts pārvalde un pakalpojuma pieejamība visā valsts teritorijā. Tomēr a</w:t>
            </w:r>
            <w:r w:rsidRPr="001438F0">
              <w:rPr>
                <w:bCs/>
                <w:sz w:val="22"/>
                <w:szCs w:val="22"/>
              </w:rPr>
              <w:t xml:space="preserve">pvienība vērsās </w:t>
            </w:r>
            <w:r w:rsidRPr="001438F0">
              <w:rPr>
                <w:sz w:val="22"/>
                <w:szCs w:val="22"/>
              </w:rPr>
              <w:t>komisijā un iesniedza no Ģenerālprokuratūras Personu un valsts tiesību aizsardzības departamenta saņemto informāciju par vairākiem gadījumiem, kad atsevišķas pašvaldības bija nelikumīgi personām piešķīrušas politiski represētās personas statusu un izsniegušas politiski represēto personu apliecības. Ievērojot komisijas 2010.gada 30.novembra sēdē nolemto, Tieslietu ministrija komisijai iesniedza priekšlikumu un apsvērumus par to, ka</w:t>
            </w:r>
            <w:r w:rsidRPr="001438F0">
              <w:rPr>
                <w:bCs/>
                <w:sz w:val="22"/>
                <w:szCs w:val="22"/>
              </w:rPr>
              <w:t xml:space="preserve"> politiski represētās personas statusa noteikšanas kompetenci ir lietderīgi nodot Iekšlietu ministrijas Pilsonības un migrācijas lietu pārvaldei. Tieslietu ministrijas priekšlikumu komisija atbalstīja 2010.gada 21.decembra sēdē un uzdeva Tieslietu ministrijai iesniegt priekšlikumus grozījumiem normatīvajos aktos. </w:t>
            </w:r>
          </w:p>
          <w:p w:rsidR="00DF4DD9" w:rsidRPr="001438F0" w:rsidRDefault="00DF4DD9" w:rsidP="007860B5">
            <w:pPr>
              <w:ind w:right="-2"/>
              <w:jc w:val="both"/>
              <w:rPr>
                <w:bCs/>
                <w:sz w:val="22"/>
                <w:szCs w:val="22"/>
              </w:rPr>
            </w:pPr>
            <w:r w:rsidRPr="001438F0">
              <w:rPr>
                <w:bCs/>
                <w:sz w:val="22"/>
                <w:szCs w:val="22"/>
              </w:rPr>
              <w:t>Saskaņā ar šobrīd spēkā esošo</w:t>
            </w:r>
            <w:r w:rsidRPr="001438F0">
              <w:rPr>
                <w:sz w:val="22"/>
                <w:szCs w:val="22"/>
              </w:rPr>
              <w:t xml:space="preserve"> likuma „Par politiski represētās personas statusa noteikšanu komunistiskajā un nacistiskajā režīmā cietušajiem” 11.panta trešo daļu iesniegto materiālu iepriekšējai izskatīšanai </w:t>
            </w:r>
            <w:r w:rsidRPr="001438F0">
              <w:rPr>
                <w:sz w:val="22"/>
                <w:szCs w:val="22"/>
              </w:rPr>
              <w:lastRenderedPageBreak/>
              <w:t>pašvaldībās tiek izveidotas komisijas, kurās iekļauj politiski represēto personu sabiedrisko organizāciju pārstāvjus. Ne likumā, ne</w:t>
            </w:r>
            <w:r w:rsidRPr="001438F0">
              <w:rPr>
                <w:bCs/>
                <w:sz w:val="22"/>
                <w:szCs w:val="22"/>
              </w:rPr>
              <w:t xml:space="preserve"> Ministru kabineta 1996.gada 22.oktobra noteikumos Nr. 408 „Noteikumi par politiski represēto personu uzskaiti, politiski represēto personu apliecību izsniegšanu un minēto apliecību uzskaiti” nav noteikta ne šādas komisijas lēmuma būtība, ne tā saistošais raksturs lēmuma pieņēmējam (attiecīgajai pašvaldībai). Pašvaldības pienākums ir pieņemt lēmumu saskaņā ar Administratīvā procesa likumu, juridiski izvērtējot konkrētās lietas faktiskos un tiesiskos apstākļus, tostarp personas iesniegtos pierādījumus. Pierādījumu vērtēšana konkrētajā administratīvajā lietā ir lēmuma pieņēmēja pienākums, lēmuma pieņēmējs ir atbildīgs par pierādījumu pareizu novērtēšanu un tam nevar būt saistošs komisijas viedoklis par kādu pierādījumu. Turklāt tāda procedūra ir ne tikai laikietilpīga, bet nevajadzīgi tiek tērēti arī iestādes resursi.</w:t>
            </w:r>
          </w:p>
          <w:p w:rsidR="00262E2B" w:rsidRPr="001438F0" w:rsidRDefault="00DF4DD9" w:rsidP="001B12CA">
            <w:pPr>
              <w:ind w:right="-2"/>
              <w:jc w:val="both"/>
              <w:rPr>
                <w:bCs/>
                <w:sz w:val="22"/>
                <w:szCs w:val="22"/>
              </w:rPr>
            </w:pPr>
            <w:r w:rsidRPr="001438F0">
              <w:rPr>
                <w:sz w:val="22"/>
                <w:szCs w:val="22"/>
              </w:rPr>
              <w:t>Politiski represētās personas statusa piešķiršana notiek administratīvā procesa ietvaros. Tāpēc lēmuma pieņemšanai nepieciešamā informācija iegūstama un vērtējama saskaņā ar Administratīvā procesa likuma 59., 60. un 62.pantu. Minētā likuma 149.pantā ir noteikts, ka pierādījumi administratīvajā lietā ir ziņas par faktiem, uz kuriem pamatoti administratīvā procesa dalībnieku prasījumi un iebildumi, kā arī citas ziņas par faktiem, kuriem ir nozīme lietas izspriešanā. Tādējādi jau šobrīd Tieslietu ministrijas atzinums ir tikai viens no iespējamiem pierādījumiem administratīvajā lietā, kurš vērtējams kopsakarā ar pārējiem pierādījumiem administratīvajā lietā, taču tam nekad</w:t>
            </w:r>
            <w:r w:rsidR="00CE3663" w:rsidRPr="001438F0">
              <w:rPr>
                <w:sz w:val="22"/>
                <w:szCs w:val="22"/>
              </w:rPr>
              <w:t xml:space="preserve"> attiecībā uz pašvaldības lēmumu</w:t>
            </w:r>
            <w:r w:rsidRPr="001438F0">
              <w:rPr>
                <w:sz w:val="22"/>
                <w:szCs w:val="22"/>
              </w:rPr>
              <w:t xml:space="preserve"> nav bijusi izšķiroša nozīme. Tāpēc nav lietderīgi turpmāk likumā saglabāt šo pierādījuma veidu</w:t>
            </w:r>
            <w:r w:rsidR="001B12CA" w:rsidRPr="001438F0">
              <w:rPr>
                <w:sz w:val="22"/>
                <w:szCs w:val="22"/>
              </w:rPr>
              <w:t xml:space="preserve">. </w:t>
            </w:r>
          </w:p>
          <w:p w:rsidR="007972E4" w:rsidRPr="001438F0" w:rsidRDefault="007972E4" w:rsidP="007972E4">
            <w:pPr>
              <w:ind w:right="-2"/>
              <w:jc w:val="both"/>
              <w:rPr>
                <w:sz w:val="22"/>
                <w:szCs w:val="22"/>
              </w:rPr>
            </w:pPr>
            <w:r w:rsidRPr="001438F0">
              <w:rPr>
                <w:bCs/>
                <w:sz w:val="22"/>
                <w:szCs w:val="22"/>
              </w:rPr>
              <w:t xml:space="preserve">Politiski represētās personas statusa piešķiršana un apliecības izsniegšana šobrīd notiek valsts un pašvaldību iestāžu savstarpējās sadarbības ietvaros. Tā kā politiski represētās personas statusa piešķiršanas un apliecības izsniegšanas process nenotiek vienas iestādes ietvaros, procedūra nav pietiekami ātra un efektīva. Tas savukārt neatbilst Valsts pārvaldes iekārtas likuma 10.panta piektajā, sestajā un astotajā daļā noteiktajiem valsts pārvaldes principiem. Turklāt šādas procedūras rezultātā nevajadzīgi tiek tērēti valsts un pašvaldību iestāžu resursi.     </w:t>
            </w:r>
            <w:r w:rsidRPr="001438F0">
              <w:rPr>
                <w:sz w:val="22"/>
                <w:szCs w:val="22"/>
              </w:rPr>
              <w:t xml:space="preserve"> </w:t>
            </w:r>
          </w:p>
        </w:tc>
      </w:tr>
      <w:tr w:rsidR="00262E2B" w:rsidRPr="001438F0" w:rsidTr="00DF4DD9">
        <w:trPr>
          <w:trHeight w:val="1071"/>
        </w:trPr>
        <w:tc>
          <w:tcPr>
            <w:tcW w:w="550" w:type="dxa"/>
          </w:tcPr>
          <w:p w:rsidR="00262E2B" w:rsidRPr="001438F0" w:rsidRDefault="00262E2B" w:rsidP="006C4607">
            <w:pPr>
              <w:pStyle w:val="naiskr"/>
              <w:spacing w:before="0" w:after="0"/>
              <w:rPr>
                <w:sz w:val="22"/>
                <w:szCs w:val="22"/>
              </w:rPr>
            </w:pPr>
            <w:r w:rsidRPr="001438F0">
              <w:rPr>
                <w:sz w:val="22"/>
                <w:szCs w:val="22"/>
              </w:rPr>
              <w:lastRenderedPageBreak/>
              <w:t>3.</w:t>
            </w:r>
          </w:p>
        </w:tc>
        <w:tc>
          <w:tcPr>
            <w:tcW w:w="2857" w:type="dxa"/>
          </w:tcPr>
          <w:p w:rsidR="00262E2B" w:rsidRPr="001438F0" w:rsidRDefault="00420870" w:rsidP="006C4607">
            <w:pPr>
              <w:pStyle w:val="naiskr"/>
              <w:spacing w:before="0" w:after="0"/>
              <w:rPr>
                <w:sz w:val="22"/>
                <w:szCs w:val="22"/>
              </w:rPr>
            </w:pPr>
            <w:r w:rsidRPr="001438F0">
              <w:rPr>
                <w:sz w:val="22"/>
                <w:szCs w:val="22"/>
              </w:rPr>
              <w:t>S</w:t>
            </w:r>
            <w:r w:rsidR="000B69CF" w:rsidRPr="001438F0">
              <w:rPr>
                <w:sz w:val="22"/>
                <w:szCs w:val="22"/>
              </w:rPr>
              <w:t xml:space="preserve">aistītie </w:t>
            </w:r>
            <w:r w:rsidR="001A6AE4" w:rsidRPr="001438F0">
              <w:rPr>
                <w:sz w:val="22"/>
                <w:szCs w:val="22"/>
              </w:rPr>
              <w:t>politikas ietekmes novērtējumi</w:t>
            </w:r>
            <w:r w:rsidR="00CB0247" w:rsidRPr="001438F0">
              <w:rPr>
                <w:sz w:val="22"/>
                <w:szCs w:val="22"/>
              </w:rPr>
              <w:t xml:space="preserve"> un</w:t>
            </w:r>
            <w:r w:rsidR="001A6AE4" w:rsidRPr="001438F0">
              <w:rPr>
                <w:sz w:val="22"/>
                <w:szCs w:val="22"/>
              </w:rPr>
              <w:t xml:space="preserve"> </w:t>
            </w:r>
            <w:r w:rsidR="000B69CF" w:rsidRPr="001438F0">
              <w:rPr>
                <w:sz w:val="22"/>
                <w:szCs w:val="22"/>
              </w:rPr>
              <w:t>pētījumi</w:t>
            </w:r>
          </w:p>
        </w:tc>
        <w:tc>
          <w:tcPr>
            <w:tcW w:w="6318" w:type="dxa"/>
          </w:tcPr>
          <w:p w:rsidR="00D20FF4" w:rsidRPr="001438F0" w:rsidRDefault="007A2C8F" w:rsidP="006C4607">
            <w:pPr>
              <w:pStyle w:val="FootnoteText"/>
              <w:rPr>
                <w:sz w:val="22"/>
                <w:szCs w:val="22"/>
              </w:rPr>
            </w:pPr>
            <w:r w:rsidRPr="001438F0">
              <w:rPr>
                <w:sz w:val="22"/>
                <w:szCs w:val="22"/>
              </w:rPr>
              <w:t>Nav</w:t>
            </w:r>
          </w:p>
        </w:tc>
      </w:tr>
      <w:tr w:rsidR="00262E2B" w:rsidRPr="001438F0" w:rsidTr="00DF4DD9">
        <w:trPr>
          <w:trHeight w:val="384"/>
        </w:trPr>
        <w:tc>
          <w:tcPr>
            <w:tcW w:w="550" w:type="dxa"/>
          </w:tcPr>
          <w:p w:rsidR="00262E2B" w:rsidRPr="001438F0" w:rsidRDefault="00262E2B" w:rsidP="006C4607">
            <w:pPr>
              <w:pStyle w:val="naiskr"/>
              <w:spacing w:before="0" w:after="0"/>
              <w:rPr>
                <w:sz w:val="22"/>
                <w:szCs w:val="22"/>
              </w:rPr>
            </w:pPr>
            <w:r w:rsidRPr="001438F0">
              <w:rPr>
                <w:sz w:val="22"/>
                <w:szCs w:val="22"/>
              </w:rPr>
              <w:t>4.</w:t>
            </w:r>
          </w:p>
        </w:tc>
        <w:tc>
          <w:tcPr>
            <w:tcW w:w="2857" w:type="dxa"/>
          </w:tcPr>
          <w:p w:rsidR="00262E2B" w:rsidRPr="001438F0" w:rsidRDefault="000C790C" w:rsidP="006C4607">
            <w:pPr>
              <w:pStyle w:val="naiskr"/>
              <w:spacing w:before="0" w:after="0"/>
              <w:rPr>
                <w:sz w:val="22"/>
                <w:szCs w:val="22"/>
              </w:rPr>
            </w:pPr>
            <w:r w:rsidRPr="001438F0">
              <w:rPr>
                <w:sz w:val="22"/>
                <w:szCs w:val="22"/>
              </w:rPr>
              <w:t>Tiesiskā r</w:t>
            </w:r>
            <w:r w:rsidR="00400032" w:rsidRPr="001438F0">
              <w:rPr>
                <w:sz w:val="22"/>
                <w:szCs w:val="22"/>
              </w:rPr>
              <w:t xml:space="preserve">egulējuma </w:t>
            </w:r>
            <w:r w:rsidR="00262E2B" w:rsidRPr="001438F0">
              <w:rPr>
                <w:sz w:val="22"/>
                <w:szCs w:val="22"/>
              </w:rPr>
              <w:t>mērķis un būtība</w:t>
            </w:r>
          </w:p>
        </w:tc>
        <w:tc>
          <w:tcPr>
            <w:tcW w:w="6318" w:type="dxa"/>
          </w:tcPr>
          <w:p w:rsidR="002C0401" w:rsidRPr="001438F0" w:rsidRDefault="002C0401" w:rsidP="002C0401">
            <w:pPr>
              <w:ind w:right="-2"/>
              <w:jc w:val="both"/>
              <w:rPr>
                <w:bCs/>
                <w:sz w:val="22"/>
                <w:szCs w:val="22"/>
              </w:rPr>
            </w:pPr>
            <w:r w:rsidRPr="001438F0">
              <w:rPr>
                <w:iCs/>
                <w:sz w:val="22"/>
                <w:szCs w:val="22"/>
              </w:rPr>
              <w:t xml:space="preserve">Likumprojekta mērķis ir </w:t>
            </w:r>
            <w:r w:rsidRPr="001438F0">
              <w:rPr>
                <w:bCs/>
                <w:sz w:val="22"/>
                <w:szCs w:val="22"/>
              </w:rPr>
              <w:t>nodot politiski represētās personas statusa noteikšanas kompetenci Pilsonības un migrācijas lietu pārvaldei, lai novērstu nepamatotu politiski represētās personas statusa piešķiršanas gadījumu skaitu un līdz ar to nepamatotu valsts un pašvaldību līdzekļu un politiski represētajām personām normatīvajos aktos paredzēto dažādu atvieglojumu izmantošanu. Tāpat likumprojekta pieņemšanas rezultātā politiski represētās personas statusa jautājumi pilnībā tiek nodoti vienas valsts pārvaldes iestādes kompetencē, vienlaikus saglabājot pakalpojuma pieejamību maksimāli tuvu iedzīvotāju dzīvesvietām, kā arī apvienības iesaistīšanu konsultatīvā atbalsta sniegšanai Pilsonības un migrācijas lietu pārvaldei.</w:t>
            </w:r>
          </w:p>
          <w:p w:rsidR="00EA233F" w:rsidRPr="001438F0" w:rsidRDefault="002C0401" w:rsidP="002C0401">
            <w:pPr>
              <w:ind w:right="-2"/>
              <w:jc w:val="both"/>
              <w:rPr>
                <w:sz w:val="22"/>
                <w:szCs w:val="22"/>
              </w:rPr>
            </w:pPr>
            <w:r w:rsidRPr="001438F0">
              <w:rPr>
                <w:bCs/>
                <w:sz w:val="22"/>
                <w:szCs w:val="22"/>
              </w:rPr>
              <w:t xml:space="preserve">Likumprojektā piedāvātais risinājums nodot politiski represētās personas statusa noteikšanas kompetenci Pilsonības un migrācijas lietu pārvaldei ir visefektīvākais, jo politiski represētās personas statusa noteikšanai, personas iesniegto ziņu pārbaudei un politiski represētās </w:t>
            </w:r>
            <w:r w:rsidRPr="001438F0">
              <w:rPr>
                <w:bCs/>
                <w:sz w:val="22"/>
                <w:szCs w:val="22"/>
              </w:rPr>
              <w:lastRenderedPageBreak/>
              <w:t xml:space="preserve">personas apliecības izsniegšanai  ir nepieciešama informācija, kas ir </w:t>
            </w:r>
            <w:r w:rsidRPr="001438F0">
              <w:rPr>
                <w:sz w:val="22"/>
                <w:szCs w:val="22"/>
              </w:rPr>
              <w:t>Iedzīvotāju reģistra rīcībā. Proti, jau šobrīd</w:t>
            </w:r>
            <w:r w:rsidRPr="001438F0">
              <w:rPr>
                <w:bCs/>
                <w:sz w:val="22"/>
                <w:szCs w:val="22"/>
              </w:rPr>
              <w:t xml:space="preserve"> </w:t>
            </w:r>
            <w:r w:rsidRPr="001438F0">
              <w:rPr>
                <w:sz w:val="22"/>
                <w:szCs w:val="22"/>
              </w:rPr>
              <w:t xml:space="preserve">saskaņā ar </w:t>
            </w:r>
            <w:r w:rsidRPr="001438F0">
              <w:rPr>
                <w:bCs/>
                <w:sz w:val="22"/>
                <w:szCs w:val="22"/>
              </w:rPr>
              <w:t>Ministru kabineta 1996.gada 22.oktobra noteikumu Nr. 408 „Noteikumi par politiski represēto personu uzskaiti, politiski represēto personu apliecību izsniegšanu un minēto apliecību uzskaiti” 6., 7. un 7</w:t>
            </w:r>
            <w:r w:rsidRPr="001438F0">
              <w:rPr>
                <w:bCs/>
                <w:sz w:val="22"/>
                <w:szCs w:val="22"/>
                <w:vertAlign w:val="superscript"/>
              </w:rPr>
              <w:t>1</w:t>
            </w:r>
            <w:r w:rsidRPr="001438F0">
              <w:rPr>
                <w:bCs/>
                <w:sz w:val="22"/>
                <w:szCs w:val="22"/>
              </w:rPr>
              <w:t xml:space="preserve">.punktu pašvaldība vai Tieslietu ministrija pieprasījumu politiski represētās personas apliecības izgatavošanai iesniedz Pilsonības un migrācijas lietu pārvaldei, kura </w:t>
            </w:r>
            <w:r w:rsidRPr="001438F0">
              <w:rPr>
                <w:sz w:val="22"/>
                <w:szCs w:val="22"/>
              </w:rPr>
              <w:t>pārbauda Iedzīvotāju reģistrā iesniedzēja vārda un uzvārda atbilstību personas kodam, izgatavo apliecību un 10 darbdienu laikā pēc pieprasījuma saņemšanas dienas nodod apliecību pašvaldībai vai Tieslietu ministrijai. Apliecību izsniedz, pamatojoties uz Iedzīvotāju reģistra datiem</w:t>
            </w:r>
            <w:r w:rsidR="00EA233F" w:rsidRPr="001438F0">
              <w:rPr>
                <w:sz w:val="22"/>
                <w:szCs w:val="22"/>
              </w:rPr>
              <w:t xml:space="preserve">. </w:t>
            </w:r>
          </w:p>
          <w:p w:rsidR="002C0401" w:rsidRPr="001438F0" w:rsidRDefault="002C0401" w:rsidP="002C0401">
            <w:pPr>
              <w:ind w:right="-2"/>
              <w:jc w:val="both"/>
              <w:rPr>
                <w:bCs/>
                <w:sz w:val="22"/>
                <w:szCs w:val="22"/>
              </w:rPr>
            </w:pPr>
            <w:r w:rsidRPr="001438F0">
              <w:rPr>
                <w:bCs/>
                <w:sz w:val="22"/>
                <w:szCs w:val="22"/>
              </w:rPr>
              <w:t xml:space="preserve">Iekšlietu ministrijas rīcībā ir daļa no politiski represētās personas statusa piešķiršanai nepieciešamās informācijas. Proti, Iekšlietu ministrijas rīcībā ir ziņas par personu administratīvu izsūtīšanu no Latvijas teritorijas, personas dzimšanu ieslodzījumā, izsūtījumā vai nometinājumā ārpus Latvijas teritorijas, kā arī ziņas par personu reabilitāciju. Tā kā Pilsonības un migrācijas lietu pārvalde ir Iekšlietu ministrijas padotības iestāde, tiek atvieglota attiecīgo pierādījumu iegūšana un pārbaude un sekmēta ātrāka lēmumu pieņemšana. Pēdējos gados politiski represētās personas statuss pamatā tiek pieprasīts saistībā ar personu administratīvu izsūtīšanu no Latvijas teritorijas, personas dzimšanu ieslodzījumā, izsūtījumā vai nometinājumā ārpus Latvijas teritorijas. </w:t>
            </w:r>
          </w:p>
          <w:p w:rsidR="002C0401" w:rsidRPr="001438F0" w:rsidRDefault="002C0401" w:rsidP="002C0401">
            <w:pPr>
              <w:ind w:right="-2"/>
              <w:jc w:val="both"/>
              <w:rPr>
                <w:bCs/>
                <w:sz w:val="22"/>
                <w:szCs w:val="22"/>
              </w:rPr>
            </w:pPr>
            <w:r w:rsidRPr="001438F0">
              <w:rPr>
                <w:bCs/>
                <w:sz w:val="22"/>
                <w:szCs w:val="22"/>
              </w:rPr>
              <w:t>Atbilstoši Ministru kabineta 2006.gada 3.oktobra noteikumu Nr. 811 „Pilsonības un migrācijas lietu pārvaldes nolikums” 5.punktam Pilsonības un migrācijas lietu pārvaldei ir teritoriālās nodaļas. Tādējādi iedzīvotāji, līdzīgi kā saņemot citus šīs iestādes pakalpojumus, varēs šajās teritoriālajās nodaļās iesniegt arī dokumentus politiski represētās personas statusa piešķiršanai un saņemt izgatavotās apliecības, un šis pakalpojums faktiski netiks attālināts no</w:t>
            </w:r>
            <w:r w:rsidRPr="001438F0">
              <w:rPr>
                <w:sz w:val="22"/>
                <w:szCs w:val="22"/>
              </w:rPr>
              <w:t xml:space="preserve"> iedzīvotāju dzīvesvietām</w:t>
            </w:r>
            <w:r w:rsidRPr="001438F0">
              <w:rPr>
                <w:bCs/>
                <w:sz w:val="22"/>
                <w:szCs w:val="22"/>
              </w:rPr>
              <w:t>. Turklāt Pilsonības un migrācijas lietu pārvalde ir tiešās valsts pārvaldes iestāde ar noteiktu kapacitāti un lielu pieredzi administratīvo aktu izdošanā tieši, nosakot personu dažādus tiesiskos statusus un izdodot statusu apliecinošus dokumentus. Līdz ar to praktiski tiks izslēgti nepamatoti politiski represētās personas statusa piešķiršanas un apliecību izsniegšanas gadījumi. Tāpat Pilsonības un migrācijas lietu pārvaldes darbiniekiem ir liela pieredze sadarbībā ar arhīviem, kas dos iespēju ātri iegūt nepieciešamās arhīvu ziņas vai pārbaudīt personu sniegto informāciju.</w:t>
            </w:r>
          </w:p>
          <w:p w:rsidR="002C0401" w:rsidRPr="001438F0" w:rsidRDefault="002C0401" w:rsidP="002C0401">
            <w:pPr>
              <w:ind w:right="-2"/>
              <w:jc w:val="both"/>
              <w:rPr>
                <w:bCs/>
                <w:sz w:val="22"/>
                <w:szCs w:val="22"/>
              </w:rPr>
            </w:pPr>
            <w:r w:rsidRPr="001438F0">
              <w:rPr>
                <w:bCs/>
                <w:sz w:val="22"/>
                <w:szCs w:val="22"/>
              </w:rPr>
              <w:t>Nododot politiski represētās personas statusa piešķiršanu vienai valsts pārvaldes iestādei tiks nodrošināta vienota politiski represēto uzskaite valsts mērogā, jo šobrīd uzskaite notiek katras pašvaldības ietvaros, tāpēc praktiski nav iespējams iegūt pietiekami objektīvu informāciju par to, cik personām valstī ir piešķirts politiski represētās personas statuss un izsniegtas apliecības. Tas savukārt apgrūtina budžeta līdzekļu plānošanu politiski represētajām personām normatīvajos aktos paredzēto tiesību nodrošināšanai (piemēram, atvieglojumiem braukšanai sabiedriskajā transportā, atvieglojumiem veselības aprūpei u.tt.).</w:t>
            </w:r>
          </w:p>
          <w:p w:rsidR="00262E2B" w:rsidRPr="001438F0" w:rsidRDefault="002C0401" w:rsidP="00EA233F">
            <w:pPr>
              <w:ind w:right="-2"/>
              <w:jc w:val="both"/>
              <w:rPr>
                <w:bCs/>
                <w:sz w:val="22"/>
                <w:szCs w:val="22"/>
              </w:rPr>
            </w:pPr>
            <w:r w:rsidRPr="001438F0">
              <w:rPr>
                <w:bCs/>
                <w:sz w:val="22"/>
                <w:szCs w:val="22"/>
              </w:rPr>
              <w:t xml:space="preserve">Likumprojekta pieņemšanas rezultātā pilnībā tiks atrisināta identificētā problēma nodrošināt tiesiski pamatotu lēmumu pieņemšanu, saglabāta pakalpojuma pieejamība maksimāli tuvu iedzīvotāju dzīvesvietām un nodrošināta politiski represēto organizācijas iesaistīšana konsultatīvā atbalsta sniegšanai.   </w:t>
            </w:r>
          </w:p>
        </w:tc>
      </w:tr>
      <w:tr w:rsidR="00262E2B" w:rsidRPr="001438F0" w:rsidTr="00DF4DD9">
        <w:trPr>
          <w:trHeight w:val="476"/>
        </w:trPr>
        <w:tc>
          <w:tcPr>
            <w:tcW w:w="550" w:type="dxa"/>
          </w:tcPr>
          <w:p w:rsidR="00262E2B" w:rsidRPr="001438F0" w:rsidRDefault="00262E2B" w:rsidP="006C4607">
            <w:pPr>
              <w:pStyle w:val="naiskr"/>
              <w:spacing w:before="0" w:after="0"/>
              <w:rPr>
                <w:sz w:val="22"/>
                <w:szCs w:val="22"/>
              </w:rPr>
            </w:pPr>
            <w:r w:rsidRPr="001438F0">
              <w:rPr>
                <w:sz w:val="22"/>
                <w:szCs w:val="22"/>
              </w:rPr>
              <w:lastRenderedPageBreak/>
              <w:t>5.</w:t>
            </w:r>
          </w:p>
        </w:tc>
        <w:tc>
          <w:tcPr>
            <w:tcW w:w="2857" w:type="dxa"/>
          </w:tcPr>
          <w:p w:rsidR="00262E2B" w:rsidRPr="001438F0" w:rsidRDefault="001A4066" w:rsidP="006C4607">
            <w:pPr>
              <w:pStyle w:val="naiskr"/>
              <w:spacing w:before="0" w:after="0"/>
              <w:rPr>
                <w:sz w:val="22"/>
                <w:szCs w:val="22"/>
              </w:rPr>
            </w:pPr>
            <w:r w:rsidRPr="001438F0">
              <w:rPr>
                <w:sz w:val="22"/>
                <w:szCs w:val="22"/>
              </w:rPr>
              <w:t>Projekta i</w:t>
            </w:r>
            <w:r w:rsidR="00262E2B" w:rsidRPr="001438F0">
              <w:rPr>
                <w:sz w:val="22"/>
                <w:szCs w:val="22"/>
              </w:rPr>
              <w:t>zstrād</w:t>
            </w:r>
            <w:r w:rsidR="00420870" w:rsidRPr="001438F0">
              <w:rPr>
                <w:sz w:val="22"/>
                <w:szCs w:val="22"/>
              </w:rPr>
              <w:t xml:space="preserve">ē </w:t>
            </w:r>
            <w:r w:rsidR="00262E2B" w:rsidRPr="001438F0">
              <w:rPr>
                <w:sz w:val="22"/>
                <w:szCs w:val="22"/>
              </w:rPr>
              <w:t>iesaistītās institūcijas</w:t>
            </w:r>
          </w:p>
        </w:tc>
        <w:tc>
          <w:tcPr>
            <w:tcW w:w="6318" w:type="dxa"/>
          </w:tcPr>
          <w:p w:rsidR="00262E2B" w:rsidRPr="001438F0" w:rsidRDefault="007A2C8F" w:rsidP="006C4607">
            <w:pPr>
              <w:pStyle w:val="naiskr"/>
              <w:spacing w:before="0" w:after="0"/>
              <w:rPr>
                <w:sz w:val="22"/>
                <w:szCs w:val="22"/>
              </w:rPr>
            </w:pPr>
            <w:r w:rsidRPr="001438F0">
              <w:rPr>
                <w:sz w:val="22"/>
                <w:szCs w:val="22"/>
              </w:rPr>
              <w:t>Likumprojekts izstrādāts, konsultējoties ar Iekšlietu ministrijas un Pilsonības un migrācijas lietu pārvaldes amatpersonām.</w:t>
            </w:r>
          </w:p>
        </w:tc>
      </w:tr>
      <w:tr w:rsidR="00262E2B" w:rsidRPr="001438F0" w:rsidTr="00DF4DD9">
        <w:trPr>
          <w:trHeight w:val="1340"/>
        </w:trPr>
        <w:tc>
          <w:tcPr>
            <w:tcW w:w="550" w:type="dxa"/>
          </w:tcPr>
          <w:p w:rsidR="00262E2B" w:rsidRPr="001438F0" w:rsidRDefault="00262E2B" w:rsidP="006C4607">
            <w:pPr>
              <w:pStyle w:val="naiskr"/>
              <w:spacing w:before="0" w:after="0"/>
              <w:rPr>
                <w:sz w:val="22"/>
                <w:szCs w:val="22"/>
              </w:rPr>
            </w:pPr>
            <w:r w:rsidRPr="001438F0">
              <w:rPr>
                <w:sz w:val="22"/>
                <w:szCs w:val="22"/>
              </w:rPr>
              <w:t>6.</w:t>
            </w:r>
          </w:p>
        </w:tc>
        <w:tc>
          <w:tcPr>
            <w:tcW w:w="2857" w:type="dxa"/>
          </w:tcPr>
          <w:p w:rsidR="00EC7D68" w:rsidRPr="001438F0" w:rsidRDefault="00BB7C94" w:rsidP="006C4607">
            <w:pPr>
              <w:pStyle w:val="naiskr"/>
              <w:spacing w:before="0" w:after="0"/>
              <w:rPr>
                <w:sz w:val="22"/>
                <w:szCs w:val="22"/>
              </w:rPr>
            </w:pPr>
            <w:r w:rsidRPr="001438F0">
              <w:rPr>
                <w:sz w:val="22"/>
                <w:szCs w:val="22"/>
              </w:rPr>
              <w:t xml:space="preserve">Iemesli, kādēļ netika nodrošināta </w:t>
            </w:r>
            <w:r w:rsidR="00262E2B" w:rsidRPr="001438F0">
              <w:rPr>
                <w:sz w:val="22"/>
                <w:szCs w:val="22"/>
              </w:rPr>
              <w:t xml:space="preserve">sabiedrības </w:t>
            </w:r>
            <w:r w:rsidRPr="001438F0">
              <w:rPr>
                <w:sz w:val="22"/>
                <w:szCs w:val="22"/>
              </w:rPr>
              <w:t>līdzdalība</w:t>
            </w:r>
          </w:p>
        </w:tc>
        <w:tc>
          <w:tcPr>
            <w:tcW w:w="6318" w:type="dxa"/>
          </w:tcPr>
          <w:p w:rsidR="00D20FF4" w:rsidRPr="001438F0" w:rsidRDefault="00DF4DD9" w:rsidP="00DF4DD9">
            <w:pPr>
              <w:pStyle w:val="FootnoteText"/>
              <w:rPr>
                <w:sz w:val="22"/>
                <w:szCs w:val="22"/>
              </w:rPr>
            </w:pPr>
            <w:r w:rsidRPr="001438F0">
              <w:rPr>
                <w:sz w:val="22"/>
                <w:szCs w:val="22"/>
              </w:rPr>
              <w:t>Nav attiecināms</w:t>
            </w:r>
          </w:p>
        </w:tc>
      </w:tr>
      <w:tr w:rsidR="00262E2B" w:rsidRPr="001438F0" w:rsidTr="00DF4DD9">
        <w:tc>
          <w:tcPr>
            <w:tcW w:w="550" w:type="dxa"/>
          </w:tcPr>
          <w:p w:rsidR="00262E2B" w:rsidRPr="001438F0" w:rsidRDefault="00262E2B" w:rsidP="006C4607">
            <w:pPr>
              <w:pStyle w:val="naiskr"/>
              <w:spacing w:before="0" w:after="0"/>
              <w:rPr>
                <w:sz w:val="22"/>
                <w:szCs w:val="22"/>
              </w:rPr>
            </w:pPr>
            <w:r w:rsidRPr="001438F0">
              <w:rPr>
                <w:sz w:val="22"/>
                <w:szCs w:val="22"/>
              </w:rPr>
              <w:t>7.</w:t>
            </w:r>
          </w:p>
        </w:tc>
        <w:tc>
          <w:tcPr>
            <w:tcW w:w="2857" w:type="dxa"/>
          </w:tcPr>
          <w:p w:rsidR="00262E2B" w:rsidRPr="001438F0" w:rsidRDefault="00262E2B" w:rsidP="006C4607">
            <w:pPr>
              <w:pStyle w:val="naiskr"/>
              <w:spacing w:before="0" w:after="0"/>
              <w:rPr>
                <w:sz w:val="22"/>
                <w:szCs w:val="22"/>
              </w:rPr>
            </w:pPr>
            <w:r w:rsidRPr="001438F0">
              <w:rPr>
                <w:sz w:val="22"/>
                <w:szCs w:val="22"/>
              </w:rPr>
              <w:t>Cita informācija</w:t>
            </w:r>
          </w:p>
        </w:tc>
        <w:tc>
          <w:tcPr>
            <w:tcW w:w="6318" w:type="dxa"/>
          </w:tcPr>
          <w:p w:rsidR="003038A0" w:rsidRPr="001438F0" w:rsidRDefault="00DE3591" w:rsidP="00082F01">
            <w:pPr>
              <w:ind w:right="-2"/>
              <w:jc w:val="both"/>
              <w:rPr>
                <w:bCs/>
                <w:sz w:val="22"/>
                <w:szCs w:val="22"/>
              </w:rPr>
            </w:pPr>
            <w:r w:rsidRPr="001438F0">
              <w:rPr>
                <w:bCs/>
                <w:sz w:val="22"/>
                <w:szCs w:val="22"/>
              </w:rPr>
              <w:t>Komisija izteica priekšlikumu likumprojektā paredzēt pašvaldību līdzdalību iesniegumu pieņemšanā un apliecību izsniegšanā, paredzēt konsultatīvās padomes darbu, kā arī ar Ministru kabineta noteikumiem atrisināt citus jautājumus, kas saistīti ar procesa centralizēšanu, bet at</w:t>
            </w:r>
            <w:r w:rsidR="00082F01" w:rsidRPr="001438F0">
              <w:rPr>
                <w:bCs/>
                <w:sz w:val="22"/>
                <w:szCs w:val="22"/>
              </w:rPr>
              <w:t>bilstoši Ministru kabineta 2006.gada 3.oktobra noteikumu Nr. 811 „Pilsonības un migrācijas lietu pārvaldes nolikums” 5.punktam Pilsonības un migrācijas lietu pārvaldei ir teritoriālās nodaļas, iedzīvotāji, līdzīgi kā saņemot citus šīs iestādes pakalpojumus, var šajās teritoriālajās nodaļās iesniegt arī dokumentus politiski represētās personas statusa piešķiršanai un saņemt izgatavotās apliecības, un šis pakalpojums faktiski netiek attālināts no</w:t>
            </w:r>
            <w:r w:rsidR="00082F01" w:rsidRPr="001438F0">
              <w:rPr>
                <w:sz w:val="22"/>
                <w:szCs w:val="22"/>
              </w:rPr>
              <w:t xml:space="preserve"> iedzīvotāju dzīvesvietām</w:t>
            </w:r>
            <w:r w:rsidR="00082F01" w:rsidRPr="001438F0">
              <w:rPr>
                <w:bCs/>
                <w:sz w:val="22"/>
                <w:szCs w:val="22"/>
              </w:rPr>
              <w:t>. Tāpēc nav lietderīgi likumprojektā paredzēt to, ka personas iesniedz dokumentus un saņem apliecības vietējā pašvaldībā.</w:t>
            </w:r>
            <w:r w:rsidR="003038A0" w:rsidRPr="001438F0">
              <w:rPr>
                <w:bCs/>
                <w:sz w:val="22"/>
                <w:szCs w:val="22"/>
              </w:rPr>
              <w:t xml:space="preserve"> </w:t>
            </w:r>
          </w:p>
          <w:p w:rsidR="00082F01" w:rsidRPr="001438F0" w:rsidRDefault="00082F01" w:rsidP="00082F01">
            <w:pPr>
              <w:ind w:right="-2"/>
              <w:jc w:val="both"/>
              <w:rPr>
                <w:bCs/>
                <w:sz w:val="22"/>
                <w:szCs w:val="22"/>
              </w:rPr>
            </w:pPr>
            <w:r w:rsidRPr="001438F0">
              <w:rPr>
                <w:bCs/>
                <w:sz w:val="22"/>
                <w:szCs w:val="22"/>
              </w:rPr>
              <w:t xml:space="preserve">Politiski represētās personas statusa iegūšanai nepieciešamo iesniegumu un dokumentu iesniegšanas un izgatavoto apliecību izsniegšanas kārtību, kā arī citus ar statusa piešķiršanu procesu saistītos jautājumus </w:t>
            </w:r>
            <w:r w:rsidR="003038A0" w:rsidRPr="001438F0">
              <w:rPr>
                <w:bCs/>
                <w:sz w:val="22"/>
                <w:szCs w:val="22"/>
              </w:rPr>
              <w:t>plānots</w:t>
            </w:r>
            <w:r w:rsidRPr="001438F0">
              <w:rPr>
                <w:bCs/>
                <w:sz w:val="22"/>
                <w:szCs w:val="22"/>
              </w:rPr>
              <w:t xml:space="preserve"> noregulēt ar grozījumiem Ministru kabineta 1996.gada 22.oktobra noteikumos Nr. 408 „Noteikumi par politiski represēto personu uzskaiti, politiski represēto personu apliecību izsniegšanu</w:t>
            </w:r>
            <w:r w:rsidR="003038A0" w:rsidRPr="001438F0">
              <w:rPr>
                <w:bCs/>
                <w:sz w:val="22"/>
                <w:szCs w:val="22"/>
              </w:rPr>
              <w:t xml:space="preserve"> un minēto apliecību uzskaiti”.</w:t>
            </w:r>
          </w:p>
          <w:p w:rsidR="002C78BC" w:rsidRPr="001438F0" w:rsidRDefault="00082F01">
            <w:pPr>
              <w:ind w:right="81"/>
              <w:jc w:val="both"/>
              <w:rPr>
                <w:bCs/>
                <w:sz w:val="22"/>
                <w:szCs w:val="22"/>
              </w:rPr>
            </w:pPr>
            <w:r w:rsidRPr="001438F0">
              <w:rPr>
                <w:bCs/>
                <w:sz w:val="22"/>
                <w:szCs w:val="22"/>
              </w:rPr>
              <w:t>Likumprojektā kā vienīgā iestāde, kuras kompetencē ir politiski represētās personas statusa piešķiršana, ir noteikta Pilsonības un migrācijas lietu pārvalde. Šāda pieeja balstās uz apsvērumiem par to, ka politiski represētās personas statusa piešķiršana jānodod vienas iestādes kompetencē</w:t>
            </w:r>
            <w:r w:rsidR="007E4501" w:rsidRPr="001438F0">
              <w:rPr>
                <w:bCs/>
                <w:sz w:val="22"/>
                <w:szCs w:val="22"/>
              </w:rPr>
              <w:t>, jo</w:t>
            </w:r>
            <w:r w:rsidRPr="001438F0">
              <w:rPr>
                <w:bCs/>
                <w:sz w:val="22"/>
                <w:szCs w:val="22"/>
              </w:rPr>
              <w:t xml:space="preserve"> kompetenču sadalīšana starp vairākām iestādēm ir nelietderīga un prasa vairāk līdzekļu</w:t>
            </w:r>
            <w:r w:rsidR="007E4501" w:rsidRPr="001438F0">
              <w:rPr>
                <w:bCs/>
                <w:sz w:val="22"/>
                <w:szCs w:val="22"/>
              </w:rPr>
              <w:t>, kā arī var radīt grūtības iedzīvotājiem saprast to, kura iestāde ir kompetentā attiecīgajā jautājumā</w:t>
            </w:r>
            <w:r w:rsidR="00D83D04" w:rsidRPr="001438F0">
              <w:rPr>
                <w:bCs/>
                <w:sz w:val="22"/>
                <w:szCs w:val="22"/>
              </w:rPr>
              <w:t xml:space="preserve"> un no kuras iestādes prasīt savu tiesību ievērošanu</w:t>
            </w:r>
            <w:r w:rsidRPr="001438F0">
              <w:rPr>
                <w:bCs/>
                <w:sz w:val="22"/>
                <w:szCs w:val="22"/>
              </w:rPr>
              <w:t>.</w:t>
            </w:r>
          </w:p>
          <w:p w:rsidR="00262E2B" w:rsidRPr="001438F0" w:rsidRDefault="00673DA7" w:rsidP="00082F01">
            <w:pPr>
              <w:ind w:right="-2"/>
              <w:jc w:val="both"/>
              <w:rPr>
                <w:bCs/>
                <w:color w:val="FF0000"/>
                <w:sz w:val="22"/>
                <w:szCs w:val="22"/>
              </w:rPr>
            </w:pPr>
            <w:r w:rsidRPr="001438F0">
              <w:rPr>
                <w:bCs/>
                <w:sz w:val="22"/>
                <w:szCs w:val="22"/>
              </w:rPr>
              <w:t>L</w:t>
            </w:r>
            <w:r w:rsidR="003F041A" w:rsidRPr="001438F0">
              <w:rPr>
                <w:bCs/>
                <w:sz w:val="22"/>
                <w:szCs w:val="22"/>
              </w:rPr>
              <w:t>ikumprojektā nav paredzēta ne speciālas komisijas, ne kādas konsultatīvas padomes izveide iesniegto dokumentu iepriekšējai izvērtēšanai, bet apvienībai ir paredzētas tiesības nepieciešamības gadījumā sniegt Pilsonības un migrācijas lietu pārvaldei skaidrojumus dažādos politiskās represijas jautājumos.</w:t>
            </w:r>
            <w:r w:rsidRPr="001438F0">
              <w:rPr>
                <w:bCs/>
                <w:sz w:val="22"/>
                <w:szCs w:val="22"/>
              </w:rPr>
              <w:t xml:space="preserve"> Iemesls šādam risinājumam skaidrojams ar to, ka saskaņā ar Administratīvā procesa likumu iestādei lēmums ir jāpieņem viena mēneša laikā no iesnieguma saņemšanas dienas</w:t>
            </w:r>
            <w:r w:rsidR="00580441" w:rsidRPr="001438F0">
              <w:rPr>
                <w:bCs/>
                <w:sz w:val="22"/>
                <w:szCs w:val="22"/>
              </w:rPr>
              <w:t>, lēmuma pieņēmēj</w:t>
            </w:r>
            <w:r w:rsidR="001237F9" w:rsidRPr="001438F0">
              <w:rPr>
                <w:bCs/>
                <w:sz w:val="22"/>
                <w:szCs w:val="22"/>
              </w:rPr>
              <w:t>am</w:t>
            </w:r>
            <w:r w:rsidR="00580441" w:rsidRPr="001438F0">
              <w:rPr>
                <w:bCs/>
                <w:sz w:val="22"/>
                <w:szCs w:val="22"/>
              </w:rPr>
              <w:t xml:space="preserve"> pa</w:t>
            </w:r>
            <w:r w:rsidR="001237F9" w:rsidRPr="001438F0">
              <w:rPr>
                <w:bCs/>
                <w:sz w:val="22"/>
                <w:szCs w:val="22"/>
              </w:rPr>
              <w:t>šam</w:t>
            </w:r>
            <w:r w:rsidR="00580441" w:rsidRPr="001438F0">
              <w:rPr>
                <w:bCs/>
                <w:sz w:val="22"/>
                <w:szCs w:val="22"/>
              </w:rPr>
              <w:t xml:space="preserve"> </w:t>
            </w:r>
            <w:r w:rsidR="001237F9" w:rsidRPr="001438F0">
              <w:rPr>
                <w:bCs/>
                <w:sz w:val="22"/>
                <w:szCs w:val="22"/>
              </w:rPr>
              <w:t xml:space="preserve">objektīvi </w:t>
            </w:r>
            <w:r w:rsidR="0083149E" w:rsidRPr="001438F0">
              <w:rPr>
                <w:bCs/>
                <w:sz w:val="22"/>
                <w:szCs w:val="22"/>
              </w:rPr>
              <w:t>jā</w:t>
            </w:r>
            <w:r w:rsidR="00580441" w:rsidRPr="001438F0">
              <w:rPr>
                <w:bCs/>
                <w:sz w:val="22"/>
                <w:szCs w:val="22"/>
              </w:rPr>
              <w:t>izvērtē lietas apstākļus</w:t>
            </w:r>
            <w:r w:rsidR="001237F9" w:rsidRPr="001438F0">
              <w:rPr>
                <w:bCs/>
                <w:sz w:val="22"/>
                <w:szCs w:val="22"/>
              </w:rPr>
              <w:t>, tos apliecinošos pierādījumus</w:t>
            </w:r>
            <w:r w:rsidR="0083149E" w:rsidRPr="001438F0">
              <w:rPr>
                <w:bCs/>
                <w:sz w:val="22"/>
                <w:szCs w:val="22"/>
              </w:rPr>
              <w:t>, lēmums jāpieņem, pamatojoties uz faktiem, kuri tieši nepieciešami lēmuma pieņemšanai, un tiem izrietošiem objektīviem un racionāliem juridiskiem apsvērumiem, kā arī pašam</w:t>
            </w:r>
            <w:r w:rsidR="001237F9" w:rsidRPr="001438F0">
              <w:rPr>
                <w:bCs/>
                <w:sz w:val="22"/>
                <w:szCs w:val="22"/>
              </w:rPr>
              <w:t xml:space="preserve"> </w:t>
            </w:r>
            <w:r w:rsidR="0083149E" w:rsidRPr="001438F0">
              <w:rPr>
                <w:bCs/>
                <w:sz w:val="22"/>
                <w:szCs w:val="22"/>
              </w:rPr>
              <w:t>jāa</w:t>
            </w:r>
            <w:r w:rsidR="001237F9" w:rsidRPr="001438F0">
              <w:rPr>
                <w:bCs/>
                <w:sz w:val="22"/>
                <w:szCs w:val="22"/>
              </w:rPr>
              <w:t>tbild par lēmuma tiesiskumu</w:t>
            </w:r>
            <w:r w:rsidR="0083149E" w:rsidRPr="001438F0">
              <w:rPr>
                <w:bCs/>
                <w:sz w:val="22"/>
                <w:szCs w:val="22"/>
              </w:rPr>
              <w:t>. S</w:t>
            </w:r>
            <w:r w:rsidR="001237F9" w:rsidRPr="001438F0">
              <w:rPr>
                <w:bCs/>
                <w:sz w:val="22"/>
                <w:szCs w:val="22"/>
              </w:rPr>
              <w:t>peciālas komisijas</w:t>
            </w:r>
            <w:r w:rsidR="00C55E1E" w:rsidRPr="001438F0">
              <w:rPr>
                <w:bCs/>
                <w:sz w:val="22"/>
                <w:szCs w:val="22"/>
              </w:rPr>
              <w:t xml:space="preserve"> vai kādas konsultatīvās padomes </w:t>
            </w:r>
            <w:r w:rsidR="001237F9" w:rsidRPr="001438F0">
              <w:rPr>
                <w:bCs/>
                <w:sz w:val="22"/>
                <w:szCs w:val="22"/>
              </w:rPr>
              <w:t>izveide un darbība var radīt grūtības iestādei lēmumu pieņemt likumā noteiktajā termiņā</w:t>
            </w:r>
            <w:r w:rsidR="00C55E1E" w:rsidRPr="001438F0">
              <w:rPr>
                <w:bCs/>
                <w:sz w:val="22"/>
                <w:szCs w:val="22"/>
              </w:rPr>
              <w:t>, kā arī tās viedoklis nevar tikt vērtēts kā pierādījums lietā.</w:t>
            </w:r>
            <w:r w:rsidR="00FB1902" w:rsidRPr="001438F0">
              <w:rPr>
                <w:bCs/>
                <w:sz w:val="22"/>
                <w:szCs w:val="22"/>
              </w:rPr>
              <w:t xml:space="preserve"> Turklāt apvienība ir apliecinājusi, ka tās biedri šādā komisijā nevarētu juridiski izvērtēt attiecīgās lietas apstākļus.</w:t>
            </w:r>
            <w:r w:rsidR="00C55E1E" w:rsidRPr="001438F0">
              <w:rPr>
                <w:bCs/>
                <w:sz w:val="22"/>
                <w:szCs w:val="22"/>
              </w:rPr>
              <w:t xml:space="preserve"> </w:t>
            </w:r>
          </w:p>
        </w:tc>
      </w:tr>
    </w:tbl>
    <w:p w:rsidR="00852042" w:rsidRPr="001438F0" w:rsidRDefault="00852042" w:rsidP="006C4607">
      <w:pPr>
        <w:pStyle w:val="naisf"/>
        <w:spacing w:before="0" w:after="0"/>
        <w:rPr>
          <w:sz w:val="22"/>
          <w:szCs w:val="22"/>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835"/>
        <w:gridCol w:w="6351"/>
      </w:tblGrid>
      <w:tr w:rsidR="0062298A" w:rsidRPr="001438F0" w:rsidTr="00FD2A8A">
        <w:tc>
          <w:tcPr>
            <w:tcW w:w="9758" w:type="dxa"/>
            <w:gridSpan w:val="3"/>
            <w:vAlign w:val="center"/>
          </w:tcPr>
          <w:p w:rsidR="0062298A" w:rsidRPr="001438F0" w:rsidRDefault="0062298A" w:rsidP="006C4607">
            <w:pPr>
              <w:pStyle w:val="naisnod"/>
              <w:spacing w:before="0" w:after="0"/>
              <w:rPr>
                <w:sz w:val="22"/>
                <w:szCs w:val="22"/>
              </w:rPr>
            </w:pPr>
            <w:r w:rsidRPr="001438F0">
              <w:rPr>
                <w:sz w:val="22"/>
                <w:szCs w:val="22"/>
              </w:rPr>
              <w:t>II</w:t>
            </w:r>
            <w:r w:rsidR="000941C5" w:rsidRPr="001438F0">
              <w:rPr>
                <w:sz w:val="22"/>
                <w:szCs w:val="22"/>
              </w:rPr>
              <w:t>.</w:t>
            </w:r>
            <w:r w:rsidRPr="001438F0">
              <w:rPr>
                <w:sz w:val="22"/>
                <w:szCs w:val="22"/>
              </w:rPr>
              <w:t xml:space="preserve"> Tiesību akta projekta ietekme uz sabiedrību</w:t>
            </w:r>
          </w:p>
        </w:tc>
      </w:tr>
      <w:tr w:rsidR="0062298A" w:rsidRPr="001438F0" w:rsidTr="004C2CA3">
        <w:trPr>
          <w:trHeight w:val="467"/>
        </w:trPr>
        <w:tc>
          <w:tcPr>
            <w:tcW w:w="572" w:type="dxa"/>
          </w:tcPr>
          <w:p w:rsidR="0062298A" w:rsidRPr="001438F0" w:rsidRDefault="0062298A" w:rsidP="006C4607">
            <w:pPr>
              <w:pStyle w:val="naiskr"/>
              <w:spacing w:before="0" w:after="0"/>
              <w:rPr>
                <w:sz w:val="22"/>
                <w:szCs w:val="22"/>
              </w:rPr>
            </w:pPr>
            <w:r w:rsidRPr="001438F0">
              <w:rPr>
                <w:sz w:val="22"/>
                <w:szCs w:val="22"/>
              </w:rPr>
              <w:lastRenderedPageBreak/>
              <w:t>1.</w:t>
            </w:r>
          </w:p>
        </w:tc>
        <w:tc>
          <w:tcPr>
            <w:tcW w:w="2835" w:type="dxa"/>
          </w:tcPr>
          <w:p w:rsidR="0062298A" w:rsidRPr="001438F0" w:rsidRDefault="00C27A08" w:rsidP="00FA4031">
            <w:pPr>
              <w:pStyle w:val="naiskr"/>
              <w:spacing w:before="0" w:after="0"/>
              <w:jc w:val="both"/>
              <w:rPr>
                <w:sz w:val="22"/>
                <w:szCs w:val="22"/>
              </w:rPr>
            </w:pPr>
            <w:r w:rsidRPr="001438F0">
              <w:rPr>
                <w:sz w:val="22"/>
                <w:szCs w:val="22"/>
              </w:rPr>
              <w:t>Sabiedrības mērķgrupa</w:t>
            </w:r>
          </w:p>
        </w:tc>
        <w:tc>
          <w:tcPr>
            <w:tcW w:w="6351" w:type="dxa"/>
          </w:tcPr>
          <w:p w:rsidR="00DA0B2C" w:rsidRPr="001438F0" w:rsidRDefault="009E12D7" w:rsidP="00FA4031">
            <w:pPr>
              <w:pStyle w:val="naiskr"/>
              <w:spacing w:before="0" w:after="0"/>
              <w:ind w:hanging="57"/>
              <w:jc w:val="both"/>
              <w:rPr>
                <w:iCs/>
                <w:sz w:val="22"/>
                <w:szCs w:val="22"/>
              </w:rPr>
            </w:pPr>
            <w:r w:rsidRPr="001438F0">
              <w:rPr>
                <w:iCs/>
                <w:sz w:val="22"/>
                <w:szCs w:val="22"/>
              </w:rPr>
              <w:t> </w:t>
            </w:r>
            <w:r w:rsidR="007A2C8F" w:rsidRPr="001438F0">
              <w:rPr>
                <w:iCs/>
                <w:sz w:val="22"/>
                <w:szCs w:val="22"/>
              </w:rPr>
              <w:t xml:space="preserve">Likumprojekts attiecas uz </w:t>
            </w:r>
            <w:r w:rsidR="00DA0B2C" w:rsidRPr="001438F0">
              <w:rPr>
                <w:iCs/>
                <w:sz w:val="22"/>
                <w:szCs w:val="22"/>
              </w:rPr>
              <w:t>personām, kuras saskaņā ar likumu „Par politiski represētās personas statusa noteikšanu komunistiskajā un nacistiskajā režīmā cietušajiem” atzīstamas par komunistiskā režīma vai nacistiskā režīma</w:t>
            </w:r>
            <w:r w:rsidR="000B6B47" w:rsidRPr="001438F0">
              <w:rPr>
                <w:iCs/>
                <w:sz w:val="22"/>
                <w:szCs w:val="22"/>
              </w:rPr>
              <w:t xml:space="preserve"> politiski represētām personām:</w:t>
            </w:r>
          </w:p>
          <w:p w:rsidR="00207B43" w:rsidRPr="001438F0" w:rsidRDefault="000B6B47" w:rsidP="00FA4031">
            <w:pPr>
              <w:pStyle w:val="naiskr"/>
              <w:spacing w:before="0" w:after="0"/>
              <w:jc w:val="both"/>
              <w:rPr>
                <w:iCs/>
                <w:sz w:val="22"/>
                <w:szCs w:val="22"/>
              </w:rPr>
            </w:pPr>
            <w:r w:rsidRPr="001438F0">
              <w:rPr>
                <w:iCs/>
                <w:sz w:val="22"/>
                <w:szCs w:val="22"/>
              </w:rPr>
              <w:t xml:space="preserve">1. </w:t>
            </w:r>
            <w:r w:rsidR="00207B43" w:rsidRPr="001438F0">
              <w:rPr>
                <w:iCs/>
                <w:sz w:val="22"/>
                <w:szCs w:val="22"/>
              </w:rPr>
              <w:t xml:space="preserve">Par komunistiskā režīma politiski represētām personām atzīstami esošie un bijušie Latvijas, Igaunijas, Lietuvas, Somijas un Polijas pilsoņi un līdz 1940.gada 17.jūnijam Latvijā legāli iebraukušie un pastāvīgi dzīvojošie iedzīvotāji, kā arī šo personu pēcnācēji (izņemot personas, kas iebraukušas Latvijā saskaņā ar Latvijas un PSRS 1939.gada 5.oktobra Savstarpējās palīdzības paktu), latvieši un lībieši (līvi), kuri tika represēti Latvijas teritorijā vai ārpus tās, kā arī  Latvijas pastāvīgie iedzīvotāji, kuri pēc 1945.gada 8.maija tika represēti Latvijas teritorijā vai ārpus tās, kā arī Latvijas pastāvīgie iedzīvotāji, kuri pēc 1945.gada 8.maija tika represēti Latvijas teritorijā, ja viņi likuma 1.pantā minēto iemeslu dēļ (politiskā pārliecība vai politiskā darbība, pretošanās totalitārajiem režīmiem, reliģiskie uzskati, rases vai nacionālā piederība, piederība pie noteiktas sabiedrības šķiras vai sociālā slāņa, strādāšana noteiktā profesijā vai nodarbošanās, kas nebija pretrunā ar Latvijas Republikas likumiem, laulība vai radniecība ar politiski represēto personu, palīdzība politiski vajātajām vai represētajām personām)  laika posmā līdz 1991.gada 21.augustam: 1) nogalināti vai miruši represiju rezultātā; 2) apcietināti, ieslodzīti cietumos, koncentrācijas, PSRS filtrācijas (pārbaudes) un labošanas darbu nometnēs vai piespiedu kārtā ievietoti iestādēs, kur viņiem tika piemēroti </w:t>
            </w:r>
            <w:r w:rsidR="00DA0195" w:rsidRPr="001438F0">
              <w:rPr>
                <w:iCs/>
                <w:sz w:val="22"/>
                <w:szCs w:val="22"/>
              </w:rPr>
              <w:t>medicīniska rakstura piespiedu līdzekļi; 3) izsūtīti, nometināti vai pārvietoti no pastāvīgās dzīvesvietas (izņemot personas, kas tika evakuētas vai pārvietotas no frontes joslām vai karadarbības apdraudētajām teritorijām, bēgļus un kara laikā daba dienestam pakļautās personas), dzimuši izsūtījumā vai nometinājumā – ja viens no vecākiem vai abi vecāki bija izsūtīti vai atradās nometinājumā – pēc vecāku noņemšanas no speckomandatūras uzskaites līdz brīdim, kad tika saņemta atļauja atgriezties Latvijā, bet ne vēlāk kā gadu no dienas, kad vecāki tika noņemti no speckomandatūras uzskaites.</w:t>
            </w:r>
          </w:p>
          <w:p w:rsidR="000B6B47" w:rsidRPr="001438F0" w:rsidRDefault="000B6B47" w:rsidP="00FA4031">
            <w:pPr>
              <w:pStyle w:val="naiskr"/>
              <w:spacing w:before="0" w:after="0"/>
              <w:jc w:val="both"/>
              <w:rPr>
                <w:iCs/>
                <w:sz w:val="22"/>
                <w:szCs w:val="22"/>
              </w:rPr>
            </w:pPr>
            <w:r w:rsidRPr="001438F0">
              <w:rPr>
                <w:iCs/>
                <w:sz w:val="22"/>
                <w:szCs w:val="22"/>
              </w:rPr>
              <w:t xml:space="preserve">2. </w:t>
            </w:r>
            <w:r w:rsidR="003B73A1" w:rsidRPr="001438F0">
              <w:rPr>
                <w:iCs/>
                <w:sz w:val="22"/>
                <w:szCs w:val="22"/>
              </w:rPr>
              <w:t>Par nacistiskā režīma politiski represētām personām atzīstami Latvijas, Igaunija</w:t>
            </w:r>
            <w:r w:rsidR="00FA4031" w:rsidRPr="001438F0">
              <w:rPr>
                <w:iCs/>
                <w:sz w:val="22"/>
                <w:szCs w:val="22"/>
              </w:rPr>
              <w:t xml:space="preserve">s un Lietuvas pilsoņi un līdz 1940.gada 17.jūnijam no Latvijas legāli iebraukušie un pastāvīgi dzīvojušie iedzīvotāji, kā arī šo personu pēcnācēji (izņemot personas, kas iebraukušas Latvijā saskaņā ar Latvijas un PSRS 1939.gada 5.oktobra Savstarpējās palīdzības paktu), ja viņi likuma 1.pantā minēto iemeslu dēļ (politiskā pārliecība vai politiskā darbība, pretošanās totalitārajiem režīmiem, reliģiskie uzskati, rases vai nacionālā piederība, piederība pie noteiktas sabiedrības šķiras vai sociālā slāņa, strādāšana noteiktā profesijā vai nodarbošanās, kas nebija pretrunā ar Latvijas Republikas likumiem, laulība vai radniecība ar politiski represēto personu, palīdzība politiski vajātajām vai represētajām personām) laika posmā no 1941.gada 22.jūnija līdz 1945.gada 8.maijam Latvijas teritorijā vai ārpus tās: 1) nogalināti vai miruši represiju rezultātā; 2) ieslodzīti cietumos, geto, koncentrācijas un labošanas darbu nometnēs; 3) nometināti vai pārvietoti no pastāvīgās dzīvesvietas (izņemot personas, kas tika evakuētas vai pārvietotas no frontes joslām vai karadarbības apdraudētajām teritorijām, bēgļus un kara laikā darba dienestam pakļautās pilngadīgās personas), dzimuši nometinājumā, ja viens no vecākiem vai abi vecāki atradās nometinājumā; 4) izsūtīti piespiedu darbos uz Vāciju nacistiskā režīmā 1942. un 1943.gada akciju laikā. </w:t>
            </w:r>
          </w:p>
          <w:p w:rsidR="00DA0195" w:rsidRPr="001438F0" w:rsidRDefault="00FA4031" w:rsidP="00FA4031">
            <w:pPr>
              <w:pStyle w:val="naiskr"/>
              <w:spacing w:before="0" w:after="0"/>
              <w:jc w:val="both"/>
              <w:rPr>
                <w:iCs/>
                <w:sz w:val="22"/>
                <w:szCs w:val="22"/>
              </w:rPr>
            </w:pPr>
            <w:r w:rsidRPr="001438F0">
              <w:rPr>
                <w:iCs/>
                <w:sz w:val="22"/>
                <w:szCs w:val="22"/>
              </w:rPr>
              <w:t xml:space="preserve">Par nacistiskā režīma politiski represētām personām atzīstami arī </w:t>
            </w:r>
            <w:r w:rsidRPr="001438F0">
              <w:rPr>
                <w:iCs/>
                <w:sz w:val="22"/>
                <w:szCs w:val="22"/>
              </w:rPr>
              <w:lastRenderedPageBreak/>
              <w:t>Latvijas pastāvīgie iedzīvotāji, kuri tika represēti par nacionālo piederību.</w:t>
            </w:r>
          </w:p>
          <w:p w:rsidR="00076E86" w:rsidRPr="001438F0" w:rsidRDefault="00076E86" w:rsidP="00076E86">
            <w:pPr>
              <w:pStyle w:val="naiskr"/>
              <w:spacing w:before="0" w:after="0"/>
              <w:jc w:val="both"/>
              <w:rPr>
                <w:iCs/>
                <w:sz w:val="22"/>
                <w:szCs w:val="22"/>
              </w:rPr>
            </w:pPr>
            <w:r w:rsidRPr="001438F0">
              <w:rPr>
                <w:iCs/>
                <w:sz w:val="22"/>
                <w:szCs w:val="22"/>
              </w:rPr>
              <w:t xml:space="preserve">Saskaņā ar Latvijas Politiski represēto apvienības sniegto informāciju, kas iegūta no Iekšlietu  ministrijas, 2007.gadā politiski represētās personas statusu ieguvušas 243 personas, 2008.gadā – 104 personas, bet  2009.gadā – 143 personas. </w:t>
            </w:r>
          </w:p>
          <w:p w:rsidR="0062298A" w:rsidRPr="001438F0" w:rsidRDefault="00207B43" w:rsidP="00076E86">
            <w:pPr>
              <w:pStyle w:val="naiskr"/>
              <w:spacing w:before="0" w:after="0"/>
              <w:jc w:val="both"/>
              <w:rPr>
                <w:sz w:val="22"/>
                <w:szCs w:val="22"/>
              </w:rPr>
            </w:pPr>
            <w:r w:rsidRPr="001438F0">
              <w:rPr>
                <w:iCs/>
                <w:sz w:val="22"/>
                <w:szCs w:val="22"/>
              </w:rPr>
              <w:t>S</w:t>
            </w:r>
            <w:r w:rsidR="00DA0B2C" w:rsidRPr="001438F0">
              <w:rPr>
                <w:iCs/>
                <w:sz w:val="22"/>
                <w:szCs w:val="22"/>
              </w:rPr>
              <w:t xml:space="preserve">askaņā ar </w:t>
            </w:r>
            <w:r w:rsidR="00476A07" w:rsidRPr="001438F0">
              <w:rPr>
                <w:iCs/>
                <w:sz w:val="22"/>
                <w:szCs w:val="22"/>
              </w:rPr>
              <w:t>Vides aizsardzības un reģionālās attīstības ministrijas apkopoto informāciju (uz 01.02.2011.</w:t>
            </w:r>
            <w:r w:rsidR="006D2A29" w:rsidRPr="001438F0">
              <w:rPr>
                <w:iCs/>
                <w:sz w:val="22"/>
                <w:szCs w:val="22"/>
              </w:rPr>
              <w:t xml:space="preserve"> Tieslietu ministrijas rīcībā ir</w:t>
            </w:r>
            <w:r w:rsidR="00476A07" w:rsidRPr="001438F0">
              <w:rPr>
                <w:iCs/>
                <w:sz w:val="22"/>
                <w:szCs w:val="22"/>
              </w:rPr>
              <w:t xml:space="preserve"> </w:t>
            </w:r>
            <w:r w:rsidR="006D2A29" w:rsidRPr="001438F0">
              <w:rPr>
                <w:iCs/>
                <w:sz w:val="22"/>
                <w:szCs w:val="22"/>
              </w:rPr>
              <w:t xml:space="preserve">apkopotā </w:t>
            </w:r>
            <w:r w:rsidR="00476A07" w:rsidRPr="001438F0">
              <w:rPr>
                <w:iCs/>
                <w:sz w:val="22"/>
                <w:szCs w:val="22"/>
              </w:rPr>
              <w:t>informācija par 8</w:t>
            </w:r>
            <w:r w:rsidR="00BC357C" w:rsidRPr="001438F0">
              <w:rPr>
                <w:iCs/>
                <w:sz w:val="22"/>
                <w:szCs w:val="22"/>
              </w:rPr>
              <w:t>4</w:t>
            </w:r>
            <w:r w:rsidR="006D2A29" w:rsidRPr="001438F0">
              <w:rPr>
                <w:iCs/>
                <w:sz w:val="22"/>
                <w:szCs w:val="22"/>
              </w:rPr>
              <w:t xml:space="preserve"> no 119</w:t>
            </w:r>
            <w:r w:rsidR="00476A07" w:rsidRPr="001438F0">
              <w:rPr>
                <w:iCs/>
                <w:sz w:val="22"/>
                <w:szCs w:val="22"/>
              </w:rPr>
              <w:t xml:space="preserve"> pašvaldībām) vietējās pašvaldības 2010.gadā izskatījušas 12</w:t>
            </w:r>
            <w:r w:rsidR="00BC357C" w:rsidRPr="001438F0">
              <w:rPr>
                <w:iCs/>
                <w:sz w:val="22"/>
                <w:szCs w:val="22"/>
              </w:rPr>
              <w:t>9</w:t>
            </w:r>
            <w:r w:rsidR="00476A07" w:rsidRPr="001438F0">
              <w:rPr>
                <w:iCs/>
                <w:sz w:val="22"/>
                <w:szCs w:val="22"/>
              </w:rPr>
              <w:t xml:space="preserve"> personu iesniegumus par politiski represētās personas statusa piešķiršanu. </w:t>
            </w:r>
            <w:r w:rsidR="006D2A29" w:rsidRPr="001438F0">
              <w:rPr>
                <w:iCs/>
                <w:sz w:val="22"/>
                <w:szCs w:val="22"/>
              </w:rPr>
              <w:t>Pēc visas informācijas apkopošanas to personu skaits, kuras 2010.gadā vērsušās pašvaldībās ar iesniegumu par politiski represētās personas statusa noteikšanu, varētu būt nedaudz lielāks par minēto.</w:t>
            </w:r>
            <w:r w:rsidR="005D3327" w:rsidRPr="001438F0">
              <w:rPr>
                <w:iCs/>
                <w:sz w:val="22"/>
                <w:szCs w:val="22"/>
              </w:rPr>
              <w:t xml:space="preserve"> Prognozējams, ka ar katru gadu personu skaits, kuras vēlēsies iegūt politiski represētās personas statusu, samazināsies. </w:t>
            </w:r>
          </w:p>
        </w:tc>
      </w:tr>
      <w:tr w:rsidR="0062298A" w:rsidRPr="001438F0" w:rsidTr="004C2CA3">
        <w:trPr>
          <w:trHeight w:val="523"/>
        </w:trPr>
        <w:tc>
          <w:tcPr>
            <w:tcW w:w="572" w:type="dxa"/>
          </w:tcPr>
          <w:p w:rsidR="0062298A" w:rsidRPr="001438F0" w:rsidRDefault="0062298A" w:rsidP="006C4607">
            <w:pPr>
              <w:pStyle w:val="naiskr"/>
              <w:spacing w:before="0" w:after="0"/>
              <w:rPr>
                <w:sz w:val="22"/>
                <w:szCs w:val="22"/>
              </w:rPr>
            </w:pPr>
            <w:r w:rsidRPr="001438F0">
              <w:rPr>
                <w:sz w:val="22"/>
                <w:szCs w:val="22"/>
              </w:rPr>
              <w:lastRenderedPageBreak/>
              <w:t>2.</w:t>
            </w:r>
          </w:p>
        </w:tc>
        <w:tc>
          <w:tcPr>
            <w:tcW w:w="2835" w:type="dxa"/>
          </w:tcPr>
          <w:p w:rsidR="00C1133D" w:rsidRPr="001438F0" w:rsidRDefault="00C27A08" w:rsidP="006C4607">
            <w:pPr>
              <w:pStyle w:val="naiskr"/>
              <w:spacing w:before="0" w:after="0"/>
              <w:rPr>
                <w:sz w:val="22"/>
                <w:szCs w:val="22"/>
              </w:rPr>
            </w:pPr>
            <w:r w:rsidRPr="001438F0">
              <w:rPr>
                <w:sz w:val="22"/>
                <w:szCs w:val="22"/>
              </w:rPr>
              <w:t>Citas sabiedrības grupas (bez mērķgrupas), kuras tiesiskais regulējums arī ietekmē vai varētu ietekmēt</w:t>
            </w:r>
          </w:p>
        </w:tc>
        <w:tc>
          <w:tcPr>
            <w:tcW w:w="6351" w:type="dxa"/>
          </w:tcPr>
          <w:p w:rsidR="006A4B3F" w:rsidRPr="001438F0" w:rsidRDefault="006A4B3F" w:rsidP="006C4607">
            <w:pPr>
              <w:pStyle w:val="naiskr"/>
              <w:spacing w:before="0" w:after="0"/>
              <w:rPr>
                <w:iCs/>
                <w:sz w:val="22"/>
                <w:szCs w:val="22"/>
              </w:rPr>
            </w:pPr>
            <w:r w:rsidRPr="001438F0">
              <w:rPr>
                <w:iCs/>
                <w:sz w:val="22"/>
                <w:szCs w:val="22"/>
              </w:rPr>
              <w:t>Nav attiecināms</w:t>
            </w:r>
          </w:p>
        </w:tc>
      </w:tr>
      <w:tr w:rsidR="0062298A" w:rsidRPr="001438F0" w:rsidTr="004C2CA3">
        <w:trPr>
          <w:trHeight w:val="517"/>
        </w:trPr>
        <w:tc>
          <w:tcPr>
            <w:tcW w:w="572" w:type="dxa"/>
          </w:tcPr>
          <w:p w:rsidR="0062298A" w:rsidRPr="001438F0" w:rsidRDefault="0062298A" w:rsidP="006C4607">
            <w:pPr>
              <w:pStyle w:val="naiskr"/>
              <w:spacing w:before="0" w:after="0"/>
              <w:rPr>
                <w:sz w:val="22"/>
                <w:szCs w:val="22"/>
              </w:rPr>
            </w:pPr>
            <w:r w:rsidRPr="001438F0">
              <w:rPr>
                <w:sz w:val="22"/>
                <w:szCs w:val="22"/>
              </w:rPr>
              <w:t>3.</w:t>
            </w:r>
          </w:p>
        </w:tc>
        <w:tc>
          <w:tcPr>
            <w:tcW w:w="2835" w:type="dxa"/>
          </w:tcPr>
          <w:p w:rsidR="00C1133D" w:rsidRPr="001438F0" w:rsidRDefault="000C790C" w:rsidP="006C4607">
            <w:pPr>
              <w:pStyle w:val="naiskr"/>
              <w:spacing w:before="0" w:after="0"/>
              <w:rPr>
                <w:sz w:val="22"/>
                <w:szCs w:val="22"/>
              </w:rPr>
            </w:pPr>
            <w:r w:rsidRPr="001438F0">
              <w:rPr>
                <w:sz w:val="22"/>
                <w:szCs w:val="22"/>
              </w:rPr>
              <w:t>Tiesiskā r</w:t>
            </w:r>
            <w:r w:rsidR="003D21FF" w:rsidRPr="001438F0">
              <w:rPr>
                <w:sz w:val="22"/>
                <w:szCs w:val="22"/>
              </w:rPr>
              <w:t>egulējuma</w:t>
            </w:r>
            <w:r w:rsidR="00C27A08" w:rsidRPr="001438F0">
              <w:rPr>
                <w:sz w:val="22"/>
                <w:szCs w:val="22"/>
              </w:rPr>
              <w:t xml:space="preserve"> finansiālā ietekme</w:t>
            </w:r>
          </w:p>
        </w:tc>
        <w:tc>
          <w:tcPr>
            <w:tcW w:w="6351" w:type="dxa"/>
          </w:tcPr>
          <w:p w:rsidR="0062298A" w:rsidRPr="001438F0" w:rsidRDefault="00CD60B2" w:rsidP="00CD60B2">
            <w:pPr>
              <w:pStyle w:val="naiskr"/>
              <w:spacing w:before="0" w:after="0"/>
              <w:jc w:val="both"/>
              <w:rPr>
                <w:sz w:val="22"/>
                <w:szCs w:val="22"/>
              </w:rPr>
            </w:pPr>
            <w:r w:rsidRPr="001438F0">
              <w:rPr>
                <w:sz w:val="22"/>
                <w:szCs w:val="22"/>
              </w:rPr>
              <w:t>Likumprojekts ietekmē sabiedrības mērķgrupas ienākumus, jo personas</w:t>
            </w:r>
            <w:r w:rsidR="00130D7D" w:rsidRPr="001438F0">
              <w:rPr>
                <w:sz w:val="22"/>
                <w:szCs w:val="22"/>
              </w:rPr>
              <w:t xml:space="preserve">, kuras ieguvušas politiski represētas personas statusu, saskaņā ar normatīvajiem aktiem </w:t>
            </w:r>
            <w:r w:rsidR="00EA4FA0" w:rsidRPr="001438F0">
              <w:rPr>
                <w:sz w:val="22"/>
                <w:szCs w:val="22"/>
              </w:rPr>
              <w:t xml:space="preserve">var </w:t>
            </w:r>
            <w:r w:rsidR="00130D7D" w:rsidRPr="001438F0">
              <w:rPr>
                <w:sz w:val="22"/>
                <w:szCs w:val="22"/>
              </w:rPr>
              <w:t xml:space="preserve">saņemt dažādus atvieglojumus (atvieglojumus nodokļu un nodevu maksāšanā, pensijas piešķiršanā, </w:t>
            </w:r>
            <w:r w:rsidRPr="001438F0">
              <w:rPr>
                <w:sz w:val="22"/>
                <w:szCs w:val="22"/>
              </w:rPr>
              <w:t xml:space="preserve"> sabiedriskā transporta izmantošanā, </w:t>
            </w:r>
            <w:r w:rsidR="00130D7D" w:rsidRPr="001438F0">
              <w:rPr>
                <w:sz w:val="22"/>
                <w:szCs w:val="22"/>
              </w:rPr>
              <w:t>bezmaksas medicīnisko ap</w:t>
            </w:r>
            <w:r w:rsidRPr="001438F0">
              <w:rPr>
                <w:sz w:val="22"/>
                <w:szCs w:val="22"/>
              </w:rPr>
              <w:t>rūpi un sociālo rehabilitāciju</w:t>
            </w:r>
            <w:r w:rsidR="00130D7D" w:rsidRPr="001438F0">
              <w:rPr>
                <w:sz w:val="22"/>
                <w:szCs w:val="22"/>
              </w:rPr>
              <w:t>), kas tiek segti</w:t>
            </w:r>
            <w:r w:rsidR="00DD7490" w:rsidRPr="001438F0">
              <w:rPr>
                <w:sz w:val="22"/>
                <w:szCs w:val="22"/>
              </w:rPr>
              <w:t xml:space="preserve"> no valsts budžeta līdzekļiem. Arī pašvaldības normatīvajos aktos noteiktās kompetences un sava budžeta ietvaros piešķir politiski represētajām personām atvieglojumus atsevišķu nodokļu un nodevu maksāšanā vai pakalpojumu saņemšanā.</w:t>
            </w:r>
          </w:p>
          <w:p w:rsidR="00CD60B2" w:rsidRPr="001438F0" w:rsidRDefault="00CD60B2" w:rsidP="00CD60B2">
            <w:pPr>
              <w:pStyle w:val="naiskr"/>
              <w:spacing w:before="0" w:after="0"/>
              <w:jc w:val="both"/>
              <w:rPr>
                <w:sz w:val="22"/>
                <w:szCs w:val="22"/>
              </w:rPr>
            </w:pPr>
            <w:r w:rsidRPr="001438F0">
              <w:rPr>
                <w:sz w:val="22"/>
                <w:szCs w:val="22"/>
              </w:rPr>
              <w:t xml:space="preserve">Likumprojekts nemaina normatīvajos aktos noteiktos valsts garantētos atvieglojumus politiski represētām personām.  </w:t>
            </w:r>
          </w:p>
        </w:tc>
      </w:tr>
      <w:tr w:rsidR="00C27A08" w:rsidRPr="001438F0" w:rsidTr="004C2CA3">
        <w:trPr>
          <w:trHeight w:val="517"/>
        </w:trPr>
        <w:tc>
          <w:tcPr>
            <w:tcW w:w="572" w:type="dxa"/>
          </w:tcPr>
          <w:p w:rsidR="00C27A08" w:rsidRPr="001438F0" w:rsidRDefault="00C27A08" w:rsidP="006C4607">
            <w:pPr>
              <w:pStyle w:val="naiskr"/>
              <w:spacing w:before="0" w:after="0"/>
              <w:rPr>
                <w:sz w:val="22"/>
                <w:szCs w:val="22"/>
              </w:rPr>
            </w:pPr>
            <w:r w:rsidRPr="001438F0">
              <w:rPr>
                <w:sz w:val="22"/>
                <w:szCs w:val="22"/>
              </w:rPr>
              <w:t>4.</w:t>
            </w:r>
          </w:p>
        </w:tc>
        <w:tc>
          <w:tcPr>
            <w:tcW w:w="2835" w:type="dxa"/>
          </w:tcPr>
          <w:p w:rsidR="00C27A08" w:rsidRPr="001438F0" w:rsidRDefault="00C27A08" w:rsidP="006C4607">
            <w:pPr>
              <w:pStyle w:val="naiskr"/>
              <w:spacing w:before="0" w:after="0"/>
              <w:rPr>
                <w:sz w:val="22"/>
                <w:szCs w:val="22"/>
              </w:rPr>
            </w:pPr>
            <w:r w:rsidRPr="001438F0">
              <w:rPr>
                <w:sz w:val="22"/>
                <w:szCs w:val="22"/>
              </w:rPr>
              <w:t>Tiesiskā regulējuma nefinansiālā ietekme</w:t>
            </w:r>
          </w:p>
        </w:tc>
        <w:tc>
          <w:tcPr>
            <w:tcW w:w="6351" w:type="dxa"/>
          </w:tcPr>
          <w:p w:rsidR="00C27A08" w:rsidRPr="001438F0" w:rsidRDefault="00C9462E" w:rsidP="00EE49DC">
            <w:pPr>
              <w:pStyle w:val="naiskr"/>
              <w:spacing w:before="0" w:after="0"/>
              <w:jc w:val="both"/>
              <w:rPr>
                <w:sz w:val="22"/>
                <w:szCs w:val="22"/>
              </w:rPr>
            </w:pPr>
            <w:r w:rsidRPr="001438F0">
              <w:rPr>
                <w:iCs/>
                <w:sz w:val="22"/>
                <w:szCs w:val="22"/>
              </w:rPr>
              <w:t>Likumprojekts nerada</w:t>
            </w:r>
            <w:r w:rsidR="00EE49DC" w:rsidRPr="001438F0">
              <w:rPr>
                <w:iCs/>
                <w:sz w:val="22"/>
                <w:szCs w:val="22"/>
              </w:rPr>
              <w:t xml:space="preserve"> personām jaunas tiesības. Ar likumprojektu</w:t>
            </w:r>
            <w:r w:rsidRPr="001438F0">
              <w:rPr>
                <w:iCs/>
                <w:sz w:val="22"/>
                <w:szCs w:val="22"/>
              </w:rPr>
              <w:t xml:space="preserve"> tiek pilnveidots mehānisms esošo tiesību realizēšanā</w:t>
            </w:r>
            <w:r w:rsidR="00EE49DC" w:rsidRPr="001438F0">
              <w:rPr>
                <w:iCs/>
                <w:sz w:val="22"/>
                <w:szCs w:val="22"/>
              </w:rPr>
              <w:t>, personām netiek uzlikti jauni pienākumi. Paredzams, ka likumprojekts nodrošinās vienlīdzīgas tiesības un iespējas iegūt politiski represētās personas statusu.</w:t>
            </w:r>
          </w:p>
        </w:tc>
      </w:tr>
      <w:tr w:rsidR="0062298A" w:rsidRPr="001438F0" w:rsidTr="004C2CA3">
        <w:trPr>
          <w:trHeight w:val="531"/>
        </w:trPr>
        <w:tc>
          <w:tcPr>
            <w:tcW w:w="572" w:type="dxa"/>
          </w:tcPr>
          <w:p w:rsidR="0062298A" w:rsidRPr="001438F0" w:rsidRDefault="00C27A08" w:rsidP="006C4607">
            <w:pPr>
              <w:pStyle w:val="naiskr"/>
              <w:spacing w:before="0" w:after="0"/>
              <w:rPr>
                <w:sz w:val="22"/>
                <w:szCs w:val="22"/>
              </w:rPr>
            </w:pPr>
            <w:r w:rsidRPr="001438F0">
              <w:rPr>
                <w:sz w:val="22"/>
                <w:szCs w:val="22"/>
              </w:rPr>
              <w:t>5</w:t>
            </w:r>
            <w:r w:rsidR="0062298A" w:rsidRPr="001438F0">
              <w:rPr>
                <w:sz w:val="22"/>
                <w:szCs w:val="22"/>
              </w:rPr>
              <w:t>.</w:t>
            </w:r>
          </w:p>
        </w:tc>
        <w:tc>
          <w:tcPr>
            <w:tcW w:w="2835" w:type="dxa"/>
          </w:tcPr>
          <w:p w:rsidR="00C1133D" w:rsidRPr="001438F0" w:rsidRDefault="00C1133D" w:rsidP="006C4607">
            <w:pPr>
              <w:pStyle w:val="naiskr"/>
              <w:spacing w:before="0" w:after="0"/>
              <w:rPr>
                <w:sz w:val="22"/>
                <w:szCs w:val="22"/>
              </w:rPr>
            </w:pPr>
            <w:r w:rsidRPr="001438F0">
              <w:rPr>
                <w:sz w:val="22"/>
                <w:szCs w:val="22"/>
              </w:rPr>
              <w:t>Administratīv</w:t>
            </w:r>
            <w:r w:rsidR="00C27A08" w:rsidRPr="001438F0">
              <w:rPr>
                <w:sz w:val="22"/>
                <w:szCs w:val="22"/>
              </w:rPr>
              <w:t>ās</w:t>
            </w:r>
            <w:r w:rsidRPr="001438F0">
              <w:rPr>
                <w:sz w:val="22"/>
                <w:szCs w:val="22"/>
              </w:rPr>
              <w:t xml:space="preserve"> procedūr</w:t>
            </w:r>
            <w:r w:rsidR="00965897" w:rsidRPr="001438F0">
              <w:rPr>
                <w:sz w:val="22"/>
                <w:szCs w:val="22"/>
              </w:rPr>
              <w:t>a</w:t>
            </w:r>
            <w:r w:rsidRPr="001438F0">
              <w:rPr>
                <w:sz w:val="22"/>
                <w:szCs w:val="22"/>
              </w:rPr>
              <w:t xml:space="preserve">s </w:t>
            </w:r>
            <w:r w:rsidR="00C27A08" w:rsidRPr="001438F0">
              <w:rPr>
                <w:sz w:val="22"/>
                <w:szCs w:val="22"/>
              </w:rPr>
              <w:t>raksturojums</w:t>
            </w:r>
          </w:p>
        </w:tc>
        <w:tc>
          <w:tcPr>
            <w:tcW w:w="6351" w:type="dxa"/>
          </w:tcPr>
          <w:p w:rsidR="002C78BC" w:rsidRPr="001438F0" w:rsidRDefault="00EA4FA0" w:rsidP="003038A0">
            <w:pPr>
              <w:pStyle w:val="naiskr"/>
              <w:spacing w:before="0" w:after="0"/>
              <w:jc w:val="both"/>
              <w:rPr>
                <w:iCs/>
                <w:sz w:val="22"/>
                <w:szCs w:val="22"/>
              </w:rPr>
            </w:pPr>
            <w:r w:rsidRPr="001438F0">
              <w:rPr>
                <w:sz w:val="22"/>
                <w:szCs w:val="22"/>
              </w:rPr>
              <w:t>Likumprojekts paredz</w:t>
            </w:r>
            <w:r w:rsidR="00077671" w:rsidRPr="001438F0">
              <w:rPr>
                <w:sz w:val="22"/>
                <w:szCs w:val="22"/>
              </w:rPr>
              <w:t xml:space="preserve"> iespēju sabiedrības mērķgrupai politiski represētas personas statusa iegūšanai iesniegt iesniegumu un nepieciešamos dokumentus</w:t>
            </w:r>
            <w:r w:rsidR="000B5B3C" w:rsidRPr="001438F0">
              <w:rPr>
                <w:bCs/>
                <w:sz w:val="22"/>
                <w:szCs w:val="22"/>
              </w:rPr>
              <w:t xml:space="preserve"> Pilsonības un migrācijas lietu pārvaldei, izmantojot tās teritoriālās nodaļas, kā arī neliedz iespēju </w:t>
            </w:r>
            <w:r w:rsidR="000B5B3C" w:rsidRPr="001438F0">
              <w:rPr>
                <w:sz w:val="22"/>
                <w:szCs w:val="22"/>
              </w:rPr>
              <w:t xml:space="preserve"> iesniegumu un nepieciešamos dokumentus</w:t>
            </w:r>
            <w:r w:rsidR="000B5B3C" w:rsidRPr="001438F0">
              <w:rPr>
                <w:bCs/>
                <w:sz w:val="22"/>
                <w:szCs w:val="22"/>
              </w:rPr>
              <w:t xml:space="preserve"> nosūtīt pa pastu. Arī izgatavotās apliecības tiks izsniegtas Pilsonības un migrācijas lietu pārvaldes teritoriālajās nodaļās. Personu iesniegtie dokumenti un lietās pieņemtie lēmumi glabāsies Pilsonības un migrācijas lietu pārvaldē normatīvajos aktos noteiktajā kārtībā. Pēc būtības procedūra netiek mainīta, tiek mainīta tikai kompetentā iestāde. Kārtība, kādā </w:t>
            </w:r>
            <w:r w:rsidR="00A71CC3" w:rsidRPr="001438F0">
              <w:rPr>
                <w:bCs/>
                <w:sz w:val="22"/>
                <w:szCs w:val="22"/>
              </w:rPr>
              <w:t xml:space="preserve">turpmāk </w:t>
            </w:r>
            <w:r w:rsidR="000B5B3C" w:rsidRPr="001438F0">
              <w:rPr>
                <w:bCs/>
                <w:sz w:val="22"/>
                <w:szCs w:val="22"/>
              </w:rPr>
              <w:t>notiks iesniegumu un dokumentu iesniegšana, to</w:t>
            </w:r>
            <w:r w:rsidR="00A71CC3" w:rsidRPr="001438F0">
              <w:rPr>
                <w:bCs/>
                <w:sz w:val="22"/>
                <w:szCs w:val="22"/>
              </w:rPr>
              <w:t xml:space="preserve"> apstrāde,</w:t>
            </w:r>
            <w:r w:rsidR="000B5B3C" w:rsidRPr="001438F0">
              <w:rPr>
                <w:bCs/>
                <w:sz w:val="22"/>
                <w:szCs w:val="22"/>
              </w:rPr>
              <w:t xml:space="preserve"> glabāšana,</w:t>
            </w:r>
            <w:r w:rsidR="00A71CC3" w:rsidRPr="001438F0">
              <w:rPr>
                <w:bCs/>
                <w:sz w:val="22"/>
                <w:szCs w:val="22"/>
              </w:rPr>
              <w:t xml:space="preserve"> izsniegto apliecību uzskaite un politiski represēto personu uzskaite, tiks noteikta ar grozījumiem Ministru kabineta 1996.gada 22.oktobra noteikumos Nr. 408 „Noteikumi par politiski represēto personu uzskaiti, politiski represēto personu apliecību izsniegšanu un minēto apliecību uzskaiti”, vai izdodot jaunus noteikumus esošo vietā</w:t>
            </w:r>
            <w:r w:rsidR="003038A0" w:rsidRPr="001438F0">
              <w:rPr>
                <w:bCs/>
                <w:sz w:val="22"/>
                <w:szCs w:val="22"/>
              </w:rPr>
              <w:t>.</w:t>
            </w:r>
          </w:p>
        </w:tc>
      </w:tr>
      <w:tr w:rsidR="0062298A" w:rsidRPr="001438F0" w:rsidTr="004C2CA3">
        <w:trPr>
          <w:trHeight w:val="357"/>
        </w:trPr>
        <w:tc>
          <w:tcPr>
            <w:tcW w:w="572" w:type="dxa"/>
          </w:tcPr>
          <w:p w:rsidR="0062298A" w:rsidRPr="001438F0" w:rsidRDefault="00C27A08" w:rsidP="006C4607">
            <w:pPr>
              <w:pStyle w:val="naiskr"/>
              <w:spacing w:before="0" w:after="0"/>
              <w:rPr>
                <w:sz w:val="22"/>
                <w:szCs w:val="22"/>
              </w:rPr>
            </w:pPr>
            <w:r w:rsidRPr="001438F0">
              <w:rPr>
                <w:sz w:val="22"/>
                <w:szCs w:val="22"/>
              </w:rPr>
              <w:t>6</w:t>
            </w:r>
            <w:r w:rsidR="0062298A" w:rsidRPr="001438F0">
              <w:rPr>
                <w:sz w:val="22"/>
                <w:szCs w:val="22"/>
              </w:rPr>
              <w:t>.</w:t>
            </w:r>
          </w:p>
        </w:tc>
        <w:tc>
          <w:tcPr>
            <w:tcW w:w="2835" w:type="dxa"/>
          </w:tcPr>
          <w:p w:rsidR="00AE5066" w:rsidRPr="001438F0" w:rsidRDefault="00C27A08" w:rsidP="006C4607">
            <w:pPr>
              <w:pStyle w:val="naiskr"/>
              <w:spacing w:before="0" w:after="0"/>
              <w:rPr>
                <w:sz w:val="22"/>
                <w:szCs w:val="22"/>
              </w:rPr>
            </w:pPr>
            <w:r w:rsidRPr="001438F0">
              <w:rPr>
                <w:sz w:val="22"/>
                <w:szCs w:val="22"/>
              </w:rPr>
              <w:t xml:space="preserve">Administratīvo izmaksu </w:t>
            </w:r>
            <w:r w:rsidR="00502374" w:rsidRPr="001438F0">
              <w:rPr>
                <w:sz w:val="22"/>
                <w:szCs w:val="22"/>
              </w:rPr>
              <w:t xml:space="preserve">monetārs </w:t>
            </w:r>
            <w:r w:rsidRPr="001438F0">
              <w:rPr>
                <w:sz w:val="22"/>
                <w:szCs w:val="22"/>
              </w:rPr>
              <w:t>novērtējums</w:t>
            </w:r>
          </w:p>
        </w:tc>
        <w:tc>
          <w:tcPr>
            <w:tcW w:w="6351" w:type="dxa"/>
          </w:tcPr>
          <w:p w:rsidR="0062298A" w:rsidRPr="001438F0" w:rsidRDefault="00BF700A" w:rsidP="006C4607">
            <w:pPr>
              <w:pStyle w:val="naiskr"/>
              <w:spacing w:before="0" w:after="0"/>
              <w:rPr>
                <w:sz w:val="22"/>
                <w:szCs w:val="22"/>
              </w:rPr>
            </w:pPr>
            <w:r w:rsidRPr="001438F0">
              <w:rPr>
                <w:iCs/>
                <w:sz w:val="22"/>
                <w:szCs w:val="22"/>
              </w:rPr>
              <w:t>Nav attiecināms</w:t>
            </w:r>
            <w:r w:rsidR="00EE49DC" w:rsidRPr="001438F0">
              <w:rPr>
                <w:iCs/>
                <w:sz w:val="22"/>
                <w:szCs w:val="22"/>
              </w:rPr>
              <w:t xml:space="preserve"> </w:t>
            </w:r>
          </w:p>
        </w:tc>
      </w:tr>
      <w:tr w:rsidR="0062298A" w:rsidRPr="001438F0" w:rsidTr="004C2CA3">
        <w:tc>
          <w:tcPr>
            <w:tcW w:w="572" w:type="dxa"/>
          </w:tcPr>
          <w:p w:rsidR="0062298A" w:rsidRPr="001438F0" w:rsidRDefault="00C27A08" w:rsidP="006C4607">
            <w:pPr>
              <w:pStyle w:val="naiskr"/>
              <w:spacing w:before="0" w:after="0"/>
              <w:rPr>
                <w:sz w:val="22"/>
                <w:szCs w:val="22"/>
              </w:rPr>
            </w:pPr>
            <w:r w:rsidRPr="001438F0">
              <w:rPr>
                <w:sz w:val="22"/>
                <w:szCs w:val="22"/>
              </w:rPr>
              <w:t>7</w:t>
            </w:r>
            <w:r w:rsidR="0062298A" w:rsidRPr="001438F0">
              <w:rPr>
                <w:sz w:val="22"/>
                <w:szCs w:val="22"/>
              </w:rPr>
              <w:t>.</w:t>
            </w:r>
          </w:p>
        </w:tc>
        <w:tc>
          <w:tcPr>
            <w:tcW w:w="2835" w:type="dxa"/>
          </w:tcPr>
          <w:p w:rsidR="0062298A" w:rsidRPr="001438F0" w:rsidRDefault="009E12D7" w:rsidP="006C4607">
            <w:pPr>
              <w:pStyle w:val="naiskr"/>
              <w:spacing w:before="0" w:after="0"/>
              <w:rPr>
                <w:sz w:val="22"/>
                <w:szCs w:val="22"/>
              </w:rPr>
            </w:pPr>
            <w:r w:rsidRPr="001438F0">
              <w:rPr>
                <w:sz w:val="22"/>
                <w:szCs w:val="22"/>
              </w:rPr>
              <w:t>Cita informācija</w:t>
            </w:r>
          </w:p>
        </w:tc>
        <w:tc>
          <w:tcPr>
            <w:tcW w:w="6351" w:type="dxa"/>
          </w:tcPr>
          <w:p w:rsidR="0062298A" w:rsidRPr="001438F0" w:rsidRDefault="00BF700A" w:rsidP="006C4607">
            <w:pPr>
              <w:pStyle w:val="naiskr"/>
              <w:spacing w:before="0" w:after="0"/>
              <w:rPr>
                <w:sz w:val="22"/>
                <w:szCs w:val="22"/>
              </w:rPr>
            </w:pPr>
            <w:r w:rsidRPr="001438F0">
              <w:rPr>
                <w:sz w:val="22"/>
                <w:szCs w:val="22"/>
              </w:rPr>
              <w:t>Nav</w:t>
            </w:r>
          </w:p>
        </w:tc>
      </w:tr>
    </w:tbl>
    <w:p w:rsidR="008C5649" w:rsidRPr="001438F0" w:rsidRDefault="008C5649" w:rsidP="006C4607">
      <w:pPr>
        <w:pStyle w:val="naisf"/>
        <w:spacing w:before="0" w:after="0"/>
        <w:rPr>
          <w:sz w:val="22"/>
          <w:szCs w:val="22"/>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986"/>
        <w:gridCol w:w="1333"/>
        <w:gridCol w:w="1333"/>
        <w:gridCol w:w="1334"/>
        <w:gridCol w:w="1382"/>
      </w:tblGrid>
      <w:tr w:rsidR="00124F12" w:rsidRPr="001438F0">
        <w:trPr>
          <w:trHeight w:val="652"/>
          <w:jc w:val="center"/>
        </w:trPr>
        <w:tc>
          <w:tcPr>
            <w:tcW w:w="10124" w:type="dxa"/>
            <w:gridSpan w:val="6"/>
          </w:tcPr>
          <w:p w:rsidR="00124F12" w:rsidRPr="001438F0" w:rsidRDefault="00124F12" w:rsidP="006C4607">
            <w:pPr>
              <w:pStyle w:val="naisnod"/>
              <w:spacing w:before="0" w:after="0"/>
              <w:rPr>
                <w:i/>
                <w:sz w:val="22"/>
                <w:szCs w:val="22"/>
              </w:rPr>
            </w:pPr>
            <w:r w:rsidRPr="001438F0">
              <w:rPr>
                <w:sz w:val="22"/>
                <w:szCs w:val="22"/>
              </w:rPr>
              <w:lastRenderedPageBreak/>
              <w:br w:type="page"/>
              <w:t>III</w:t>
            </w:r>
            <w:r w:rsidR="000941C5" w:rsidRPr="001438F0">
              <w:rPr>
                <w:sz w:val="22"/>
                <w:szCs w:val="22"/>
              </w:rPr>
              <w:t>.</w:t>
            </w:r>
            <w:r w:rsidRPr="001438F0">
              <w:rPr>
                <w:sz w:val="22"/>
                <w:szCs w:val="22"/>
              </w:rPr>
              <w:t xml:space="preserve"> Tiesību akta projekta ietekme uz valsts budžetu un pašvaldību budžetiem</w:t>
            </w:r>
          </w:p>
        </w:tc>
      </w:tr>
      <w:tr w:rsidR="00124F12" w:rsidRPr="001438F0" w:rsidTr="00C631B5">
        <w:trPr>
          <w:jc w:val="center"/>
        </w:trPr>
        <w:tc>
          <w:tcPr>
            <w:tcW w:w="3756" w:type="dxa"/>
            <w:vMerge w:val="restart"/>
            <w:vAlign w:val="center"/>
          </w:tcPr>
          <w:p w:rsidR="00124F12" w:rsidRPr="001438F0" w:rsidRDefault="00124F12" w:rsidP="006C4607">
            <w:pPr>
              <w:pStyle w:val="naisf"/>
              <w:spacing w:before="0" w:after="0"/>
              <w:ind w:firstLine="0"/>
              <w:jc w:val="center"/>
              <w:rPr>
                <w:b/>
                <w:sz w:val="22"/>
                <w:szCs w:val="22"/>
              </w:rPr>
            </w:pPr>
            <w:r w:rsidRPr="001438F0">
              <w:rPr>
                <w:b/>
                <w:sz w:val="22"/>
                <w:szCs w:val="22"/>
              </w:rPr>
              <w:t>Rādītāji</w:t>
            </w:r>
          </w:p>
        </w:tc>
        <w:tc>
          <w:tcPr>
            <w:tcW w:w="2319" w:type="dxa"/>
            <w:gridSpan w:val="2"/>
            <w:vMerge w:val="restart"/>
            <w:vAlign w:val="center"/>
          </w:tcPr>
          <w:p w:rsidR="00124F12" w:rsidRPr="001438F0" w:rsidRDefault="00C631B5" w:rsidP="006C4607">
            <w:pPr>
              <w:pStyle w:val="naisf"/>
              <w:spacing w:before="0" w:after="0"/>
              <w:ind w:firstLine="0"/>
              <w:jc w:val="center"/>
              <w:rPr>
                <w:b/>
                <w:sz w:val="22"/>
                <w:szCs w:val="22"/>
              </w:rPr>
            </w:pPr>
            <w:r w:rsidRPr="001438F0">
              <w:rPr>
                <w:b/>
                <w:sz w:val="22"/>
                <w:szCs w:val="22"/>
              </w:rPr>
              <w:t>2011.</w:t>
            </w:r>
            <w:r w:rsidR="00124F12" w:rsidRPr="001438F0">
              <w:rPr>
                <w:b/>
                <w:sz w:val="22"/>
                <w:szCs w:val="22"/>
              </w:rPr>
              <w:t xml:space="preserve"> gads</w:t>
            </w:r>
          </w:p>
        </w:tc>
        <w:tc>
          <w:tcPr>
            <w:tcW w:w="4049" w:type="dxa"/>
            <w:gridSpan w:val="3"/>
            <w:vAlign w:val="center"/>
          </w:tcPr>
          <w:p w:rsidR="00124F12" w:rsidRPr="001438F0" w:rsidRDefault="00124F12" w:rsidP="006C4607">
            <w:pPr>
              <w:pStyle w:val="naisf"/>
              <w:spacing w:before="0" w:after="0"/>
              <w:ind w:firstLine="0"/>
              <w:jc w:val="center"/>
              <w:rPr>
                <w:b/>
                <w:i/>
                <w:sz w:val="22"/>
                <w:szCs w:val="22"/>
              </w:rPr>
            </w:pPr>
            <w:r w:rsidRPr="001438F0">
              <w:rPr>
                <w:sz w:val="22"/>
                <w:szCs w:val="22"/>
              </w:rPr>
              <w:t>Turpmākie trīs gadi</w:t>
            </w:r>
            <w:r w:rsidR="009E12D7" w:rsidRPr="001438F0">
              <w:rPr>
                <w:sz w:val="22"/>
                <w:szCs w:val="22"/>
              </w:rPr>
              <w:t xml:space="preserve"> (tūkst</w:t>
            </w:r>
            <w:smartTag w:uri="schemas-tilde-lv/tildestengine" w:element="currency2">
              <w:smartTagPr>
                <w:attr w:name="currency_text" w:val="latu"/>
                <w:attr w:name="currency_value" w:val="."/>
                <w:attr w:name="currency_key" w:val="LVL"/>
                <w:attr w:name="currency_id" w:val="48"/>
              </w:smartTagPr>
              <w:r w:rsidR="009E12D7" w:rsidRPr="001438F0">
                <w:rPr>
                  <w:sz w:val="22"/>
                  <w:szCs w:val="22"/>
                </w:rPr>
                <w:t>. latu</w:t>
              </w:r>
            </w:smartTag>
            <w:r w:rsidR="009E12D7" w:rsidRPr="001438F0">
              <w:rPr>
                <w:sz w:val="22"/>
                <w:szCs w:val="22"/>
              </w:rPr>
              <w:t>)</w:t>
            </w:r>
          </w:p>
        </w:tc>
      </w:tr>
      <w:tr w:rsidR="00124F12" w:rsidRPr="001438F0" w:rsidTr="00C631B5">
        <w:trPr>
          <w:jc w:val="center"/>
        </w:trPr>
        <w:tc>
          <w:tcPr>
            <w:tcW w:w="3756" w:type="dxa"/>
            <w:vMerge/>
            <w:vAlign w:val="center"/>
          </w:tcPr>
          <w:p w:rsidR="00124F12" w:rsidRPr="001438F0" w:rsidRDefault="00124F12" w:rsidP="006C4607">
            <w:pPr>
              <w:pStyle w:val="naisf"/>
              <w:spacing w:before="0" w:after="0"/>
              <w:ind w:firstLine="0"/>
              <w:jc w:val="center"/>
              <w:rPr>
                <w:b/>
                <w:i/>
                <w:sz w:val="22"/>
                <w:szCs w:val="22"/>
              </w:rPr>
            </w:pPr>
          </w:p>
        </w:tc>
        <w:tc>
          <w:tcPr>
            <w:tcW w:w="2319" w:type="dxa"/>
            <w:gridSpan w:val="2"/>
            <w:vMerge/>
            <w:vAlign w:val="center"/>
          </w:tcPr>
          <w:p w:rsidR="00124F12" w:rsidRPr="001438F0" w:rsidRDefault="00124F12" w:rsidP="006C4607">
            <w:pPr>
              <w:pStyle w:val="naisf"/>
              <w:spacing w:before="0" w:after="0"/>
              <w:ind w:firstLine="0"/>
              <w:jc w:val="center"/>
              <w:rPr>
                <w:b/>
                <w:i/>
                <w:sz w:val="22"/>
                <w:szCs w:val="22"/>
              </w:rPr>
            </w:pPr>
          </w:p>
        </w:tc>
        <w:tc>
          <w:tcPr>
            <w:tcW w:w="1333" w:type="dxa"/>
            <w:vAlign w:val="center"/>
          </w:tcPr>
          <w:p w:rsidR="00124F12" w:rsidRPr="001438F0" w:rsidRDefault="00C631B5" w:rsidP="006C4607">
            <w:pPr>
              <w:pStyle w:val="naisf"/>
              <w:spacing w:before="0" w:after="0"/>
              <w:ind w:firstLine="0"/>
              <w:jc w:val="center"/>
              <w:rPr>
                <w:b/>
                <w:i/>
                <w:sz w:val="22"/>
                <w:szCs w:val="22"/>
              </w:rPr>
            </w:pPr>
            <w:r w:rsidRPr="001438F0">
              <w:rPr>
                <w:b/>
                <w:bCs/>
                <w:sz w:val="22"/>
                <w:szCs w:val="22"/>
              </w:rPr>
              <w:t>2012.</w:t>
            </w:r>
          </w:p>
        </w:tc>
        <w:tc>
          <w:tcPr>
            <w:tcW w:w="1334" w:type="dxa"/>
            <w:vAlign w:val="center"/>
          </w:tcPr>
          <w:p w:rsidR="00124F12" w:rsidRPr="001438F0" w:rsidRDefault="00C631B5" w:rsidP="006C4607">
            <w:pPr>
              <w:pStyle w:val="naisf"/>
              <w:spacing w:before="0" w:after="0"/>
              <w:ind w:firstLine="0"/>
              <w:jc w:val="center"/>
              <w:rPr>
                <w:b/>
                <w:i/>
                <w:sz w:val="22"/>
                <w:szCs w:val="22"/>
              </w:rPr>
            </w:pPr>
            <w:r w:rsidRPr="001438F0">
              <w:rPr>
                <w:b/>
                <w:bCs/>
                <w:sz w:val="22"/>
                <w:szCs w:val="22"/>
              </w:rPr>
              <w:t>2013.</w:t>
            </w:r>
          </w:p>
        </w:tc>
        <w:tc>
          <w:tcPr>
            <w:tcW w:w="1382" w:type="dxa"/>
            <w:vAlign w:val="center"/>
          </w:tcPr>
          <w:p w:rsidR="00124F12" w:rsidRPr="001438F0" w:rsidRDefault="00C631B5" w:rsidP="006C4607">
            <w:pPr>
              <w:pStyle w:val="naisf"/>
              <w:spacing w:before="0" w:after="0"/>
              <w:ind w:firstLine="0"/>
              <w:jc w:val="center"/>
              <w:rPr>
                <w:b/>
                <w:i/>
                <w:sz w:val="22"/>
                <w:szCs w:val="22"/>
              </w:rPr>
            </w:pPr>
            <w:r w:rsidRPr="001438F0">
              <w:rPr>
                <w:b/>
                <w:bCs/>
                <w:sz w:val="22"/>
                <w:szCs w:val="22"/>
              </w:rPr>
              <w:t>2014.</w:t>
            </w:r>
          </w:p>
        </w:tc>
      </w:tr>
      <w:tr w:rsidR="00124F12" w:rsidRPr="001438F0" w:rsidTr="00C631B5">
        <w:trPr>
          <w:jc w:val="center"/>
        </w:trPr>
        <w:tc>
          <w:tcPr>
            <w:tcW w:w="3756" w:type="dxa"/>
            <w:vMerge/>
            <w:vAlign w:val="center"/>
          </w:tcPr>
          <w:p w:rsidR="00124F12" w:rsidRPr="001438F0" w:rsidRDefault="00124F12" w:rsidP="006C4607">
            <w:pPr>
              <w:pStyle w:val="naisf"/>
              <w:spacing w:before="0" w:after="0"/>
              <w:ind w:firstLine="0"/>
              <w:jc w:val="center"/>
              <w:rPr>
                <w:b/>
                <w:i/>
                <w:sz w:val="22"/>
                <w:szCs w:val="22"/>
              </w:rPr>
            </w:pPr>
          </w:p>
        </w:tc>
        <w:tc>
          <w:tcPr>
            <w:tcW w:w="986" w:type="dxa"/>
            <w:vAlign w:val="center"/>
          </w:tcPr>
          <w:p w:rsidR="00124F12" w:rsidRPr="001438F0" w:rsidRDefault="00124F12" w:rsidP="006C4607">
            <w:pPr>
              <w:pStyle w:val="naisf"/>
              <w:spacing w:before="0" w:after="0"/>
              <w:ind w:firstLine="0"/>
              <w:jc w:val="center"/>
              <w:rPr>
                <w:b/>
                <w:i/>
                <w:sz w:val="22"/>
                <w:szCs w:val="22"/>
              </w:rPr>
            </w:pPr>
            <w:r w:rsidRPr="001438F0">
              <w:rPr>
                <w:sz w:val="22"/>
                <w:szCs w:val="22"/>
              </w:rPr>
              <w:t>Saskaņā ar valsts budžetu kārtējam gadam</w:t>
            </w:r>
          </w:p>
        </w:tc>
        <w:tc>
          <w:tcPr>
            <w:tcW w:w="1333" w:type="dxa"/>
            <w:vAlign w:val="center"/>
          </w:tcPr>
          <w:p w:rsidR="00124F12" w:rsidRPr="001438F0" w:rsidRDefault="00124F12" w:rsidP="006C4607">
            <w:pPr>
              <w:pStyle w:val="naisf"/>
              <w:spacing w:before="0" w:after="0"/>
              <w:ind w:firstLine="0"/>
              <w:jc w:val="center"/>
              <w:rPr>
                <w:b/>
                <w:i/>
                <w:sz w:val="22"/>
                <w:szCs w:val="22"/>
              </w:rPr>
            </w:pPr>
            <w:r w:rsidRPr="001438F0">
              <w:rPr>
                <w:sz w:val="22"/>
                <w:szCs w:val="22"/>
              </w:rPr>
              <w:t>Izmaiņas kārtējā gadā</w:t>
            </w:r>
            <w:r w:rsidR="009E12D7" w:rsidRPr="001438F0">
              <w:rPr>
                <w:sz w:val="22"/>
                <w:szCs w:val="22"/>
              </w:rPr>
              <w:t>,</w:t>
            </w:r>
            <w:r w:rsidRPr="001438F0">
              <w:rPr>
                <w:sz w:val="22"/>
                <w:szCs w:val="22"/>
              </w:rPr>
              <w:t xml:space="preserve"> salīdzinot ar budžetu kārtējam gadam</w:t>
            </w:r>
          </w:p>
        </w:tc>
        <w:tc>
          <w:tcPr>
            <w:tcW w:w="1333" w:type="dxa"/>
            <w:vAlign w:val="center"/>
          </w:tcPr>
          <w:p w:rsidR="00124F12" w:rsidRPr="001438F0" w:rsidRDefault="00124F12" w:rsidP="006C4607">
            <w:pPr>
              <w:pStyle w:val="naisf"/>
              <w:spacing w:before="0" w:after="0"/>
              <w:ind w:firstLine="0"/>
              <w:jc w:val="center"/>
              <w:rPr>
                <w:b/>
                <w:i/>
                <w:sz w:val="22"/>
                <w:szCs w:val="22"/>
              </w:rPr>
            </w:pPr>
            <w:r w:rsidRPr="001438F0">
              <w:rPr>
                <w:sz w:val="22"/>
                <w:szCs w:val="22"/>
              </w:rPr>
              <w:t>Izmaiņas</w:t>
            </w:r>
            <w:r w:rsidR="00182C18" w:rsidRPr="001438F0">
              <w:rPr>
                <w:sz w:val="22"/>
                <w:szCs w:val="22"/>
              </w:rPr>
              <w:t>,</w:t>
            </w:r>
            <w:r w:rsidRPr="001438F0">
              <w:rPr>
                <w:sz w:val="22"/>
                <w:szCs w:val="22"/>
              </w:rPr>
              <w:t xml:space="preserve"> salīdzinot ar kārtējo (n) gadu</w:t>
            </w:r>
          </w:p>
        </w:tc>
        <w:tc>
          <w:tcPr>
            <w:tcW w:w="1334" w:type="dxa"/>
            <w:vAlign w:val="center"/>
          </w:tcPr>
          <w:p w:rsidR="00124F12" w:rsidRPr="001438F0" w:rsidRDefault="00124F12" w:rsidP="006C4607">
            <w:pPr>
              <w:pStyle w:val="naisf"/>
              <w:spacing w:before="0" w:after="0"/>
              <w:ind w:firstLine="0"/>
              <w:jc w:val="center"/>
              <w:rPr>
                <w:b/>
                <w:i/>
                <w:sz w:val="22"/>
                <w:szCs w:val="22"/>
              </w:rPr>
            </w:pPr>
            <w:r w:rsidRPr="001438F0">
              <w:rPr>
                <w:sz w:val="22"/>
                <w:szCs w:val="22"/>
              </w:rPr>
              <w:t>Izmaiņas</w:t>
            </w:r>
            <w:r w:rsidR="00182C18" w:rsidRPr="001438F0">
              <w:rPr>
                <w:sz w:val="22"/>
                <w:szCs w:val="22"/>
              </w:rPr>
              <w:t>,</w:t>
            </w:r>
            <w:r w:rsidRPr="001438F0">
              <w:rPr>
                <w:sz w:val="22"/>
                <w:szCs w:val="22"/>
              </w:rPr>
              <w:t xml:space="preserve"> salīdzinot ar kārtējo (n) gadu</w:t>
            </w:r>
          </w:p>
        </w:tc>
        <w:tc>
          <w:tcPr>
            <w:tcW w:w="1382" w:type="dxa"/>
            <w:vAlign w:val="center"/>
          </w:tcPr>
          <w:p w:rsidR="00124F12" w:rsidRPr="001438F0" w:rsidRDefault="00124F12" w:rsidP="006C4607">
            <w:pPr>
              <w:pStyle w:val="naisf"/>
              <w:spacing w:before="0" w:after="0"/>
              <w:ind w:firstLine="0"/>
              <w:jc w:val="center"/>
              <w:rPr>
                <w:b/>
                <w:i/>
                <w:sz w:val="22"/>
                <w:szCs w:val="22"/>
              </w:rPr>
            </w:pPr>
            <w:r w:rsidRPr="001438F0">
              <w:rPr>
                <w:sz w:val="22"/>
                <w:szCs w:val="22"/>
              </w:rPr>
              <w:t>Izmaiņas</w:t>
            </w:r>
            <w:r w:rsidR="00182C18" w:rsidRPr="001438F0">
              <w:rPr>
                <w:sz w:val="22"/>
                <w:szCs w:val="22"/>
              </w:rPr>
              <w:t>,</w:t>
            </w:r>
            <w:r w:rsidRPr="001438F0">
              <w:rPr>
                <w:sz w:val="22"/>
                <w:szCs w:val="22"/>
              </w:rPr>
              <w:t xml:space="preserve"> salīdzinot ar kārtējo (n) gadu</w:t>
            </w:r>
          </w:p>
        </w:tc>
      </w:tr>
      <w:tr w:rsidR="00124F12" w:rsidRPr="001438F0" w:rsidTr="00C631B5">
        <w:trPr>
          <w:jc w:val="center"/>
        </w:trPr>
        <w:tc>
          <w:tcPr>
            <w:tcW w:w="3756" w:type="dxa"/>
            <w:vAlign w:val="center"/>
          </w:tcPr>
          <w:p w:rsidR="00124F12" w:rsidRPr="001438F0" w:rsidRDefault="00124F12" w:rsidP="006C4607">
            <w:pPr>
              <w:pStyle w:val="naisf"/>
              <w:spacing w:before="0" w:after="0"/>
              <w:ind w:firstLine="0"/>
              <w:jc w:val="center"/>
              <w:rPr>
                <w:bCs/>
                <w:sz w:val="22"/>
                <w:szCs w:val="22"/>
              </w:rPr>
            </w:pPr>
            <w:r w:rsidRPr="001438F0">
              <w:rPr>
                <w:bCs/>
                <w:sz w:val="22"/>
                <w:szCs w:val="22"/>
              </w:rPr>
              <w:t>1</w:t>
            </w:r>
          </w:p>
        </w:tc>
        <w:tc>
          <w:tcPr>
            <w:tcW w:w="986" w:type="dxa"/>
            <w:vAlign w:val="center"/>
          </w:tcPr>
          <w:p w:rsidR="00124F12" w:rsidRPr="001438F0" w:rsidRDefault="00124F12" w:rsidP="006C4607">
            <w:pPr>
              <w:pStyle w:val="naisf"/>
              <w:spacing w:before="0" w:after="0"/>
              <w:ind w:firstLine="0"/>
              <w:jc w:val="center"/>
              <w:rPr>
                <w:bCs/>
                <w:sz w:val="22"/>
                <w:szCs w:val="22"/>
              </w:rPr>
            </w:pPr>
            <w:r w:rsidRPr="001438F0">
              <w:rPr>
                <w:bCs/>
                <w:sz w:val="22"/>
                <w:szCs w:val="22"/>
              </w:rPr>
              <w:t>2</w:t>
            </w:r>
          </w:p>
        </w:tc>
        <w:tc>
          <w:tcPr>
            <w:tcW w:w="1333" w:type="dxa"/>
            <w:vAlign w:val="center"/>
          </w:tcPr>
          <w:p w:rsidR="00124F12" w:rsidRPr="001438F0" w:rsidRDefault="00124F12" w:rsidP="006C4607">
            <w:pPr>
              <w:pStyle w:val="naisf"/>
              <w:spacing w:before="0" w:after="0"/>
              <w:ind w:firstLine="0"/>
              <w:jc w:val="center"/>
              <w:rPr>
                <w:bCs/>
                <w:sz w:val="22"/>
                <w:szCs w:val="22"/>
              </w:rPr>
            </w:pPr>
            <w:r w:rsidRPr="001438F0">
              <w:rPr>
                <w:bCs/>
                <w:sz w:val="22"/>
                <w:szCs w:val="22"/>
              </w:rPr>
              <w:t>3</w:t>
            </w:r>
          </w:p>
        </w:tc>
        <w:tc>
          <w:tcPr>
            <w:tcW w:w="1333" w:type="dxa"/>
            <w:vAlign w:val="center"/>
          </w:tcPr>
          <w:p w:rsidR="00124F12" w:rsidRPr="001438F0" w:rsidRDefault="00124F12" w:rsidP="006C4607">
            <w:pPr>
              <w:pStyle w:val="naisf"/>
              <w:spacing w:before="0" w:after="0"/>
              <w:ind w:firstLine="0"/>
              <w:jc w:val="center"/>
              <w:rPr>
                <w:bCs/>
                <w:sz w:val="22"/>
                <w:szCs w:val="22"/>
              </w:rPr>
            </w:pPr>
            <w:r w:rsidRPr="001438F0">
              <w:rPr>
                <w:bCs/>
                <w:sz w:val="22"/>
                <w:szCs w:val="22"/>
              </w:rPr>
              <w:t>4</w:t>
            </w:r>
          </w:p>
        </w:tc>
        <w:tc>
          <w:tcPr>
            <w:tcW w:w="1334" w:type="dxa"/>
            <w:vAlign w:val="center"/>
          </w:tcPr>
          <w:p w:rsidR="00124F12" w:rsidRPr="001438F0" w:rsidRDefault="00124F12" w:rsidP="006C4607">
            <w:pPr>
              <w:pStyle w:val="naisf"/>
              <w:spacing w:before="0" w:after="0"/>
              <w:ind w:firstLine="0"/>
              <w:jc w:val="center"/>
              <w:rPr>
                <w:bCs/>
                <w:sz w:val="22"/>
                <w:szCs w:val="22"/>
              </w:rPr>
            </w:pPr>
            <w:r w:rsidRPr="001438F0">
              <w:rPr>
                <w:bCs/>
                <w:sz w:val="22"/>
                <w:szCs w:val="22"/>
              </w:rPr>
              <w:t>5</w:t>
            </w:r>
          </w:p>
        </w:tc>
        <w:tc>
          <w:tcPr>
            <w:tcW w:w="1382" w:type="dxa"/>
            <w:vAlign w:val="center"/>
          </w:tcPr>
          <w:p w:rsidR="00124F12" w:rsidRPr="001438F0" w:rsidRDefault="00124F12" w:rsidP="006C4607">
            <w:pPr>
              <w:pStyle w:val="naisf"/>
              <w:spacing w:before="0" w:after="0"/>
              <w:ind w:firstLine="0"/>
              <w:jc w:val="center"/>
              <w:rPr>
                <w:bCs/>
                <w:sz w:val="22"/>
                <w:szCs w:val="22"/>
              </w:rPr>
            </w:pPr>
            <w:r w:rsidRPr="001438F0">
              <w:rPr>
                <w:bCs/>
                <w:sz w:val="22"/>
                <w:szCs w:val="22"/>
              </w:rPr>
              <w:t>6</w:t>
            </w:r>
          </w:p>
        </w:tc>
      </w:tr>
      <w:tr w:rsidR="00124F12" w:rsidRPr="001438F0" w:rsidTr="00C631B5">
        <w:trPr>
          <w:jc w:val="center"/>
        </w:trPr>
        <w:tc>
          <w:tcPr>
            <w:tcW w:w="3756" w:type="dxa"/>
          </w:tcPr>
          <w:p w:rsidR="00124F12" w:rsidRPr="001438F0" w:rsidRDefault="00124F12" w:rsidP="006C4607">
            <w:pPr>
              <w:pStyle w:val="naisf"/>
              <w:spacing w:before="0" w:after="0"/>
              <w:ind w:firstLine="0"/>
              <w:rPr>
                <w:i/>
                <w:sz w:val="22"/>
                <w:szCs w:val="22"/>
              </w:rPr>
            </w:pPr>
            <w:r w:rsidRPr="001438F0">
              <w:rPr>
                <w:sz w:val="22"/>
                <w:szCs w:val="22"/>
              </w:rPr>
              <w:t>1. Budžeta ieņēmumi:</w:t>
            </w:r>
          </w:p>
        </w:tc>
        <w:tc>
          <w:tcPr>
            <w:tcW w:w="986" w:type="dxa"/>
          </w:tcPr>
          <w:p w:rsidR="00124F12" w:rsidRPr="001438F0" w:rsidRDefault="00124F12" w:rsidP="00C631B5">
            <w:pPr>
              <w:pStyle w:val="naisf"/>
              <w:spacing w:before="0" w:after="0"/>
              <w:ind w:firstLine="0"/>
              <w:jc w:val="center"/>
              <w:rPr>
                <w:sz w:val="22"/>
                <w:szCs w:val="22"/>
              </w:rPr>
            </w:pPr>
          </w:p>
        </w:tc>
        <w:tc>
          <w:tcPr>
            <w:tcW w:w="1333" w:type="dxa"/>
          </w:tcPr>
          <w:p w:rsidR="00124F12" w:rsidRPr="001438F0" w:rsidRDefault="00124F12" w:rsidP="00C631B5">
            <w:pPr>
              <w:pStyle w:val="naisf"/>
              <w:spacing w:before="0" w:after="0"/>
              <w:ind w:firstLine="0"/>
              <w:jc w:val="center"/>
              <w:rPr>
                <w:sz w:val="22"/>
                <w:szCs w:val="22"/>
              </w:rPr>
            </w:pPr>
          </w:p>
        </w:tc>
        <w:tc>
          <w:tcPr>
            <w:tcW w:w="1333" w:type="dxa"/>
          </w:tcPr>
          <w:p w:rsidR="00124F12" w:rsidRPr="001438F0" w:rsidRDefault="00124F12" w:rsidP="00C631B5">
            <w:pPr>
              <w:pStyle w:val="naisf"/>
              <w:spacing w:before="0" w:after="0"/>
              <w:ind w:firstLine="0"/>
              <w:jc w:val="center"/>
              <w:rPr>
                <w:sz w:val="22"/>
                <w:szCs w:val="22"/>
              </w:rPr>
            </w:pPr>
          </w:p>
        </w:tc>
        <w:tc>
          <w:tcPr>
            <w:tcW w:w="1334" w:type="dxa"/>
          </w:tcPr>
          <w:p w:rsidR="00124F12" w:rsidRPr="001438F0" w:rsidRDefault="00124F12" w:rsidP="00C631B5">
            <w:pPr>
              <w:pStyle w:val="naisf"/>
              <w:spacing w:before="0" w:after="0"/>
              <w:ind w:firstLine="0"/>
              <w:jc w:val="center"/>
              <w:rPr>
                <w:sz w:val="22"/>
                <w:szCs w:val="22"/>
              </w:rPr>
            </w:pPr>
          </w:p>
        </w:tc>
        <w:tc>
          <w:tcPr>
            <w:tcW w:w="1382" w:type="dxa"/>
          </w:tcPr>
          <w:p w:rsidR="00124F12" w:rsidRPr="001438F0" w:rsidRDefault="00124F12" w:rsidP="00C631B5">
            <w:pPr>
              <w:pStyle w:val="naisf"/>
              <w:spacing w:before="0" w:after="0"/>
              <w:ind w:firstLine="0"/>
              <w:jc w:val="center"/>
              <w:rPr>
                <w:sz w:val="22"/>
                <w:szCs w:val="22"/>
              </w:rPr>
            </w:pPr>
          </w:p>
        </w:tc>
      </w:tr>
      <w:tr w:rsidR="00124F12" w:rsidRPr="001438F0" w:rsidTr="00C631B5">
        <w:trPr>
          <w:jc w:val="center"/>
        </w:trPr>
        <w:tc>
          <w:tcPr>
            <w:tcW w:w="3756" w:type="dxa"/>
          </w:tcPr>
          <w:p w:rsidR="00124F12" w:rsidRPr="001438F0" w:rsidRDefault="00124F12" w:rsidP="006C4607">
            <w:pPr>
              <w:pStyle w:val="naisf"/>
              <w:spacing w:before="0" w:after="0"/>
              <w:ind w:firstLine="0"/>
              <w:rPr>
                <w:i/>
                <w:sz w:val="22"/>
                <w:szCs w:val="22"/>
              </w:rPr>
            </w:pPr>
            <w:r w:rsidRPr="001438F0">
              <w:rPr>
                <w:sz w:val="22"/>
                <w:szCs w:val="22"/>
              </w:rPr>
              <w:t>1.1. valsts pamatbudžets, tai skaitā ieņēmumi no maksas pakalpo</w:t>
            </w:r>
            <w:r w:rsidR="005060A1" w:rsidRPr="001438F0">
              <w:rPr>
                <w:sz w:val="22"/>
                <w:szCs w:val="22"/>
              </w:rPr>
              <w:t>-</w:t>
            </w:r>
            <w:r w:rsidRPr="001438F0">
              <w:rPr>
                <w:sz w:val="22"/>
                <w:szCs w:val="22"/>
              </w:rPr>
              <w:t>jumiem un citi pašu ieņēmumi</w:t>
            </w:r>
          </w:p>
        </w:tc>
        <w:tc>
          <w:tcPr>
            <w:tcW w:w="986" w:type="dxa"/>
          </w:tcPr>
          <w:p w:rsidR="00124F12" w:rsidRPr="001438F0" w:rsidRDefault="00124F12" w:rsidP="00C631B5">
            <w:pPr>
              <w:pStyle w:val="naisf"/>
              <w:spacing w:before="0" w:after="0"/>
              <w:ind w:firstLine="0"/>
              <w:jc w:val="center"/>
              <w:rPr>
                <w:sz w:val="22"/>
                <w:szCs w:val="22"/>
              </w:rPr>
            </w:pPr>
          </w:p>
        </w:tc>
        <w:tc>
          <w:tcPr>
            <w:tcW w:w="1333" w:type="dxa"/>
          </w:tcPr>
          <w:p w:rsidR="00124F12" w:rsidRPr="001438F0" w:rsidRDefault="00124F12" w:rsidP="00C631B5">
            <w:pPr>
              <w:pStyle w:val="naisf"/>
              <w:spacing w:before="0" w:after="0"/>
              <w:ind w:firstLine="0"/>
              <w:jc w:val="center"/>
              <w:rPr>
                <w:sz w:val="22"/>
                <w:szCs w:val="22"/>
              </w:rPr>
            </w:pPr>
          </w:p>
        </w:tc>
        <w:tc>
          <w:tcPr>
            <w:tcW w:w="1333" w:type="dxa"/>
          </w:tcPr>
          <w:p w:rsidR="00124F12" w:rsidRPr="001438F0" w:rsidRDefault="00124F12" w:rsidP="00C631B5">
            <w:pPr>
              <w:pStyle w:val="naisf"/>
              <w:spacing w:before="0" w:after="0"/>
              <w:ind w:firstLine="0"/>
              <w:jc w:val="center"/>
              <w:rPr>
                <w:sz w:val="22"/>
                <w:szCs w:val="22"/>
              </w:rPr>
            </w:pPr>
          </w:p>
        </w:tc>
        <w:tc>
          <w:tcPr>
            <w:tcW w:w="1334" w:type="dxa"/>
          </w:tcPr>
          <w:p w:rsidR="00124F12" w:rsidRPr="001438F0" w:rsidRDefault="00124F12" w:rsidP="00C631B5">
            <w:pPr>
              <w:pStyle w:val="naisf"/>
              <w:spacing w:before="0" w:after="0"/>
              <w:ind w:firstLine="0"/>
              <w:jc w:val="center"/>
              <w:rPr>
                <w:sz w:val="22"/>
                <w:szCs w:val="22"/>
              </w:rPr>
            </w:pPr>
          </w:p>
        </w:tc>
        <w:tc>
          <w:tcPr>
            <w:tcW w:w="1382" w:type="dxa"/>
          </w:tcPr>
          <w:p w:rsidR="00124F12" w:rsidRPr="001438F0" w:rsidRDefault="00124F12" w:rsidP="00C631B5">
            <w:pPr>
              <w:pStyle w:val="naisf"/>
              <w:spacing w:before="0" w:after="0"/>
              <w:ind w:firstLine="0"/>
              <w:jc w:val="center"/>
              <w:rPr>
                <w:sz w:val="22"/>
                <w:szCs w:val="22"/>
              </w:rPr>
            </w:pPr>
          </w:p>
        </w:tc>
      </w:tr>
      <w:tr w:rsidR="00124F12" w:rsidRPr="001438F0" w:rsidTr="00C631B5">
        <w:trPr>
          <w:jc w:val="center"/>
        </w:trPr>
        <w:tc>
          <w:tcPr>
            <w:tcW w:w="3756" w:type="dxa"/>
          </w:tcPr>
          <w:p w:rsidR="00124F12" w:rsidRPr="001438F0" w:rsidRDefault="00124F12" w:rsidP="006C4607">
            <w:pPr>
              <w:pStyle w:val="naisf"/>
              <w:spacing w:before="0" w:after="0"/>
              <w:ind w:firstLine="0"/>
              <w:rPr>
                <w:i/>
                <w:sz w:val="22"/>
                <w:szCs w:val="22"/>
              </w:rPr>
            </w:pPr>
            <w:r w:rsidRPr="001438F0">
              <w:rPr>
                <w:sz w:val="22"/>
                <w:szCs w:val="22"/>
              </w:rPr>
              <w:t>1.2. valsts speciālais budžets</w:t>
            </w:r>
          </w:p>
        </w:tc>
        <w:tc>
          <w:tcPr>
            <w:tcW w:w="986"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4"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82"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r>
      <w:tr w:rsidR="00124F12" w:rsidRPr="001438F0" w:rsidTr="00C631B5">
        <w:trPr>
          <w:jc w:val="center"/>
        </w:trPr>
        <w:tc>
          <w:tcPr>
            <w:tcW w:w="3756" w:type="dxa"/>
          </w:tcPr>
          <w:p w:rsidR="00124F12" w:rsidRPr="001438F0" w:rsidRDefault="00124F12" w:rsidP="006C4607">
            <w:pPr>
              <w:pStyle w:val="naisf"/>
              <w:spacing w:before="0" w:after="0"/>
              <w:ind w:firstLine="0"/>
              <w:rPr>
                <w:i/>
                <w:sz w:val="22"/>
                <w:szCs w:val="22"/>
              </w:rPr>
            </w:pPr>
            <w:r w:rsidRPr="001438F0">
              <w:rPr>
                <w:sz w:val="22"/>
                <w:szCs w:val="22"/>
              </w:rPr>
              <w:t>1.3. pašvaldību budžets</w:t>
            </w:r>
          </w:p>
        </w:tc>
        <w:tc>
          <w:tcPr>
            <w:tcW w:w="986"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4"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82"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r>
      <w:tr w:rsidR="00124F12" w:rsidRPr="001438F0" w:rsidTr="00C631B5">
        <w:trPr>
          <w:jc w:val="center"/>
        </w:trPr>
        <w:tc>
          <w:tcPr>
            <w:tcW w:w="3756" w:type="dxa"/>
          </w:tcPr>
          <w:p w:rsidR="00124F12" w:rsidRPr="001438F0" w:rsidRDefault="00124F12" w:rsidP="006C4607">
            <w:pPr>
              <w:jc w:val="both"/>
              <w:rPr>
                <w:sz w:val="22"/>
                <w:szCs w:val="22"/>
              </w:rPr>
            </w:pPr>
            <w:r w:rsidRPr="001438F0">
              <w:rPr>
                <w:sz w:val="22"/>
                <w:szCs w:val="22"/>
              </w:rPr>
              <w:t>2. Budžeta izdevumi:</w:t>
            </w:r>
          </w:p>
        </w:tc>
        <w:tc>
          <w:tcPr>
            <w:tcW w:w="986" w:type="dxa"/>
          </w:tcPr>
          <w:p w:rsidR="00124F12" w:rsidRPr="001438F0" w:rsidRDefault="00124F12" w:rsidP="00C631B5">
            <w:pPr>
              <w:pStyle w:val="naisf"/>
              <w:spacing w:before="0" w:after="0"/>
              <w:ind w:firstLine="0"/>
              <w:jc w:val="center"/>
              <w:rPr>
                <w:sz w:val="22"/>
                <w:szCs w:val="22"/>
              </w:rPr>
            </w:pP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17,0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17,0</w:t>
            </w:r>
          </w:p>
        </w:tc>
        <w:tc>
          <w:tcPr>
            <w:tcW w:w="1334" w:type="dxa"/>
          </w:tcPr>
          <w:p w:rsidR="00124F12" w:rsidRPr="001438F0" w:rsidRDefault="00C631B5" w:rsidP="00C631B5">
            <w:pPr>
              <w:pStyle w:val="naisf"/>
              <w:spacing w:before="0" w:after="0"/>
              <w:ind w:firstLine="0"/>
              <w:jc w:val="center"/>
              <w:rPr>
                <w:sz w:val="22"/>
                <w:szCs w:val="22"/>
              </w:rPr>
            </w:pPr>
            <w:r w:rsidRPr="001438F0">
              <w:rPr>
                <w:sz w:val="22"/>
                <w:szCs w:val="22"/>
              </w:rPr>
              <w:t>17,0</w:t>
            </w:r>
          </w:p>
        </w:tc>
        <w:tc>
          <w:tcPr>
            <w:tcW w:w="1382" w:type="dxa"/>
          </w:tcPr>
          <w:p w:rsidR="00124F12" w:rsidRPr="001438F0" w:rsidRDefault="00C631B5" w:rsidP="00C631B5">
            <w:pPr>
              <w:pStyle w:val="naisf"/>
              <w:spacing w:before="0" w:after="0"/>
              <w:ind w:firstLine="0"/>
              <w:jc w:val="center"/>
              <w:rPr>
                <w:sz w:val="22"/>
                <w:szCs w:val="22"/>
              </w:rPr>
            </w:pPr>
            <w:r w:rsidRPr="001438F0">
              <w:rPr>
                <w:sz w:val="22"/>
                <w:szCs w:val="22"/>
              </w:rPr>
              <w:t>17,0</w:t>
            </w:r>
          </w:p>
        </w:tc>
      </w:tr>
      <w:tr w:rsidR="00C631B5" w:rsidRPr="001438F0" w:rsidTr="00C631B5">
        <w:trPr>
          <w:jc w:val="center"/>
        </w:trPr>
        <w:tc>
          <w:tcPr>
            <w:tcW w:w="3756" w:type="dxa"/>
          </w:tcPr>
          <w:p w:rsidR="00C631B5" w:rsidRPr="001438F0" w:rsidRDefault="00C631B5" w:rsidP="006C4607">
            <w:pPr>
              <w:jc w:val="both"/>
              <w:rPr>
                <w:sz w:val="22"/>
                <w:szCs w:val="22"/>
              </w:rPr>
            </w:pPr>
            <w:r w:rsidRPr="001438F0">
              <w:rPr>
                <w:sz w:val="22"/>
                <w:szCs w:val="22"/>
              </w:rPr>
              <w:t>2.1. valsts pamatbudžets</w:t>
            </w:r>
          </w:p>
        </w:tc>
        <w:tc>
          <w:tcPr>
            <w:tcW w:w="986" w:type="dxa"/>
          </w:tcPr>
          <w:p w:rsidR="00C631B5" w:rsidRPr="001438F0" w:rsidRDefault="00C631B5" w:rsidP="00C631B5">
            <w:pPr>
              <w:pStyle w:val="naisf"/>
              <w:spacing w:before="0" w:after="0"/>
              <w:ind w:firstLine="0"/>
              <w:jc w:val="center"/>
              <w:rPr>
                <w:sz w:val="22"/>
                <w:szCs w:val="22"/>
              </w:rPr>
            </w:pPr>
          </w:p>
        </w:tc>
        <w:tc>
          <w:tcPr>
            <w:tcW w:w="1333"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33"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34"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82"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r>
      <w:tr w:rsidR="00124F12" w:rsidRPr="001438F0" w:rsidTr="00C631B5">
        <w:trPr>
          <w:jc w:val="center"/>
        </w:trPr>
        <w:tc>
          <w:tcPr>
            <w:tcW w:w="3756" w:type="dxa"/>
          </w:tcPr>
          <w:p w:rsidR="00124F12" w:rsidRPr="001438F0" w:rsidRDefault="005060A1" w:rsidP="006C4607">
            <w:pPr>
              <w:jc w:val="both"/>
              <w:rPr>
                <w:sz w:val="22"/>
                <w:szCs w:val="22"/>
              </w:rPr>
            </w:pPr>
            <w:r w:rsidRPr="001438F0">
              <w:rPr>
                <w:sz w:val="22"/>
                <w:szCs w:val="22"/>
              </w:rPr>
              <w:t>2.2.</w:t>
            </w:r>
            <w:r w:rsidR="00D00059" w:rsidRPr="001438F0">
              <w:rPr>
                <w:sz w:val="22"/>
                <w:szCs w:val="22"/>
              </w:rPr>
              <w:t xml:space="preserve"> </w:t>
            </w:r>
            <w:r w:rsidRPr="001438F0">
              <w:rPr>
                <w:sz w:val="22"/>
                <w:szCs w:val="22"/>
              </w:rPr>
              <w:t>valsts speciālais budžets</w:t>
            </w:r>
          </w:p>
        </w:tc>
        <w:tc>
          <w:tcPr>
            <w:tcW w:w="986"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4"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82"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r>
      <w:tr w:rsidR="00124F12" w:rsidRPr="001438F0" w:rsidTr="00C631B5">
        <w:trPr>
          <w:jc w:val="center"/>
        </w:trPr>
        <w:tc>
          <w:tcPr>
            <w:tcW w:w="3756" w:type="dxa"/>
          </w:tcPr>
          <w:p w:rsidR="00124F12" w:rsidRPr="001438F0" w:rsidRDefault="00124F12" w:rsidP="006C4607">
            <w:pPr>
              <w:jc w:val="both"/>
              <w:rPr>
                <w:sz w:val="22"/>
                <w:szCs w:val="22"/>
              </w:rPr>
            </w:pPr>
            <w:r w:rsidRPr="001438F0">
              <w:rPr>
                <w:sz w:val="22"/>
                <w:szCs w:val="22"/>
              </w:rPr>
              <w:t xml:space="preserve">2.3. pašvaldību budžets </w:t>
            </w:r>
          </w:p>
        </w:tc>
        <w:tc>
          <w:tcPr>
            <w:tcW w:w="986"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4"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82"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r>
      <w:tr w:rsidR="00C631B5" w:rsidRPr="001438F0" w:rsidTr="00C631B5">
        <w:trPr>
          <w:jc w:val="center"/>
        </w:trPr>
        <w:tc>
          <w:tcPr>
            <w:tcW w:w="3756" w:type="dxa"/>
          </w:tcPr>
          <w:p w:rsidR="00C631B5" w:rsidRPr="001438F0" w:rsidRDefault="00C631B5" w:rsidP="006C4607">
            <w:pPr>
              <w:jc w:val="both"/>
              <w:rPr>
                <w:sz w:val="22"/>
                <w:szCs w:val="22"/>
              </w:rPr>
            </w:pPr>
            <w:r w:rsidRPr="001438F0">
              <w:rPr>
                <w:sz w:val="22"/>
                <w:szCs w:val="22"/>
              </w:rPr>
              <w:t>3. Finansiālā ietekme:</w:t>
            </w:r>
          </w:p>
        </w:tc>
        <w:tc>
          <w:tcPr>
            <w:tcW w:w="986" w:type="dxa"/>
            <w:shd w:val="clear" w:color="auto" w:fill="auto"/>
            <w:vAlign w:val="center"/>
          </w:tcPr>
          <w:p w:rsidR="00C631B5" w:rsidRPr="001438F0" w:rsidRDefault="00C631B5" w:rsidP="00C631B5">
            <w:pPr>
              <w:pStyle w:val="naisf"/>
              <w:spacing w:before="0" w:after="0"/>
              <w:ind w:firstLine="0"/>
              <w:jc w:val="center"/>
              <w:rPr>
                <w:sz w:val="22"/>
                <w:szCs w:val="22"/>
              </w:rPr>
            </w:pPr>
          </w:p>
        </w:tc>
        <w:tc>
          <w:tcPr>
            <w:tcW w:w="1333"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33"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34"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82"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r>
      <w:tr w:rsidR="00C631B5" w:rsidRPr="001438F0" w:rsidTr="00C631B5">
        <w:trPr>
          <w:jc w:val="center"/>
        </w:trPr>
        <w:tc>
          <w:tcPr>
            <w:tcW w:w="3756" w:type="dxa"/>
          </w:tcPr>
          <w:p w:rsidR="00C631B5" w:rsidRPr="001438F0" w:rsidRDefault="00C631B5" w:rsidP="006C4607">
            <w:pPr>
              <w:jc w:val="both"/>
              <w:rPr>
                <w:sz w:val="22"/>
                <w:szCs w:val="22"/>
              </w:rPr>
            </w:pPr>
            <w:r w:rsidRPr="001438F0">
              <w:rPr>
                <w:sz w:val="22"/>
                <w:szCs w:val="22"/>
              </w:rPr>
              <w:t>3.1. valsts pamatbudžets</w:t>
            </w:r>
          </w:p>
        </w:tc>
        <w:tc>
          <w:tcPr>
            <w:tcW w:w="986" w:type="dxa"/>
            <w:shd w:val="clear" w:color="auto" w:fill="auto"/>
          </w:tcPr>
          <w:p w:rsidR="00C631B5" w:rsidRPr="001438F0" w:rsidRDefault="00C631B5" w:rsidP="00C631B5">
            <w:pPr>
              <w:pStyle w:val="naisf"/>
              <w:spacing w:before="0" w:after="0"/>
              <w:ind w:firstLine="0"/>
              <w:jc w:val="center"/>
              <w:rPr>
                <w:sz w:val="22"/>
                <w:szCs w:val="22"/>
              </w:rPr>
            </w:pPr>
          </w:p>
        </w:tc>
        <w:tc>
          <w:tcPr>
            <w:tcW w:w="1333"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33"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34"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c>
          <w:tcPr>
            <w:tcW w:w="1382" w:type="dxa"/>
          </w:tcPr>
          <w:p w:rsidR="00C631B5" w:rsidRPr="001438F0" w:rsidRDefault="00C631B5" w:rsidP="00C631B5">
            <w:pPr>
              <w:pStyle w:val="naisf"/>
              <w:spacing w:before="0" w:after="0"/>
              <w:ind w:firstLine="0"/>
              <w:jc w:val="center"/>
              <w:rPr>
                <w:sz w:val="22"/>
                <w:szCs w:val="22"/>
              </w:rPr>
            </w:pPr>
            <w:r w:rsidRPr="001438F0">
              <w:rPr>
                <w:sz w:val="22"/>
                <w:szCs w:val="22"/>
              </w:rPr>
              <w:t>-17,0</w:t>
            </w:r>
          </w:p>
        </w:tc>
      </w:tr>
      <w:tr w:rsidR="00124F12" w:rsidRPr="001438F0" w:rsidTr="00C631B5">
        <w:trPr>
          <w:jc w:val="center"/>
        </w:trPr>
        <w:tc>
          <w:tcPr>
            <w:tcW w:w="3756" w:type="dxa"/>
          </w:tcPr>
          <w:p w:rsidR="00124F12" w:rsidRPr="001438F0" w:rsidRDefault="005060A1" w:rsidP="006C4607">
            <w:pPr>
              <w:jc w:val="both"/>
              <w:rPr>
                <w:sz w:val="22"/>
                <w:szCs w:val="22"/>
              </w:rPr>
            </w:pPr>
            <w:r w:rsidRPr="001438F0">
              <w:rPr>
                <w:sz w:val="22"/>
                <w:szCs w:val="22"/>
              </w:rPr>
              <w:t>3.2. speciālais budžets</w:t>
            </w:r>
          </w:p>
        </w:tc>
        <w:tc>
          <w:tcPr>
            <w:tcW w:w="986" w:type="dxa"/>
            <w:shd w:val="clear" w:color="auto" w:fill="auto"/>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4"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82" w:type="dxa"/>
          </w:tcPr>
          <w:p w:rsidR="00124F12" w:rsidRPr="001438F0" w:rsidRDefault="00C631B5" w:rsidP="00C631B5">
            <w:pPr>
              <w:pStyle w:val="naisf"/>
              <w:spacing w:before="0" w:after="0"/>
              <w:ind w:firstLine="0"/>
              <w:jc w:val="center"/>
              <w:rPr>
                <w:sz w:val="22"/>
                <w:szCs w:val="22"/>
              </w:rPr>
            </w:pPr>
            <w:r w:rsidRPr="001438F0">
              <w:rPr>
                <w:sz w:val="22"/>
                <w:szCs w:val="22"/>
              </w:rPr>
              <w:t>0</w:t>
            </w:r>
          </w:p>
        </w:tc>
      </w:tr>
      <w:tr w:rsidR="00124F12" w:rsidRPr="001438F0" w:rsidTr="00174DFE">
        <w:trPr>
          <w:jc w:val="center"/>
        </w:trPr>
        <w:tc>
          <w:tcPr>
            <w:tcW w:w="3756" w:type="dxa"/>
          </w:tcPr>
          <w:p w:rsidR="00124F12" w:rsidRPr="001438F0" w:rsidRDefault="00124F12" w:rsidP="006C4607">
            <w:pPr>
              <w:jc w:val="both"/>
              <w:rPr>
                <w:sz w:val="22"/>
                <w:szCs w:val="22"/>
              </w:rPr>
            </w:pPr>
            <w:r w:rsidRPr="001438F0">
              <w:rPr>
                <w:sz w:val="22"/>
                <w:szCs w:val="22"/>
              </w:rPr>
              <w:t xml:space="preserve">3.3. pašvaldību budžets </w:t>
            </w:r>
          </w:p>
        </w:tc>
        <w:tc>
          <w:tcPr>
            <w:tcW w:w="986" w:type="dxa"/>
            <w:tcBorders>
              <w:bottom w:val="single" w:sz="4" w:space="0" w:color="auto"/>
            </w:tcBorders>
            <w:shd w:val="clear" w:color="auto" w:fill="auto"/>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Borders>
              <w:bottom w:val="single" w:sz="4" w:space="0" w:color="auto"/>
            </w:tcBorders>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3" w:type="dxa"/>
            <w:tcBorders>
              <w:bottom w:val="single" w:sz="4" w:space="0" w:color="auto"/>
            </w:tcBorders>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34" w:type="dxa"/>
            <w:tcBorders>
              <w:bottom w:val="single" w:sz="4" w:space="0" w:color="auto"/>
            </w:tcBorders>
          </w:tcPr>
          <w:p w:rsidR="00124F12" w:rsidRPr="001438F0" w:rsidRDefault="00C631B5" w:rsidP="00C631B5">
            <w:pPr>
              <w:pStyle w:val="naisf"/>
              <w:spacing w:before="0" w:after="0"/>
              <w:ind w:firstLine="0"/>
              <w:jc w:val="center"/>
              <w:rPr>
                <w:sz w:val="22"/>
                <w:szCs w:val="22"/>
              </w:rPr>
            </w:pPr>
            <w:r w:rsidRPr="001438F0">
              <w:rPr>
                <w:sz w:val="22"/>
                <w:szCs w:val="22"/>
              </w:rPr>
              <w:t>0</w:t>
            </w:r>
          </w:p>
        </w:tc>
        <w:tc>
          <w:tcPr>
            <w:tcW w:w="1382" w:type="dxa"/>
            <w:tcBorders>
              <w:bottom w:val="single" w:sz="4" w:space="0" w:color="auto"/>
            </w:tcBorders>
          </w:tcPr>
          <w:p w:rsidR="00124F12" w:rsidRPr="001438F0" w:rsidRDefault="00C631B5" w:rsidP="00C631B5">
            <w:pPr>
              <w:pStyle w:val="naisf"/>
              <w:spacing w:before="0" w:after="0"/>
              <w:ind w:firstLine="0"/>
              <w:jc w:val="center"/>
              <w:rPr>
                <w:sz w:val="22"/>
                <w:szCs w:val="22"/>
              </w:rPr>
            </w:pPr>
            <w:r w:rsidRPr="001438F0">
              <w:rPr>
                <w:sz w:val="22"/>
                <w:szCs w:val="22"/>
              </w:rPr>
              <w:t>0</w:t>
            </w:r>
          </w:p>
        </w:tc>
      </w:tr>
      <w:tr w:rsidR="00B439D1" w:rsidRPr="001438F0" w:rsidTr="007972E4">
        <w:trPr>
          <w:jc w:val="center"/>
        </w:trPr>
        <w:tc>
          <w:tcPr>
            <w:tcW w:w="3756" w:type="dxa"/>
            <w:vMerge w:val="restart"/>
            <w:tcBorders>
              <w:right w:val="single" w:sz="4" w:space="0" w:color="auto"/>
            </w:tcBorders>
          </w:tcPr>
          <w:p w:rsidR="00B439D1" w:rsidRPr="001438F0" w:rsidRDefault="00B439D1" w:rsidP="006C4607">
            <w:pPr>
              <w:jc w:val="both"/>
              <w:rPr>
                <w:sz w:val="22"/>
                <w:szCs w:val="22"/>
              </w:rPr>
            </w:pPr>
            <w:r w:rsidRPr="001438F0">
              <w:rPr>
                <w:sz w:val="22"/>
                <w:szCs w:val="22"/>
              </w:rPr>
              <w:t>4. Finanšu līdzekļi papildu izde</w:t>
            </w:r>
            <w:r w:rsidRPr="001438F0">
              <w:rPr>
                <w:sz w:val="22"/>
                <w:szCs w:val="22"/>
              </w:rPr>
              <w:softHyphen/>
              <w:t>vumu finansēšanai (kompensējošu izdevumu samazinājumu norāda ar "+" zīmi)</w:t>
            </w:r>
          </w:p>
        </w:tc>
        <w:tc>
          <w:tcPr>
            <w:tcW w:w="6368" w:type="dxa"/>
            <w:gridSpan w:val="5"/>
            <w:tcBorders>
              <w:top w:val="single" w:sz="4" w:space="0" w:color="auto"/>
              <w:left w:val="single" w:sz="4" w:space="0" w:color="auto"/>
              <w:right w:val="single" w:sz="4" w:space="0" w:color="auto"/>
            </w:tcBorders>
          </w:tcPr>
          <w:p w:rsidR="00B439D1" w:rsidRPr="001438F0" w:rsidRDefault="00B439D1" w:rsidP="00C631B5">
            <w:pPr>
              <w:pStyle w:val="naisf"/>
              <w:spacing w:before="0" w:after="0"/>
              <w:ind w:firstLine="0"/>
              <w:jc w:val="center"/>
              <w:rPr>
                <w:sz w:val="22"/>
                <w:szCs w:val="22"/>
              </w:rPr>
            </w:pPr>
            <w:r w:rsidRPr="001438F0">
              <w:rPr>
                <w:sz w:val="22"/>
                <w:szCs w:val="22"/>
              </w:rPr>
              <w:t>Nav attiecināms</w:t>
            </w:r>
          </w:p>
        </w:tc>
      </w:tr>
      <w:tr w:rsidR="00B439D1" w:rsidRPr="001438F0" w:rsidTr="007972E4">
        <w:trPr>
          <w:jc w:val="center"/>
        </w:trPr>
        <w:tc>
          <w:tcPr>
            <w:tcW w:w="3756" w:type="dxa"/>
            <w:vMerge/>
            <w:tcBorders>
              <w:right w:val="single" w:sz="4" w:space="0" w:color="auto"/>
            </w:tcBorders>
          </w:tcPr>
          <w:p w:rsidR="00B439D1" w:rsidRPr="001438F0" w:rsidRDefault="00B439D1" w:rsidP="006C4607">
            <w:pPr>
              <w:jc w:val="both"/>
              <w:rPr>
                <w:sz w:val="22"/>
                <w:szCs w:val="22"/>
              </w:rPr>
            </w:pPr>
          </w:p>
        </w:tc>
        <w:tc>
          <w:tcPr>
            <w:tcW w:w="986" w:type="dxa"/>
            <w:tcBorders>
              <w:left w:val="single" w:sz="4" w:space="0" w:color="auto"/>
            </w:tcBorders>
          </w:tcPr>
          <w:p w:rsidR="00B439D1" w:rsidRPr="001438F0" w:rsidRDefault="00B439D1" w:rsidP="00C631B5">
            <w:pPr>
              <w:pStyle w:val="naisf"/>
              <w:spacing w:before="0" w:after="0"/>
              <w:ind w:firstLine="0"/>
              <w:jc w:val="center"/>
              <w:rPr>
                <w:sz w:val="22"/>
                <w:szCs w:val="22"/>
              </w:rPr>
            </w:pPr>
          </w:p>
        </w:tc>
        <w:tc>
          <w:tcPr>
            <w:tcW w:w="1333" w:type="dxa"/>
            <w:tcBorders>
              <w:top w:val="single" w:sz="4" w:space="0" w:color="auto"/>
            </w:tcBorders>
          </w:tcPr>
          <w:p w:rsidR="00B439D1" w:rsidRPr="001438F0" w:rsidRDefault="00B439D1" w:rsidP="00C631B5">
            <w:pPr>
              <w:pStyle w:val="naisf"/>
              <w:spacing w:before="0" w:after="0"/>
              <w:ind w:firstLine="0"/>
              <w:jc w:val="center"/>
              <w:rPr>
                <w:sz w:val="22"/>
                <w:szCs w:val="22"/>
              </w:rPr>
            </w:pPr>
            <w:r w:rsidRPr="001438F0">
              <w:rPr>
                <w:sz w:val="22"/>
                <w:szCs w:val="22"/>
              </w:rPr>
              <w:t>17,0</w:t>
            </w:r>
          </w:p>
        </w:tc>
        <w:tc>
          <w:tcPr>
            <w:tcW w:w="1333" w:type="dxa"/>
            <w:tcBorders>
              <w:top w:val="single" w:sz="4" w:space="0" w:color="auto"/>
            </w:tcBorders>
          </w:tcPr>
          <w:p w:rsidR="00B439D1" w:rsidRPr="001438F0" w:rsidRDefault="00B439D1" w:rsidP="00C631B5">
            <w:pPr>
              <w:pStyle w:val="naisf"/>
              <w:spacing w:before="0" w:after="0"/>
              <w:ind w:firstLine="0"/>
              <w:jc w:val="center"/>
              <w:rPr>
                <w:sz w:val="22"/>
                <w:szCs w:val="22"/>
              </w:rPr>
            </w:pPr>
            <w:r w:rsidRPr="001438F0">
              <w:rPr>
                <w:sz w:val="22"/>
                <w:szCs w:val="22"/>
              </w:rPr>
              <w:t>17,0</w:t>
            </w:r>
          </w:p>
        </w:tc>
        <w:tc>
          <w:tcPr>
            <w:tcW w:w="1334" w:type="dxa"/>
            <w:tcBorders>
              <w:top w:val="single" w:sz="4" w:space="0" w:color="auto"/>
            </w:tcBorders>
          </w:tcPr>
          <w:p w:rsidR="00B439D1" w:rsidRPr="001438F0" w:rsidRDefault="00B439D1" w:rsidP="00C631B5">
            <w:pPr>
              <w:pStyle w:val="naisf"/>
              <w:spacing w:before="0" w:after="0"/>
              <w:ind w:firstLine="0"/>
              <w:jc w:val="center"/>
              <w:rPr>
                <w:sz w:val="22"/>
                <w:szCs w:val="22"/>
              </w:rPr>
            </w:pPr>
            <w:r w:rsidRPr="001438F0">
              <w:rPr>
                <w:sz w:val="22"/>
                <w:szCs w:val="22"/>
              </w:rPr>
              <w:t>17,0</w:t>
            </w:r>
          </w:p>
        </w:tc>
        <w:tc>
          <w:tcPr>
            <w:tcW w:w="1382" w:type="dxa"/>
            <w:tcBorders>
              <w:top w:val="single" w:sz="4" w:space="0" w:color="auto"/>
            </w:tcBorders>
          </w:tcPr>
          <w:p w:rsidR="00B439D1" w:rsidRPr="001438F0" w:rsidRDefault="00B439D1" w:rsidP="00C631B5">
            <w:pPr>
              <w:pStyle w:val="naisf"/>
              <w:spacing w:before="0" w:after="0"/>
              <w:ind w:firstLine="0"/>
              <w:jc w:val="center"/>
              <w:rPr>
                <w:sz w:val="22"/>
                <w:szCs w:val="22"/>
              </w:rPr>
            </w:pPr>
            <w:r w:rsidRPr="001438F0">
              <w:rPr>
                <w:sz w:val="22"/>
                <w:szCs w:val="22"/>
              </w:rPr>
              <w:t>17,0</w:t>
            </w:r>
          </w:p>
        </w:tc>
      </w:tr>
      <w:tr w:rsidR="00B439D1" w:rsidRPr="001438F0" w:rsidTr="007972E4">
        <w:trPr>
          <w:jc w:val="center"/>
        </w:trPr>
        <w:tc>
          <w:tcPr>
            <w:tcW w:w="3756" w:type="dxa"/>
            <w:vMerge/>
            <w:tcBorders>
              <w:right w:val="single" w:sz="4" w:space="0" w:color="auto"/>
            </w:tcBorders>
          </w:tcPr>
          <w:p w:rsidR="00B439D1" w:rsidRPr="001438F0" w:rsidRDefault="00B439D1" w:rsidP="006C4607">
            <w:pPr>
              <w:jc w:val="both"/>
              <w:rPr>
                <w:sz w:val="22"/>
                <w:szCs w:val="22"/>
              </w:rPr>
            </w:pPr>
          </w:p>
        </w:tc>
        <w:tc>
          <w:tcPr>
            <w:tcW w:w="986" w:type="dxa"/>
            <w:tcBorders>
              <w:left w:val="single" w:sz="4" w:space="0" w:color="auto"/>
            </w:tcBorders>
          </w:tcPr>
          <w:p w:rsidR="00B439D1" w:rsidRPr="001438F0" w:rsidRDefault="00B439D1" w:rsidP="00C631B5">
            <w:pPr>
              <w:pStyle w:val="naisf"/>
              <w:spacing w:before="0" w:after="0"/>
              <w:ind w:firstLine="0"/>
              <w:jc w:val="center"/>
              <w:rPr>
                <w:sz w:val="22"/>
                <w:szCs w:val="22"/>
              </w:rPr>
            </w:pPr>
          </w:p>
        </w:tc>
        <w:tc>
          <w:tcPr>
            <w:tcW w:w="1333" w:type="dxa"/>
          </w:tcPr>
          <w:p w:rsidR="00B439D1" w:rsidRPr="001438F0" w:rsidRDefault="00B439D1" w:rsidP="00C631B5">
            <w:pPr>
              <w:pStyle w:val="naisf"/>
              <w:spacing w:before="0" w:after="0"/>
              <w:ind w:firstLine="0"/>
              <w:jc w:val="center"/>
              <w:rPr>
                <w:sz w:val="22"/>
                <w:szCs w:val="22"/>
              </w:rPr>
            </w:pPr>
          </w:p>
        </w:tc>
        <w:tc>
          <w:tcPr>
            <w:tcW w:w="1333" w:type="dxa"/>
          </w:tcPr>
          <w:p w:rsidR="00B439D1" w:rsidRPr="001438F0" w:rsidRDefault="00B439D1" w:rsidP="00C631B5">
            <w:pPr>
              <w:pStyle w:val="naisf"/>
              <w:spacing w:before="0" w:after="0"/>
              <w:ind w:firstLine="0"/>
              <w:jc w:val="center"/>
              <w:rPr>
                <w:sz w:val="22"/>
                <w:szCs w:val="22"/>
              </w:rPr>
            </w:pPr>
          </w:p>
        </w:tc>
        <w:tc>
          <w:tcPr>
            <w:tcW w:w="1334" w:type="dxa"/>
          </w:tcPr>
          <w:p w:rsidR="00B439D1" w:rsidRPr="001438F0" w:rsidRDefault="00B439D1" w:rsidP="00C631B5">
            <w:pPr>
              <w:pStyle w:val="naisf"/>
              <w:spacing w:before="0" w:after="0"/>
              <w:ind w:firstLine="0"/>
              <w:jc w:val="center"/>
              <w:rPr>
                <w:sz w:val="22"/>
                <w:szCs w:val="22"/>
              </w:rPr>
            </w:pPr>
          </w:p>
        </w:tc>
        <w:tc>
          <w:tcPr>
            <w:tcW w:w="1382" w:type="dxa"/>
          </w:tcPr>
          <w:p w:rsidR="00B439D1" w:rsidRPr="001438F0" w:rsidRDefault="00B439D1" w:rsidP="00C631B5">
            <w:pPr>
              <w:pStyle w:val="naisf"/>
              <w:spacing w:before="0" w:after="0"/>
              <w:ind w:firstLine="0"/>
              <w:jc w:val="center"/>
              <w:rPr>
                <w:sz w:val="22"/>
                <w:szCs w:val="22"/>
              </w:rPr>
            </w:pPr>
          </w:p>
        </w:tc>
      </w:tr>
      <w:tr w:rsidR="00B439D1" w:rsidRPr="001438F0" w:rsidTr="00C631B5">
        <w:trPr>
          <w:jc w:val="center"/>
        </w:trPr>
        <w:tc>
          <w:tcPr>
            <w:tcW w:w="3756" w:type="dxa"/>
          </w:tcPr>
          <w:p w:rsidR="00B439D1" w:rsidRPr="001438F0" w:rsidRDefault="00B439D1" w:rsidP="006C4607">
            <w:pPr>
              <w:jc w:val="both"/>
              <w:rPr>
                <w:sz w:val="22"/>
                <w:szCs w:val="22"/>
              </w:rPr>
            </w:pPr>
            <w:r w:rsidRPr="001438F0">
              <w:rPr>
                <w:sz w:val="22"/>
                <w:szCs w:val="22"/>
              </w:rPr>
              <w:t>5. Precizēta finansiālā ietekme:</w:t>
            </w:r>
          </w:p>
        </w:tc>
        <w:tc>
          <w:tcPr>
            <w:tcW w:w="986" w:type="dxa"/>
          </w:tcPr>
          <w:p w:rsidR="00B439D1" w:rsidRPr="001438F0" w:rsidRDefault="00B439D1" w:rsidP="00B439D1">
            <w:pPr>
              <w:pStyle w:val="naisf"/>
              <w:spacing w:before="0" w:after="0"/>
              <w:ind w:firstLine="0"/>
              <w:rPr>
                <w:sz w:val="22"/>
                <w:szCs w:val="22"/>
              </w:rPr>
            </w:pPr>
          </w:p>
        </w:tc>
        <w:tc>
          <w:tcPr>
            <w:tcW w:w="1333" w:type="dxa"/>
          </w:tcPr>
          <w:p w:rsidR="00B439D1" w:rsidRPr="001438F0" w:rsidRDefault="00B439D1" w:rsidP="00C631B5">
            <w:pPr>
              <w:pStyle w:val="naisf"/>
              <w:spacing w:before="0" w:after="0"/>
              <w:ind w:firstLine="0"/>
              <w:jc w:val="center"/>
              <w:rPr>
                <w:sz w:val="22"/>
                <w:szCs w:val="22"/>
              </w:rPr>
            </w:pPr>
          </w:p>
        </w:tc>
        <w:tc>
          <w:tcPr>
            <w:tcW w:w="1333" w:type="dxa"/>
          </w:tcPr>
          <w:p w:rsidR="00B439D1" w:rsidRPr="001438F0" w:rsidRDefault="00B439D1" w:rsidP="00C631B5">
            <w:pPr>
              <w:pStyle w:val="naisf"/>
              <w:spacing w:before="0" w:after="0"/>
              <w:ind w:firstLine="0"/>
              <w:jc w:val="center"/>
              <w:rPr>
                <w:sz w:val="22"/>
                <w:szCs w:val="22"/>
              </w:rPr>
            </w:pPr>
          </w:p>
        </w:tc>
        <w:tc>
          <w:tcPr>
            <w:tcW w:w="1334" w:type="dxa"/>
          </w:tcPr>
          <w:p w:rsidR="00B439D1" w:rsidRPr="001438F0" w:rsidRDefault="00B439D1" w:rsidP="00C631B5">
            <w:pPr>
              <w:pStyle w:val="naisf"/>
              <w:spacing w:before="0" w:after="0"/>
              <w:ind w:firstLine="0"/>
              <w:jc w:val="center"/>
              <w:rPr>
                <w:sz w:val="22"/>
                <w:szCs w:val="22"/>
              </w:rPr>
            </w:pPr>
          </w:p>
        </w:tc>
        <w:tc>
          <w:tcPr>
            <w:tcW w:w="1382" w:type="dxa"/>
          </w:tcPr>
          <w:p w:rsidR="00B439D1" w:rsidRPr="001438F0" w:rsidRDefault="00B439D1" w:rsidP="00C631B5">
            <w:pPr>
              <w:pStyle w:val="naisf"/>
              <w:spacing w:before="0" w:after="0"/>
              <w:ind w:firstLine="0"/>
              <w:jc w:val="center"/>
              <w:rPr>
                <w:sz w:val="22"/>
                <w:szCs w:val="22"/>
              </w:rPr>
            </w:pPr>
          </w:p>
        </w:tc>
      </w:tr>
      <w:tr w:rsidR="00B439D1" w:rsidRPr="001438F0" w:rsidTr="007972E4">
        <w:trPr>
          <w:jc w:val="center"/>
        </w:trPr>
        <w:tc>
          <w:tcPr>
            <w:tcW w:w="3756" w:type="dxa"/>
          </w:tcPr>
          <w:p w:rsidR="00B439D1" w:rsidRPr="001438F0" w:rsidRDefault="00B439D1" w:rsidP="006C4607">
            <w:pPr>
              <w:jc w:val="both"/>
              <w:rPr>
                <w:sz w:val="22"/>
                <w:szCs w:val="22"/>
              </w:rPr>
            </w:pPr>
            <w:r w:rsidRPr="001438F0">
              <w:rPr>
                <w:sz w:val="22"/>
                <w:szCs w:val="22"/>
              </w:rPr>
              <w:t>5.1. valsts pamatbudžets</w:t>
            </w:r>
          </w:p>
        </w:tc>
        <w:tc>
          <w:tcPr>
            <w:tcW w:w="986" w:type="dxa"/>
          </w:tcPr>
          <w:p w:rsidR="00B439D1" w:rsidRPr="001438F0" w:rsidRDefault="00B439D1" w:rsidP="00C631B5">
            <w:pPr>
              <w:pStyle w:val="naisf"/>
              <w:spacing w:before="0" w:after="0"/>
              <w:ind w:firstLine="0"/>
              <w:jc w:val="center"/>
              <w:rPr>
                <w:sz w:val="22"/>
                <w:szCs w:val="22"/>
              </w:rPr>
            </w:pPr>
          </w:p>
        </w:tc>
        <w:tc>
          <w:tcPr>
            <w:tcW w:w="1333" w:type="dxa"/>
          </w:tcPr>
          <w:p w:rsidR="00B439D1" w:rsidRPr="001438F0" w:rsidRDefault="00B439D1" w:rsidP="00C631B5">
            <w:pPr>
              <w:pStyle w:val="naisf"/>
              <w:spacing w:before="0" w:after="0"/>
              <w:ind w:firstLine="0"/>
              <w:jc w:val="center"/>
              <w:rPr>
                <w:sz w:val="22"/>
                <w:szCs w:val="22"/>
              </w:rPr>
            </w:pPr>
          </w:p>
        </w:tc>
        <w:tc>
          <w:tcPr>
            <w:tcW w:w="1333" w:type="dxa"/>
          </w:tcPr>
          <w:p w:rsidR="00B439D1" w:rsidRPr="001438F0" w:rsidRDefault="00B439D1" w:rsidP="00C631B5">
            <w:pPr>
              <w:pStyle w:val="naisf"/>
              <w:spacing w:before="0" w:after="0"/>
              <w:ind w:firstLine="0"/>
              <w:jc w:val="center"/>
              <w:rPr>
                <w:sz w:val="22"/>
                <w:szCs w:val="22"/>
              </w:rPr>
            </w:pPr>
          </w:p>
        </w:tc>
        <w:tc>
          <w:tcPr>
            <w:tcW w:w="1334" w:type="dxa"/>
          </w:tcPr>
          <w:p w:rsidR="00B439D1" w:rsidRPr="001438F0" w:rsidRDefault="00B439D1" w:rsidP="00C631B5">
            <w:pPr>
              <w:pStyle w:val="naisf"/>
              <w:spacing w:before="0" w:after="0"/>
              <w:ind w:firstLine="0"/>
              <w:jc w:val="center"/>
              <w:rPr>
                <w:sz w:val="22"/>
                <w:szCs w:val="22"/>
              </w:rPr>
            </w:pPr>
          </w:p>
        </w:tc>
        <w:tc>
          <w:tcPr>
            <w:tcW w:w="1382" w:type="dxa"/>
          </w:tcPr>
          <w:p w:rsidR="00B439D1" w:rsidRPr="001438F0" w:rsidRDefault="00B439D1" w:rsidP="00C631B5">
            <w:pPr>
              <w:pStyle w:val="naisf"/>
              <w:spacing w:before="0" w:after="0"/>
              <w:ind w:firstLine="0"/>
              <w:jc w:val="center"/>
              <w:rPr>
                <w:sz w:val="22"/>
                <w:szCs w:val="22"/>
              </w:rPr>
            </w:pPr>
          </w:p>
        </w:tc>
      </w:tr>
      <w:tr w:rsidR="00B439D1" w:rsidRPr="001438F0" w:rsidTr="007972E4">
        <w:trPr>
          <w:jc w:val="center"/>
        </w:trPr>
        <w:tc>
          <w:tcPr>
            <w:tcW w:w="3756" w:type="dxa"/>
          </w:tcPr>
          <w:p w:rsidR="00B439D1" w:rsidRPr="001438F0" w:rsidRDefault="00B439D1" w:rsidP="006C4607">
            <w:pPr>
              <w:jc w:val="both"/>
              <w:rPr>
                <w:sz w:val="22"/>
                <w:szCs w:val="22"/>
              </w:rPr>
            </w:pPr>
            <w:r w:rsidRPr="001438F0">
              <w:rPr>
                <w:sz w:val="22"/>
                <w:szCs w:val="22"/>
              </w:rPr>
              <w:t>5.2. speciālais budžets</w:t>
            </w:r>
          </w:p>
        </w:tc>
        <w:tc>
          <w:tcPr>
            <w:tcW w:w="986"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33"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33"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34"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82"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r>
      <w:tr w:rsidR="00B439D1" w:rsidRPr="001438F0" w:rsidTr="007972E4">
        <w:trPr>
          <w:jc w:val="center"/>
        </w:trPr>
        <w:tc>
          <w:tcPr>
            <w:tcW w:w="3756" w:type="dxa"/>
          </w:tcPr>
          <w:p w:rsidR="00B439D1" w:rsidRPr="001438F0" w:rsidRDefault="00B439D1" w:rsidP="006C4607">
            <w:pPr>
              <w:jc w:val="both"/>
              <w:rPr>
                <w:sz w:val="22"/>
                <w:szCs w:val="22"/>
              </w:rPr>
            </w:pPr>
            <w:r w:rsidRPr="001438F0">
              <w:rPr>
                <w:sz w:val="22"/>
                <w:szCs w:val="22"/>
              </w:rPr>
              <w:t xml:space="preserve">5.3. pašvaldību budžets </w:t>
            </w:r>
          </w:p>
        </w:tc>
        <w:tc>
          <w:tcPr>
            <w:tcW w:w="986"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33"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33"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34"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c>
          <w:tcPr>
            <w:tcW w:w="1382" w:type="dxa"/>
          </w:tcPr>
          <w:p w:rsidR="00B439D1" w:rsidRPr="001438F0" w:rsidRDefault="00B439D1" w:rsidP="007972E4">
            <w:pPr>
              <w:pStyle w:val="naisf"/>
              <w:spacing w:before="0" w:after="0"/>
              <w:ind w:firstLine="0"/>
              <w:jc w:val="center"/>
              <w:rPr>
                <w:sz w:val="22"/>
                <w:szCs w:val="22"/>
              </w:rPr>
            </w:pPr>
            <w:r w:rsidRPr="001438F0">
              <w:rPr>
                <w:sz w:val="22"/>
                <w:szCs w:val="22"/>
              </w:rPr>
              <w:t>0</w:t>
            </w:r>
          </w:p>
        </w:tc>
      </w:tr>
      <w:tr w:rsidR="00174DFE" w:rsidRPr="001438F0" w:rsidTr="00C631B5">
        <w:trPr>
          <w:jc w:val="center"/>
        </w:trPr>
        <w:tc>
          <w:tcPr>
            <w:tcW w:w="3756" w:type="dxa"/>
          </w:tcPr>
          <w:p w:rsidR="00174DFE" w:rsidRPr="001438F0" w:rsidRDefault="00174DFE" w:rsidP="006C4607">
            <w:pPr>
              <w:jc w:val="both"/>
              <w:rPr>
                <w:sz w:val="22"/>
                <w:szCs w:val="22"/>
              </w:rPr>
            </w:pPr>
            <w:r w:rsidRPr="001438F0">
              <w:rPr>
                <w:sz w:val="22"/>
                <w:szCs w:val="22"/>
              </w:rPr>
              <w:t>6. Detalizēts ieņēmumu un izdevu</w:t>
            </w:r>
            <w:r w:rsidRPr="001438F0">
              <w:rPr>
                <w:sz w:val="22"/>
                <w:szCs w:val="22"/>
              </w:rPr>
              <w:softHyphen/>
              <w:t>mu aprēķins (ja nepieciešams, detalizētu ieņēmumu un izdevumu aprēķinu var pievienot anotācijas pielikumā):</w:t>
            </w:r>
          </w:p>
        </w:tc>
        <w:tc>
          <w:tcPr>
            <w:tcW w:w="6368" w:type="dxa"/>
            <w:gridSpan w:val="5"/>
            <w:vMerge w:val="restart"/>
            <w:vAlign w:val="center"/>
          </w:tcPr>
          <w:p w:rsidR="00174DFE" w:rsidRPr="001438F0" w:rsidRDefault="00174DFE" w:rsidP="00C631B5">
            <w:pPr>
              <w:pStyle w:val="naisf"/>
              <w:ind w:firstLine="0"/>
              <w:rPr>
                <w:sz w:val="22"/>
                <w:szCs w:val="22"/>
              </w:rPr>
            </w:pPr>
            <w:r w:rsidRPr="001438F0">
              <w:rPr>
                <w:sz w:val="22"/>
                <w:szCs w:val="22"/>
              </w:rPr>
              <w:t>Pilsonības un migrācijas lietu pārvaldei, lai nodrošinātu  funkciju politiski represētās personas statusa noteikšanai, kas ietver dokumentu pieņemšanu un iesniegumu izskatīšanu par politiski represētā statusa piešķiršanu/nepiešķiršanu, tai skaitā informācijas iegūšanu arhīvos par personas atbilstību represētā statusam, apstrīdēšanas iesniegumu izskatīšanu un pārstāvību tiesvedībās nepieciešams papildus finansējums 2011.gadā un turpmāk:</w:t>
            </w:r>
          </w:p>
          <w:p w:rsidR="00174DFE" w:rsidRPr="001438F0" w:rsidRDefault="00174DFE" w:rsidP="00C631B5">
            <w:pPr>
              <w:pStyle w:val="naiskr"/>
              <w:numPr>
                <w:ilvl w:val="0"/>
                <w:numId w:val="14"/>
              </w:numPr>
              <w:spacing w:before="64" w:after="64"/>
              <w:jc w:val="both"/>
              <w:rPr>
                <w:sz w:val="22"/>
                <w:szCs w:val="22"/>
              </w:rPr>
            </w:pPr>
            <w:r w:rsidRPr="001438F0">
              <w:rPr>
                <w:sz w:val="22"/>
                <w:szCs w:val="22"/>
              </w:rPr>
              <w:t>atalgojums – Ls 11 520 (izdev</w:t>
            </w:r>
            <w:r w:rsidR="00AA762F" w:rsidRPr="001438F0">
              <w:rPr>
                <w:sz w:val="22"/>
                <w:szCs w:val="22"/>
              </w:rPr>
              <w:t xml:space="preserve">umu klasifikācijas kods 1114 - </w:t>
            </w:r>
            <w:r w:rsidRPr="001438F0">
              <w:rPr>
                <w:sz w:val="22"/>
                <w:szCs w:val="22"/>
              </w:rPr>
              <w:t>civildienesta ierēdņu mēneša amatalga )</w:t>
            </w:r>
          </w:p>
          <w:p w:rsidR="00174DFE" w:rsidRPr="001438F0" w:rsidRDefault="00174DFE" w:rsidP="00AA762F">
            <w:pPr>
              <w:pStyle w:val="naiskr"/>
              <w:spacing w:before="64" w:after="64"/>
              <w:ind w:left="-76"/>
              <w:jc w:val="both"/>
              <w:rPr>
                <w:sz w:val="22"/>
                <w:szCs w:val="22"/>
              </w:rPr>
            </w:pPr>
            <w:r w:rsidRPr="001438F0">
              <w:rPr>
                <w:sz w:val="22"/>
                <w:szCs w:val="22"/>
              </w:rPr>
              <w:t>2 amata vietas –vecākais referents profesiju kods* 242203, 35. saime, II līmenis , 9.mēnešalgu grupa 3.kvalifikācijas pakāpe** Ls 480 </w:t>
            </w:r>
            <w:r w:rsidRPr="001438F0">
              <w:rPr>
                <w:sz w:val="22"/>
                <w:szCs w:val="22"/>
              </w:rPr>
              <w:noBreakHyphen/>
              <w:t xml:space="preserve"> Ls 480 x12mēn=Ls 5760 x 2 amata vietas;</w:t>
            </w:r>
          </w:p>
          <w:p w:rsidR="00174DFE" w:rsidRPr="001438F0" w:rsidRDefault="00174DFE" w:rsidP="00C631B5">
            <w:pPr>
              <w:pStyle w:val="naisf"/>
              <w:numPr>
                <w:ilvl w:val="0"/>
                <w:numId w:val="14"/>
              </w:numPr>
              <w:rPr>
                <w:sz w:val="22"/>
                <w:szCs w:val="22"/>
              </w:rPr>
            </w:pPr>
            <w:r w:rsidRPr="001438F0">
              <w:rPr>
                <w:sz w:val="22"/>
                <w:szCs w:val="22"/>
              </w:rPr>
              <w:t>Darba devēja valsts sociālās apdrošināšanas obligātās iemaksas, sociāla rakstura pabalsti un kompensācijas - Ls 11 520 x 24.09% = Ls 2776 (izdevumu klasifikācijas kods 1200 -  darba devēja valsts sociālās apdrošināšanas obligātā iemaksas);</w:t>
            </w:r>
          </w:p>
          <w:p w:rsidR="00174DFE" w:rsidRPr="001438F0" w:rsidRDefault="00174DFE" w:rsidP="00AA762F">
            <w:pPr>
              <w:pStyle w:val="naisf"/>
              <w:ind w:hanging="76"/>
              <w:rPr>
                <w:b/>
                <w:sz w:val="22"/>
                <w:szCs w:val="22"/>
              </w:rPr>
            </w:pPr>
            <w:r w:rsidRPr="001438F0">
              <w:rPr>
                <w:b/>
                <w:sz w:val="22"/>
                <w:szCs w:val="22"/>
              </w:rPr>
              <w:t>Atlīdzībai kopā – Ls 14 296.</w:t>
            </w:r>
          </w:p>
          <w:p w:rsidR="00174DFE" w:rsidRPr="001438F0" w:rsidRDefault="00174DFE" w:rsidP="00C631B5">
            <w:pPr>
              <w:pStyle w:val="naisf"/>
              <w:numPr>
                <w:ilvl w:val="0"/>
                <w:numId w:val="14"/>
              </w:numPr>
              <w:rPr>
                <w:sz w:val="22"/>
                <w:szCs w:val="22"/>
              </w:rPr>
            </w:pPr>
            <w:r w:rsidRPr="001438F0">
              <w:rPr>
                <w:sz w:val="22"/>
                <w:szCs w:val="22"/>
              </w:rPr>
              <w:t xml:space="preserve">Papildu informācijas pieprasīšanai no arhīviem; (1 lapa + </w:t>
            </w:r>
            <w:r w:rsidRPr="001438F0">
              <w:rPr>
                <w:sz w:val="22"/>
                <w:szCs w:val="22"/>
              </w:rPr>
              <w:lastRenderedPageBreak/>
              <w:t xml:space="preserve">pasta izdevumi) 100 lietas gadā x Ls 0.35  (vienkārša </w:t>
            </w:r>
            <w:smartTag w:uri="schemas-tilde-lv/tildestengine" w:element="veidnes">
              <w:smartTagPr>
                <w:attr w:name="text" w:val="vēstule"/>
                <w:attr w:name="baseform" w:val="vēstule"/>
                <w:attr w:name="id" w:val="-1"/>
              </w:smartTagPr>
              <w:r w:rsidRPr="001438F0">
                <w:rPr>
                  <w:sz w:val="22"/>
                  <w:szCs w:val="22"/>
                </w:rPr>
                <w:t>vēstule</w:t>
              </w:r>
            </w:smartTag>
            <w:r w:rsidRPr="001438F0">
              <w:rPr>
                <w:sz w:val="22"/>
                <w:szCs w:val="22"/>
              </w:rPr>
              <w:t xml:space="preserve"> līdz 20g) = Ls 35(izdevumu klasifikācijas kods 2219 -  pārējie sakaru pakalpojumi);</w:t>
            </w:r>
          </w:p>
          <w:p w:rsidR="00174DFE" w:rsidRPr="001438F0" w:rsidRDefault="00174DFE" w:rsidP="00C631B5">
            <w:pPr>
              <w:pStyle w:val="naisf"/>
              <w:numPr>
                <w:ilvl w:val="0"/>
                <w:numId w:val="14"/>
              </w:numPr>
              <w:rPr>
                <w:sz w:val="22"/>
                <w:szCs w:val="22"/>
              </w:rPr>
            </w:pPr>
            <w:r w:rsidRPr="001438F0">
              <w:rPr>
                <w:sz w:val="22"/>
                <w:szCs w:val="22"/>
              </w:rPr>
              <w:t xml:space="preserve">Administratīvā akta (lēmuma) nosūtīšana personai; (3 lapas + pasta izdevumi) 100 lietas gadā x Ls 1 (ierakstīta </w:t>
            </w:r>
            <w:smartTag w:uri="schemas-tilde-lv/tildestengine" w:element="veidnes">
              <w:smartTagPr>
                <w:attr w:name="text" w:val="vēstule"/>
                <w:attr w:name="baseform" w:val="vēstule"/>
                <w:attr w:name="id" w:val="-1"/>
              </w:smartTagPr>
              <w:r w:rsidRPr="001438F0">
                <w:rPr>
                  <w:sz w:val="22"/>
                  <w:szCs w:val="22"/>
                </w:rPr>
                <w:t>vēstule</w:t>
              </w:r>
            </w:smartTag>
            <w:r w:rsidRPr="001438F0">
              <w:rPr>
                <w:sz w:val="22"/>
                <w:szCs w:val="22"/>
              </w:rPr>
              <w:t xml:space="preserve"> no 20g - 50g pa Latviju) = Ls100(izdevumu klasifikācijas kods 2219 -  pārējie sakaru pakalpojumi);</w:t>
            </w:r>
          </w:p>
          <w:p w:rsidR="00174DFE" w:rsidRPr="001438F0" w:rsidRDefault="00174DFE" w:rsidP="00C631B5">
            <w:pPr>
              <w:pStyle w:val="naisf"/>
              <w:numPr>
                <w:ilvl w:val="0"/>
                <w:numId w:val="14"/>
              </w:numPr>
              <w:rPr>
                <w:sz w:val="22"/>
                <w:szCs w:val="22"/>
              </w:rPr>
            </w:pPr>
            <w:r w:rsidRPr="001438F0">
              <w:rPr>
                <w:sz w:val="22"/>
                <w:szCs w:val="22"/>
              </w:rPr>
              <w:t xml:space="preserve">Nelabvēlīga lēmuma pieņemšanas gadījumā – personas viedokļa noskaidrošana; (2 lapas + pasta izdevumi) 25 lietas gadā x Ls 1(ierakstīta </w:t>
            </w:r>
            <w:smartTag w:uri="schemas-tilde-lv/tildestengine" w:element="veidnes">
              <w:smartTagPr>
                <w:attr w:name="text" w:val="vēstule"/>
                <w:attr w:name="baseform" w:val="vēstule"/>
                <w:attr w:name="id" w:val="-1"/>
              </w:smartTagPr>
              <w:r w:rsidRPr="001438F0">
                <w:rPr>
                  <w:sz w:val="22"/>
                  <w:szCs w:val="22"/>
                </w:rPr>
                <w:t>vēstule</w:t>
              </w:r>
            </w:smartTag>
            <w:r w:rsidRPr="001438F0">
              <w:rPr>
                <w:sz w:val="22"/>
                <w:szCs w:val="22"/>
              </w:rPr>
              <w:t xml:space="preserve"> no 20g - 50g pa Latviju) = Ls 25(izdevumu klasifikācijas kods 2219 -  pārējie sakaru pakalpojumi);</w:t>
            </w:r>
          </w:p>
          <w:p w:rsidR="00174DFE" w:rsidRPr="001438F0" w:rsidRDefault="00174DFE" w:rsidP="00C631B5">
            <w:pPr>
              <w:pStyle w:val="naisf"/>
              <w:numPr>
                <w:ilvl w:val="0"/>
                <w:numId w:val="14"/>
              </w:numPr>
              <w:rPr>
                <w:sz w:val="22"/>
                <w:szCs w:val="22"/>
              </w:rPr>
            </w:pPr>
            <w:r w:rsidRPr="001438F0">
              <w:rPr>
                <w:sz w:val="22"/>
                <w:szCs w:val="22"/>
              </w:rPr>
              <w:t xml:space="preserve">Pēc personas viedokļa saņemšanas PMLP, pieņemtā lēmuma nosūtīšana personai; (3 lapas + pasta izdevumi) 25 lietas gadā x Ls 1(ierakstīta </w:t>
            </w:r>
            <w:smartTag w:uri="schemas-tilde-lv/tildestengine" w:element="veidnes">
              <w:smartTagPr>
                <w:attr w:name="text" w:val="vēstule"/>
                <w:attr w:name="baseform" w:val="vēstule"/>
                <w:attr w:name="id" w:val="-1"/>
              </w:smartTagPr>
              <w:r w:rsidRPr="001438F0">
                <w:rPr>
                  <w:sz w:val="22"/>
                  <w:szCs w:val="22"/>
                </w:rPr>
                <w:t>vēstule</w:t>
              </w:r>
            </w:smartTag>
            <w:r w:rsidRPr="001438F0">
              <w:rPr>
                <w:sz w:val="22"/>
                <w:szCs w:val="22"/>
              </w:rPr>
              <w:t xml:space="preserve"> no 20g - 50g pa Latviju) = Ls 25(izdevumu klasifikācijas kods 2219 -  pārējie sakaru pakalpojumi);</w:t>
            </w:r>
          </w:p>
          <w:p w:rsidR="00174DFE" w:rsidRPr="001438F0" w:rsidRDefault="00174DFE" w:rsidP="00C631B5">
            <w:pPr>
              <w:pStyle w:val="naisf"/>
              <w:numPr>
                <w:ilvl w:val="0"/>
                <w:numId w:val="14"/>
              </w:numPr>
              <w:rPr>
                <w:sz w:val="22"/>
                <w:szCs w:val="22"/>
              </w:rPr>
            </w:pPr>
            <w:r w:rsidRPr="001438F0">
              <w:rPr>
                <w:sz w:val="22"/>
                <w:szCs w:val="22"/>
              </w:rPr>
              <w:t xml:space="preserve">Apstrīdētā lēmuma pārskatīšana, attiecīgā </w:t>
            </w:r>
            <w:smartTag w:uri="schemas-tilde-lv/tildestengine" w:element="veidnes">
              <w:smartTagPr>
                <w:attr w:name="text" w:val="lēmums"/>
                <w:attr w:name="baseform" w:val="lēmums"/>
                <w:attr w:name="id" w:val="-1"/>
              </w:smartTagPr>
              <w:r w:rsidRPr="001438F0">
                <w:rPr>
                  <w:sz w:val="22"/>
                  <w:szCs w:val="22"/>
                </w:rPr>
                <w:t>lēmums</w:t>
              </w:r>
            </w:smartTag>
            <w:r w:rsidRPr="001438F0">
              <w:rPr>
                <w:sz w:val="22"/>
                <w:szCs w:val="22"/>
              </w:rPr>
              <w:t xml:space="preserve"> nosūtīšana personai (5 lapas +pasta izdevumi) 10 lietas gadā x Ls 1(ierakstīta </w:t>
            </w:r>
            <w:smartTag w:uri="schemas-tilde-lv/tildestengine" w:element="veidnes">
              <w:smartTagPr>
                <w:attr w:name="text" w:val="vēstule"/>
                <w:attr w:name="baseform" w:val="vēstule"/>
                <w:attr w:name="id" w:val="-1"/>
              </w:smartTagPr>
              <w:r w:rsidRPr="001438F0">
                <w:rPr>
                  <w:sz w:val="22"/>
                  <w:szCs w:val="22"/>
                </w:rPr>
                <w:t>vēstule</w:t>
              </w:r>
            </w:smartTag>
            <w:r w:rsidRPr="001438F0">
              <w:rPr>
                <w:sz w:val="22"/>
                <w:szCs w:val="22"/>
              </w:rPr>
              <w:t xml:space="preserve"> no 20g - 50g pa Latviju) = Ls 10(izdevumu klasifikācijas kods 2219 -  pārējie sakaru pakalpojumi);</w:t>
            </w:r>
          </w:p>
          <w:p w:rsidR="00174DFE" w:rsidRPr="001438F0" w:rsidRDefault="00174DFE" w:rsidP="00C631B5">
            <w:pPr>
              <w:pStyle w:val="naisf"/>
              <w:numPr>
                <w:ilvl w:val="0"/>
                <w:numId w:val="14"/>
              </w:numPr>
              <w:rPr>
                <w:sz w:val="22"/>
                <w:szCs w:val="22"/>
              </w:rPr>
            </w:pPr>
            <w:r w:rsidRPr="001438F0">
              <w:rPr>
                <w:sz w:val="22"/>
                <w:szCs w:val="22"/>
              </w:rPr>
              <w:t xml:space="preserve">Arhīva izziņu pieprasīšana ( 1 </w:t>
            </w:r>
            <w:smartTag w:uri="schemas-tilde-lv/tildestengine" w:element="veidnes">
              <w:smartTagPr>
                <w:attr w:name="text" w:val="izziņa"/>
                <w:attr w:name="baseform" w:val="izziņa"/>
                <w:attr w:name="id" w:val="-1"/>
              </w:smartTagPr>
              <w:r w:rsidRPr="001438F0">
                <w:rPr>
                  <w:sz w:val="22"/>
                  <w:szCs w:val="22"/>
                </w:rPr>
                <w:t>izziņa</w:t>
              </w:r>
            </w:smartTag>
            <w:r w:rsidRPr="001438F0">
              <w:rPr>
                <w:sz w:val="22"/>
                <w:szCs w:val="22"/>
              </w:rPr>
              <w:t xml:space="preserve"> x vidēji Ls 10). Plānoti 100 gadījumi x Ls 10 = Ls 1000 (izdevumu klasifikācijas kods 2239 -  pārējie  iestādes administratīvie izdevumi un ar iestādes darbības nodrošināšanu saistītie pakalpojumi);</w:t>
            </w:r>
          </w:p>
          <w:p w:rsidR="00174DFE" w:rsidRPr="001438F0" w:rsidRDefault="00174DFE" w:rsidP="00C631B5">
            <w:pPr>
              <w:pStyle w:val="naisf"/>
              <w:numPr>
                <w:ilvl w:val="0"/>
                <w:numId w:val="14"/>
              </w:numPr>
              <w:rPr>
                <w:sz w:val="22"/>
                <w:szCs w:val="22"/>
              </w:rPr>
            </w:pPr>
            <w:r w:rsidRPr="001438F0">
              <w:rPr>
                <w:sz w:val="22"/>
                <w:szCs w:val="22"/>
              </w:rPr>
              <w:t>Kopētāja uzturēšana un apkope (1000 kopijas x 0.02 Ls) * + kopētāja remonta izdevumi Ls 200) = Ls 220 (izdevumu klasifikācijas kods 2243 - iekārtas, inventāra un aparatūras remonts, tehniskā apkalpošana );</w:t>
            </w:r>
          </w:p>
          <w:p w:rsidR="00174DFE" w:rsidRPr="001438F0" w:rsidRDefault="00174DFE" w:rsidP="00C631B5">
            <w:pPr>
              <w:pStyle w:val="naisf"/>
              <w:numPr>
                <w:ilvl w:val="0"/>
                <w:numId w:val="14"/>
              </w:numPr>
              <w:rPr>
                <w:sz w:val="22"/>
                <w:szCs w:val="22"/>
              </w:rPr>
            </w:pPr>
            <w:r w:rsidRPr="001438F0">
              <w:rPr>
                <w:sz w:val="22"/>
                <w:szCs w:val="22"/>
              </w:rPr>
              <w:t>Programmatūtas uzturēšana - Ls 66 x 12 mēn. =Ls 792 (izdevumu klasifikācijas kods 2251 -  informācijas sistēmas uzturēšana);</w:t>
            </w:r>
          </w:p>
          <w:p w:rsidR="00174DFE" w:rsidRPr="001438F0" w:rsidRDefault="00174DFE" w:rsidP="00C631B5">
            <w:pPr>
              <w:pStyle w:val="naisf"/>
              <w:numPr>
                <w:ilvl w:val="0"/>
                <w:numId w:val="14"/>
              </w:numPr>
              <w:rPr>
                <w:sz w:val="22"/>
                <w:szCs w:val="22"/>
              </w:rPr>
            </w:pPr>
            <w:r w:rsidRPr="001438F0">
              <w:rPr>
                <w:sz w:val="22"/>
                <w:szCs w:val="22"/>
              </w:rPr>
              <w:t>Kancelejas preces - (papīrs un citas kancelejas preces vienam darbiniekam ceturksnī Ls12, toneris Ls 50 ceturksnī) 2 darbinieki x Ls 12 + Ls 50 x 4 cet. = Ls 496 (izdevumu klasifikācijas kods 2311 -  biroja preces).</w:t>
            </w:r>
          </w:p>
          <w:p w:rsidR="00174DFE" w:rsidRPr="001438F0" w:rsidRDefault="00174DFE" w:rsidP="00AA762F">
            <w:pPr>
              <w:pStyle w:val="naisf"/>
              <w:ind w:firstLine="0"/>
              <w:rPr>
                <w:b/>
                <w:sz w:val="22"/>
                <w:szCs w:val="22"/>
              </w:rPr>
            </w:pPr>
            <w:r w:rsidRPr="001438F0">
              <w:rPr>
                <w:b/>
                <w:sz w:val="22"/>
                <w:szCs w:val="22"/>
              </w:rPr>
              <w:t>Precēm un pakalpojumiem kopā</w:t>
            </w:r>
            <w:r w:rsidRPr="001438F0">
              <w:rPr>
                <w:sz w:val="22"/>
                <w:szCs w:val="22"/>
              </w:rPr>
              <w:t xml:space="preserve"> </w:t>
            </w:r>
            <w:r w:rsidRPr="001438F0">
              <w:rPr>
                <w:b/>
                <w:sz w:val="22"/>
                <w:szCs w:val="22"/>
              </w:rPr>
              <w:t>Ls 2703</w:t>
            </w:r>
          </w:p>
          <w:p w:rsidR="00174DFE" w:rsidRPr="001438F0" w:rsidRDefault="00174DFE" w:rsidP="00AA762F">
            <w:pPr>
              <w:pStyle w:val="naisf"/>
              <w:ind w:firstLine="0"/>
              <w:rPr>
                <w:sz w:val="22"/>
                <w:szCs w:val="22"/>
              </w:rPr>
            </w:pPr>
            <w:r w:rsidRPr="001438F0">
              <w:rPr>
                <w:sz w:val="22"/>
                <w:szCs w:val="22"/>
              </w:rPr>
              <w:t xml:space="preserve">Pavisam funkcijas īstenošanai papildus nepieciešami </w:t>
            </w:r>
            <w:r w:rsidRPr="001438F0">
              <w:rPr>
                <w:b/>
                <w:sz w:val="22"/>
                <w:szCs w:val="22"/>
              </w:rPr>
              <w:t>Ls 16 999</w:t>
            </w:r>
          </w:p>
        </w:tc>
      </w:tr>
      <w:tr w:rsidR="00174DFE" w:rsidRPr="001438F0" w:rsidTr="00C631B5">
        <w:trPr>
          <w:jc w:val="center"/>
        </w:trPr>
        <w:tc>
          <w:tcPr>
            <w:tcW w:w="3756" w:type="dxa"/>
          </w:tcPr>
          <w:p w:rsidR="00174DFE" w:rsidRPr="001438F0" w:rsidRDefault="00174DFE" w:rsidP="006C4607">
            <w:pPr>
              <w:jc w:val="both"/>
              <w:rPr>
                <w:sz w:val="22"/>
                <w:szCs w:val="22"/>
              </w:rPr>
            </w:pPr>
            <w:r w:rsidRPr="001438F0">
              <w:rPr>
                <w:sz w:val="22"/>
                <w:szCs w:val="22"/>
              </w:rPr>
              <w:t>6.1. detalizēts ieņēmumu aprēķins</w:t>
            </w:r>
          </w:p>
        </w:tc>
        <w:tc>
          <w:tcPr>
            <w:tcW w:w="6368" w:type="dxa"/>
            <w:gridSpan w:val="5"/>
            <w:vMerge/>
          </w:tcPr>
          <w:p w:rsidR="00174DFE" w:rsidRPr="001438F0" w:rsidRDefault="00174DFE" w:rsidP="006C4607">
            <w:pPr>
              <w:pStyle w:val="naisf"/>
              <w:spacing w:before="0" w:after="0"/>
              <w:ind w:firstLine="0"/>
              <w:rPr>
                <w:b/>
                <w:i/>
                <w:sz w:val="22"/>
                <w:szCs w:val="22"/>
              </w:rPr>
            </w:pPr>
          </w:p>
        </w:tc>
      </w:tr>
      <w:tr w:rsidR="00174DFE" w:rsidRPr="001438F0" w:rsidTr="00C631B5">
        <w:trPr>
          <w:jc w:val="center"/>
        </w:trPr>
        <w:tc>
          <w:tcPr>
            <w:tcW w:w="3756" w:type="dxa"/>
          </w:tcPr>
          <w:p w:rsidR="00174DFE" w:rsidRPr="001438F0" w:rsidRDefault="00174DFE" w:rsidP="006C4607">
            <w:pPr>
              <w:jc w:val="both"/>
              <w:rPr>
                <w:sz w:val="22"/>
                <w:szCs w:val="22"/>
              </w:rPr>
            </w:pPr>
            <w:r w:rsidRPr="001438F0">
              <w:rPr>
                <w:sz w:val="22"/>
                <w:szCs w:val="22"/>
              </w:rPr>
              <w:t>6.2. detalizēts izdevumu aprēķins</w:t>
            </w:r>
          </w:p>
        </w:tc>
        <w:tc>
          <w:tcPr>
            <w:tcW w:w="6368" w:type="dxa"/>
            <w:gridSpan w:val="5"/>
            <w:vMerge/>
          </w:tcPr>
          <w:p w:rsidR="00174DFE" w:rsidRPr="001438F0" w:rsidRDefault="00174DFE" w:rsidP="006C4607">
            <w:pPr>
              <w:pStyle w:val="naisf"/>
              <w:spacing w:before="0" w:after="0"/>
              <w:ind w:firstLine="0"/>
              <w:rPr>
                <w:b/>
                <w:i/>
                <w:sz w:val="22"/>
                <w:szCs w:val="22"/>
              </w:rPr>
            </w:pPr>
          </w:p>
        </w:tc>
      </w:tr>
      <w:tr w:rsidR="00174DFE" w:rsidRPr="001438F0" w:rsidTr="00C631B5">
        <w:trPr>
          <w:jc w:val="center"/>
        </w:trPr>
        <w:tc>
          <w:tcPr>
            <w:tcW w:w="3756" w:type="dxa"/>
          </w:tcPr>
          <w:p w:rsidR="00174DFE" w:rsidRPr="001438F0" w:rsidRDefault="00174DFE" w:rsidP="006C4607">
            <w:pPr>
              <w:jc w:val="both"/>
              <w:rPr>
                <w:sz w:val="22"/>
                <w:szCs w:val="22"/>
              </w:rPr>
            </w:pPr>
            <w:r w:rsidRPr="001438F0">
              <w:rPr>
                <w:sz w:val="22"/>
                <w:szCs w:val="22"/>
              </w:rPr>
              <w:lastRenderedPageBreak/>
              <w:t>7. Cita informācija</w:t>
            </w:r>
          </w:p>
        </w:tc>
        <w:tc>
          <w:tcPr>
            <w:tcW w:w="6368" w:type="dxa"/>
            <w:gridSpan w:val="5"/>
          </w:tcPr>
          <w:p w:rsidR="00174DFE" w:rsidRPr="001438F0" w:rsidRDefault="00174DFE" w:rsidP="00C631B5">
            <w:pPr>
              <w:ind w:right="275"/>
              <w:jc w:val="both"/>
              <w:rPr>
                <w:sz w:val="22"/>
                <w:szCs w:val="22"/>
              </w:rPr>
            </w:pPr>
            <w:r w:rsidRPr="001438F0">
              <w:rPr>
                <w:sz w:val="22"/>
                <w:szCs w:val="22"/>
              </w:rPr>
              <w:t xml:space="preserve">Lai nodrošinātu funkciju politiski represētās personas statusa noteikšanai, kas ietver dokumentu pieņemšanu un iesniegumu izskatīšanu par politiski represētā statusa piešķiršanu/nepiešķiršanu, nepieciešams 2011.gadā un turpmāk normatīvajos </w:t>
            </w:r>
            <w:smartTag w:uri="schemas-tilde-lv/tildestengine" w:element="veidnes">
              <w:smartTagPr>
                <w:attr w:name="baseform" w:val="akt|s"/>
                <w:attr w:name="id" w:val="-1"/>
                <w:attr w:name="text" w:val="aktos"/>
              </w:smartTagPr>
              <w:r w:rsidRPr="001438F0">
                <w:rPr>
                  <w:sz w:val="22"/>
                  <w:szCs w:val="22"/>
                </w:rPr>
                <w:t>aktos</w:t>
              </w:r>
            </w:smartTag>
            <w:r w:rsidRPr="001438F0">
              <w:rPr>
                <w:sz w:val="22"/>
                <w:szCs w:val="22"/>
              </w:rPr>
              <w:t xml:space="preserve"> noteiktajā kārtībā palielināt dotāciju no vispārējiem ieņēmumiem Iekšlietu ministrijas budžeta programmai 11.00.00 „Pilsonības un migrācijas lietas” izdevumu segšanai Ls 16 999 apmērā.</w:t>
            </w:r>
          </w:p>
          <w:p w:rsidR="00174DFE" w:rsidRPr="001438F0" w:rsidRDefault="00174DFE" w:rsidP="00C631B5">
            <w:pPr>
              <w:ind w:right="275"/>
              <w:jc w:val="both"/>
              <w:rPr>
                <w:sz w:val="22"/>
                <w:szCs w:val="22"/>
              </w:rPr>
            </w:pPr>
          </w:p>
          <w:p w:rsidR="00174DFE" w:rsidRPr="001438F0" w:rsidRDefault="00174DFE" w:rsidP="00C631B5">
            <w:pPr>
              <w:pStyle w:val="Header"/>
              <w:rPr>
                <w:sz w:val="22"/>
                <w:szCs w:val="22"/>
              </w:rPr>
            </w:pPr>
            <w:r w:rsidRPr="001438F0">
              <w:rPr>
                <w:sz w:val="22"/>
                <w:szCs w:val="22"/>
              </w:rPr>
              <w:t xml:space="preserve">* saskaņā ar Grozījumi Ministru kabineta 2010.gada 18.maija noteikumos Nr.461 "Noteikumi par Profesiju klasifikatoru, profesijai atbilstošiem pamatuzdevumiem un kvalifikācijas pamatprasībām un </w:t>
            </w:r>
            <w:r w:rsidRPr="001438F0">
              <w:rPr>
                <w:sz w:val="22"/>
                <w:szCs w:val="22"/>
              </w:rPr>
              <w:lastRenderedPageBreak/>
              <w:t>Profesiju klasifikatora lietošanas un aktualizēšanas kārtību",</w:t>
            </w:r>
          </w:p>
          <w:p w:rsidR="00174DFE" w:rsidRPr="001438F0" w:rsidRDefault="00174DFE" w:rsidP="00C631B5">
            <w:pPr>
              <w:pStyle w:val="naisf"/>
              <w:tabs>
                <w:tab w:val="left" w:pos="4644"/>
              </w:tabs>
              <w:spacing w:before="0" w:after="0"/>
              <w:ind w:firstLine="0"/>
              <w:rPr>
                <w:b/>
                <w:i/>
                <w:sz w:val="22"/>
                <w:szCs w:val="22"/>
              </w:rPr>
            </w:pPr>
            <w:r w:rsidRPr="001438F0">
              <w:rPr>
                <w:sz w:val="22"/>
                <w:szCs w:val="22"/>
              </w:rPr>
              <w:t xml:space="preserve">**saskaņā ar </w:t>
            </w:r>
            <w:hyperlink r:id="rId7" w:tgtFrame="_blank" w:tooltip="Spēkā esošs" w:history="1">
              <w:r w:rsidRPr="001438F0">
                <w:rPr>
                  <w:rStyle w:val="Hyperlink"/>
                  <w:bCs/>
                  <w:color w:val="2E2E2E"/>
                  <w:sz w:val="22"/>
                  <w:szCs w:val="22"/>
                  <w:u w:val="none"/>
                </w:rPr>
                <w:t>Ministru kabineta noteikumiem Nr.1651 "Noteikumi par valsts un pašvaldību institūciju amatpersonu un darbinieku darba samaksu, kvalifikācijas pakāpēm un to noteikšanas kārtību</w:t>
              </w:r>
            </w:hyperlink>
            <w:r w:rsidRPr="001438F0">
              <w:rPr>
                <w:bCs/>
                <w:color w:val="838383"/>
                <w:sz w:val="22"/>
                <w:szCs w:val="22"/>
              </w:rPr>
              <w:t>”.</w:t>
            </w:r>
          </w:p>
        </w:tc>
      </w:tr>
    </w:tbl>
    <w:p w:rsidR="00924023" w:rsidRPr="001438F0" w:rsidRDefault="00924023" w:rsidP="006C4607">
      <w:pPr>
        <w:pStyle w:val="naiskr"/>
        <w:tabs>
          <w:tab w:val="left" w:pos="2628"/>
        </w:tabs>
        <w:spacing w:before="0" w:after="0"/>
        <w:rPr>
          <w:i/>
          <w:sz w:val="22"/>
          <w:szCs w:val="22"/>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977"/>
        <w:gridCol w:w="6323"/>
      </w:tblGrid>
      <w:tr w:rsidR="00924023" w:rsidRPr="001438F0" w:rsidTr="00711F59">
        <w:trPr>
          <w:jc w:val="center"/>
        </w:trPr>
        <w:tc>
          <w:tcPr>
            <w:tcW w:w="10098" w:type="dxa"/>
            <w:gridSpan w:val="3"/>
          </w:tcPr>
          <w:p w:rsidR="00924023" w:rsidRPr="001438F0" w:rsidRDefault="00924023" w:rsidP="00711F59">
            <w:pPr>
              <w:pStyle w:val="naisnod"/>
              <w:spacing w:before="0" w:after="0"/>
              <w:rPr>
                <w:sz w:val="22"/>
                <w:szCs w:val="22"/>
              </w:rPr>
            </w:pPr>
            <w:r w:rsidRPr="001438F0">
              <w:rPr>
                <w:sz w:val="22"/>
                <w:szCs w:val="22"/>
              </w:rPr>
              <w:t>IV</w:t>
            </w:r>
            <w:r w:rsidR="000941C5" w:rsidRPr="001438F0">
              <w:rPr>
                <w:sz w:val="22"/>
                <w:szCs w:val="22"/>
              </w:rPr>
              <w:t>.</w:t>
            </w:r>
            <w:r w:rsidRPr="001438F0">
              <w:rPr>
                <w:sz w:val="22"/>
                <w:szCs w:val="22"/>
              </w:rPr>
              <w:t xml:space="preserve"> Tiesību akta projekta ietekme uz</w:t>
            </w:r>
            <w:r w:rsidR="005060A1" w:rsidRPr="001438F0">
              <w:rPr>
                <w:sz w:val="22"/>
                <w:szCs w:val="22"/>
              </w:rPr>
              <w:t xml:space="preserve"> </w:t>
            </w:r>
            <w:r w:rsidRPr="001438F0">
              <w:rPr>
                <w:sz w:val="22"/>
                <w:szCs w:val="22"/>
              </w:rPr>
              <w:t>spēkā esošo tiesību normu sistēmu</w:t>
            </w:r>
          </w:p>
        </w:tc>
      </w:tr>
      <w:tr w:rsidR="00924023" w:rsidRPr="001438F0" w:rsidTr="00942298">
        <w:trPr>
          <w:jc w:val="center"/>
        </w:trPr>
        <w:tc>
          <w:tcPr>
            <w:tcW w:w="798" w:type="dxa"/>
          </w:tcPr>
          <w:p w:rsidR="00924023" w:rsidRPr="001438F0" w:rsidRDefault="00924023" w:rsidP="00711F59">
            <w:pPr>
              <w:pStyle w:val="naiskr"/>
              <w:tabs>
                <w:tab w:val="left" w:pos="2628"/>
              </w:tabs>
              <w:spacing w:before="0" w:after="0"/>
              <w:jc w:val="both"/>
              <w:rPr>
                <w:iCs/>
                <w:sz w:val="22"/>
                <w:szCs w:val="22"/>
              </w:rPr>
            </w:pPr>
            <w:r w:rsidRPr="001438F0">
              <w:rPr>
                <w:iCs/>
                <w:sz w:val="22"/>
                <w:szCs w:val="22"/>
              </w:rPr>
              <w:t>1.</w:t>
            </w:r>
          </w:p>
        </w:tc>
        <w:tc>
          <w:tcPr>
            <w:tcW w:w="2977" w:type="dxa"/>
          </w:tcPr>
          <w:p w:rsidR="00924023" w:rsidRPr="001438F0" w:rsidRDefault="00924023" w:rsidP="00711F59">
            <w:pPr>
              <w:pStyle w:val="naiskr"/>
              <w:tabs>
                <w:tab w:val="left" w:pos="2628"/>
              </w:tabs>
              <w:spacing w:before="0" w:after="0"/>
              <w:jc w:val="both"/>
              <w:rPr>
                <w:iCs/>
                <w:sz w:val="22"/>
                <w:szCs w:val="22"/>
              </w:rPr>
            </w:pPr>
            <w:r w:rsidRPr="001438F0">
              <w:rPr>
                <w:sz w:val="22"/>
                <w:szCs w:val="22"/>
              </w:rPr>
              <w:t>Nepieciešamie saistītie tiesību akt</w:t>
            </w:r>
            <w:r w:rsidR="00DD1020" w:rsidRPr="001438F0">
              <w:rPr>
                <w:sz w:val="22"/>
                <w:szCs w:val="22"/>
              </w:rPr>
              <w:t>u</w:t>
            </w:r>
            <w:r w:rsidRPr="001438F0">
              <w:rPr>
                <w:sz w:val="22"/>
                <w:szCs w:val="22"/>
              </w:rPr>
              <w:t xml:space="preserve"> projekti</w:t>
            </w:r>
          </w:p>
        </w:tc>
        <w:tc>
          <w:tcPr>
            <w:tcW w:w="6323" w:type="dxa"/>
          </w:tcPr>
          <w:p w:rsidR="009203E3" w:rsidRPr="001438F0" w:rsidRDefault="009E3DB9" w:rsidP="00CE0898">
            <w:pPr>
              <w:pStyle w:val="naiskr"/>
              <w:tabs>
                <w:tab w:val="left" w:pos="2628"/>
              </w:tabs>
              <w:spacing w:before="0" w:after="0"/>
              <w:jc w:val="both"/>
              <w:rPr>
                <w:iCs/>
                <w:sz w:val="22"/>
                <w:szCs w:val="22"/>
              </w:rPr>
            </w:pPr>
            <w:r w:rsidRPr="001438F0">
              <w:rPr>
                <w:iCs/>
                <w:sz w:val="22"/>
                <w:szCs w:val="22"/>
              </w:rPr>
              <w:t>Saskaņā ar l</w:t>
            </w:r>
            <w:r w:rsidR="00CE0898" w:rsidRPr="001438F0">
              <w:rPr>
                <w:iCs/>
                <w:sz w:val="22"/>
                <w:szCs w:val="22"/>
              </w:rPr>
              <w:t xml:space="preserve">ikuma „Par politiski represētās personas statusa noteikšanu komunistiskajā un nacistiskajā režīmā cietušajiem” 12.pantā </w:t>
            </w:r>
            <w:r w:rsidRPr="001438F0">
              <w:rPr>
                <w:iCs/>
                <w:sz w:val="22"/>
                <w:szCs w:val="22"/>
              </w:rPr>
              <w:t>ietverto pilnvarojumu</w:t>
            </w:r>
            <w:r w:rsidR="00CE0898" w:rsidRPr="001438F0">
              <w:rPr>
                <w:iCs/>
                <w:sz w:val="22"/>
                <w:szCs w:val="22"/>
              </w:rPr>
              <w:t xml:space="preserve"> Ministru kabinet</w:t>
            </w:r>
            <w:r w:rsidRPr="001438F0">
              <w:rPr>
                <w:iCs/>
                <w:sz w:val="22"/>
                <w:szCs w:val="22"/>
              </w:rPr>
              <w:t xml:space="preserve">s </w:t>
            </w:r>
            <w:r w:rsidR="00DD7490" w:rsidRPr="001438F0">
              <w:rPr>
                <w:iCs/>
                <w:sz w:val="22"/>
                <w:szCs w:val="22"/>
              </w:rPr>
              <w:t xml:space="preserve">1996.gada 22.oktobrī </w:t>
            </w:r>
            <w:r w:rsidRPr="001438F0">
              <w:rPr>
                <w:iCs/>
                <w:sz w:val="22"/>
                <w:szCs w:val="22"/>
              </w:rPr>
              <w:t>izdevis Ministru kabineta noteikumus</w:t>
            </w:r>
            <w:r w:rsidR="00DD7490" w:rsidRPr="001438F0">
              <w:rPr>
                <w:iCs/>
                <w:sz w:val="22"/>
                <w:szCs w:val="22"/>
              </w:rPr>
              <w:t xml:space="preserve"> Nr.408 „Noteikumi par politiski represēto personu uzskaiti, politiski represēto personu apliecību izsniegšanu un minēto apliecību uzskaiti”. </w:t>
            </w:r>
            <w:r w:rsidR="009203E3" w:rsidRPr="001438F0">
              <w:rPr>
                <w:iCs/>
                <w:sz w:val="22"/>
                <w:szCs w:val="22"/>
              </w:rPr>
              <w:t xml:space="preserve"> </w:t>
            </w:r>
          </w:p>
          <w:p w:rsidR="009E3DB9" w:rsidRPr="001438F0" w:rsidRDefault="009E3DB9" w:rsidP="00EE2BE1">
            <w:pPr>
              <w:pStyle w:val="naiskr"/>
              <w:tabs>
                <w:tab w:val="left" w:pos="2628"/>
              </w:tabs>
              <w:spacing w:before="0" w:after="0"/>
              <w:jc w:val="both"/>
              <w:rPr>
                <w:iCs/>
                <w:sz w:val="22"/>
                <w:szCs w:val="22"/>
              </w:rPr>
            </w:pPr>
            <w:r w:rsidRPr="001438F0">
              <w:rPr>
                <w:iCs/>
                <w:sz w:val="22"/>
                <w:szCs w:val="22"/>
              </w:rPr>
              <w:t>Līdz 201</w:t>
            </w:r>
            <w:r w:rsidR="0037765A" w:rsidRPr="001438F0">
              <w:rPr>
                <w:iCs/>
                <w:sz w:val="22"/>
                <w:szCs w:val="22"/>
              </w:rPr>
              <w:t>2</w:t>
            </w:r>
            <w:r w:rsidRPr="001438F0">
              <w:rPr>
                <w:iCs/>
                <w:sz w:val="22"/>
                <w:szCs w:val="22"/>
              </w:rPr>
              <w:t>.gada 1.</w:t>
            </w:r>
            <w:r w:rsidR="0037765A" w:rsidRPr="001438F0">
              <w:rPr>
                <w:iCs/>
                <w:sz w:val="22"/>
                <w:szCs w:val="22"/>
              </w:rPr>
              <w:t>janvārim</w:t>
            </w:r>
            <w:r w:rsidRPr="001438F0">
              <w:rPr>
                <w:iCs/>
                <w:sz w:val="22"/>
                <w:szCs w:val="22"/>
              </w:rPr>
              <w:t xml:space="preserve"> izstrādājami </w:t>
            </w:r>
            <w:r w:rsidR="0037765A" w:rsidRPr="001438F0">
              <w:rPr>
                <w:iCs/>
                <w:sz w:val="22"/>
                <w:szCs w:val="22"/>
              </w:rPr>
              <w:t>grozījumi Ministru kabineta noteikum</w:t>
            </w:r>
            <w:r w:rsidR="00EE2BE1" w:rsidRPr="001438F0">
              <w:rPr>
                <w:iCs/>
                <w:sz w:val="22"/>
                <w:szCs w:val="22"/>
              </w:rPr>
              <w:t>o</w:t>
            </w:r>
            <w:r w:rsidR="0037765A" w:rsidRPr="001438F0">
              <w:rPr>
                <w:iCs/>
                <w:sz w:val="22"/>
                <w:szCs w:val="22"/>
              </w:rPr>
              <w:t>s</w:t>
            </w:r>
            <w:r w:rsidRPr="001438F0">
              <w:rPr>
                <w:iCs/>
                <w:sz w:val="22"/>
                <w:szCs w:val="22"/>
              </w:rPr>
              <w:t xml:space="preserve"> par politiski represēto personu apliecību uzskaiti, izsniegšanas un izmantošanas kārtību, kā arī par politiski represēto personu uzskaites kārtību. Par Ministru kabineta noteikumu izstrādi atbildīgā iestāde ir Iekšlietu ministrija.</w:t>
            </w:r>
          </w:p>
        </w:tc>
      </w:tr>
      <w:tr w:rsidR="00924023" w:rsidRPr="001438F0" w:rsidTr="00942298">
        <w:trPr>
          <w:jc w:val="center"/>
        </w:trPr>
        <w:tc>
          <w:tcPr>
            <w:tcW w:w="798" w:type="dxa"/>
          </w:tcPr>
          <w:p w:rsidR="00924023" w:rsidRPr="001438F0" w:rsidRDefault="00924023" w:rsidP="00711F59">
            <w:pPr>
              <w:pStyle w:val="naiskr"/>
              <w:tabs>
                <w:tab w:val="left" w:pos="2628"/>
              </w:tabs>
              <w:spacing w:before="0" w:after="0"/>
              <w:jc w:val="both"/>
              <w:rPr>
                <w:iCs/>
                <w:sz w:val="22"/>
                <w:szCs w:val="22"/>
              </w:rPr>
            </w:pPr>
            <w:r w:rsidRPr="001438F0">
              <w:rPr>
                <w:iCs/>
                <w:sz w:val="22"/>
                <w:szCs w:val="22"/>
              </w:rPr>
              <w:t>2.</w:t>
            </w:r>
          </w:p>
        </w:tc>
        <w:tc>
          <w:tcPr>
            <w:tcW w:w="2977" w:type="dxa"/>
          </w:tcPr>
          <w:p w:rsidR="00924023" w:rsidRPr="001438F0" w:rsidRDefault="00924023" w:rsidP="00711F59">
            <w:pPr>
              <w:pStyle w:val="naiskr"/>
              <w:tabs>
                <w:tab w:val="left" w:pos="2628"/>
              </w:tabs>
              <w:spacing w:before="0" w:after="0"/>
              <w:jc w:val="both"/>
              <w:rPr>
                <w:iCs/>
                <w:sz w:val="22"/>
                <w:szCs w:val="22"/>
              </w:rPr>
            </w:pPr>
            <w:r w:rsidRPr="001438F0">
              <w:rPr>
                <w:sz w:val="22"/>
                <w:szCs w:val="22"/>
              </w:rPr>
              <w:t>Cita informācija</w:t>
            </w:r>
          </w:p>
        </w:tc>
        <w:tc>
          <w:tcPr>
            <w:tcW w:w="6323" w:type="dxa"/>
          </w:tcPr>
          <w:p w:rsidR="00924023" w:rsidRPr="001438F0" w:rsidRDefault="009E3DB9" w:rsidP="00711F59">
            <w:pPr>
              <w:pStyle w:val="naiskr"/>
              <w:tabs>
                <w:tab w:val="left" w:pos="2628"/>
              </w:tabs>
              <w:spacing w:before="0" w:after="0"/>
              <w:jc w:val="both"/>
              <w:rPr>
                <w:iCs/>
                <w:sz w:val="22"/>
                <w:szCs w:val="22"/>
              </w:rPr>
            </w:pPr>
            <w:r w:rsidRPr="001438F0">
              <w:rPr>
                <w:sz w:val="22"/>
                <w:szCs w:val="22"/>
              </w:rPr>
              <w:t>Nav</w:t>
            </w:r>
          </w:p>
        </w:tc>
      </w:tr>
    </w:tbl>
    <w:p w:rsidR="00C31E36" w:rsidRPr="001438F0" w:rsidRDefault="00C31E36" w:rsidP="00C31E36">
      <w:pPr>
        <w:ind w:firstLine="720"/>
        <w:jc w:val="both"/>
        <w:rPr>
          <w:sz w:val="22"/>
          <w:szCs w:val="22"/>
        </w:rPr>
      </w:pPr>
    </w:p>
    <w:p w:rsidR="006270AE" w:rsidRPr="00D15CE3" w:rsidRDefault="00A61C6A" w:rsidP="00D15CE3">
      <w:pPr>
        <w:ind w:firstLine="720"/>
        <w:jc w:val="both"/>
        <w:rPr>
          <w:b/>
          <w:sz w:val="22"/>
          <w:szCs w:val="22"/>
        </w:rPr>
      </w:pPr>
      <w:proofErr w:type="spellStart"/>
      <w:r w:rsidRPr="001438F0">
        <w:rPr>
          <w:b/>
          <w:sz w:val="22"/>
          <w:szCs w:val="22"/>
        </w:rPr>
        <w:t>V.sadaļa</w:t>
      </w:r>
      <w:proofErr w:type="spellEnd"/>
      <w:r w:rsidRPr="001438F0">
        <w:rPr>
          <w:b/>
          <w:sz w:val="22"/>
          <w:szCs w:val="22"/>
        </w:rPr>
        <w:t xml:space="preserve"> - Nav attiecināma</w:t>
      </w:r>
    </w:p>
    <w:p w:rsidR="00E46559" w:rsidRPr="001438F0" w:rsidRDefault="00E46559" w:rsidP="006C4607">
      <w:pPr>
        <w:pStyle w:val="naisf"/>
        <w:spacing w:before="0" w:after="0"/>
        <w:jc w:val="center"/>
        <w:rPr>
          <w:b/>
          <w:sz w:val="22"/>
          <w:szCs w:val="22"/>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3403"/>
        <w:gridCol w:w="6402"/>
      </w:tblGrid>
      <w:tr w:rsidR="00277929" w:rsidRPr="001438F0" w:rsidTr="00FD2A8A">
        <w:trPr>
          <w:jc w:val="center"/>
        </w:trPr>
        <w:tc>
          <w:tcPr>
            <w:tcW w:w="10256" w:type="dxa"/>
            <w:gridSpan w:val="3"/>
          </w:tcPr>
          <w:p w:rsidR="00277929" w:rsidRPr="001438F0" w:rsidRDefault="00277929" w:rsidP="007D099D">
            <w:pPr>
              <w:pStyle w:val="naisnod"/>
              <w:spacing w:before="0" w:after="0"/>
              <w:ind w:left="57" w:right="57"/>
              <w:rPr>
                <w:sz w:val="22"/>
                <w:szCs w:val="22"/>
              </w:rPr>
            </w:pPr>
            <w:r w:rsidRPr="001438F0">
              <w:rPr>
                <w:sz w:val="22"/>
                <w:szCs w:val="22"/>
              </w:rPr>
              <w:t>VI</w:t>
            </w:r>
            <w:r w:rsidR="000941C5" w:rsidRPr="001438F0">
              <w:rPr>
                <w:sz w:val="22"/>
                <w:szCs w:val="22"/>
              </w:rPr>
              <w:t>.</w:t>
            </w:r>
            <w:r w:rsidRPr="001438F0">
              <w:rPr>
                <w:sz w:val="22"/>
                <w:szCs w:val="22"/>
              </w:rPr>
              <w:t xml:space="preserve"> Sabiedrības līdzdalība un šīs līdzdalības rezultāti</w:t>
            </w:r>
          </w:p>
        </w:tc>
      </w:tr>
      <w:tr w:rsidR="00183CC2" w:rsidRPr="001438F0" w:rsidTr="00942298">
        <w:trPr>
          <w:trHeight w:val="553"/>
          <w:jc w:val="center"/>
        </w:trPr>
        <w:tc>
          <w:tcPr>
            <w:tcW w:w="451" w:type="dxa"/>
          </w:tcPr>
          <w:p w:rsidR="00183CC2" w:rsidRPr="001438F0" w:rsidRDefault="00183CC2" w:rsidP="007D099D">
            <w:pPr>
              <w:pStyle w:val="naiskr"/>
              <w:spacing w:before="0" w:after="0"/>
              <w:ind w:left="57" w:right="57"/>
              <w:rPr>
                <w:bCs/>
                <w:sz w:val="22"/>
                <w:szCs w:val="22"/>
              </w:rPr>
            </w:pPr>
            <w:r w:rsidRPr="001438F0">
              <w:rPr>
                <w:bCs/>
                <w:sz w:val="22"/>
                <w:szCs w:val="22"/>
              </w:rPr>
              <w:t>1.</w:t>
            </w:r>
          </w:p>
        </w:tc>
        <w:tc>
          <w:tcPr>
            <w:tcW w:w="3403" w:type="dxa"/>
          </w:tcPr>
          <w:p w:rsidR="00183CC2" w:rsidRPr="001438F0" w:rsidRDefault="00183CC2" w:rsidP="007D099D">
            <w:pPr>
              <w:pStyle w:val="naiskr"/>
              <w:tabs>
                <w:tab w:val="left" w:pos="170"/>
              </w:tabs>
              <w:spacing w:before="0" w:after="0"/>
              <w:ind w:left="57" w:right="57"/>
              <w:rPr>
                <w:sz w:val="22"/>
                <w:szCs w:val="22"/>
              </w:rPr>
            </w:pPr>
            <w:r w:rsidRPr="001438F0">
              <w:rPr>
                <w:sz w:val="22"/>
                <w:szCs w:val="22"/>
              </w:rPr>
              <w:t>Sabiedrības informēšana par projekta izstrādes uzsākšanu</w:t>
            </w:r>
          </w:p>
        </w:tc>
        <w:tc>
          <w:tcPr>
            <w:tcW w:w="6402" w:type="dxa"/>
          </w:tcPr>
          <w:p w:rsidR="00183CC2" w:rsidRPr="001438F0" w:rsidRDefault="00B30322" w:rsidP="0005468F">
            <w:pPr>
              <w:pStyle w:val="naiskr"/>
              <w:spacing w:before="0" w:after="0"/>
              <w:ind w:left="57" w:right="57"/>
              <w:jc w:val="both"/>
              <w:rPr>
                <w:sz w:val="22"/>
                <w:szCs w:val="22"/>
              </w:rPr>
            </w:pPr>
            <w:r w:rsidRPr="001438F0">
              <w:rPr>
                <w:sz w:val="22"/>
                <w:szCs w:val="22"/>
              </w:rPr>
              <w:t xml:space="preserve">Saeimas Cilvēktiesību un sabiedrisko lietu komisijas sēdēs, kurās izskatīja Latvijas Politiski represēto apvienības priekšlikumu par politiski represētās personas statusa piešķiršanas centralizēšanu </w:t>
            </w:r>
            <w:r w:rsidR="0005468F" w:rsidRPr="001438F0">
              <w:rPr>
                <w:sz w:val="22"/>
                <w:szCs w:val="22"/>
              </w:rPr>
              <w:t>–</w:t>
            </w:r>
            <w:r w:rsidRPr="001438F0">
              <w:rPr>
                <w:sz w:val="22"/>
                <w:szCs w:val="22"/>
              </w:rPr>
              <w:t xml:space="preserve"> </w:t>
            </w:r>
            <w:r w:rsidR="0005468F" w:rsidRPr="001438F0">
              <w:rPr>
                <w:sz w:val="22"/>
                <w:szCs w:val="22"/>
              </w:rPr>
              <w:t xml:space="preserve">2010.gada 18.maijā, </w:t>
            </w:r>
            <w:r w:rsidRPr="001438F0">
              <w:rPr>
                <w:sz w:val="22"/>
                <w:szCs w:val="22"/>
              </w:rPr>
              <w:t xml:space="preserve">2010.gada 30.novembrī, 2010.gada 21.decembrī un 2011.gada </w:t>
            </w:r>
            <w:r w:rsidR="00076E86" w:rsidRPr="001438F0">
              <w:rPr>
                <w:sz w:val="22"/>
                <w:szCs w:val="22"/>
              </w:rPr>
              <w:t xml:space="preserve"> </w:t>
            </w:r>
            <w:r w:rsidRPr="001438F0">
              <w:rPr>
                <w:sz w:val="22"/>
                <w:szCs w:val="22"/>
              </w:rPr>
              <w:t xml:space="preserve">18.janvārī </w:t>
            </w:r>
            <w:r w:rsidR="0005468F" w:rsidRPr="001438F0">
              <w:rPr>
                <w:sz w:val="22"/>
                <w:szCs w:val="22"/>
              </w:rPr>
              <w:t xml:space="preserve">– piedalījās arī Latvijas Politiski represēto apvienības pārstāvji. Komisijas sēdēs 2010.gada 30.novembrī, 2010.gada 21.decembrī un 2011.gada  18.janvārī piedalījās arī Latvijas Pašvaldību savienības pārstāvji, līdz ar to Latvijas Politiski represēto apvienība  un Latvijas Pašvaldību savienība ir informēta par likumprojekta izstrādes uzsākšanu. </w:t>
            </w:r>
          </w:p>
        </w:tc>
      </w:tr>
      <w:tr w:rsidR="00277929" w:rsidRPr="001438F0" w:rsidTr="00942298">
        <w:trPr>
          <w:trHeight w:val="339"/>
          <w:jc w:val="center"/>
        </w:trPr>
        <w:tc>
          <w:tcPr>
            <w:tcW w:w="451" w:type="dxa"/>
          </w:tcPr>
          <w:p w:rsidR="00277929" w:rsidRPr="001438F0" w:rsidRDefault="00183CC2" w:rsidP="007D099D">
            <w:pPr>
              <w:pStyle w:val="naiskr"/>
              <w:spacing w:before="0" w:after="0"/>
              <w:ind w:left="57" w:right="57"/>
              <w:rPr>
                <w:bCs/>
                <w:sz w:val="22"/>
                <w:szCs w:val="22"/>
              </w:rPr>
            </w:pPr>
            <w:r w:rsidRPr="001438F0">
              <w:rPr>
                <w:bCs/>
                <w:sz w:val="22"/>
                <w:szCs w:val="22"/>
              </w:rPr>
              <w:t>2</w:t>
            </w:r>
            <w:r w:rsidR="00277929" w:rsidRPr="001438F0">
              <w:rPr>
                <w:bCs/>
                <w:sz w:val="22"/>
                <w:szCs w:val="22"/>
              </w:rPr>
              <w:t>.</w:t>
            </w:r>
          </w:p>
        </w:tc>
        <w:tc>
          <w:tcPr>
            <w:tcW w:w="3403" w:type="dxa"/>
          </w:tcPr>
          <w:p w:rsidR="00277929" w:rsidRPr="001438F0" w:rsidRDefault="00E179CD" w:rsidP="007D099D">
            <w:pPr>
              <w:pStyle w:val="naiskr"/>
              <w:spacing w:before="0" w:after="0"/>
              <w:ind w:left="57" w:right="57"/>
              <w:rPr>
                <w:sz w:val="22"/>
                <w:szCs w:val="22"/>
              </w:rPr>
            </w:pPr>
            <w:r w:rsidRPr="001438F0">
              <w:rPr>
                <w:sz w:val="22"/>
                <w:szCs w:val="22"/>
              </w:rPr>
              <w:t>S</w:t>
            </w:r>
            <w:r w:rsidR="00DB073B" w:rsidRPr="001438F0">
              <w:rPr>
                <w:sz w:val="22"/>
                <w:szCs w:val="22"/>
              </w:rPr>
              <w:t>abiedrības</w:t>
            </w:r>
            <w:r w:rsidR="00B73166" w:rsidRPr="001438F0">
              <w:rPr>
                <w:sz w:val="22"/>
                <w:szCs w:val="22"/>
              </w:rPr>
              <w:t xml:space="preserve"> </w:t>
            </w:r>
            <w:r w:rsidR="00DB073B" w:rsidRPr="001438F0">
              <w:rPr>
                <w:sz w:val="22"/>
                <w:szCs w:val="22"/>
              </w:rPr>
              <w:t>līdzdalība</w:t>
            </w:r>
            <w:r w:rsidR="00B73166" w:rsidRPr="001438F0">
              <w:rPr>
                <w:sz w:val="22"/>
                <w:szCs w:val="22"/>
              </w:rPr>
              <w:t xml:space="preserve"> </w:t>
            </w:r>
            <w:r w:rsidR="00AB2B1A" w:rsidRPr="001438F0">
              <w:rPr>
                <w:sz w:val="22"/>
                <w:szCs w:val="22"/>
              </w:rPr>
              <w:t>projekta izstrādē</w:t>
            </w:r>
            <w:r w:rsidR="00DB073B" w:rsidRPr="001438F0">
              <w:rPr>
                <w:sz w:val="22"/>
                <w:szCs w:val="22"/>
              </w:rPr>
              <w:t xml:space="preserve"> </w:t>
            </w:r>
          </w:p>
        </w:tc>
        <w:tc>
          <w:tcPr>
            <w:tcW w:w="6402" w:type="dxa"/>
          </w:tcPr>
          <w:p w:rsidR="00277929" w:rsidRPr="001438F0" w:rsidRDefault="0005468F" w:rsidP="0005468F">
            <w:pPr>
              <w:pStyle w:val="naiskr"/>
              <w:spacing w:before="0" w:after="0"/>
              <w:ind w:left="57" w:right="57"/>
              <w:jc w:val="both"/>
              <w:rPr>
                <w:sz w:val="22"/>
                <w:szCs w:val="22"/>
              </w:rPr>
            </w:pPr>
            <w:r w:rsidRPr="001438F0">
              <w:rPr>
                <w:iCs/>
                <w:sz w:val="22"/>
                <w:szCs w:val="22"/>
              </w:rPr>
              <w:t xml:space="preserve">Ņemot vērā to, ka </w:t>
            </w:r>
            <w:r w:rsidRPr="001438F0">
              <w:rPr>
                <w:sz w:val="22"/>
                <w:szCs w:val="22"/>
              </w:rPr>
              <w:t xml:space="preserve">Latvijas Politiski represēto apvienības  un Latvijas Pašvaldību savienības pārstāvji piedalījās Saeimas Cilvēktiesību un sabiedrisko lietu komisijas sēdēs, kurās izskatīja jautājumu par likumprojekta izstrādi, ir uzklausīts minēto organizāciju viedoklis par likumprojekta izstrādi un notikušas konsultācijas.  </w:t>
            </w:r>
          </w:p>
        </w:tc>
      </w:tr>
      <w:tr w:rsidR="00277929" w:rsidRPr="001438F0" w:rsidTr="00942298">
        <w:trPr>
          <w:trHeight w:val="375"/>
          <w:jc w:val="center"/>
        </w:trPr>
        <w:tc>
          <w:tcPr>
            <w:tcW w:w="451" w:type="dxa"/>
          </w:tcPr>
          <w:p w:rsidR="00277929" w:rsidRPr="001438F0" w:rsidRDefault="00183CC2" w:rsidP="007D099D">
            <w:pPr>
              <w:pStyle w:val="naiskr"/>
              <w:spacing w:before="0" w:after="0"/>
              <w:ind w:left="57" w:right="57"/>
              <w:rPr>
                <w:bCs/>
                <w:sz w:val="22"/>
                <w:szCs w:val="22"/>
              </w:rPr>
            </w:pPr>
            <w:r w:rsidRPr="001438F0">
              <w:rPr>
                <w:bCs/>
                <w:sz w:val="22"/>
                <w:szCs w:val="22"/>
              </w:rPr>
              <w:t>3</w:t>
            </w:r>
            <w:r w:rsidR="00277929" w:rsidRPr="001438F0">
              <w:rPr>
                <w:bCs/>
                <w:sz w:val="22"/>
                <w:szCs w:val="22"/>
              </w:rPr>
              <w:t>.</w:t>
            </w:r>
          </w:p>
        </w:tc>
        <w:tc>
          <w:tcPr>
            <w:tcW w:w="3403" w:type="dxa"/>
          </w:tcPr>
          <w:p w:rsidR="00784422" w:rsidRPr="001438F0" w:rsidRDefault="00DB78F0" w:rsidP="007D099D">
            <w:pPr>
              <w:pStyle w:val="naiskr"/>
              <w:spacing w:before="0" w:after="0"/>
              <w:ind w:left="57" w:right="57"/>
              <w:rPr>
                <w:sz w:val="22"/>
                <w:szCs w:val="22"/>
              </w:rPr>
            </w:pPr>
            <w:r w:rsidRPr="001438F0">
              <w:rPr>
                <w:sz w:val="22"/>
                <w:szCs w:val="22"/>
              </w:rPr>
              <w:t xml:space="preserve">Sabiedrības līdzdalības rezultāti </w:t>
            </w:r>
          </w:p>
        </w:tc>
        <w:tc>
          <w:tcPr>
            <w:tcW w:w="6402" w:type="dxa"/>
          </w:tcPr>
          <w:p w:rsidR="009C17FD" w:rsidRPr="001438F0" w:rsidRDefault="0005468F" w:rsidP="0005468F">
            <w:pPr>
              <w:pStyle w:val="naiskr"/>
              <w:spacing w:before="0" w:after="0"/>
              <w:ind w:left="57" w:right="57"/>
              <w:jc w:val="both"/>
              <w:rPr>
                <w:sz w:val="22"/>
                <w:szCs w:val="22"/>
              </w:rPr>
            </w:pPr>
            <w:r w:rsidRPr="001438F0">
              <w:rPr>
                <w:iCs/>
                <w:sz w:val="22"/>
                <w:szCs w:val="22"/>
              </w:rPr>
              <w:t xml:space="preserve">Latvijas Politiski </w:t>
            </w:r>
            <w:r w:rsidRPr="001438F0">
              <w:rPr>
                <w:sz w:val="22"/>
                <w:szCs w:val="22"/>
              </w:rPr>
              <w:t xml:space="preserve"> represēto apvienība atbalsta politiski represētās personas statusa piešķiršanas centralizēšanu un izteica </w:t>
            </w:r>
            <w:r w:rsidR="00194F2C" w:rsidRPr="001438F0">
              <w:rPr>
                <w:sz w:val="22"/>
                <w:szCs w:val="22"/>
              </w:rPr>
              <w:t>priekšlikumu</w:t>
            </w:r>
            <w:r w:rsidR="009C17FD" w:rsidRPr="001438F0">
              <w:rPr>
                <w:sz w:val="22"/>
                <w:szCs w:val="22"/>
              </w:rPr>
              <w:t xml:space="preserve"> arī turpmāk</w:t>
            </w:r>
            <w:r w:rsidR="00194F2C" w:rsidRPr="001438F0">
              <w:rPr>
                <w:sz w:val="22"/>
                <w:szCs w:val="22"/>
              </w:rPr>
              <w:t xml:space="preserve"> </w:t>
            </w:r>
            <w:r w:rsidR="009C17FD" w:rsidRPr="001438F0">
              <w:rPr>
                <w:sz w:val="22"/>
                <w:szCs w:val="22"/>
              </w:rPr>
              <w:t xml:space="preserve">līdzdarboties politiski represētās personas statusa piešķiršanā, </w:t>
            </w:r>
            <w:r w:rsidR="002C0401" w:rsidRPr="001438F0">
              <w:rPr>
                <w:sz w:val="22"/>
                <w:szCs w:val="22"/>
              </w:rPr>
              <w:t>sniedzot konsultatīvu atbalstu</w:t>
            </w:r>
            <w:r w:rsidR="009C17FD" w:rsidRPr="001438F0">
              <w:rPr>
                <w:sz w:val="22"/>
                <w:szCs w:val="22"/>
              </w:rPr>
              <w:t xml:space="preserve">. Minētais priekšlikums likumprojekta izstrādē ņemts vērā, nosakot, ka nepieciešamības gadījumā </w:t>
            </w:r>
            <w:r w:rsidR="009C17FD" w:rsidRPr="001438F0">
              <w:rPr>
                <w:iCs/>
                <w:sz w:val="22"/>
                <w:szCs w:val="22"/>
              </w:rPr>
              <w:t xml:space="preserve">Latvijas Politiski </w:t>
            </w:r>
            <w:r w:rsidR="009C17FD" w:rsidRPr="001438F0">
              <w:rPr>
                <w:sz w:val="22"/>
                <w:szCs w:val="22"/>
              </w:rPr>
              <w:t xml:space="preserve"> represēto apvienība sniedz Pilsonības un migrācijas lietu pārvaldei konsultācijas un priekšlikumus politisko represiju jautājumos.</w:t>
            </w:r>
          </w:p>
          <w:p w:rsidR="00277929" w:rsidRPr="001438F0" w:rsidRDefault="001219D0" w:rsidP="00B32825">
            <w:pPr>
              <w:pStyle w:val="naiskr"/>
              <w:spacing w:before="0" w:after="0"/>
              <w:ind w:right="57"/>
              <w:jc w:val="both"/>
              <w:rPr>
                <w:sz w:val="22"/>
                <w:szCs w:val="22"/>
              </w:rPr>
            </w:pPr>
            <w:r w:rsidRPr="001438F0">
              <w:rPr>
                <w:sz w:val="22"/>
                <w:szCs w:val="22"/>
              </w:rPr>
              <w:t xml:space="preserve">Latvijas Pašvaldību savienība ir apkopojusi pašvaldību viedokli par politiski represētās personas statusa piešķiršanas centralizēšanu un secinājusi, ka absolūts vairākums pašvaldību atbalsta minētā procesa centralizēšanu. Turklāt lielākā daļa pašvaldību atbalsta visa procesa centralizēšanu, proti, </w:t>
            </w:r>
            <w:r w:rsidR="00B32825" w:rsidRPr="001438F0">
              <w:rPr>
                <w:sz w:val="22"/>
                <w:szCs w:val="22"/>
              </w:rPr>
              <w:t>arī iesniegumu pieņemšanu un politiski represēto personu apliecību izsniegšanu vienā valsts pārvaldes iestādē, nevis pašvaldībās.</w:t>
            </w:r>
          </w:p>
        </w:tc>
      </w:tr>
      <w:tr w:rsidR="00DE0B83" w:rsidRPr="001438F0" w:rsidTr="00942298">
        <w:trPr>
          <w:trHeight w:val="397"/>
          <w:jc w:val="center"/>
        </w:trPr>
        <w:tc>
          <w:tcPr>
            <w:tcW w:w="451" w:type="dxa"/>
          </w:tcPr>
          <w:p w:rsidR="00DE0B83" w:rsidRPr="001438F0" w:rsidRDefault="00183CC2" w:rsidP="007D099D">
            <w:pPr>
              <w:pStyle w:val="naiskr"/>
              <w:spacing w:before="0" w:after="0"/>
              <w:ind w:left="57" w:right="57"/>
              <w:rPr>
                <w:bCs/>
                <w:sz w:val="22"/>
                <w:szCs w:val="22"/>
              </w:rPr>
            </w:pPr>
            <w:r w:rsidRPr="001438F0">
              <w:rPr>
                <w:bCs/>
                <w:sz w:val="22"/>
                <w:szCs w:val="22"/>
              </w:rPr>
              <w:t>4</w:t>
            </w:r>
            <w:r w:rsidR="00DE0B83" w:rsidRPr="001438F0">
              <w:rPr>
                <w:bCs/>
                <w:sz w:val="22"/>
                <w:szCs w:val="22"/>
              </w:rPr>
              <w:t>.</w:t>
            </w:r>
          </w:p>
        </w:tc>
        <w:tc>
          <w:tcPr>
            <w:tcW w:w="3403" w:type="dxa"/>
          </w:tcPr>
          <w:p w:rsidR="00DE0B83" w:rsidRPr="001438F0" w:rsidRDefault="00DE0B83" w:rsidP="007D099D">
            <w:pPr>
              <w:pStyle w:val="naiskr"/>
              <w:spacing w:before="0" w:after="0"/>
              <w:ind w:left="57" w:right="57"/>
              <w:rPr>
                <w:sz w:val="22"/>
                <w:szCs w:val="22"/>
              </w:rPr>
            </w:pPr>
            <w:r w:rsidRPr="001438F0">
              <w:rPr>
                <w:sz w:val="22"/>
                <w:szCs w:val="22"/>
              </w:rPr>
              <w:t>Saeimas un ekspertu līdzdalība</w:t>
            </w:r>
          </w:p>
        </w:tc>
        <w:tc>
          <w:tcPr>
            <w:tcW w:w="6402" w:type="dxa"/>
          </w:tcPr>
          <w:p w:rsidR="00DE0B83" w:rsidRPr="001438F0" w:rsidRDefault="00B32825" w:rsidP="007972E4">
            <w:pPr>
              <w:pStyle w:val="naiskr"/>
              <w:spacing w:before="0" w:after="0"/>
              <w:ind w:left="57" w:right="57"/>
              <w:jc w:val="both"/>
              <w:rPr>
                <w:sz w:val="22"/>
                <w:szCs w:val="22"/>
              </w:rPr>
            </w:pPr>
            <w:r w:rsidRPr="001438F0">
              <w:rPr>
                <w:sz w:val="22"/>
                <w:szCs w:val="22"/>
              </w:rPr>
              <w:t>Likumprojekts ir Saeimas Cilvēktiesību un sabiedrisko lietu komisija</w:t>
            </w:r>
            <w:r w:rsidR="006270AE" w:rsidRPr="001438F0">
              <w:rPr>
                <w:sz w:val="22"/>
                <w:szCs w:val="22"/>
              </w:rPr>
              <w:t>s</w:t>
            </w:r>
            <w:r w:rsidRPr="001438F0">
              <w:rPr>
                <w:sz w:val="22"/>
                <w:szCs w:val="22"/>
              </w:rPr>
              <w:t xml:space="preserve"> </w:t>
            </w:r>
            <w:r w:rsidR="006270AE" w:rsidRPr="001438F0">
              <w:rPr>
                <w:sz w:val="22"/>
                <w:szCs w:val="22"/>
              </w:rPr>
              <w:t xml:space="preserve">iniciatīva </w:t>
            </w:r>
            <w:r w:rsidRPr="001438F0">
              <w:rPr>
                <w:sz w:val="22"/>
                <w:szCs w:val="22"/>
              </w:rPr>
              <w:t xml:space="preserve">un likumprojekts izstrādāts, ievērojot komisijas 2011.gada 18.janvāra vēstulē Nr. 9/4-2-N/2-2011minēto. </w:t>
            </w:r>
          </w:p>
        </w:tc>
      </w:tr>
      <w:tr w:rsidR="00277929" w:rsidRPr="001438F0" w:rsidTr="00942298">
        <w:trPr>
          <w:trHeight w:val="476"/>
          <w:jc w:val="center"/>
        </w:trPr>
        <w:tc>
          <w:tcPr>
            <w:tcW w:w="451" w:type="dxa"/>
          </w:tcPr>
          <w:p w:rsidR="00277929" w:rsidRPr="001438F0" w:rsidRDefault="00183CC2" w:rsidP="007D099D">
            <w:pPr>
              <w:pStyle w:val="naiskr"/>
              <w:spacing w:before="0" w:after="0"/>
              <w:ind w:left="57" w:right="57"/>
              <w:rPr>
                <w:bCs/>
                <w:sz w:val="22"/>
                <w:szCs w:val="22"/>
              </w:rPr>
            </w:pPr>
            <w:r w:rsidRPr="001438F0">
              <w:rPr>
                <w:bCs/>
                <w:sz w:val="22"/>
                <w:szCs w:val="22"/>
              </w:rPr>
              <w:lastRenderedPageBreak/>
              <w:t>5</w:t>
            </w:r>
            <w:r w:rsidR="00277929" w:rsidRPr="001438F0">
              <w:rPr>
                <w:bCs/>
                <w:sz w:val="22"/>
                <w:szCs w:val="22"/>
              </w:rPr>
              <w:t>.</w:t>
            </w:r>
          </w:p>
        </w:tc>
        <w:tc>
          <w:tcPr>
            <w:tcW w:w="3403" w:type="dxa"/>
          </w:tcPr>
          <w:p w:rsidR="00277929" w:rsidRPr="001438F0" w:rsidRDefault="006C4607" w:rsidP="007D099D">
            <w:pPr>
              <w:pStyle w:val="naiskr"/>
              <w:spacing w:before="0" w:after="0"/>
              <w:ind w:left="57" w:right="57"/>
              <w:rPr>
                <w:sz w:val="22"/>
                <w:szCs w:val="22"/>
              </w:rPr>
            </w:pPr>
            <w:r w:rsidRPr="001438F0">
              <w:rPr>
                <w:sz w:val="22"/>
                <w:szCs w:val="22"/>
              </w:rPr>
              <w:t>Cita informācija</w:t>
            </w:r>
          </w:p>
          <w:p w:rsidR="002F78C8" w:rsidRPr="001438F0" w:rsidRDefault="002F78C8" w:rsidP="007D099D">
            <w:pPr>
              <w:pStyle w:val="naiskr"/>
              <w:spacing w:before="0" w:after="0"/>
              <w:ind w:left="57" w:right="57"/>
              <w:rPr>
                <w:sz w:val="22"/>
                <w:szCs w:val="22"/>
              </w:rPr>
            </w:pPr>
          </w:p>
        </w:tc>
        <w:tc>
          <w:tcPr>
            <w:tcW w:w="6402" w:type="dxa"/>
          </w:tcPr>
          <w:p w:rsidR="00845811" w:rsidRPr="001438F0" w:rsidRDefault="00B32825" w:rsidP="007D099D">
            <w:pPr>
              <w:pStyle w:val="naiskr"/>
              <w:spacing w:before="0" w:after="0"/>
              <w:ind w:left="57" w:right="57"/>
              <w:jc w:val="both"/>
              <w:rPr>
                <w:iCs/>
                <w:sz w:val="22"/>
                <w:szCs w:val="22"/>
              </w:rPr>
            </w:pPr>
            <w:r w:rsidRPr="001438F0">
              <w:rPr>
                <w:iCs/>
                <w:sz w:val="22"/>
                <w:szCs w:val="22"/>
              </w:rPr>
              <w:t>Nav</w:t>
            </w:r>
          </w:p>
          <w:p w:rsidR="006270AE" w:rsidRPr="001438F0" w:rsidRDefault="006270AE" w:rsidP="007D099D">
            <w:pPr>
              <w:pStyle w:val="naiskr"/>
              <w:spacing w:before="0" w:after="0"/>
              <w:ind w:left="57" w:right="57"/>
              <w:jc w:val="both"/>
              <w:rPr>
                <w:sz w:val="22"/>
                <w:szCs w:val="22"/>
              </w:rPr>
            </w:pPr>
          </w:p>
        </w:tc>
      </w:tr>
    </w:tbl>
    <w:p w:rsidR="0015060C" w:rsidRPr="001438F0" w:rsidRDefault="0015060C" w:rsidP="006C4607">
      <w:pPr>
        <w:pStyle w:val="naisf"/>
        <w:spacing w:before="0" w:after="0"/>
        <w:rPr>
          <w:sz w:val="22"/>
          <w:szCs w:val="22"/>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3454"/>
        <w:gridCol w:w="6436"/>
      </w:tblGrid>
      <w:tr w:rsidR="0023436E" w:rsidRPr="001438F0" w:rsidTr="00FD2A8A">
        <w:tc>
          <w:tcPr>
            <w:tcW w:w="10264" w:type="dxa"/>
            <w:gridSpan w:val="3"/>
            <w:tcBorders>
              <w:top w:val="single" w:sz="4" w:space="0" w:color="auto"/>
            </w:tcBorders>
          </w:tcPr>
          <w:p w:rsidR="0023436E" w:rsidRPr="001438F0" w:rsidRDefault="0023436E" w:rsidP="007D099D">
            <w:pPr>
              <w:pStyle w:val="naisnod"/>
              <w:spacing w:before="0" w:after="0"/>
              <w:ind w:left="57" w:right="57"/>
              <w:rPr>
                <w:sz w:val="22"/>
                <w:szCs w:val="22"/>
              </w:rPr>
            </w:pPr>
            <w:r w:rsidRPr="001438F0">
              <w:rPr>
                <w:sz w:val="22"/>
                <w:szCs w:val="22"/>
              </w:rPr>
              <w:t>VII</w:t>
            </w:r>
            <w:r w:rsidR="000941C5" w:rsidRPr="001438F0">
              <w:rPr>
                <w:sz w:val="22"/>
                <w:szCs w:val="22"/>
              </w:rPr>
              <w:t>.</w:t>
            </w:r>
            <w:r w:rsidRPr="001438F0">
              <w:rPr>
                <w:sz w:val="22"/>
                <w:szCs w:val="22"/>
              </w:rPr>
              <w:t xml:space="preserve"> Tiesību akta projekta izpildes nodrošināšana un tās ietekme uz institūcijām</w:t>
            </w:r>
          </w:p>
        </w:tc>
      </w:tr>
      <w:tr w:rsidR="0023436E" w:rsidRPr="001438F0" w:rsidTr="00942298">
        <w:trPr>
          <w:trHeight w:val="427"/>
        </w:trPr>
        <w:tc>
          <w:tcPr>
            <w:tcW w:w="374" w:type="dxa"/>
          </w:tcPr>
          <w:p w:rsidR="0023436E" w:rsidRPr="001438F0" w:rsidRDefault="0023436E" w:rsidP="007D099D">
            <w:pPr>
              <w:pStyle w:val="naisnod"/>
              <w:spacing w:before="0" w:after="0"/>
              <w:ind w:left="57" w:right="57"/>
              <w:jc w:val="left"/>
              <w:rPr>
                <w:b w:val="0"/>
                <w:sz w:val="22"/>
                <w:szCs w:val="22"/>
              </w:rPr>
            </w:pPr>
            <w:r w:rsidRPr="001438F0">
              <w:rPr>
                <w:b w:val="0"/>
                <w:sz w:val="22"/>
                <w:szCs w:val="22"/>
              </w:rPr>
              <w:t>1.</w:t>
            </w:r>
          </w:p>
        </w:tc>
        <w:tc>
          <w:tcPr>
            <w:tcW w:w="3454" w:type="dxa"/>
          </w:tcPr>
          <w:p w:rsidR="0023436E" w:rsidRPr="001438F0" w:rsidRDefault="001A4066" w:rsidP="007D099D">
            <w:pPr>
              <w:pStyle w:val="naisf"/>
              <w:spacing w:before="0" w:after="0"/>
              <w:ind w:left="57" w:right="57" w:firstLine="0"/>
              <w:jc w:val="left"/>
              <w:rPr>
                <w:sz w:val="22"/>
                <w:szCs w:val="22"/>
              </w:rPr>
            </w:pPr>
            <w:r w:rsidRPr="001438F0">
              <w:rPr>
                <w:sz w:val="22"/>
                <w:szCs w:val="22"/>
              </w:rPr>
              <w:t>P</w:t>
            </w:r>
            <w:r w:rsidR="0023436E" w:rsidRPr="001438F0">
              <w:rPr>
                <w:sz w:val="22"/>
                <w:szCs w:val="22"/>
              </w:rPr>
              <w:t xml:space="preserve">rojekta izpildē iesaistītās institūcijas </w:t>
            </w:r>
          </w:p>
        </w:tc>
        <w:tc>
          <w:tcPr>
            <w:tcW w:w="6436" w:type="dxa"/>
          </w:tcPr>
          <w:p w:rsidR="0023436E" w:rsidRPr="001438F0" w:rsidRDefault="00B32825" w:rsidP="00B32825">
            <w:pPr>
              <w:pStyle w:val="naisnod"/>
              <w:spacing w:before="0" w:after="0"/>
              <w:ind w:left="57" w:right="57"/>
              <w:jc w:val="both"/>
              <w:rPr>
                <w:b w:val="0"/>
                <w:sz w:val="22"/>
                <w:szCs w:val="22"/>
              </w:rPr>
            </w:pPr>
            <w:r w:rsidRPr="001438F0">
              <w:rPr>
                <w:b w:val="0"/>
                <w:iCs/>
                <w:sz w:val="22"/>
                <w:szCs w:val="22"/>
              </w:rPr>
              <w:t>Likumprojekta izpildi nodrošinās Pilsonības un migrācijas lietu pārvalde.</w:t>
            </w:r>
          </w:p>
        </w:tc>
      </w:tr>
      <w:tr w:rsidR="0023436E" w:rsidRPr="001438F0" w:rsidTr="00942298">
        <w:trPr>
          <w:trHeight w:val="463"/>
        </w:trPr>
        <w:tc>
          <w:tcPr>
            <w:tcW w:w="374" w:type="dxa"/>
          </w:tcPr>
          <w:p w:rsidR="0023436E" w:rsidRPr="001438F0" w:rsidRDefault="0023436E" w:rsidP="007D099D">
            <w:pPr>
              <w:pStyle w:val="naisnod"/>
              <w:spacing w:before="0" w:after="0"/>
              <w:ind w:left="57" w:right="57"/>
              <w:jc w:val="left"/>
              <w:rPr>
                <w:b w:val="0"/>
                <w:sz w:val="22"/>
                <w:szCs w:val="22"/>
              </w:rPr>
            </w:pPr>
            <w:r w:rsidRPr="001438F0">
              <w:rPr>
                <w:b w:val="0"/>
                <w:sz w:val="22"/>
                <w:szCs w:val="22"/>
              </w:rPr>
              <w:t>2.</w:t>
            </w:r>
          </w:p>
        </w:tc>
        <w:tc>
          <w:tcPr>
            <w:tcW w:w="3454" w:type="dxa"/>
          </w:tcPr>
          <w:p w:rsidR="0023436E" w:rsidRPr="001438F0" w:rsidRDefault="001A4066" w:rsidP="007D099D">
            <w:pPr>
              <w:pStyle w:val="naisf"/>
              <w:spacing w:before="0" w:after="0"/>
              <w:ind w:left="57" w:right="57" w:firstLine="0"/>
              <w:jc w:val="left"/>
              <w:rPr>
                <w:sz w:val="22"/>
                <w:szCs w:val="22"/>
              </w:rPr>
            </w:pPr>
            <w:r w:rsidRPr="001438F0">
              <w:rPr>
                <w:sz w:val="22"/>
                <w:szCs w:val="22"/>
              </w:rPr>
              <w:t>Projekta i</w:t>
            </w:r>
            <w:r w:rsidR="0023436E" w:rsidRPr="001438F0">
              <w:rPr>
                <w:sz w:val="22"/>
                <w:szCs w:val="22"/>
              </w:rPr>
              <w:t xml:space="preserve">zpildes ietekme uz pārvaldes funkcijām </w:t>
            </w:r>
          </w:p>
        </w:tc>
        <w:tc>
          <w:tcPr>
            <w:tcW w:w="6436" w:type="dxa"/>
          </w:tcPr>
          <w:p w:rsidR="0023436E" w:rsidRPr="001438F0" w:rsidRDefault="00B32825" w:rsidP="00B32825">
            <w:pPr>
              <w:pStyle w:val="naisnod"/>
              <w:spacing w:before="0" w:after="0"/>
              <w:ind w:left="57" w:right="57"/>
              <w:jc w:val="both"/>
              <w:rPr>
                <w:b w:val="0"/>
                <w:sz w:val="22"/>
                <w:szCs w:val="22"/>
              </w:rPr>
            </w:pPr>
            <w:r w:rsidRPr="001438F0">
              <w:rPr>
                <w:b w:val="0"/>
                <w:sz w:val="22"/>
                <w:szCs w:val="22"/>
              </w:rPr>
              <w:t>Tiek paplašinātas Pilsonības un migrācijas lietu pārvaldes funkcijas, paredzot funkciju piešķirt politiski represētās personas statusu.</w:t>
            </w:r>
          </w:p>
        </w:tc>
      </w:tr>
      <w:tr w:rsidR="0023436E" w:rsidRPr="001438F0" w:rsidTr="00942298">
        <w:trPr>
          <w:trHeight w:val="725"/>
        </w:trPr>
        <w:tc>
          <w:tcPr>
            <w:tcW w:w="374" w:type="dxa"/>
          </w:tcPr>
          <w:p w:rsidR="0023436E" w:rsidRPr="001438F0" w:rsidRDefault="0023436E" w:rsidP="007D099D">
            <w:pPr>
              <w:pStyle w:val="naisnod"/>
              <w:spacing w:before="0" w:after="0"/>
              <w:ind w:left="57" w:right="57"/>
              <w:jc w:val="left"/>
              <w:rPr>
                <w:b w:val="0"/>
                <w:sz w:val="22"/>
                <w:szCs w:val="22"/>
              </w:rPr>
            </w:pPr>
            <w:r w:rsidRPr="001438F0">
              <w:rPr>
                <w:b w:val="0"/>
                <w:sz w:val="22"/>
                <w:szCs w:val="22"/>
              </w:rPr>
              <w:t>3.</w:t>
            </w:r>
          </w:p>
        </w:tc>
        <w:tc>
          <w:tcPr>
            <w:tcW w:w="3454" w:type="dxa"/>
          </w:tcPr>
          <w:p w:rsidR="0023436E" w:rsidRPr="001438F0" w:rsidRDefault="001A4066" w:rsidP="007D099D">
            <w:pPr>
              <w:pStyle w:val="naisf"/>
              <w:spacing w:before="0" w:after="0"/>
              <w:ind w:left="57" w:right="57" w:firstLine="0"/>
              <w:jc w:val="left"/>
              <w:rPr>
                <w:sz w:val="22"/>
                <w:szCs w:val="22"/>
              </w:rPr>
            </w:pPr>
            <w:r w:rsidRPr="001438F0">
              <w:rPr>
                <w:sz w:val="22"/>
                <w:szCs w:val="22"/>
              </w:rPr>
              <w:t>Projekta iz</w:t>
            </w:r>
            <w:r w:rsidR="0023436E" w:rsidRPr="001438F0">
              <w:rPr>
                <w:sz w:val="22"/>
                <w:szCs w:val="22"/>
              </w:rPr>
              <w:t>pildes ietekme uz pārvaldes institucionālo struktūru.</w:t>
            </w:r>
          </w:p>
          <w:p w:rsidR="0023436E" w:rsidRPr="001438F0" w:rsidRDefault="006C4607" w:rsidP="007D099D">
            <w:pPr>
              <w:pStyle w:val="naisf"/>
              <w:spacing w:before="0" w:after="0"/>
              <w:ind w:left="57" w:right="57" w:firstLine="0"/>
              <w:jc w:val="left"/>
              <w:rPr>
                <w:sz w:val="22"/>
                <w:szCs w:val="22"/>
              </w:rPr>
            </w:pPr>
            <w:r w:rsidRPr="001438F0">
              <w:rPr>
                <w:sz w:val="22"/>
                <w:szCs w:val="22"/>
              </w:rPr>
              <w:t>Jaunu institūciju izveide</w:t>
            </w:r>
          </w:p>
        </w:tc>
        <w:tc>
          <w:tcPr>
            <w:tcW w:w="6436" w:type="dxa"/>
          </w:tcPr>
          <w:p w:rsidR="0023436E" w:rsidRPr="001438F0" w:rsidRDefault="00B32825" w:rsidP="007D099D">
            <w:pPr>
              <w:pStyle w:val="naisnod"/>
              <w:spacing w:before="0" w:after="0"/>
              <w:ind w:left="57" w:right="57"/>
              <w:jc w:val="left"/>
              <w:rPr>
                <w:b w:val="0"/>
                <w:sz w:val="22"/>
                <w:szCs w:val="22"/>
              </w:rPr>
            </w:pPr>
            <w:r w:rsidRPr="001438F0">
              <w:rPr>
                <w:b w:val="0"/>
                <w:iCs/>
                <w:sz w:val="22"/>
                <w:szCs w:val="22"/>
              </w:rPr>
              <w:t>Nav attiecināms</w:t>
            </w:r>
          </w:p>
        </w:tc>
      </w:tr>
      <w:tr w:rsidR="0023436E" w:rsidRPr="001438F0" w:rsidTr="00942298">
        <w:trPr>
          <w:trHeight w:val="780"/>
        </w:trPr>
        <w:tc>
          <w:tcPr>
            <w:tcW w:w="374" w:type="dxa"/>
          </w:tcPr>
          <w:p w:rsidR="0023436E" w:rsidRPr="001438F0" w:rsidRDefault="0023436E" w:rsidP="007D099D">
            <w:pPr>
              <w:pStyle w:val="naisnod"/>
              <w:spacing w:before="0" w:after="0"/>
              <w:ind w:left="57" w:right="57"/>
              <w:jc w:val="left"/>
              <w:rPr>
                <w:b w:val="0"/>
                <w:sz w:val="22"/>
                <w:szCs w:val="22"/>
              </w:rPr>
            </w:pPr>
            <w:r w:rsidRPr="001438F0">
              <w:rPr>
                <w:b w:val="0"/>
                <w:sz w:val="22"/>
                <w:szCs w:val="22"/>
              </w:rPr>
              <w:t>4.</w:t>
            </w:r>
          </w:p>
        </w:tc>
        <w:tc>
          <w:tcPr>
            <w:tcW w:w="3454" w:type="dxa"/>
          </w:tcPr>
          <w:p w:rsidR="0023436E" w:rsidRPr="001438F0" w:rsidRDefault="001A4066" w:rsidP="007D099D">
            <w:pPr>
              <w:pStyle w:val="naisf"/>
              <w:spacing w:before="0" w:after="0"/>
              <w:ind w:left="57" w:right="57" w:firstLine="0"/>
              <w:jc w:val="left"/>
              <w:rPr>
                <w:sz w:val="22"/>
                <w:szCs w:val="22"/>
              </w:rPr>
            </w:pPr>
            <w:r w:rsidRPr="001438F0">
              <w:rPr>
                <w:sz w:val="22"/>
                <w:szCs w:val="22"/>
              </w:rPr>
              <w:t>Projekta i</w:t>
            </w:r>
            <w:r w:rsidR="0023436E" w:rsidRPr="001438F0">
              <w:rPr>
                <w:sz w:val="22"/>
                <w:szCs w:val="22"/>
              </w:rPr>
              <w:t>zpildes ietekme uz pārvaldes institucionālo struktūru.</w:t>
            </w:r>
          </w:p>
          <w:p w:rsidR="0023436E" w:rsidRPr="001438F0" w:rsidRDefault="006C4607" w:rsidP="007D099D">
            <w:pPr>
              <w:pStyle w:val="naisf"/>
              <w:spacing w:before="0" w:after="0"/>
              <w:ind w:left="57" w:right="57" w:firstLine="0"/>
              <w:jc w:val="left"/>
              <w:rPr>
                <w:sz w:val="22"/>
                <w:szCs w:val="22"/>
              </w:rPr>
            </w:pPr>
            <w:r w:rsidRPr="001438F0">
              <w:rPr>
                <w:sz w:val="22"/>
                <w:szCs w:val="22"/>
              </w:rPr>
              <w:t>Esošu institūciju likvidācija</w:t>
            </w:r>
          </w:p>
        </w:tc>
        <w:tc>
          <w:tcPr>
            <w:tcW w:w="6436" w:type="dxa"/>
          </w:tcPr>
          <w:p w:rsidR="0023436E" w:rsidRPr="001438F0" w:rsidRDefault="00B32825" w:rsidP="007D099D">
            <w:pPr>
              <w:pStyle w:val="naisnod"/>
              <w:spacing w:before="0" w:after="0"/>
              <w:ind w:left="57" w:right="57"/>
              <w:jc w:val="left"/>
              <w:rPr>
                <w:b w:val="0"/>
                <w:sz w:val="22"/>
                <w:szCs w:val="22"/>
              </w:rPr>
            </w:pPr>
            <w:r w:rsidRPr="001438F0">
              <w:rPr>
                <w:b w:val="0"/>
                <w:iCs/>
                <w:sz w:val="22"/>
                <w:szCs w:val="22"/>
              </w:rPr>
              <w:t>Nav attiecināms</w:t>
            </w:r>
          </w:p>
        </w:tc>
      </w:tr>
      <w:tr w:rsidR="0023436E" w:rsidRPr="001438F0" w:rsidTr="00942298">
        <w:trPr>
          <w:trHeight w:val="703"/>
        </w:trPr>
        <w:tc>
          <w:tcPr>
            <w:tcW w:w="374" w:type="dxa"/>
          </w:tcPr>
          <w:p w:rsidR="0023436E" w:rsidRPr="001438F0" w:rsidRDefault="0023436E" w:rsidP="007D099D">
            <w:pPr>
              <w:pStyle w:val="naisnod"/>
              <w:spacing w:before="0" w:after="0"/>
              <w:ind w:left="57" w:right="57"/>
              <w:jc w:val="left"/>
              <w:rPr>
                <w:b w:val="0"/>
                <w:sz w:val="22"/>
                <w:szCs w:val="22"/>
              </w:rPr>
            </w:pPr>
            <w:r w:rsidRPr="001438F0">
              <w:rPr>
                <w:b w:val="0"/>
                <w:sz w:val="22"/>
                <w:szCs w:val="22"/>
              </w:rPr>
              <w:t>5.</w:t>
            </w:r>
          </w:p>
        </w:tc>
        <w:tc>
          <w:tcPr>
            <w:tcW w:w="3454" w:type="dxa"/>
          </w:tcPr>
          <w:p w:rsidR="0023436E" w:rsidRPr="001438F0" w:rsidRDefault="001A4066" w:rsidP="007D099D">
            <w:pPr>
              <w:pStyle w:val="naisf"/>
              <w:spacing w:before="0" w:after="0"/>
              <w:ind w:left="57" w:right="57" w:firstLine="0"/>
              <w:jc w:val="left"/>
              <w:rPr>
                <w:sz w:val="22"/>
                <w:szCs w:val="22"/>
              </w:rPr>
            </w:pPr>
            <w:r w:rsidRPr="001438F0">
              <w:rPr>
                <w:sz w:val="22"/>
                <w:szCs w:val="22"/>
              </w:rPr>
              <w:t>Projekta i</w:t>
            </w:r>
            <w:r w:rsidR="0023436E" w:rsidRPr="001438F0">
              <w:rPr>
                <w:sz w:val="22"/>
                <w:szCs w:val="22"/>
              </w:rPr>
              <w:t>zpildes ietekme uz pārvaldes institucionālo struktūru.</w:t>
            </w:r>
          </w:p>
          <w:p w:rsidR="0023436E" w:rsidRPr="001438F0" w:rsidRDefault="0023436E" w:rsidP="007D099D">
            <w:pPr>
              <w:pStyle w:val="naisf"/>
              <w:spacing w:before="0" w:after="0"/>
              <w:ind w:left="57" w:right="57" w:firstLine="0"/>
              <w:jc w:val="left"/>
              <w:rPr>
                <w:sz w:val="22"/>
                <w:szCs w:val="22"/>
              </w:rPr>
            </w:pPr>
            <w:r w:rsidRPr="001438F0">
              <w:rPr>
                <w:sz w:val="22"/>
                <w:szCs w:val="22"/>
              </w:rPr>
              <w:t>Esošu institūciju reorganizācija</w:t>
            </w:r>
          </w:p>
        </w:tc>
        <w:tc>
          <w:tcPr>
            <w:tcW w:w="6436" w:type="dxa"/>
          </w:tcPr>
          <w:p w:rsidR="0023436E" w:rsidRPr="001438F0" w:rsidRDefault="00B32825" w:rsidP="007D099D">
            <w:pPr>
              <w:pStyle w:val="naisnod"/>
              <w:spacing w:before="0" w:after="0"/>
              <w:ind w:left="57" w:right="57"/>
              <w:jc w:val="left"/>
              <w:rPr>
                <w:b w:val="0"/>
                <w:sz w:val="22"/>
                <w:szCs w:val="22"/>
              </w:rPr>
            </w:pPr>
            <w:r w:rsidRPr="001438F0">
              <w:rPr>
                <w:b w:val="0"/>
                <w:iCs/>
                <w:sz w:val="22"/>
                <w:szCs w:val="22"/>
              </w:rPr>
              <w:t>Nav attiecināms</w:t>
            </w:r>
          </w:p>
        </w:tc>
      </w:tr>
      <w:tr w:rsidR="0023436E" w:rsidRPr="001438F0" w:rsidTr="00942298">
        <w:trPr>
          <w:trHeight w:val="476"/>
        </w:trPr>
        <w:tc>
          <w:tcPr>
            <w:tcW w:w="374" w:type="dxa"/>
          </w:tcPr>
          <w:p w:rsidR="0023436E" w:rsidRPr="001438F0" w:rsidRDefault="00F63DAC" w:rsidP="007D099D">
            <w:pPr>
              <w:pStyle w:val="naiskr"/>
              <w:spacing w:before="0" w:after="0"/>
              <w:ind w:left="57" w:right="57"/>
              <w:rPr>
                <w:sz w:val="22"/>
                <w:szCs w:val="22"/>
              </w:rPr>
            </w:pPr>
            <w:r w:rsidRPr="001438F0">
              <w:rPr>
                <w:sz w:val="22"/>
                <w:szCs w:val="22"/>
              </w:rPr>
              <w:t>6</w:t>
            </w:r>
            <w:r w:rsidR="0023436E" w:rsidRPr="001438F0">
              <w:rPr>
                <w:sz w:val="22"/>
                <w:szCs w:val="22"/>
              </w:rPr>
              <w:t>.</w:t>
            </w:r>
          </w:p>
        </w:tc>
        <w:tc>
          <w:tcPr>
            <w:tcW w:w="3454" w:type="dxa"/>
          </w:tcPr>
          <w:p w:rsidR="0023436E" w:rsidRPr="001438F0" w:rsidRDefault="006C4607" w:rsidP="007D099D">
            <w:pPr>
              <w:pStyle w:val="naiskr"/>
              <w:spacing w:before="0" w:after="0"/>
              <w:ind w:left="57" w:right="57"/>
              <w:rPr>
                <w:sz w:val="22"/>
                <w:szCs w:val="22"/>
              </w:rPr>
            </w:pPr>
            <w:r w:rsidRPr="001438F0">
              <w:rPr>
                <w:sz w:val="22"/>
                <w:szCs w:val="22"/>
              </w:rPr>
              <w:t>Cita informācija</w:t>
            </w:r>
          </w:p>
        </w:tc>
        <w:tc>
          <w:tcPr>
            <w:tcW w:w="6436" w:type="dxa"/>
          </w:tcPr>
          <w:p w:rsidR="0023436E" w:rsidRPr="001438F0" w:rsidRDefault="00B32825" w:rsidP="007D099D">
            <w:pPr>
              <w:pStyle w:val="naiskr"/>
              <w:spacing w:before="0" w:after="0"/>
              <w:ind w:left="57" w:right="57"/>
              <w:rPr>
                <w:sz w:val="22"/>
                <w:szCs w:val="22"/>
              </w:rPr>
            </w:pPr>
            <w:r w:rsidRPr="001438F0">
              <w:rPr>
                <w:sz w:val="22"/>
                <w:szCs w:val="22"/>
              </w:rPr>
              <w:t>Nav</w:t>
            </w:r>
          </w:p>
        </w:tc>
      </w:tr>
    </w:tbl>
    <w:p w:rsidR="00214094" w:rsidRPr="001438F0" w:rsidRDefault="00214094" w:rsidP="006C4607">
      <w:pPr>
        <w:pStyle w:val="naisf"/>
        <w:tabs>
          <w:tab w:val="left" w:pos="5760"/>
        </w:tabs>
        <w:spacing w:before="0" w:after="0"/>
        <w:ind w:firstLine="720"/>
        <w:rPr>
          <w:sz w:val="22"/>
          <w:szCs w:val="22"/>
        </w:rPr>
      </w:pPr>
    </w:p>
    <w:p w:rsidR="000A169B" w:rsidRPr="001438F0" w:rsidRDefault="000A169B" w:rsidP="000A169B">
      <w:pPr>
        <w:pStyle w:val="naisf"/>
        <w:tabs>
          <w:tab w:val="left" w:pos="6804"/>
        </w:tabs>
        <w:spacing w:before="0" w:after="0"/>
        <w:ind w:firstLine="0"/>
        <w:rPr>
          <w:sz w:val="22"/>
          <w:szCs w:val="22"/>
        </w:rPr>
      </w:pPr>
    </w:p>
    <w:p w:rsidR="000A169B" w:rsidRPr="001438F0" w:rsidRDefault="000A169B" w:rsidP="000A169B">
      <w:pPr>
        <w:pStyle w:val="naisf"/>
        <w:tabs>
          <w:tab w:val="left" w:pos="6804"/>
        </w:tabs>
        <w:spacing w:before="0" w:after="0"/>
        <w:ind w:firstLine="0"/>
        <w:rPr>
          <w:sz w:val="22"/>
          <w:szCs w:val="22"/>
        </w:rPr>
      </w:pPr>
    </w:p>
    <w:p w:rsidR="0015060C" w:rsidRPr="001438F0" w:rsidRDefault="0015060C" w:rsidP="000A169B">
      <w:pPr>
        <w:pStyle w:val="naisf"/>
        <w:tabs>
          <w:tab w:val="left" w:pos="6804"/>
        </w:tabs>
        <w:spacing w:before="0" w:after="0"/>
        <w:ind w:firstLine="0"/>
        <w:rPr>
          <w:sz w:val="22"/>
          <w:szCs w:val="22"/>
        </w:rPr>
      </w:pPr>
      <w:r w:rsidRPr="001438F0">
        <w:rPr>
          <w:sz w:val="22"/>
          <w:szCs w:val="22"/>
        </w:rPr>
        <w:t>Tieslietu ministrs</w:t>
      </w:r>
      <w:r w:rsidR="00214094" w:rsidRPr="001438F0">
        <w:rPr>
          <w:sz w:val="22"/>
          <w:szCs w:val="22"/>
        </w:rPr>
        <w:tab/>
      </w:r>
      <w:r w:rsidR="000A169B" w:rsidRPr="001438F0">
        <w:rPr>
          <w:sz w:val="22"/>
          <w:szCs w:val="22"/>
        </w:rPr>
        <w:t>A.Štokenbergs</w:t>
      </w:r>
    </w:p>
    <w:p w:rsidR="00106FD7" w:rsidRPr="001438F0" w:rsidRDefault="00106FD7" w:rsidP="000A169B">
      <w:pPr>
        <w:pStyle w:val="naisf"/>
        <w:tabs>
          <w:tab w:val="left" w:pos="6804"/>
        </w:tabs>
        <w:spacing w:before="0" w:after="0"/>
        <w:ind w:firstLine="0"/>
        <w:rPr>
          <w:sz w:val="22"/>
          <w:szCs w:val="22"/>
        </w:rPr>
      </w:pPr>
    </w:p>
    <w:p w:rsidR="00106FD7" w:rsidRPr="001438F0" w:rsidRDefault="00106FD7" w:rsidP="000A169B">
      <w:pPr>
        <w:pStyle w:val="naisf"/>
        <w:tabs>
          <w:tab w:val="left" w:pos="6804"/>
        </w:tabs>
        <w:spacing w:before="0" w:after="0"/>
        <w:ind w:firstLine="0"/>
        <w:rPr>
          <w:sz w:val="22"/>
          <w:szCs w:val="22"/>
        </w:rPr>
      </w:pPr>
    </w:p>
    <w:p w:rsidR="00106FD7" w:rsidRPr="001438F0" w:rsidRDefault="00106FD7" w:rsidP="000A169B">
      <w:pPr>
        <w:pStyle w:val="naisf"/>
        <w:tabs>
          <w:tab w:val="left" w:pos="6804"/>
        </w:tabs>
        <w:spacing w:before="0" w:after="0"/>
        <w:ind w:firstLine="0"/>
        <w:rPr>
          <w:sz w:val="22"/>
          <w:szCs w:val="22"/>
        </w:rPr>
      </w:pPr>
    </w:p>
    <w:p w:rsidR="003116F1" w:rsidRPr="001438F0" w:rsidRDefault="003116F1" w:rsidP="00106FD7">
      <w:pPr>
        <w:pStyle w:val="naisf"/>
        <w:tabs>
          <w:tab w:val="left" w:pos="6804"/>
        </w:tabs>
        <w:spacing w:before="0" w:after="0"/>
        <w:ind w:firstLine="0"/>
        <w:rPr>
          <w:sz w:val="22"/>
          <w:szCs w:val="22"/>
        </w:rPr>
      </w:pPr>
    </w:p>
    <w:p w:rsidR="003116F1" w:rsidRPr="001438F0" w:rsidRDefault="003116F1" w:rsidP="00106FD7">
      <w:pPr>
        <w:pStyle w:val="naisf"/>
        <w:tabs>
          <w:tab w:val="left" w:pos="6804"/>
        </w:tabs>
        <w:spacing w:before="0" w:after="0"/>
        <w:ind w:firstLine="0"/>
        <w:rPr>
          <w:sz w:val="22"/>
          <w:szCs w:val="22"/>
        </w:rPr>
      </w:pPr>
    </w:p>
    <w:p w:rsidR="003116F1" w:rsidRPr="001438F0" w:rsidRDefault="003116F1" w:rsidP="00106FD7">
      <w:pPr>
        <w:pStyle w:val="naisf"/>
        <w:tabs>
          <w:tab w:val="left" w:pos="6804"/>
        </w:tabs>
        <w:spacing w:before="0" w:after="0"/>
        <w:ind w:firstLine="0"/>
        <w:rPr>
          <w:sz w:val="22"/>
          <w:szCs w:val="22"/>
        </w:rPr>
      </w:pPr>
    </w:p>
    <w:p w:rsidR="00977BC5" w:rsidRPr="001438F0" w:rsidRDefault="00977BC5" w:rsidP="00106FD7">
      <w:pPr>
        <w:pStyle w:val="naisf"/>
        <w:tabs>
          <w:tab w:val="left" w:pos="6804"/>
        </w:tabs>
        <w:spacing w:before="0" w:after="0"/>
        <w:ind w:firstLine="0"/>
        <w:rPr>
          <w:sz w:val="22"/>
          <w:szCs w:val="22"/>
        </w:rPr>
      </w:pPr>
    </w:p>
    <w:p w:rsidR="00977BC5" w:rsidRPr="001438F0" w:rsidRDefault="00977BC5" w:rsidP="00106FD7">
      <w:pPr>
        <w:pStyle w:val="naisf"/>
        <w:tabs>
          <w:tab w:val="left" w:pos="6804"/>
        </w:tabs>
        <w:spacing w:before="0" w:after="0"/>
        <w:ind w:firstLine="0"/>
        <w:rPr>
          <w:sz w:val="22"/>
          <w:szCs w:val="22"/>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477662" w:rsidRPr="001438F0" w:rsidRDefault="00477662" w:rsidP="00106FD7">
      <w:pPr>
        <w:pStyle w:val="naisf"/>
        <w:tabs>
          <w:tab w:val="left" w:pos="6804"/>
        </w:tabs>
        <w:spacing w:before="0" w:after="0"/>
        <w:ind w:firstLine="0"/>
        <w:rPr>
          <w:sz w:val="20"/>
          <w:szCs w:val="20"/>
        </w:rPr>
      </w:pPr>
    </w:p>
    <w:p w:rsidR="00106FD7" w:rsidRPr="001438F0" w:rsidRDefault="00477662" w:rsidP="00106FD7">
      <w:pPr>
        <w:pStyle w:val="naisf"/>
        <w:tabs>
          <w:tab w:val="left" w:pos="6804"/>
        </w:tabs>
        <w:spacing w:before="0" w:after="0"/>
        <w:ind w:firstLine="0"/>
        <w:rPr>
          <w:sz w:val="20"/>
          <w:szCs w:val="20"/>
        </w:rPr>
      </w:pPr>
      <w:r w:rsidRPr="001438F0">
        <w:rPr>
          <w:sz w:val="20"/>
          <w:szCs w:val="20"/>
        </w:rPr>
        <w:t>03</w:t>
      </w:r>
      <w:r w:rsidR="00106FD7" w:rsidRPr="001438F0">
        <w:rPr>
          <w:sz w:val="20"/>
          <w:szCs w:val="20"/>
        </w:rPr>
        <w:t xml:space="preserve">.02.2011. </w:t>
      </w:r>
      <w:r w:rsidRPr="001438F0">
        <w:rPr>
          <w:sz w:val="20"/>
          <w:szCs w:val="20"/>
        </w:rPr>
        <w:t>08:45</w:t>
      </w:r>
    </w:p>
    <w:p w:rsidR="00106FD7" w:rsidRPr="001438F0" w:rsidRDefault="00477662" w:rsidP="00106FD7">
      <w:pPr>
        <w:pStyle w:val="naisf"/>
        <w:tabs>
          <w:tab w:val="left" w:pos="6804"/>
        </w:tabs>
        <w:spacing w:before="0" w:after="0"/>
        <w:ind w:firstLine="0"/>
        <w:rPr>
          <w:sz w:val="20"/>
          <w:szCs w:val="20"/>
        </w:rPr>
      </w:pPr>
      <w:r w:rsidRPr="001438F0">
        <w:rPr>
          <w:sz w:val="20"/>
          <w:szCs w:val="20"/>
        </w:rPr>
        <w:t>3704</w:t>
      </w:r>
    </w:p>
    <w:p w:rsidR="00106FD7" w:rsidRPr="001438F0" w:rsidRDefault="00106FD7" w:rsidP="00106FD7">
      <w:pPr>
        <w:pStyle w:val="naisf"/>
        <w:tabs>
          <w:tab w:val="left" w:pos="6804"/>
        </w:tabs>
        <w:spacing w:before="0" w:after="0"/>
        <w:ind w:firstLine="0"/>
        <w:rPr>
          <w:sz w:val="20"/>
          <w:szCs w:val="20"/>
        </w:rPr>
      </w:pPr>
      <w:r w:rsidRPr="001438F0">
        <w:rPr>
          <w:sz w:val="20"/>
          <w:szCs w:val="20"/>
        </w:rPr>
        <w:t>L.Berga</w:t>
      </w:r>
    </w:p>
    <w:p w:rsidR="00106FD7" w:rsidRPr="0067213C" w:rsidRDefault="00106FD7" w:rsidP="00106FD7">
      <w:pPr>
        <w:pStyle w:val="naisf"/>
        <w:tabs>
          <w:tab w:val="left" w:pos="6804"/>
        </w:tabs>
        <w:spacing w:before="0" w:after="0"/>
        <w:ind w:firstLine="0"/>
        <w:rPr>
          <w:sz w:val="22"/>
          <w:szCs w:val="22"/>
        </w:rPr>
      </w:pPr>
      <w:r w:rsidRPr="001438F0">
        <w:rPr>
          <w:sz w:val="20"/>
          <w:szCs w:val="20"/>
        </w:rPr>
        <w:t xml:space="preserve">67036804, </w:t>
      </w:r>
      <w:hyperlink r:id="rId8" w:history="1">
        <w:r w:rsidRPr="001438F0">
          <w:rPr>
            <w:rStyle w:val="Hyperlink"/>
            <w:sz w:val="20"/>
            <w:szCs w:val="20"/>
          </w:rPr>
          <w:t>Linda.Berga@tm.gov.lv</w:t>
        </w:r>
      </w:hyperlink>
    </w:p>
    <w:sectPr w:rsidR="00106FD7" w:rsidRPr="0067213C" w:rsidSect="00D15CE3">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C4" w:rsidRDefault="00227AC4">
      <w:r>
        <w:separator/>
      </w:r>
    </w:p>
  </w:endnote>
  <w:endnote w:type="continuationSeparator" w:id="0">
    <w:p w:rsidR="00227AC4" w:rsidRDefault="0022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91" w:rsidRPr="001B12CA" w:rsidRDefault="00AA0008" w:rsidP="001B12CA">
    <w:pPr>
      <w:pStyle w:val="Footer"/>
      <w:rPr>
        <w:sz w:val="20"/>
        <w:szCs w:val="20"/>
      </w:rPr>
    </w:pPr>
    <w:r>
      <w:rPr>
        <w:sz w:val="20"/>
        <w:szCs w:val="20"/>
      </w:rPr>
      <w:t>TMAnot_03</w:t>
    </w:r>
    <w:r w:rsidR="00DE3591" w:rsidRPr="001B12CA">
      <w:rPr>
        <w:sz w:val="20"/>
        <w:szCs w:val="20"/>
      </w:rPr>
      <w:t>0211_Polrep</w:t>
    </w:r>
    <w:r w:rsidR="00DE3591">
      <w:rPr>
        <w:sz w:val="20"/>
        <w:szCs w:val="20"/>
      </w:rPr>
      <w:t>;</w:t>
    </w:r>
    <w:r w:rsidR="00DE3591" w:rsidRPr="001B12CA">
      <w:rPr>
        <w:sz w:val="20"/>
        <w:szCs w:val="20"/>
      </w:rPr>
      <w:t xml:space="preserve"> Likumprojekta „Grozījumi likumā „Par politiski represētās personas statusa noteikšanu komunistiskajā un nacistiskajā režīmā cietušajiem”” sākotnējās ietekmes novērtējuma ziņojums (anotācija)</w:t>
    </w:r>
  </w:p>
  <w:p w:rsidR="00DE3591" w:rsidRPr="003C449B" w:rsidRDefault="00DE3591" w:rsidP="003C449B">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91" w:rsidRPr="001B12CA" w:rsidRDefault="00DE3591">
    <w:pPr>
      <w:pStyle w:val="Footer"/>
      <w:rPr>
        <w:sz w:val="20"/>
        <w:szCs w:val="20"/>
      </w:rPr>
    </w:pPr>
    <w:r w:rsidRPr="00A61C6A">
      <w:rPr>
        <w:sz w:val="20"/>
        <w:szCs w:val="20"/>
      </w:rPr>
      <w:t>TMAnot_0</w:t>
    </w:r>
    <w:r w:rsidR="00AA0008">
      <w:rPr>
        <w:sz w:val="20"/>
        <w:szCs w:val="20"/>
      </w:rPr>
      <w:t>3</w:t>
    </w:r>
    <w:r w:rsidRPr="00A61C6A">
      <w:rPr>
        <w:sz w:val="20"/>
        <w:szCs w:val="20"/>
      </w:rPr>
      <w:t>0211_Polrep</w:t>
    </w:r>
    <w:r>
      <w:rPr>
        <w:sz w:val="20"/>
        <w:szCs w:val="20"/>
      </w:rPr>
      <w:t>;</w:t>
    </w:r>
    <w:r w:rsidRPr="00A61C6A">
      <w:rPr>
        <w:sz w:val="20"/>
        <w:szCs w:val="20"/>
      </w:rPr>
      <w:t xml:space="preserve"> Likumprojekta „Grozījumi likumā „Par politiski represētās personas statusa noteikšanu komunistiskajā un nacistiskajā režīmā cietušajiem””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C4" w:rsidRDefault="00227AC4">
      <w:r>
        <w:separator/>
      </w:r>
    </w:p>
  </w:footnote>
  <w:footnote w:type="continuationSeparator" w:id="0">
    <w:p w:rsidR="00227AC4" w:rsidRDefault="0022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91" w:rsidRDefault="00BF497A" w:rsidP="003C449B">
    <w:pPr>
      <w:pStyle w:val="Header"/>
      <w:framePr w:wrap="around" w:vAnchor="text" w:hAnchor="margin" w:xAlign="center" w:y="1"/>
      <w:rPr>
        <w:rStyle w:val="PageNumber"/>
      </w:rPr>
    </w:pPr>
    <w:r>
      <w:rPr>
        <w:rStyle w:val="PageNumber"/>
      </w:rPr>
      <w:fldChar w:fldCharType="begin"/>
    </w:r>
    <w:r w:rsidR="00DE3591">
      <w:rPr>
        <w:rStyle w:val="PageNumber"/>
      </w:rPr>
      <w:instrText xml:space="preserve">PAGE  </w:instrText>
    </w:r>
    <w:r>
      <w:rPr>
        <w:rStyle w:val="PageNumber"/>
      </w:rPr>
      <w:fldChar w:fldCharType="end"/>
    </w:r>
  </w:p>
  <w:p w:rsidR="00DE3591" w:rsidRDefault="00DE35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91" w:rsidRDefault="00BF497A" w:rsidP="003C449B">
    <w:pPr>
      <w:pStyle w:val="Header"/>
      <w:framePr w:wrap="around" w:vAnchor="text" w:hAnchor="margin" w:xAlign="center" w:y="1"/>
      <w:rPr>
        <w:rStyle w:val="PageNumber"/>
      </w:rPr>
    </w:pPr>
    <w:r>
      <w:rPr>
        <w:rStyle w:val="PageNumber"/>
      </w:rPr>
      <w:fldChar w:fldCharType="begin"/>
    </w:r>
    <w:r w:rsidR="00DE3591">
      <w:rPr>
        <w:rStyle w:val="PageNumber"/>
      </w:rPr>
      <w:instrText xml:space="preserve">PAGE  </w:instrText>
    </w:r>
    <w:r>
      <w:rPr>
        <w:rStyle w:val="PageNumber"/>
      </w:rPr>
      <w:fldChar w:fldCharType="separate"/>
    </w:r>
    <w:r w:rsidR="00D15CE3">
      <w:rPr>
        <w:rStyle w:val="PageNumber"/>
        <w:noProof/>
      </w:rPr>
      <w:t>2</w:t>
    </w:r>
    <w:r>
      <w:rPr>
        <w:rStyle w:val="PageNumber"/>
      </w:rPr>
      <w:fldChar w:fldCharType="end"/>
    </w:r>
  </w:p>
  <w:p w:rsidR="00DE3591" w:rsidRDefault="00DE3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9C63A99"/>
    <w:multiLevelType w:val="hybridMultilevel"/>
    <w:tmpl w:val="6CE4C4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46EB"/>
    <w:rsid w:val="0001170A"/>
    <w:rsid w:val="00011D24"/>
    <w:rsid w:val="00013FF4"/>
    <w:rsid w:val="00020FE1"/>
    <w:rsid w:val="00022E13"/>
    <w:rsid w:val="00032388"/>
    <w:rsid w:val="00035CE2"/>
    <w:rsid w:val="0005468F"/>
    <w:rsid w:val="0005553B"/>
    <w:rsid w:val="000604D2"/>
    <w:rsid w:val="00076E86"/>
    <w:rsid w:val="00077671"/>
    <w:rsid w:val="00082F01"/>
    <w:rsid w:val="0009005E"/>
    <w:rsid w:val="000941C5"/>
    <w:rsid w:val="000A169B"/>
    <w:rsid w:val="000A6451"/>
    <w:rsid w:val="000A7538"/>
    <w:rsid w:val="000B064E"/>
    <w:rsid w:val="000B5B3C"/>
    <w:rsid w:val="000B69CF"/>
    <w:rsid w:val="000B6B47"/>
    <w:rsid w:val="000C790C"/>
    <w:rsid w:val="000F061D"/>
    <w:rsid w:val="000F4794"/>
    <w:rsid w:val="000F6D58"/>
    <w:rsid w:val="00106FD7"/>
    <w:rsid w:val="001219D0"/>
    <w:rsid w:val="001237F9"/>
    <w:rsid w:val="00124DFD"/>
    <w:rsid w:val="00124F12"/>
    <w:rsid w:val="00130D7D"/>
    <w:rsid w:val="001438F0"/>
    <w:rsid w:val="00144E3A"/>
    <w:rsid w:val="0015060C"/>
    <w:rsid w:val="0016018A"/>
    <w:rsid w:val="00161F0E"/>
    <w:rsid w:val="00170E2A"/>
    <w:rsid w:val="00174DFE"/>
    <w:rsid w:val="00177394"/>
    <w:rsid w:val="00182C18"/>
    <w:rsid w:val="00183CC2"/>
    <w:rsid w:val="001900E4"/>
    <w:rsid w:val="00190F88"/>
    <w:rsid w:val="001930F8"/>
    <w:rsid w:val="00193C35"/>
    <w:rsid w:val="00194F2C"/>
    <w:rsid w:val="001A4066"/>
    <w:rsid w:val="001A6AE4"/>
    <w:rsid w:val="001B01FD"/>
    <w:rsid w:val="001B12CA"/>
    <w:rsid w:val="001B4A71"/>
    <w:rsid w:val="001D5B54"/>
    <w:rsid w:val="001E1DBF"/>
    <w:rsid w:val="001E4639"/>
    <w:rsid w:val="001E4A7D"/>
    <w:rsid w:val="001E4AA5"/>
    <w:rsid w:val="001F4209"/>
    <w:rsid w:val="001F43A8"/>
    <w:rsid w:val="001F5CD6"/>
    <w:rsid w:val="00207B43"/>
    <w:rsid w:val="0021263D"/>
    <w:rsid w:val="00213F0C"/>
    <w:rsid w:val="00214094"/>
    <w:rsid w:val="0021592D"/>
    <w:rsid w:val="00222D76"/>
    <w:rsid w:val="00223EB1"/>
    <w:rsid w:val="00227AC4"/>
    <w:rsid w:val="00231344"/>
    <w:rsid w:val="0023436E"/>
    <w:rsid w:val="002347C0"/>
    <w:rsid w:val="00241A6C"/>
    <w:rsid w:val="00242D2B"/>
    <w:rsid w:val="002440CB"/>
    <w:rsid w:val="00262E2B"/>
    <w:rsid w:val="00270429"/>
    <w:rsid w:val="002723E9"/>
    <w:rsid w:val="00277929"/>
    <w:rsid w:val="00283B82"/>
    <w:rsid w:val="002846E9"/>
    <w:rsid w:val="00284C34"/>
    <w:rsid w:val="0029066C"/>
    <w:rsid w:val="002B50DB"/>
    <w:rsid w:val="002C0401"/>
    <w:rsid w:val="002C12AB"/>
    <w:rsid w:val="002C78BC"/>
    <w:rsid w:val="002C7CAC"/>
    <w:rsid w:val="002D3306"/>
    <w:rsid w:val="002D48AA"/>
    <w:rsid w:val="002D7BAA"/>
    <w:rsid w:val="002D7F54"/>
    <w:rsid w:val="002E3FF4"/>
    <w:rsid w:val="002F78C8"/>
    <w:rsid w:val="00301CF3"/>
    <w:rsid w:val="003038A0"/>
    <w:rsid w:val="003116F1"/>
    <w:rsid w:val="0032715C"/>
    <w:rsid w:val="00337CA5"/>
    <w:rsid w:val="0034242C"/>
    <w:rsid w:val="00362478"/>
    <w:rsid w:val="00375B25"/>
    <w:rsid w:val="0037765A"/>
    <w:rsid w:val="0038132C"/>
    <w:rsid w:val="00396542"/>
    <w:rsid w:val="0039685B"/>
    <w:rsid w:val="003A14EB"/>
    <w:rsid w:val="003A31A6"/>
    <w:rsid w:val="003A6CAE"/>
    <w:rsid w:val="003A7F0C"/>
    <w:rsid w:val="003A7F79"/>
    <w:rsid w:val="003B6404"/>
    <w:rsid w:val="003B73A1"/>
    <w:rsid w:val="003C449B"/>
    <w:rsid w:val="003D21FF"/>
    <w:rsid w:val="003F0112"/>
    <w:rsid w:val="003F041A"/>
    <w:rsid w:val="003F071A"/>
    <w:rsid w:val="003F160B"/>
    <w:rsid w:val="00400032"/>
    <w:rsid w:val="00400B5B"/>
    <w:rsid w:val="00402A58"/>
    <w:rsid w:val="00405A00"/>
    <w:rsid w:val="00420870"/>
    <w:rsid w:val="00432D0C"/>
    <w:rsid w:val="0043791B"/>
    <w:rsid w:val="00441483"/>
    <w:rsid w:val="00441BCB"/>
    <w:rsid w:val="0045176A"/>
    <w:rsid w:val="00456332"/>
    <w:rsid w:val="00461826"/>
    <w:rsid w:val="00476A07"/>
    <w:rsid w:val="00477662"/>
    <w:rsid w:val="004800F9"/>
    <w:rsid w:val="0049134A"/>
    <w:rsid w:val="004A58CB"/>
    <w:rsid w:val="004B1795"/>
    <w:rsid w:val="004B56DD"/>
    <w:rsid w:val="004C020F"/>
    <w:rsid w:val="004C1AFD"/>
    <w:rsid w:val="004C2CA3"/>
    <w:rsid w:val="004C558B"/>
    <w:rsid w:val="004F1F88"/>
    <w:rsid w:val="004F5F1B"/>
    <w:rsid w:val="00502374"/>
    <w:rsid w:val="005060A1"/>
    <w:rsid w:val="00516072"/>
    <w:rsid w:val="005332EC"/>
    <w:rsid w:val="00534418"/>
    <w:rsid w:val="005353AB"/>
    <w:rsid w:val="005560BC"/>
    <w:rsid w:val="005573BE"/>
    <w:rsid w:val="00572700"/>
    <w:rsid w:val="00580441"/>
    <w:rsid w:val="00580468"/>
    <w:rsid w:val="00582231"/>
    <w:rsid w:val="0058603B"/>
    <w:rsid w:val="0059431B"/>
    <w:rsid w:val="005A39CC"/>
    <w:rsid w:val="005B04B6"/>
    <w:rsid w:val="005B4730"/>
    <w:rsid w:val="005D0C9D"/>
    <w:rsid w:val="005D3327"/>
    <w:rsid w:val="005E05D7"/>
    <w:rsid w:val="005E41E7"/>
    <w:rsid w:val="005E450F"/>
    <w:rsid w:val="005F3C78"/>
    <w:rsid w:val="00602549"/>
    <w:rsid w:val="0062298A"/>
    <w:rsid w:val="00625008"/>
    <w:rsid w:val="00626514"/>
    <w:rsid w:val="00626589"/>
    <w:rsid w:val="006270AE"/>
    <w:rsid w:val="00632A2F"/>
    <w:rsid w:val="006339A0"/>
    <w:rsid w:val="006413A8"/>
    <w:rsid w:val="00642E56"/>
    <w:rsid w:val="00651DEF"/>
    <w:rsid w:val="00651E00"/>
    <w:rsid w:val="0067213C"/>
    <w:rsid w:val="00673DA7"/>
    <w:rsid w:val="00674572"/>
    <w:rsid w:val="00687763"/>
    <w:rsid w:val="00691CE2"/>
    <w:rsid w:val="00692B0D"/>
    <w:rsid w:val="00693E0E"/>
    <w:rsid w:val="006A1AE3"/>
    <w:rsid w:val="006A4B3F"/>
    <w:rsid w:val="006C30E1"/>
    <w:rsid w:val="006C4607"/>
    <w:rsid w:val="006D2A29"/>
    <w:rsid w:val="006D48F1"/>
    <w:rsid w:val="006E442E"/>
    <w:rsid w:val="006F45BE"/>
    <w:rsid w:val="007004FC"/>
    <w:rsid w:val="00706670"/>
    <w:rsid w:val="00711F59"/>
    <w:rsid w:val="0072417C"/>
    <w:rsid w:val="00734450"/>
    <w:rsid w:val="00745F67"/>
    <w:rsid w:val="0075039E"/>
    <w:rsid w:val="00752D9D"/>
    <w:rsid w:val="00753A9E"/>
    <w:rsid w:val="00754784"/>
    <w:rsid w:val="00757C6E"/>
    <w:rsid w:val="00762BDA"/>
    <w:rsid w:val="007805FD"/>
    <w:rsid w:val="00783332"/>
    <w:rsid w:val="00784422"/>
    <w:rsid w:val="007860B5"/>
    <w:rsid w:val="007972E4"/>
    <w:rsid w:val="007A2C8F"/>
    <w:rsid w:val="007A4FC4"/>
    <w:rsid w:val="007B3B54"/>
    <w:rsid w:val="007B3FA0"/>
    <w:rsid w:val="007C0F2C"/>
    <w:rsid w:val="007C2BCC"/>
    <w:rsid w:val="007C4EF0"/>
    <w:rsid w:val="007D099D"/>
    <w:rsid w:val="007E2664"/>
    <w:rsid w:val="007E3ABF"/>
    <w:rsid w:val="007E4501"/>
    <w:rsid w:val="007E5BFA"/>
    <w:rsid w:val="007E6689"/>
    <w:rsid w:val="007E731C"/>
    <w:rsid w:val="007F0A03"/>
    <w:rsid w:val="00810040"/>
    <w:rsid w:val="008120CB"/>
    <w:rsid w:val="0082023A"/>
    <w:rsid w:val="00821A7A"/>
    <w:rsid w:val="008253F8"/>
    <w:rsid w:val="0083149E"/>
    <w:rsid w:val="008325E4"/>
    <w:rsid w:val="00832A2B"/>
    <w:rsid w:val="00845811"/>
    <w:rsid w:val="00846994"/>
    <w:rsid w:val="00850451"/>
    <w:rsid w:val="00852042"/>
    <w:rsid w:val="008534C9"/>
    <w:rsid w:val="0085599D"/>
    <w:rsid w:val="00856E2A"/>
    <w:rsid w:val="0087510C"/>
    <w:rsid w:val="008838B0"/>
    <w:rsid w:val="008968D2"/>
    <w:rsid w:val="0089738E"/>
    <w:rsid w:val="008B5FDB"/>
    <w:rsid w:val="008C50F4"/>
    <w:rsid w:val="008C5649"/>
    <w:rsid w:val="008E44A2"/>
    <w:rsid w:val="008E697D"/>
    <w:rsid w:val="00903263"/>
    <w:rsid w:val="00906A21"/>
    <w:rsid w:val="009079C3"/>
    <w:rsid w:val="00910462"/>
    <w:rsid w:val="00915AB1"/>
    <w:rsid w:val="009162B7"/>
    <w:rsid w:val="00917532"/>
    <w:rsid w:val="009203E3"/>
    <w:rsid w:val="009235BA"/>
    <w:rsid w:val="00924023"/>
    <w:rsid w:val="00924CE2"/>
    <w:rsid w:val="00925B9F"/>
    <w:rsid w:val="00931AED"/>
    <w:rsid w:val="00942298"/>
    <w:rsid w:val="009476A3"/>
    <w:rsid w:val="0095334F"/>
    <w:rsid w:val="00965897"/>
    <w:rsid w:val="009663BD"/>
    <w:rsid w:val="0096765C"/>
    <w:rsid w:val="009727E4"/>
    <w:rsid w:val="00977BC5"/>
    <w:rsid w:val="009934C5"/>
    <w:rsid w:val="00994C0F"/>
    <w:rsid w:val="009B22D7"/>
    <w:rsid w:val="009B72ED"/>
    <w:rsid w:val="009C17FD"/>
    <w:rsid w:val="009C6DEB"/>
    <w:rsid w:val="009D6504"/>
    <w:rsid w:val="009D7D11"/>
    <w:rsid w:val="009E12D7"/>
    <w:rsid w:val="009E3DB9"/>
    <w:rsid w:val="009E661A"/>
    <w:rsid w:val="00A06781"/>
    <w:rsid w:val="00A074C3"/>
    <w:rsid w:val="00A1509C"/>
    <w:rsid w:val="00A249B9"/>
    <w:rsid w:val="00A34260"/>
    <w:rsid w:val="00A61C6A"/>
    <w:rsid w:val="00A70CFD"/>
    <w:rsid w:val="00A71CC3"/>
    <w:rsid w:val="00A72A0B"/>
    <w:rsid w:val="00A81E42"/>
    <w:rsid w:val="00A864FE"/>
    <w:rsid w:val="00A86F41"/>
    <w:rsid w:val="00A87D04"/>
    <w:rsid w:val="00A950C5"/>
    <w:rsid w:val="00AA0008"/>
    <w:rsid w:val="00AA1D25"/>
    <w:rsid w:val="00AA762F"/>
    <w:rsid w:val="00AB2B1A"/>
    <w:rsid w:val="00AB397F"/>
    <w:rsid w:val="00AB5832"/>
    <w:rsid w:val="00AC51F2"/>
    <w:rsid w:val="00AE5066"/>
    <w:rsid w:val="00AE5E24"/>
    <w:rsid w:val="00AE61B7"/>
    <w:rsid w:val="00AE6CBA"/>
    <w:rsid w:val="00AE7125"/>
    <w:rsid w:val="00AE79AD"/>
    <w:rsid w:val="00AF35E4"/>
    <w:rsid w:val="00AF5CDE"/>
    <w:rsid w:val="00B11A57"/>
    <w:rsid w:val="00B20195"/>
    <w:rsid w:val="00B211C3"/>
    <w:rsid w:val="00B25597"/>
    <w:rsid w:val="00B267B9"/>
    <w:rsid w:val="00B30322"/>
    <w:rsid w:val="00B32825"/>
    <w:rsid w:val="00B33E09"/>
    <w:rsid w:val="00B37D14"/>
    <w:rsid w:val="00B411C4"/>
    <w:rsid w:val="00B439D1"/>
    <w:rsid w:val="00B50708"/>
    <w:rsid w:val="00B50C68"/>
    <w:rsid w:val="00B51293"/>
    <w:rsid w:val="00B52B1E"/>
    <w:rsid w:val="00B55481"/>
    <w:rsid w:val="00B56C32"/>
    <w:rsid w:val="00B57ACF"/>
    <w:rsid w:val="00B64BB1"/>
    <w:rsid w:val="00B73166"/>
    <w:rsid w:val="00B76AF4"/>
    <w:rsid w:val="00B8426C"/>
    <w:rsid w:val="00B91B8D"/>
    <w:rsid w:val="00B927B6"/>
    <w:rsid w:val="00B94E90"/>
    <w:rsid w:val="00BB0A82"/>
    <w:rsid w:val="00BB7C94"/>
    <w:rsid w:val="00BC0A9D"/>
    <w:rsid w:val="00BC357C"/>
    <w:rsid w:val="00BF40ED"/>
    <w:rsid w:val="00BF497A"/>
    <w:rsid w:val="00BF5BC2"/>
    <w:rsid w:val="00BF700A"/>
    <w:rsid w:val="00C1133D"/>
    <w:rsid w:val="00C27A08"/>
    <w:rsid w:val="00C31312"/>
    <w:rsid w:val="00C31E36"/>
    <w:rsid w:val="00C326C6"/>
    <w:rsid w:val="00C35295"/>
    <w:rsid w:val="00C36ADD"/>
    <w:rsid w:val="00C36E74"/>
    <w:rsid w:val="00C40595"/>
    <w:rsid w:val="00C41621"/>
    <w:rsid w:val="00C449FA"/>
    <w:rsid w:val="00C5384F"/>
    <w:rsid w:val="00C55E1E"/>
    <w:rsid w:val="00C56964"/>
    <w:rsid w:val="00C631B5"/>
    <w:rsid w:val="00C656D5"/>
    <w:rsid w:val="00C67103"/>
    <w:rsid w:val="00C71BB9"/>
    <w:rsid w:val="00C9462E"/>
    <w:rsid w:val="00C94C28"/>
    <w:rsid w:val="00CB0247"/>
    <w:rsid w:val="00CB3440"/>
    <w:rsid w:val="00CC1692"/>
    <w:rsid w:val="00CD138B"/>
    <w:rsid w:val="00CD3E31"/>
    <w:rsid w:val="00CD60B2"/>
    <w:rsid w:val="00CD74A3"/>
    <w:rsid w:val="00CE0527"/>
    <w:rsid w:val="00CE0898"/>
    <w:rsid w:val="00CE3663"/>
    <w:rsid w:val="00CE5B23"/>
    <w:rsid w:val="00CF70AD"/>
    <w:rsid w:val="00CF7729"/>
    <w:rsid w:val="00D00059"/>
    <w:rsid w:val="00D00C62"/>
    <w:rsid w:val="00D107FA"/>
    <w:rsid w:val="00D12275"/>
    <w:rsid w:val="00D12766"/>
    <w:rsid w:val="00D15CE3"/>
    <w:rsid w:val="00D20FF4"/>
    <w:rsid w:val="00D213BC"/>
    <w:rsid w:val="00D24D2C"/>
    <w:rsid w:val="00D35881"/>
    <w:rsid w:val="00D41DCB"/>
    <w:rsid w:val="00D77142"/>
    <w:rsid w:val="00D83D04"/>
    <w:rsid w:val="00DA0195"/>
    <w:rsid w:val="00DA0B2C"/>
    <w:rsid w:val="00DA7DA5"/>
    <w:rsid w:val="00DB073B"/>
    <w:rsid w:val="00DB78F0"/>
    <w:rsid w:val="00DC2E43"/>
    <w:rsid w:val="00DD095C"/>
    <w:rsid w:val="00DD1020"/>
    <w:rsid w:val="00DD1330"/>
    <w:rsid w:val="00DD7490"/>
    <w:rsid w:val="00DE0B83"/>
    <w:rsid w:val="00DE1A81"/>
    <w:rsid w:val="00DE1C13"/>
    <w:rsid w:val="00DE3591"/>
    <w:rsid w:val="00DE4E10"/>
    <w:rsid w:val="00DF2364"/>
    <w:rsid w:val="00DF4DD9"/>
    <w:rsid w:val="00DF6F1D"/>
    <w:rsid w:val="00E02ABF"/>
    <w:rsid w:val="00E14995"/>
    <w:rsid w:val="00E179CD"/>
    <w:rsid w:val="00E23E8D"/>
    <w:rsid w:val="00E37F98"/>
    <w:rsid w:val="00E46559"/>
    <w:rsid w:val="00E6670C"/>
    <w:rsid w:val="00E776E8"/>
    <w:rsid w:val="00E92C1F"/>
    <w:rsid w:val="00E95D4B"/>
    <w:rsid w:val="00EA233F"/>
    <w:rsid w:val="00EA4FA0"/>
    <w:rsid w:val="00EB199F"/>
    <w:rsid w:val="00EC23F7"/>
    <w:rsid w:val="00EC4BD8"/>
    <w:rsid w:val="00EC63EB"/>
    <w:rsid w:val="00EC7D68"/>
    <w:rsid w:val="00ED412F"/>
    <w:rsid w:val="00EE2BE1"/>
    <w:rsid w:val="00EE49DC"/>
    <w:rsid w:val="00EF36B2"/>
    <w:rsid w:val="00F1246B"/>
    <w:rsid w:val="00F201EC"/>
    <w:rsid w:val="00F208A9"/>
    <w:rsid w:val="00F30039"/>
    <w:rsid w:val="00F41D75"/>
    <w:rsid w:val="00F5139D"/>
    <w:rsid w:val="00F63DAC"/>
    <w:rsid w:val="00F7454F"/>
    <w:rsid w:val="00F77988"/>
    <w:rsid w:val="00F77F48"/>
    <w:rsid w:val="00FA4031"/>
    <w:rsid w:val="00FB1902"/>
    <w:rsid w:val="00FB30F1"/>
    <w:rsid w:val="00FB53E7"/>
    <w:rsid w:val="00FD2A8A"/>
    <w:rsid w:val="00FE40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Berga@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203051&amp;from=of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3704</Words>
  <Characters>26798</Characters>
  <Application>Microsoft Office Word</Application>
  <DocSecurity>0</DocSecurity>
  <Lines>223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grozījumu anotācija</dc:subject>
  <dc:creator>Linda Berga</dc:creator>
  <cp:keywords/>
  <dc:description>67036804, Linda.Berga@tm.gov.lv</dc:description>
  <cp:lastModifiedBy>lb1201</cp:lastModifiedBy>
  <cp:revision>8</cp:revision>
  <cp:lastPrinted>2010-01-04T12:31:00Z</cp:lastPrinted>
  <dcterms:created xsi:type="dcterms:W3CDTF">2011-02-03T06:35:00Z</dcterms:created>
  <dcterms:modified xsi:type="dcterms:W3CDTF">2011-02-03T07:27:00Z</dcterms:modified>
</cp:coreProperties>
</file>