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649" w:rsidRPr="004111ED" w:rsidRDefault="00DC56D3" w:rsidP="007716F4">
      <w:pPr>
        <w:ind w:left="-284" w:right="-142"/>
        <w:jc w:val="center"/>
        <w:rPr>
          <w:sz w:val="20"/>
          <w:szCs w:val="20"/>
        </w:rPr>
      </w:pPr>
      <w:bookmarkStart w:id="0" w:name="_GoBack"/>
      <w:bookmarkEnd w:id="0"/>
      <w:r w:rsidRPr="004111ED">
        <w:rPr>
          <w:b/>
        </w:rPr>
        <w:t>Ministru kabineta noteikumu</w:t>
      </w:r>
      <w:r w:rsidR="00852042" w:rsidRPr="004111ED">
        <w:rPr>
          <w:b/>
        </w:rPr>
        <w:t xml:space="preserve"> projekta</w:t>
      </w:r>
      <w:r w:rsidRPr="004111ED">
        <w:rPr>
          <w:b/>
        </w:rPr>
        <w:t xml:space="preserve"> „</w:t>
      </w:r>
      <w:r w:rsidR="007716F4" w:rsidRPr="004111ED">
        <w:rPr>
          <w:b/>
        </w:rPr>
        <w:t>Gr</w:t>
      </w:r>
      <w:r w:rsidR="00E46DC2" w:rsidRPr="004111ED">
        <w:rPr>
          <w:b/>
        </w:rPr>
        <w:t>ozījumi Ministru kabineta 2009.</w:t>
      </w:r>
      <w:r w:rsidR="007716F4" w:rsidRPr="004111ED">
        <w:rPr>
          <w:b/>
        </w:rPr>
        <w:t>g</w:t>
      </w:r>
      <w:r w:rsidR="00E46DC2" w:rsidRPr="004111ED">
        <w:rPr>
          <w:b/>
        </w:rPr>
        <w:t>ada 22.decembra noteikumos Nr.</w:t>
      </w:r>
      <w:r w:rsidR="007716F4" w:rsidRPr="004111ED">
        <w:rPr>
          <w:b/>
        </w:rPr>
        <w:t>1493 „Noteikumi par valsts nodrošinātās juridiskās palīdzības apjomu, samaksas apmēru, atlīdzināmajiem izdevumiem un to izmaksas kārtību” sākotnējās ietekmes novērtējuma ziņojums (anotācija)</w:t>
      </w:r>
    </w:p>
    <w:tbl>
      <w:tblPr>
        <w:tblpPr w:leftFromText="180" w:rightFromText="180" w:vertAnchor="text" w:horzAnchor="margin" w:tblpXSpec="center" w:tblpY="149"/>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2574"/>
        <w:gridCol w:w="6095"/>
      </w:tblGrid>
      <w:tr w:rsidR="00852042" w:rsidRPr="004111ED" w:rsidTr="00381FC9">
        <w:tc>
          <w:tcPr>
            <w:tcW w:w="9219" w:type="dxa"/>
            <w:gridSpan w:val="3"/>
            <w:vAlign w:val="center"/>
          </w:tcPr>
          <w:p w:rsidR="00852042" w:rsidRPr="004111ED" w:rsidRDefault="00852042" w:rsidP="006C4607">
            <w:pPr>
              <w:pStyle w:val="naisnod"/>
              <w:spacing w:before="0" w:after="0"/>
            </w:pPr>
            <w:r w:rsidRPr="004111ED">
              <w:t>I</w:t>
            </w:r>
            <w:r w:rsidR="000941C5" w:rsidRPr="004111ED">
              <w:t>.</w:t>
            </w:r>
            <w:r w:rsidRPr="004111ED">
              <w:t xml:space="preserve"> Tiesību akta </w:t>
            </w:r>
            <w:r w:rsidR="002E3FF4" w:rsidRPr="004111ED">
              <w:t xml:space="preserve">projekta </w:t>
            </w:r>
            <w:r w:rsidRPr="004111ED">
              <w:t>izstrādes nepieciešamība</w:t>
            </w:r>
          </w:p>
        </w:tc>
      </w:tr>
      <w:tr w:rsidR="00262E2B" w:rsidRPr="004111ED" w:rsidTr="00805770">
        <w:trPr>
          <w:trHeight w:val="630"/>
        </w:trPr>
        <w:tc>
          <w:tcPr>
            <w:tcW w:w="550" w:type="dxa"/>
          </w:tcPr>
          <w:p w:rsidR="00262E2B" w:rsidRPr="004111ED" w:rsidRDefault="00262E2B" w:rsidP="006C4607">
            <w:pPr>
              <w:pStyle w:val="naiskr"/>
              <w:spacing w:before="0" w:after="0"/>
            </w:pPr>
            <w:r w:rsidRPr="004111ED">
              <w:t>1.</w:t>
            </w:r>
          </w:p>
        </w:tc>
        <w:tc>
          <w:tcPr>
            <w:tcW w:w="2574" w:type="dxa"/>
          </w:tcPr>
          <w:p w:rsidR="00262E2B" w:rsidRPr="004111ED" w:rsidRDefault="002D7F54" w:rsidP="006C4607">
            <w:pPr>
              <w:pStyle w:val="naiskr"/>
              <w:spacing w:before="0" w:after="0"/>
              <w:ind w:hanging="10"/>
            </w:pPr>
            <w:r w:rsidRPr="004111ED">
              <w:t>Pamatojums</w:t>
            </w:r>
          </w:p>
        </w:tc>
        <w:tc>
          <w:tcPr>
            <w:tcW w:w="6095" w:type="dxa"/>
          </w:tcPr>
          <w:p w:rsidR="00D76966" w:rsidRPr="004111ED" w:rsidRDefault="00EB7EC1" w:rsidP="00D76966">
            <w:pPr>
              <w:pStyle w:val="naiskr"/>
              <w:spacing w:before="0" w:after="0"/>
              <w:ind w:firstLine="567"/>
              <w:jc w:val="both"/>
            </w:pPr>
            <w:r w:rsidRPr="004111ED">
              <w:rPr>
                <w:bCs/>
              </w:rPr>
              <w:t>Ministru kabineta noteikumu projekts (turpmāk - Projekts) ir izstrādāts</w:t>
            </w:r>
            <w:r w:rsidR="00D76966" w:rsidRPr="004111ED">
              <w:rPr>
                <w:bCs/>
              </w:rPr>
              <w:t xml:space="preserve">, ievērojot Ministru kabineta 2012.gada 17.aprīļa </w:t>
            </w:r>
            <w:r w:rsidR="00045A0E" w:rsidRPr="004111ED">
              <w:rPr>
                <w:bCs/>
              </w:rPr>
              <w:t xml:space="preserve">protokola </w:t>
            </w:r>
            <w:r w:rsidR="00D76966" w:rsidRPr="004111ED">
              <w:rPr>
                <w:bCs/>
              </w:rPr>
              <w:t>Nr.20</w:t>
            </w:r>
            <w:r w:rsidR="00045A0E" w:rsidRPr="004111ED">
              <w:rPr>
                <w:bCs/>
              </w:rPr>
              <w:t xml:space="preserve"> (turpmāk – Protokols Nr.20)</w:t>
            </w:r>
            <w:r w:rsidR="00D76966" w:rsidRPr="004111ED">
              <w:rPr>
                <w:bCs/>
              </w:rPr>
              <w:t xml:space="preserve"> 38.§ 10.punktu, </w:t>
            </w:r>
            <w:r w:rsidR="00D76966" w:rsidRPr="004111ED">
              <w:t xml:space="preserve">kas cita starpā paredz Tieslietu ministrijai izvērtēt un līdz 2012. gada 1. jūlijam iesniegt izskatīšanai Ministru kabinetā priekšlikumus par iespējamiem grozījumiem </w:t>
            </w:r>
            <w:r w:rsidR="00D76966" w:rsidRPr="004111ED">
              <w:rPr>
                <w:rStyle w:val="spelle"/>
              </w:rPr>
              <w:t xml:space="preserve">Ministru kabineta 2009.gada 22.decembra noteikumos Nr.1493 „Noteikumi par valsts nodrošinātās juridiskās palīdzības apjomu, samaksas apmēru, atlīdzināmajiem izdevumiem un to izmaksas kārtību” </w:t>
            </w:r>
            <w:r w:rsidR="00D76966" w:rsidRPr="004111ED">
              <w:t>(turpmāk – Noteikumi Nr.1493)</w:t>
            </w:r>
            <w:r w:rsidR="00D76966" w:rsidRPr="004111ED">
              <w:rPr>
                <w:rStyle w:val="spelle"/>
              </w:rPr>
              <w:t xml:space="preserve">, </w:t>
            </w:r>
            <w:r w:rsidR="00D76966" w:rsidRPr="004111ED">
              <w:t>paredzot, ka normu ierobežojumi tiek saglabāti līdz 2016.</w:t>
            </w:r>
            <w:r w:rsidR="002352B6" w:rsidRPr="004111ED">
              <w:t>gada 1.janvārim</w:t>
            </w:r>
            <w:r w:rsidR="00D76966" w:rsidRPr="004111ED">
              <w:t xml:space="preserve"> vai arī to apjoms tiek atjaunots pakāpeniski trīs gadu laikā.</w:t>
            </w:r>
          </w:p>
          <w:p w:rsidR="00D76966" w:rsidRPr="004111ED" w:rsidRDefault="00D76966" w:rsidP="00D76966">
            <w:pPr>
              <w:pStyle w:val="naiskr"/>
              <w:spacing w:before="0" w:after="0"/>
              <w:ind w:firstLine="567"/>
              <w:jc w:val="both"/>
              <w:rPr>
                <w:rStyle w:val="spelle"/>
              </w:rPr>
            </w:pPr>
            <w:r w:rsidRPr="004111ED">
              <w:t xml:space="preserve">2012.gada 31.jūlijā Ministru kabineta sēdē tika izskatīts informatīvais ziņojums „Par priekšlikumiem par iespējamiem grozījumiem normatīvajos aktos, paredzot normu ierobežojumu saglabāšanu līdz 2016.gada 1.janvārim vai arī to apjoma pakāpenisku atjaunošanu trīs gadu laikā” (TA-1727) un tika nolemts, ka </w:t>
            </w:r>
            <w:r w:rsidRPr="004111ED">
              <w:rPr>
                <w:rStyle w:val="spelle"/>
              </w:rPr>
              <w:t>jautājumu kopā ar pārējiem iesniegtajiem priekšlikumiem par papildu finansējumu prioritāriem pasākumiem turpināt izskatīt Ministru kabineta locekļu seminārā par budžeta jautājumiem</w:t>
            </w:r>
            <w:r w:rsidR="00F42179" w:rsidRPr="004111ED">
              <w:rPr>
                <w:rStyle w:val="spelle"/>
              </w:rPr>
              <w:t xml:space="preserve"> (2012.gada 31.jūlija prot</w:t>
            </w:r>
            <w:r w:rsidR="00045A0E" w:rsidRPr="004111ED">
              <w:rPr>
                <w:rStyle w:val="spelle"/>
              </w:rPr>
              <w:t>okols</w:t>
            </w:r>
            <w:r w:rsidR="00F42179" w:rsidRPr="004111ED">
              <w:rPr>
                <w:rStyle w:val="spelle"/>
              </w:rPr>
              <w:t> </w:t>
            </w:r>
            <w:r w:rsidRPr="004111ED">
              <w:rPr>
                <w:rStyle w:val="spelle"/>
              </w:rPr>
              <w:t xml:space="preserve">Nr.42 </w:t>
            </w:r>
            <w:bookmarkStart w:id="1" w:name="62"/>
            <w:r w:rsidRPr="004111ED">
              <w:t>62</w:t>
            </w:r>
            <w:bookmarkEnd w:id="1"/>
            <w:r w:rsidRPr="004111ED">
              <w:t xml:space="preserve">.§). 2012.gada 16.augustā, atkārtoti Ministru kabinetā izskatot minēto informatīvo ziņojumu, </w:t>
            </w:r>
            <w:r w:rsidRPr="004111ED">
              <w:rPr>
                <w:rStyle w:val="spelle"/>
              </w:rPr>
              <w:t xml:space="preserve">Tieslietu ministrijai </w:t>
            </w:r>
            <w:r w:rsidRPr="004111ED">
              <w:t xml:space="preserve">tika uzdots </w:t>
            </w:r>
            <w:r w:rsidRPr="004111ED">
              <w:rPr>
                <w:rStyle w:val="spelle"/>
              </w:rPr>
              <w:t>izstrādāt un noteiktā kārtībā iesniegt Ministru kabinetā informatīvajā ziņojumā paredzētos grozījumus Noteikumos Nr.1493, paredzot, ka normu ierobežojumi tiek saglabāti līdz 2014.gada 1.janvārim (2012.gada 16.</w:t>
            </w:r>
            <w:r w:rsidR="00F42179" w:rsidRPr="004111ED">
              <w:rPr>
                <w:rStyle w:val="spelle"/>
              </w:rPr>
              <w:t>augusta prot</w:t>
            </w:r>
            <w:r w:rsidR="00045A0E" w:rsidRPr="004111ED">
              <w:rPr>
                <w:rStyle w:val="spelle"/>
              </w:rPr>
              <w:t>okola</w:t>
            </w:r>
            <w:r w:rsidR="00F42179" w:rsidRPr="004111ED">
              <w:rPr>
                <w:rStyle w:val="spelle"/>
              </w:rPr>
              <w:t> </w:t>
            </w:r>
            <w:r w:rsidRPr="004111ED">
              <w:rPr>
                <w:rStyle w:val="spelle"/>
              </w:rPr>
              <w:t xml:space="preserve">Nr.46 </w:t>
            </w:r>
            <w:r w:rsidRPr="004111ED">
              <w:t>22.§ 6.punkts</w:t>
            </w:r>
            <w:r w:rsidRPr="004111ED">
              <w:rPr>
                <w:rStyle w:val="spelle"/>
              </w:rPr>
              <w:t>).</w:t>
            </w:r>
          </w:p>
          <w:p w:rsidR="00567D2F" w:rsidRPr="004111ED" w:rsidRDefault="00D76966" w:rsidP="00D76966">
            <w:pPr>
              <w:pStyle w:val="naiskr"/>
              <w:spacing w:before="0" w:after="0"/>
              <w:ind w:firstLine="567"/>
              <w:jc w:val="both"/>
            </w:pPr>
            <w:r w:rsidRPr="00F92E3F">
              <w:t>Turklāt j</w:t>
            </w:r>
            <w:r w:rsidRPr="00F92E3F">
              <w:rPr>
                <w:rStyle w:val="spelle"/>
              </w:rPr>
              <w:t>autājumu par papildu nepieciešamā finansējuma piešķiršanu Tieslietu ministrijai 2014.gadā un turpmākajos gados nolemts izskatīt Ministru kabinetā kārtējā gada valsts budžeta likumprojekta sagatavošanas procesā (2012.gada 16.augusta prot</w:t>
            </w:r>
            <w:r w:rsidR="00045A0E" w:rsidRPr="00F92E3F">
              <w:rPr>
                <w:rStyle w:val="spelle"/>
              </w:rPr>
              <w:t>okola</w:t>
            </w:r>
            <w:r w:rsidRPr="00F92E3F">
              <w:rPr>
                <w:sz w:val="28"/>
                <w:szCs w:val="20"/>
              </w:rPr>
              <w:t xml:space="preserve"> </w:t>
            </w:r>
            <w:r w:rsidRPr="00F92E3F">
              <w:t>Nr.46 22.§</w:t>
            </w:r>
            <w:r w:rsidR="00045A0E" w:rsidRPr="00F92E3F">
              <w:t xml:space="preserve"> 5.punkts</w:t>
            </w:r>
            <w:r w:rsidRPr="00F92E3F">
              <w:t>)</w:t>
            </w:r>
            <w:r w:rsidRPr="004111ED">
              <w:t>.</w:t>
            </w:r>
          </w:p>
          <w:p w:rsidR="00DC56D3" w:rsidRPr="004111ED" w:rsidRDefault="00567D2F" w:rsidP="00045A0E">
            <w:pPr>
              <w:pStyle w:val="naiskr"/>
              <w:spacing w:before="0" w:after="0"/>
              <w:ind w:firstLine="567"/>
              <w:jc w:val="both"/>
            </w:pPr>
            <w:r w:rsidRPr="004111ED">
              <w:t>Projekts izstrādāts arī atbilstoši  Ministru kabineta 2011. gada 20. decembra sēdes protokola Nr.75 41. § „</w:t>
            </w:r>
            <w:r w:rsidRPr="004111ED">
              <w:rPr>
                <w:bCs/>
              </w:rPr>
              <w:t>Informatīvais ziņojums „Par priekšlikumiem elektroniskā paraksta plašākas lietošanas nodrošināšanai”</w:t>
            </w:r>
            <w:r w:rsidRPr="004111ED">
              <w:t xml:space="preserve">” 5.1.1.apakšpunktā dotajam uzdevumam visām ministrijām nodrošināt iespēju personām elektroniski pieprasīt pakalpojumus un iesniegt elektroniski parakstītus dokumentus iestādē, tajā skaitā pieteikumu tiesai (izņemot tādus gadījumus, kad pakalpojumu nav iespējams sniegt bez personas fiziskas </w:t>
            </w:r>
            <w:r w:rsidRPr="004111ED">
              <w:lastRenderedPageBreak/>
              <w:t>ierašanās iestādē).</w:t>
            </w:r>
          </w:p>
        </w:tc>
      </w:tr>
      <w:tr w:rsidR="00262E2B" w:rsidRPr="004111ED" w:rsidTr="00805770">
        <w:trPr>
          <w:trHeight w:val="472"/>
        </w:trPr>
        <w:tc>
          <w:tcPr>
            <w:tcW w:w="550" w:type="dxa"/>
          </w:tcPr>
          <w:p w:rsidR="00262E2B" w:rsidRPr="004111ED" w:rsidRDefault="00262E2B" w:rsidP="006C4607">
            <w:pPr>
              <w:pStyle w:val="naiskr"/>
              <w:spacing w:before="0" w:after="0"/>
            </w:pPr>
            <w:r w:rsidRPr="004111ED">
              <w:lastRenderedPageBreak/>
              <w:t>2.</w:t>
            </w:r>
          </w:p>
        </w:tc>
        <w:tc>
          <w:tcPr>
            <w:tcW w:w="2574" w:type="dxa"/>
          </w:tcPr>
          <w:p w:rsidR="00262E2B" w:rsidRPr="004111ED" w:rsidRDefault="00262E2B" w:rsidP="006C4607">
            <w:pPr>
              <w:pStyle w:val="naiskr"/>
              <w:tabs>
                <w:tab w:val="left" w:pos="170"/>
              </w:tabs>
              <w:spacing w:before="0" w:after="0"/>
            </w:pPr>
            <w:r w:rsidRPr="004111ED">
              <w:t>Pašreizējā situācija</w:t>
            </w:r>
            <w:r w:rsidR="001F5CD6" w:rsidRPr="004111ED">
              <w:t xml:space="preserve"> un problēmas</w:t>
            </w:r>
          </w:p>
        </w:tc>
        <w:tc>
          <w:tcPr>
            <w:tcW w:w="6095" w:type="dxa"/>
          </w:tcPr>
          <w:p w:rsidR="00381FC9" w:rsidRPr="004111ED" w:rsidRDefault="00C4306B" w:rsidP="00381FC9">
            <w:pPr>
              <w:tabs>
                <w:tab w:val="left" w:pos="6096"/>
              </w:tabs>
              <w:ind w:firstLine="283"/>
              <w:jc w:val="both"/>
            </w:pPr>
            <w:r w:rsidRPr="004111ED">
              <w:t xml:space="preserve">Šobrīd spēkā ir </w:t>
            </w:r>
            <w:r w:rsidR="000E74EB" w:rsidRPr="004111ED">
              <w:t>Noteikumi Nr.1493</w:t>
            </w:r>
            <w:r w:rsidR="002352B6" w:rsidRPr="004111ED">
              <w:t>,</w:t>
            </w:r>
            <w:r w:rsidRPr="004111ED">
              <w:t xml:space="preserve"> saskaņā ar kuriem no </w:t>
            </w:r>
            <w:r w:rsidR="00381FC9" w:rsidRPr="004111ED">
              <w:t>valsts nodrošinātai juridisk</w:t>
            </w:r>
            <w:r w:rsidRPr="004111ED">
              <w:t xml:space="preserve">ai palīdzībai paredzētajiem līdzekļiem tiek veikta samaksa par konkrētiem juridiskās palīdzības veidiem (piemēram, </w:t>
            </w:r>
            <w:r w:rsidR="00381FC9" w:rsidRPr="004111ED">
              <w:t xml:space="preserve">juridiskās konsultācijas sniegšana, </w:t>
            </w:r>
            <w:r w:rsidRPr="004111ED">
              <w:t>apelācijas sūdzīb</w:t>
            </w:r>
            <w:r w:rsidR="00381FC9" w:rsidRPr="004111ED">
              <w:t xml:space="preserve">as sastādīšana, pārstāvība tiesas sēdē </w:t>
            </w:r>
            <w:proofErr w:type="spellStart"/>
            <w:r w:rsidR="00381FC9" w:rsidRPr="004111ED">
              <w:t>u.c</w:t>
            </w:r>
            <w:proofErr w:type="spellEnd"/>
            <w:r w:rsidR="00381FC9" w:rsidRPr="004111ED">
              <w:t>.</w:t>
            </w:r>
            <w:r w:rsidRPr="004111ED">
              <w:t>) un atlīdzināmajiem izdevumiem (piemēram, ceļa, transporta</w:t>
            </w:r>
            <w:r w:rsidR="00381FC9" w:rsidRPr="004111ED">
              <w:t xml:space="preserve"> izdevumi, viesnīcas izdevumi).</w:t>
            </w:r>
          </w:p>
          <w:p w:rsidR="00381FC9" w:rsidRPr="004111ED" w:rsidRDefault="00381FC9" w:rsidP="00381FC9">
            <w:pPr>
              <w:tabs>
                <w:tab w:val="left" w:pos="6096"/>
              </w:tabs>
              <w:ind w:firstLine="283"/>
              <w:jc w:val="both"/>
            </w:pPr>
            <w:r w:rsidRPr="004111ED">
              <w:t>Noteikumu Nr.</w:t>
            </w:r>
            <w:r w:rsidRPr="004111ED">
              <w:rPr>
                <w:szCs w:val="28"/>
              </w:rPr>
              <w:t xml:space="preserve">1493 noslēguma jautājumi paredz, ka no 2010. gada 1. janvāra līdz 2012. gada 31. decembrim noteiktiem valsts apmaksājamiem juridiskās palīdzības veidiem (sniegta juridiska konsultācija, procesuālo dokumentu sastādīšana, pārstāvība vai  </w:t>
            </w:r>
            <w:r w:rsidR="00045A0E" w:rsidRPr="004111ED">
              <w:rPr>
                <w:szCs w:val="28"/>
              </w:rPr>
              <w:t xml:space="preserve">aizstāvība </w:t>
            </w:r>
            <w:r w:rsidRPr="004111ED">
              <w:rPr>
                <w:szCs w:val="28"/>
              </w:rPr>
              <w:t xml:space="preserve">pirmstiesas procesā un tiesas sēdē </w:t>
            </w:r>
            <w:proofErr w:type="spellStart"/>
            <w:r w:rsidRPr="004111ED">
              <w:rPr>
                <w:szCs w:val="28"/>
              </w:rPr>
              <w:t>u.c</w:t>
            </w:r>
            <w:proofErr w:type="spellEnd"/>
            <w:r w:rsidRPr="004111ED">
              <w:rPr>
                <w:szCs w:val="28"/>
              </w:rPr>
              <w:t xml:space="preserve">.) </w:t>
            </w:r>
            <w:r w:rsidRPr="00F92E3F">
              <w:rPr>
                <w:szCs w:val="28"/>
              </w:rPr>
              <w:t>samaksa noteikta samazinātā apmērā</w:t>
            </w:r>
            <w:r w:rsidRPr="004111ED">
              <w:rPr>
                <w:szCs w:val="28"/>
              </w:rPr>
              <w:t xml:space="preserve"> (59. punkts un 61. punkts) un noteiktu juridiskās palīdzības veidu</w:t>
            </w:r>
            <w:r w:rsidRPr="004111ED">
              <w:rPr>
                <w:rStyle w:val="Vresatsauce"/>
                <w:szCs w:val="28"/>
              </w:rPr>
              <w:footnoteReference w:id="1"/>
            </w:r>
            <w:r w:rsidRPr="004111ED">
              <w:rPr>
                <w:szCs w:val="28"/>
              </w:rPr>
              <w:t xml:space="preserve"> apmaksa tiek uzsākta tikai ar 2013. gada 1. janvāri (60. punkts un 62. punkts). </w:t>
            </w:r>
          </w:p>
          <w:p w:rsidR="00381FC9" w:rsidRPr="004111ED" w:rsidRDefault="00381FC9" w:rsidP="00381FC9">
            <w:pPr>
              <w:tabs>
                <w:tab w:val="left" w:pos="6096"/>
              </w:tabs>
              <w:ind w:firstLine="283"/>
              <w:jc w:val="both"/>
              <w:rPr>
                <w:szCs w:val="28"/>
              </w:rPr>
            </w:pPr>
            <w:r w:rsidRPr="004111ED">
              <w:rPr>
                <w:szCs w:val="28"/>
              </w:rPr>
              <w:t>Tādējādi no 2013. gada 1. janvāra būtu jāveic Noteikumos Nr.</w:t>
            </w:r>
            <w:r w:rsidR="000F699B">
              <w:rPr>
                <w:szCs w:val="28"/>
              </w:rPr>
              <w:t>1</w:t>
            </w:r>
            <w:r w:rsidRPr="004111ED">
              <w:rPr>
                <w:szCs w:val="28"/>
              </w:rPr>
              <w:t>493 paredzēto visu juridiskās palīdzības veidu apmaksa tiem paredzētajā samaksas maksimālajā apmērā (</w:t>
            </w:r>
            <w:proofErr w:type="spellStart"/>
            <w:r w:rsidRPr="004111ED">
              <w:rPr>
                <w:szCs w:val="28"/>
              </w:rPr>
              <w:t>t.i</w:t>
            </w:r>
            <w:proofErr w:type="spellEnd"/>
            <w:r w:rsidRPr="004111ED">
              <w:rPr>
                <w:szCs w:val="28"/>
              </w:rPr>
              <w:t xml:space="preserve">., Noteikumu </w:t>
            </w:r>
            <w:proofErr w:type="spellStart"/>
            <w:r w:rsidRPr="004111ED">
              <w:rPr>
                <w:szCs w:val="28"/>
              </w:rPr>
              <w:t>Nr</w:t>
            </w:r>
            <w:proofErr w:type="spellEnd"/>
            <w:r w:rsidRPr="004111ED">
              <w:rPr>
                <w:szCs w:val="28"/>
              </w:rPr>
              <w:t>. 1493 pamatregulējumā paredzētais).</w:t>
            </w:r>
          </w:p>
          <w:p w:rsidR="00381FC9" w:rsidRPr="004111ED" w:rsidRDefault="00381FC9" w:rsidP="00381FC9">
            <w:pPr>
              <w:tabs>
                <w:tab w:val="left" w:pos="6096"/>
              </w:tabs>
              <w:ind w:firstLine="283"/>
              <w:jc w:val="both"/>
              <w:rPr>
                <w:szCs w:val="28"/>
              </w:rPr>
            </w:pPr>
          </w:p>
          <w:p w:rsidR="00381FC9" w:rsidRPr="004111ED" w:rsidRDefault="00381FC9" w:rsidP="00381FC9">
            <w:pPr>
              <w:tabs>
                <w:tab w:val="left" w:pos="6096"/>
              </w:tabs>
              <w:ind w:firstLine="283"/>
              <w:jc w:val="both"/>
              <w:rPr>
                <w:bCs/>
              </w:rPr>
            </w:pPr>
            <w:r w:rsidRPr="004111ED">
              <w:rPr>
                <w:bCs/>
              </w:rPr>
              <w:t xml:space="preserve">Atbilstoši </w:t>
            </w:r>
            <w:r w:rsidR="00045A0E" w:rsidRPr="004111ED">
              <w:rPr>
                <w:bCs/>
              </w:rPr>
              <w:t>Protokola Nr.20</w:t>
            </w:r>
            <w:r w:rsidRPr="004111ED">
              <w:rPr>
                <w:bCs/>
              </w:rPr>
              <w:t xml:space="preserve"> 10.punktā dotajam uzdevumam Tieslietu ministrija izstrādāja informatīvo ziņojumu „Par priekšlikumiem par iespējamiem grozījumiem normatīvajos aktos, paredzot normu ierobežojumu saglabāšanu līdz 2016.gada 1.janvārim vai arī to apjoma pakāpenisku atjaunošanu trīs gadu laikā”, kas tika izskatīts Ministru kabineta 2012.gada 16.augusta sēdē.</w:t>
            </w:r>
            <w:r w:rsidR="00401637">
              <w:rPr>
                <w:bCs/>
              </w:rPr>
              <w:t xml:space="preserve"> </w:t>
            </w:r>
            <w:r w:rsidRPr="004111ED">
              <w:rPr>
                <w:bCs/>
              </w:rPr>
              <w:t xml:space="preserve"> </w:t>
            </w:r>
          </w:p>
          <w:p w:rsidR="00401637" w:rsidRDefault="00381FC9" w:rsidP="00381FC9">
            <w:pPr>
              <w:tabs>
                <w:tab w:val="left" w:pos="6096"/>
              </w:tabs>
              <w:ind w:firstLine="283"/>
              <w:jc w:val="both"/>
            </w:pPr>
            <w:r w:rsidRPr="004111ED">
              <w:rPr>
                <w:bCs/>
              </w:rPr>
              <w:t xml:space="preserve">Izskatot šo informatīvo ziņojumu Ministru kabineta 2012.gada 16.augusta sēdē, tika ņemta vērā </w:t>
            </w:r>
            <w:r w:rsidRPr="004111ED">
              <w:t>valsts ekonomiskā situācija, kas gan</w:t>
            </w:r>
            <w:r w:rsidR="002352B6" w:rsidRPr="004111ED">
              <w:t>,</w:t>
            </w:r>
            <w:r w:rsidRPr="004111ED">
              <w:t xml:space="preserve"> salīdzinot ar situāciju 2009.gadā, kad tika pieņemts minētais pašreiz spēkā esošais </w:t>
            </w:r>
            <w:r w:rsidR="004F5452" w:rsidRPr="004111ED">
              <w:t xml:space="preserve">Noteikumu Nr.1493 </w:t>
            </w:r>
            <w:r w:rsidRPr="004111ED">
              <w:t xml:space="preserve">pārejas periods, ir stabilizējusies un ir vērojamas pozitīvas izmaiņas valsts ekonomiskajos rādītājos, </w:t>
            </w:r>
            <w:r w:rsidR="00B37DD4" w:rsidRPr="004111ED">
              <w:t xml:space="preserve">taču </w:t>
            </w:r>
            <w:r w:rsidRPr="004111ED">
              <w:t xml:space="preserve">joprojām valsts politika ir īstenojama, ievērojot ierobežotu valsts budžeta līdzekļu pieejamību, lai būtu iespējams īstenot valsts fiskālo politiku, tādējādi nodrošinot ekonomiskās izaugsmes un ilgtspējas veicināšanu. </w:t>
            </w:r>
          </w:p>
          <w:p w:rsidR="00401637" w:rsidRPr="00F5085C" w:rsidRDefault="00401637" w:rsidP="00381FC9">
            <w:pPr>
              <w:tabs>
                <w:tab w:val="left" w:pos="6096"/>
              </w:tabs>
              <w:ind w:firstLine="283"/>
              <w:jc w:val="both"/>
              <w:rPr>
                <w:szCs w:val="28"/>
              </w:rPr>
            </w:pPr>
            <w:r w:rsidRPr="00F5085C">
              <w:t>Līdz ar to i</w:t>
            </w:r>
            <w:r w:rsidRPr="00F5085C">
              <w:rPr>
                <w:szCs w:val="28"/>
              </w:rPr>
              <w:t>zskatot informatīvo ziņojumu, Ministru kabinets neatbalstīja informatīvajā ziņojum</w:t>
            </w:r>
            <w:r w:rsidR="008A517C" w:rsidRPr="00F5085C">
              <w:rPr>
                <w:szCs w:val="28"/>
              </w:rPr>
              <w:t>ā</w:t>
            </w:r>
            <w:r w:rsidRPr="00F5085C">
              <w:rPr>
                <w:szCs w:val="28"/>
              </w:rPr>
              <w:t xml:space="preserve"> ietverto Tieslietu ministrijas priekšlikumu jau 2013.gadā uzsākt jauno apmaksājamo juridiskās palīdzības veidu samaksu,</w:t>
            </w:r>
            <w:r w:rsidRPr="00401637">
              <w:rPr>
                <w:b/>
                <w:szCs w:val="28"/>
              </w:rPr>
              <w:t xml:space="preserve"> </w:t>
            </w:r>
            <w:r w:rsidRPr="00F5085C">
              <w:rPr>
                <w:szCs w:val="28"/>
              </w:rPr>
              <w:lastRenderedPageBreak/>
              <w:t xml:space="preserve">pakāpeniski ik gadu palielinot to samaksas apmēru, un esošo juridiskās palīdzības veidu samaksas apmēra pakāpenisku palielināšanu līdz pašreizējā Noteikumu </w:t>
            </w:r>
            <w:proofErr w:type="spellStart"/>
            <w:r w:rsidRPr="00F5085C">
              <w:rPr>
                <w:szCs w:val="28"/>
              </w:rPr>
              <w:t>Nr</w:t>
            </w:r>
            <w:proofErr w:type="spellEnd"/>
            <w:r w:rsidRPr="00F5085C">
              <w:rPr>
                <w:szCs w:val="28"/>
              </w:rPr>
              <w:t>. 1493 pamatregulējumā noteiktajam samaksas apmēram.</w:t>
            </w:r>
          </w:p>
          <w:p w:rsidR="00381FC9" w:rsidRPr="004111ED" w:rsidRDefault="00381FC9" w:rsidP="00381FC9">
            <w:pPr>
              <w:tabs>
                <w:tab w:val="left" w:pos="6096"/>
              </w:tabs>
              <w:ind w:firstLine="283"/>
              <w:jc w:val="both"/>
              <w:rPr>
                <w:bCs/>
              </w:rPr>
            </w:pPr>
            <w:r w:rsidRPr="004111ED">
              <w:t xml:space="preserve">Ievērojot minēto, </w:t>
            </w:r>
            <w:r w:rsidRPr="004111ED">
              <w:rPr>
                <w:bCs/>
              </w:rPr>
              <w:t xml:space="preserve">Tieslietu ministrijai tika uzdots izstrādāt un noteiktā kārtībā iesniegt Ministru kabinetā grozījumus Noteikumos Nr.1493, paredzot, ka </w:t>
            </w:r>
            <w:r w:rsidR="006153A8">
              <w:rPr>
                <w:bCs/>
              </w:rPr>
              <w:t xml:space="preserve">šobrīd spēkā esošie </w:t>
            </w:r>
            <w:r w:rsidRPr="004111ED">
              <w:rPr>
                <w:bCs/>
              </w:rPr>
              <w:t>normu ierobežojumi tiek saglabāti līdz 2014.gada 1.janvārim.</w:t>
            </w:r>
          </w:p>
          <w:p w:rsidR="00381FC9" w:rsidRPr="004111ED" w:rsidRDefault="00381FC9" w:rsidP="00381FC9">
            <w:pPr>
              <w:tabs>
                <w:tab w:val="left" w:pos="6096"/>
              </w:tabs>
              <w:ind w:firstLine="283"/>
              <w:jc w:val="both"/>
              <w:rPr>
                <w:bCs/>
              </w:rPr>
            </w:pPr>
          </w:p>
          <w:p w:rsidR="00B805DC" w:rsidRPr="004111ED" w:rsidRDefault="00381FC9" w:rsidP="00381FC9">
            <w:pPr>
              <w:ind w:firstLine="318"/>
              <w:jc w:val="both"/>
              <w:rPr>
                <w:bCs/>
              </w:rPr>
            </w:pPr>
            <w:r w:rsidRPr="004111ED">
              <w:rPr>
                <w:bCs/>
              </w:rPr>
              <w:t xml:space="preserve">Turklāt atbilstoši Juridiskās palīdzības administrācijas sniegtajai informācijai Noteikumos Nr.1493 ir nepieciešami </w:t>
            </w:r>
            <w:r w:rsidR="005E3370" w:rsidRPr="004111ED">
              <w:rPr>
                <w:bCs/>
              </w:rPr>
              <w:t>arī citi</w:t>
            </w:r>
            <w:r w:rsidRPr="004111ED">
              <w:rPr>
                <w:bCs/>
              </w:rPr>
              <w:t xml:space="preserve"> grozījumi, kas saistīti ar regulējuma pilnveidošanu, lai atvieglotu Noteikumu Nr.1493 piemērošanu un viennozīmīgu interpretāciju</w:t>
            </w:r>
            <w:r w:rsidR="00B805DC" w:rsidRPr="004111ED">
              <w:rPr>
                <w:bCs/>
              </w:rPr>
              <w:t>.</w:t>
            </w:r>
            <w:r w:rsidRPr="004111ED">
              <w:rPr>
                <w:bCs/>
              </w:rPr>
              <w:t xml:space="preserve"> </w:t>
            </w:r>
            <w:r w:rsidR="00B805DC" w:rsidRPr="004111ED">
              <w:rPr>
                <w:bCs/>
              </w:rPr>
              <w:t xml:space="preserve"> Šobrīd praksē ir konstatētas šādas problēmas:</w:t>
            </w:r>
          </w:p>
          <w:p w:rsidR="00B805DC" w:rsidRPr="004111ED" w:rsidRDefault="00B805DC" w:rsidP="00381FC9">
            <w:pPr>
              <w:pStyle w:val="naiskr"/>
              <w:spacing w:before="0" w:after="0"/>
              <w:ind w:firstLine="284"/>
              <w:jc w:val="both"/>
              <w:rPr>
                <w:bCs/>
              </w:rPr>
            </w:pPr>
          </w:p>
          <w:p w:rsidR="00B805DC" w:rsidRPr="004111ED" w:rsidRDefault="00B805DC" w:rsidP="00B805DC">
            <w:pPr>
              <w:pStyle w:val="naiskr"/>
              <w:spacing w:before="0" w:after="0"/>
              <w:ind w:firstLine="284"/>
              <w:jc w:val="both"/>
            </w:pPr>
            <w:r w:rsidRPr="004111ED">
              <w:rPr>
                <w:bCs/>
              </w:rPr>
              <w:t xml:space="preserve">1) Šobrīd Noteikumu Nr.1493 13.punktā ietvertais regulējums </w:t>
            </w:r>
            <w:r w:rsidRPr="004111ED">
              <w:t>par samaksas apmēra noteikšanu divkāršā stundas likmes apmērā, sniedzot juridisko konsultāciju juridiskās palīdzības saņēmēja dzīvesvietā vai atrašanās vietā, ja juridiskās palīdzības saņēmējs no viņa neatkarīgu iemeslu dēļ nespēj ierasties juridiskās palīdzības sniedzēja prakses vietā, attiecas tikai uz tiem juridiskās palīdzība</w:t>
            </w:r>
            <w:r w:rsidR="001F5586">
              <w:t>s</w:t>
            </w:r>
            <w:r w:rsidRPr="004111ED">
              <w:t xml:space="preserve"> sniedzējiem, kuri juridisko palīdzību civillietās, administratīvajās lietās un pārrobežu strīdu lietās sniedz pēc Juridiskās palīdzības administrācijas norīkojuma. Taču minētais regulējums neaptver gadījumus, kad  valsts nodrošināto juridisko palīdzību administratīvajās lietās sniedz pēc attiecīgās iestādes uzaicinājuma. Piemēram, gadījumā, kad juridiskā palīdzība ir nepieciešama aizturētajam ārzemniekam, kurš uzturas izmitināšanas centrā, Valsts robežsardze nekavējoties uzaicina juridiskās palīdzības sniedzēju no saraksta, ko sagatavojusi Juridiskās palīdzības administrācija. Līdz ar to juridiskā palīdzība tiek sniegta pēc iestādes uzaicinājuma, un juridiskās palīdzības sniedzējs par juridiskās palīdzības sniegšanu, piemēram, izmitināšanas centrā, nesaņems samaksu divkāršā stundas likmes apmērā. Līdz ar to ir nepieciešams precizēt Noteikumu </w:t>
            </w:r>
            <w:r w:rsidR="001F5586" w:rsidRPr="004111ED">
              <w:t xml:space="preserve">Nr.1493 </w:t>
            </w:r>
            <w:r w:rsidRPr="004111ED">
              <w:t>13.punktu.</w:t>
            </w:r>
          </w:p>
          <w:p w:rsidR="007C6A16" w:rsidRPr="007C6A16" w:rsidRDefault="00B805DC" w:rsidP="007C6A16">
            <w:pPr>
              <w:pStyle w:val="naiskr"/>
              <w:spacing w:before="0" w:after="0"/>
              <w:ind w:firstLine="284"/>
              <w:jc w:val="both"/>
            </w:pPr>
            <w:r w:rsidRPr="004111ED">
              <w:t xml:space="preserve">2) </w:t>
            </w:r>
            <w:r w:rsidR="007C6A16" w:rsidRPr="007C6A16">
              <w:t xml:space="preserve">Spēkā esošie Noteikumi Nr.1493 neparedz tiesisko regulējumu attiecībā uz samaksas apmēra aprēķināšanu gadījumos, kad viena kriminālprocesa ietvaros tiek pārstāvētas divas vai vairākas personas. Līdz ar to praksē ir konstatēts, ka juridiskās palīdzības sniedzēji atšķirīgi aprēķina samaksu par iepazīšanos ar krimināllietas materiālu sējumiem tiesā viena kriminālprocesa ietvaros, kad  minētā juridiskā palīdzība sniegta divām vai vairākām personām. Šobrīd atbilstoši spēkā esošajam tiesiskajam regulējumam (Noteikumu Nr.1493 28.9. un 61.10.apakšpunkts)  juridiskās palīdzības sniedzējam par iepazīšanos ar vienu krimināllietas materiālu sējumu tiesā viena kriminālprocesa ietvaros (tai skaitā izlemjot jautājumu </w:t>
            </w:r>
            <w:r w:rsidR="007C6A16" w:rsidRPr="007C6A16">
              <w:lastRenderedPageBreak/>
              <w:t>par drošības līdzekļa piemērošanu pirmstiesas kriminālprocesā) maksā 5 latu apmērā. Piemēram, juridiskā palīdzība sniegta trīs personām, bet krimināllietā ir četri lietas materiālu sējumi – daži juridiskās palīdzības sniedzēji samaksu aprēķina</w:t>
            </w:r>
            <w:r w:rsidR="007C6A16">
              <w:t xml:space="preserve"> par 4 sējumiem, savukārt citi - par 12 sējumiem (4+4+4=12)</w:t>
            </w:r>
            <w:r w:rsidR="007C6A16" w:rsidRPr="007C6A16">
              <w:t xml:space="preserve">. </w:t>
            </w:r>
          </w:p>
          <w:p w:rsidR="007C6A16" w:rsidRPr="004111ED" w:rsidRDefault="007C6A16" w:rsidP="007C6A16">
            <w:pPr>
              <w:pStyle w:val="naiskr"/>
              <w:spacing w:before="0" w:after="0"/>
              <w:ind w:firstLine="284"/>
              <w:jc w:val="both"/>
            </w:pPr>
            <w:r w:rsidRPr="007C6A16">
              <w:t>Līdzīgs regulējuma trūkums ir konstatēts arī gadījumos, kad juridiskā palīdzība sniegta divām vai vairākām personām vienā civillietā, administratīvajā lietā vai pārrobežu strīdā.</w:t>
            </w:r>
            <w:r w:rsidRPr="004111ED">
              <w:t xml:space="preserve"> </w:t>
            </w:r>
          </w:p>
          <w:p w:rsidR="00805770" w:rsidRPr="004111ED" w:rsidRDefault="007C6A16" w:rsidP="00B805DC">
            <w:pPr>
              <w:pStyle w:val="naiskr"/>
              <w:spacing w:before="0" w:after="0"/>
              <w:ind w:firstLine="284"/>
              <w:jc w:val="both"/>
            </w:pPr>
            <w:r w:rsidRPr="004111ED" w:rsidDel="001F5586">
              <w:t xml:space="preserve"> </w:t>
            </w:r>
            <w:r w:rsidR="00B805DC" w:rsidRPr="004111ED">
              <w:t>3) Šobrīd spēkā esošo Noteikumu Nr.1493 18.punktā</w:t>
            </w:r>
            <w:r w:rsidR="00B45832" w:rsidRPr="004111ED">
              <w:t xml:space="preserve"> ir paredzēts izņēmums attiecībā uz piešķirtās valsts nodrošinātās juridiskās palīdzības apjomu, ja juridiskās palīdzības nesniegšana ierobežo personas garantētās pamattiesības un Juridiskās palīdzības administrācija ir pieņēmusi lēmumu par juridiskās palīdzības sniegšanu izņēmuma kārtā. Ņemot vērā to, ka Imigrācijas likuma noteiktajos gadījumos un kārtībā juridisko palīdzību sniedz arī pēc Valsts robežsardzes uzaicinājuma, ir nepieciešams precizēt Noteikumu Nr.1493 18.punktu, lai tajā ietvertais izņēmums attiektos arī uz gadījumiem, kad juridiskā palīdzība izraidāmajam ārzemniekam sniegta pēc Valsts robežsardzes uzaicinājuma.</w:t>
            </w:r>
          </w:p>
          <w:p w:rsidR="00C31579" w:rsidRPr="00F5085C" w:rsidRDefault="00805770" w:rsidP="00B37430">
            <w:pPr>
              <w:pStyle w:val="naiskr"/>
              <w:spacing w:before="0" w:after="0"/>
              <w:ind w:firstLine="284"/>
              <w:jc w:val="both"/>
            </w:pPr>
            <w:r w:rsidRPr="00F5085C">
              <w:t xml:space="preserve">4) </w:t>
            </w:r>
            <w:r w:rsidR="00B37430" w:rsidRPr="00F5085C">
              <w:t>Šobrīd spēkā esošo noteikumu Nr.1493 1.pielikumā ietverta paziņojuma veidlapa „Paziņojums par Juridiskās palīdzības administrācijas norīkojuma izpildi”. Lai saņem</w:t>
            </w:r>
            <w:r w:rsidR="00AA211B" w:rsidRPr="00F5085C">
              <w:t>tu samaksu par administratīvajā lietā</w:t>
            </w:r>
            <w:r w:rsidR="00B37430" w:rsidRPr="00F5085C">
              <w:t xml:space="preserve"> sniegtu juridisko palīdzību, </w:t>
            </w:r>
            <w:r w:rsidR="00AA211B" w:rsidRPr="00F5085C">
              <w:t xml:space="preserve">juridiskās palīdzības sniedzējam </w:t>
            </w:r>
            <w:r w:rsidR="00B37430" w:rsidRPr="00F5085C">
              <w:t xml:space="preserve">ir jāiesniedz </w:t>
            </w:r>
            <w:r w:rsidR="00AA211B" w:rsidRPr="00F5085C">
              <w:t xml:space="preserve">Juridiskās palīdzības administrācijā </w:t>
            </w:r>
            <w:r w:rsidR="00B37430" w:rsidRPr="00F5085C">
              <w:t>iepriekš minētais paziņojums. Taču ņemot vērā to, ka valsts nodrošināto juridisko palīdzību administratīvajās lietās var sniegt gan pēc Juridiskās palīdzības administrācijas norīkojuma, gan pēc attiecīgās iestādes uzaicinājumu (</w:t>
            </w:r>
            <w:r w:rsidR="00EB0BD3" w:rsidRPr="00F5085C">
              <w:t xml:space="preserve">Valsts robežsardze </w:t>
            </w:r>
            <w:r w:rsidR="00B37430" w:rsidRPr="00F5085C">
              <w:t>Imigrācijas likum</w:t>
            </w:r>
            <w:r w:rsidR="00EB0BD3" w:rsidRPr="00F5085C">
              <w:t>ā</w:t>
            </w:r>
            <w:r w:rsidR="00B37430" w:rsidRPr="00F5085C">
              <w:t xml:space="preserve"> noteiktajos gadījumos), nepieciešams precizēt paziņojuma veidlapas nosaukumu. Tādējādi </w:t>
            </w:r>
            <w:r w:rsidR="00F307A1" w:rsidRPr="00F5085C">
              <w:t xml:space="preserve">aktualizējot paziņojuma veidlapas nosaukumu atbilstoši spēkā esošajam regulējumam un </w:t>
            </w:r>
            <w:r w:rsidR="00B37430" w:rsidRPr="00F5085C">
              <w:t>a</w:t>
            </w:r>
            <w:r w:rsidR="00C31579" w:rsidRPr="00F5085C">
              <w:t xml:space="preserve">tvieglojot juridiskās palīdzības sniedzējiem izpratni par to, kura paziņojuma veidlapa konkrētajā gadījumā ir jāiesniedz Juridiskās palīdzības administrācijā.  </w:t>
            </w:r>
          </w:p>
          <w:p w:rsidR="00805770" w:rsidRPr="004111ED" w:rsidRDefault="00805770" w:rsidP="00805770">
            <w:pPr>
              <w:pStyle w:val="naiskr"/>
              <w:spacing w:before="0" w:after="0"/>
              <w:ind w:firstLine="284"/>
              <w:jc w:val="both"/>
            </w:pPr>
            <w:r w:rsidRPr="004111ED">
              <w:t xml:space="preserve">5) Praksē ir konstatēta Noteikumu Nr.1493 28.9.apakšpunkta dažāda interpretācija, proti, šobrīd spēkā esošajā regulējumā juridiskās palīdzības sniedzējam paredzēta samaksa par iepazīšanos ar vienu krimināllietas materiālu sējumu tiesā viena kriminālprocesa ietvaros (tai skaitā, izlemjot jautājumu par drošības līdzekļa piemērošanu pirmstiesas kriminālprocesā), taču praksē rodas gadījumi, kad  samaksa par iepazīšanos ar krimināllietas materiālu sējumiem tiek pieprasīta, arī sniedzot juridisko palīdzību pirmstiesas procesa stadijā, piemērojot drošības līdzekli, piemēram, gadījumos, kad tiek piemērots drošības līdzeklis – uzturēšanās noteiktā vietā. Līdz ar to, lai novērstu nekorektu tiesību normas </w:t>
            </w:r>
            <w:r w:rsidRPr="004111ED">
              <w:lastRenderedPageBreak/>
              <w:t>interpretāciju, nepieciešams precizēt tiesisko regulējumu, kas ietverts 28.9.apakšpunkta iekavās.</w:t>
            </w:r>
          </w:p>
          <w:p w:rsidR="00805770" w:rsidRPr="004111ED" w:rsidRDefault="00805770" w:rsidP="00805770">
            <w:pPr>
              <w:pStyle w:val="naiskr"/>
              <w:spacing w:before="0" w:after="0"/>
              <w:ind w:firstLine="284"/>
              <w:jc w:val="both"/>
            </w:pPr>
            <w:r w:rsidRPr="004111ED">
              <w:t>6) Noteikumu Nr.1493 29.punkts noteic samaksu par juridiskās konsultācijas sniegšanu uzreiz pirms vai pēc procesuālās darbības sniegšanas Noteikumu Nr.1493 28.6., 28.7. un 28.8.apakšpunktā noteiktajos gadījumos. Vienlaikus minētajā punktā ir uzskaitīts to personu loks, kurām šī juridiskā konsultācija tiek sniegta, proti, aizdomās turētais un apsūdzētais. Taču, ņemot vērā to, ka Noteikumu Nr.1493 28.6. un 28.7. apakšpunktā ietvertais regulējums attiecas arī uz pārstāvamo personu, nepieciešams precizēt spēkā esošo regulējumu, lai nerastos interpretācijas iespējas par personu loku, kuram tiek sniegta juridiskā konsultācija uzreiz pirms vai pēc procesuālās darbības veikšanas vai tiesas sēdes.</w:t>
            </w:r>
          </w:p>
          <w:p w:rsidR="00E7239C" w:rsidRPr="004111ED" w:rsidRDefault="00805770" w:rsidP="00E7239C">
            <w:pPr>
              <w:pStyle w:val="naiskr"/>
              <w:spacing w:before="0" w:after="0"/>
              <w:ind w:firstLine="284"/>
              <w:jc w:val="both"/>
            </w:pPr>
            <w:r w:rsidRPr="004111ED">
              <w:t>7) Noteikumu</w:t>
            </w:r>
            <w:r w:rsidR="003570B2">
              <w:t xml:space="preserve"> Nr.1493 31</w:t>
            </w:r>
            <w:r w:rsidRPr="004111ED">
              <w:t>.punkts noteic samaksas apmēru par divu vai vairāku personu aizstāvību kriminālprocesā. Ņemot vērā to, ka viens juridiskās palīdzības sniedzējs var arī pārstāvēt divas vai vairākas personas vienā kriminālprocesā, ir nepieciešams precizēt Noteiku</w:t>
            </w:r>
            <w:r w:rsidR="00354792">
              <w:t>mu Nr.1493 31</w:t>
            </w:r>
            <w:r w:rsidRPr="004111ED">
              <w:t xml:space="preserve">.punktu. </w:t>
            </w:r>
          </w:p>
          <w:p w:rsidR="00E7239C" w:rsidRPr="004111ED" w:rsidRDefault="00805770" w:rsidP="00E7239C">
            <w:pPr>
              <w:pStyle w:val="naiskr"/>
              <w:spacing w:before="0" w:after="0"/>
              <w:ind w:firstLine="284"/>
              <w:jc w:val="both"/>
            </w:pPr>
            <w:r w:rsidRPr="004111ED">
              <w:t xml:space="preserve">8) </w:t>
            </w:r>
            <w:r w:rsidR="00E7239C" w:rsidRPr="004111ED">
              <w:t>Atbilstoši spēkā esošajam regulējumam, l</w:t>
            </w:r>
            <w:r w:rsidR="00D57193" w:rsidRPr="004111ED">
              <w:t xml:space="preserve">ai juridiskās palīdzības sniedzējs saņemtu samaksu par juridiskās palīdzības sniegšanu </w:t>
            </w:r>
            <w:r w:rsidR="003B0970" w:rsidRPr="004111ED">
              <w:t>administratīvajā lietā</w:t>
            </w:r>
            <w:r w:rsidR="00D57193" w:rsidRPr="004111ED">
              <w:t>,</w:t>
            </w:r>
            <w:r w:rsidR="00CB5A9B">
              <w:t xml:space="preserve"> kurā</w:t>
            </w:r>
            <w:r w:rsidR="00E7239C" w:rsidRPr="004111ED">
              <w:t xml:space="preserve"> juridiskā palīdzība ir sniegta pēc iestādes</w:t>
            </w:r>
            <w:r w:rsidR="00CB5A9B">
              <w:t xml:space="preserve"> (Valsts robežsardzes)</w:t>
            </w:r>
            <w:r w:rsidR="00E7239C" w:rsidRPr="004111ED">
              <w:t>, kas Imigrācijas likumā noteiktajos gadījumos un kārtībā aiztur izraidāmo ārzemnieku,</w:t>
            </w:r>
            <w:r w:rsidR="00CB5A9B">
              <w:t xml:space="preserve"> </w:t>
            </w:r>
            <w:r w:rsidR="00E7239C" w:rsidRPr="004111ED">
              <w:t>uzaicinājuma,</w:t>
            </w:r>
            <w:r w:rsidR="00D57193" w:rsidRPr="004111ED">
              <w:t xml:space="preserve"> juridiskās palīdzības sniedzējam ir jāiesniedz Juridiskās palīdzības administrācijā paziņojums par </w:t>
            </w:r>
            <w:r w:rsidR="003B0970" w:rsidRPr="004111ED">
              <w:t>valsts nodrošinātās juridiskās palīdzības sniegšanu</w:t>
            </w:r>
            <w:r w:rsidR="00D57193" w:rsidRPr="004111ED">
              <w:t xml:space="preserve"> civillietā, administratīvajā lietā vai pārrobežu strīdu lietā.</w:t>
            </w:r>
            <w:r w:rsidR="00E7239C" w:rsidRPr="004111ED">
              <w:t xml:space="preserve"> Ņemot vēr</w:t>
            </w:r>
            <w:r w:rsidR="004111ED">
              <w:t>ā, ka minētajā lietu kategorijā</w:t>
            </w:r>
            <w:r w:rsidR="00E7239C" w:rsidRPr="004111ED">
              <w:t xml:space="preserve"> Juridiskās palīdzības administrācijai nav informācija</w:t>
            </w:r>
            <w:r w:rsidR="001F5586">
              <w:t>s</w:t>
            </w:r>
            <w:r w:rsidR="00E7239C" w:rsidRPr="004111ED">
              <w:t xml:space="preserve"> par juridiskās palīdzības sniedzēja uzaicināšanas faktu, par sniegtās juridiskās palīdzības laiku </w:t>
            </w:r>
            <w:proofErr w:type="spellStart"/>
            <w:r w:rsidR="00E7239C" w:rsidRPr="004111ED">
              <w:t>utt</w:t>
            </w:r>
            <w:proofErr w:type="spellEnd"/>
            <w:r w:rsidR="00E7239C" w:rsidRPr="004111ED">
              <w:t>., tad, lai Juridiskās palīdzības administrācijai būtu iespējams konstatēt, ka juridiskā palīdzība ir sniegta pēc iestādes</w:t>
            </w:r>
            <w:r w:rsidR="00CB5A9B">
              <w:t xml:space="preserve"> (Valsts robežsardzes)</w:t>
            </w:r>
            <w:r w:rsidR="00E7239C" w:rsidRPr="004111ED">
              <w:t xml:space="preserve">, kas Imigrācijas likumā noteiktajos gadījumos un kārtībā aiztur izraidāmo ārzemnieku, uzaicinājuma, uz minētajiem paziņojumiem nepieciešams </w:t>
            </w:r>
            <w:r w:rsidR="00CB5A9B">
              <w:t>iestādes (Valsts robežsardzes)</w:t>
            </w:r>
            <w:r w:rsidR="00CB5A9B" w:rsidRPr="004111ED">
              <w:t xml:space="preserve"> </w:t>
            </w:r>
            <w:r w:rsidR="00E7239C" w:rsidRPr="004111ED">
              <w:t>atbildīgās personas, kura ir uzaicinājusi juridiskā palīdzības sniedzēju, apstiprinājums.</w:t>
            </w:r>
          </w:p>
          <w:p w:rsidR="003B0970" w:rsidRPr="004111ED" w:rsidRDefault="00805770" w:rsidP="003B0970">
            <w:pPr>
              <w:ind w:firstLine="318"/>
              <w:jc w:val="both"/>
              <w:rPr>
                <w:bCs/>
              </w:rPr>
            </w:pPr>
            <w:r w:rsidRPr="004111ED">
              <w:t xml:space="preserve">9) </w:t>
            </w:r>
            <w:r w:rsidR="003B0970" w:rsidRPr="004111ED">
              <w:rPr>
                <w:bCs/>
              </w:rPr>
              <w:t xml:space="preserve">Noteikumos Nr.1493 šobrīd netiek paredzēta iespēja iesniegt paziņojumus Juridiskās palīdzības administrācijā elektroniski. Turklāt </w:t>
            </w:r>
            <w:r w:rsidR="003B0970" w:rsidRPr="004111ED">
              <w:t xml:space="preserve">atbilstoši  Ministru kabineta 2011. gada 20. decembra sēdes protokola </w:t>
            </w:r>
            <w:proofErr w:type="spellStart"/>
            <w:r w:rsidR="003B0970" w:rsidRPr="004111ED">
              <w:t>Nr</w:t>
            </w:r>
            <w:proofErr w:type="spellEnd"/>
            <w:r w:rsidR="003B0970" w:rsidRPr="004111ED">
              <w:t>. 75 41. § „</w:t>
            </w:r>
            <w:r w:rsidR="003B0970" w:rsidRPr="004111ED">
              <w:rPr>
                <w:bCs/>
              </w:rPr>
              <w:t>Informatīvais ziņojums „Par priekšlikumiem elektroniskā paraksta plašākas lietošanas nodrošināšanai”</w:t>
            </w:r>
            <w:r w:rsidR="003B0970" w:rsidRPr="004111ED">
              <w:t xml:space="preserve">” 5.1.1.apakšpunktā dotajam uzdevumam visām ministrijām jānodrošina iespēja personām elektroniski pieprasīt pakalpojumus un iesniegt elektroniski parakstītus dokumentus iestādē. </w:t>
            </w:r>
            <w:r w:rsidR="003B0970" w:rsidRPr="004111ED">
              <w:rPr>
                <w:bCs/>
              </w:rPr>
              <w:t xml:space="preserve"> Līdz ar to ir nepieciešams paredzēt paziņojumu iesniegšanas iespējamību elektroniski.</w:t>
            </w:r>
          </w:p>
          <w:p w:rsidR="003B0970" w:rsidRPr="004111ED" w:rsidRDefault="003B0970" w:rsidP="003B0970">
            <w:pPr>
              <w:pStyle w:val="naiskr"/>
              <w:spacing w:before="0" w:after="0"/>
              <w:ind w:firstLine="284"/>
              <w:jc w:val="both"/>
            </w:pPr>
            <w:r w:rsidRPr="004111ED">
              <w:rPr>
                <w:bCs/>
              </w:rPr>
              <w:t xml:space="preserve">10) </w:t>
            </w:r>
            <w:r w:rsidRPr="004111ED">
              <w:t xml:space="preserve">Norādāms, ka praksē ir konstatēti vairāki gadījumi, kad </w:t>
            </w:r>
            <w:r w:rsidRPr="004111ED">
              <w:lastRenderedPageBreak/>
              <w:t xml:space="preserve">juridiskās palīdzības sniedzēji iesniedz kļūdaini aizpildītus vai nepilnīgi aizpildītus paziņojumus. Piemēram, 2012.gadā pirmajos trijos mēnešos Juridiskās palīdzības administrācija ir sagatavojusi un nosūtījusi 254 vēstules par paziņojumos konstatētajām kļūdām un nepilnībām, tas ir, 4,9% gadījumu no 1.ceturksnī saņemto paziņojumu skaita. Lielākoties paziņojumos pieļautās kļūdas attiecas uz samaksas apmēra aprēķinu, piemēram, samaksa par sniegto juridisko palīdzību netiek aprēķināta par pilnām stundām. Tāpat kļūdas tiek pieļautas paziņojuma aizpildīšanā, piemēram, nenorādot krimināllietas numuru vai juridiskās palīdzības sniedzēja vārdu un uzvārdu. Līdz ar to ir nepieciešams precizēt tiesisko regulējumu attiecībā uz nepilnīgi aizpildītiem paziņojumiem, paredzot, ka gadījumā, ja iesniegtais paziņojums nav pilnīgi aizpildīts, Juridiskās palīdzības administrācija to atdod atpakaļ juridiskās palīdzības sniedzējam aizpildīšanai. </w:t>
            </w:r>
          </w:p>
          <w:p w:rsidR="003B0970" w:rsidRPr="004111ED" w:rsidRDefault="003B0970" w:rsidP="003B0970">
            <w:pPr>
              <w:pStyle w:val="naiskr"/>
              <w:spacing w:before="0" w:after="0"/>
              <w:ind w:firstLine="284"/>
              <w:jc w:val="both"/>
            </w:pPr>
            <w:r w:rsidRPr="004111ED">
              <w:t xml:space="preserve">11) Praksē ir konstatētas atsevišķas problēmas Noteikumu Nr.1493 pielikumā esošo paziņojumu veidlapu aizpildīšanā, piemēram, gadījumos, kad juridiskās palīdzības sniedzēji iesniedz lietu kategorijai neatbilstošu paziņojumu </w:t>
            </w:r>
            <w:r w:rsidRPr="004111ED">
              <w:rPr>
                <w:i/>
              </w:rPr>
              <w:t>(</w:t>
            </w:r>
            <w:proofErr w:type="spellStart"/>
            <w:r w:rsidRPr="004111ED">
              <w:rPr>
                <w:i/>
              </w:rPr>
              <w:t>sk</w:t>
            </w:r>
            <w:proofErr w:type="spellEnd"/>
            <w:r w:rsidRPr="004111ED">
              <w:rPr>
                <w:i/>
              </w:rPr>
              <w:t>. 4</w:t>
            </w:r>
            <w:r w:rsidR="001F5586">
              <w:rPr>
                <w:i/>
              </w:rPr>
              <w:t>. </w:t>
            </w:r>
            <w:r w:rsidRPr="004111ED">
              <w:rPr>
                <w:i/>
              </w:rPr>
              <w:t>punktā ietverto pamatojumu)</w:t>
            </w:r>
            <w:r w:rsidRPr="004111ED">
              <w:t>. Līdz ar to ir nepieciešams precizēt paziņojuma veidlapas nosaukum</w:t>
            </w:r>
            <w:r w:rsidR="001F5586">
              <w:t>u</w:t>
            </w:r>
            <w:r w:rsidRPr="004111ED">
              <w:t xml:space="preserve">. </w:t>
            </w:r>
          </w:p>
          <w:p w:rsidR="00262E2B" w:rsidRPr="004111ED" w:rsidRDefault="003B0970" w:rsidP="00045A0E">
            <w:pPr>
              <w:pStyle w:val="naiskr"/>
              <w:spacing w:before="0" w:after="0"/>
              <w:ind w:firstLine="284"/>
              <w:jc w:val="both"/>
            </w:pPr>
            <w:r w:rsidRPr="004111ED">
              <w:t xml:space="preserve">Tāpat spēkā esošo Noteikumu Nr.1493 1.pielikumā ir aile „Krimināllietas numurs”, kā arī aile „Juridiska konsultācija privātās apsūdzības kriminālprocesa uzsākšanai” un aile „Sūdzības sastādīšana privātās apsūdzības lietās”. Norādāms, ka ar 2011. gada 1. janvāri no Kriminālprocesa likuma tika izslēgts privātās apsūdzības institūts, paredzot, ka turpmāk tiks veikts tikai publiskās apsūdzības kriminālprocess. Līdz ar to ir nepieciešams aktualizēt minēto veidlapu. </w:t>
            </w:r>
          </w:p>
        </w:tc>
      </w:tr>
      <w:tr w:rsidR="00262E2B" w:rsidRPr="004111ED" w:rsidTr="00805770">
        <w:trPr>
          <w:trHeight w:val="526"/>
        </w:trPr>
        <w:tc>
          <w:tcPr>
            <w:tcW w:w="550" w:type="dxa"/>
          </w:tcPr>
          <w:p w:rsidR="00262E2B" w:rsidRPr="004111ED" w:rsidRDefault="00262E2B" w:rsidP="006C4607">
            <w:pPr>
              <w:pStyle w:val="naiskr"/>
              <w:spacing w:before="0" w:after="0"/>
            </w:pPr>
            <w:r w:rsidRPr="004111ED">
              <w:lastRenderedPageBreak/>
              <w:t>3.</w:t>
            </w:r>
          </w:p>
        </w:tc>
        <w:tc>
          <w:tcPr>
            <w:tcW w:w="2574" w:type="dxa"/>
          </w:tcPr>
          <w:p w:rsidR="00262E2B" w:rsidRPr="004111ED" w:rsidRDefault="00420870" w:rsidP="006C4607">
            <w:pPr>
              <w:pStyle w:val="naiskr"/>
              <w:spacing w:before="0" w:after="0"/>
            </w:pPr>
            <w:r w:rsidRPr="004111ED">
              <w:t>S</w:t>
            </w:r>
            <w:r w:rsidR="000B69CF" w:rsidRPr="004111ED">
              <w:t xml:space="preserve">aistītie </w:t>
            </w:r>
            <w:r w:rsidR="001A6AE4" w:rsidRPr="004111ED">
              <w:t>politikas ietekmes novērtējumi</w:t>
            </w:r>
            <w:r w:rsidR="00CB0247" w:rsidRPr="004111ED">
              <w:t xml:space="preserve"> un</w:t>
            </w:r>
            <w:r w:rsidR="001A6AE4" w:rsidRPr="004111ED">
              <w:t xml:space="preserve"> </w:t>
            </w:r>
            <w:r w:rsidR="000B69CF" w:rsidRPr="004111ED">
              <w:t>pētījumi</w:t>
            </w:r>
          </w:p>
        </w:tc>
        <w:tc>
          <w:tcPr>
            <w:tcW w:w="6095" w:type="dxa"/>
          </w:tcPr>
          <w:p w:rsidR="00D20FF4" w:rsidRPr="004111ED" w:rsidRDefault="00FE0666" w:rsidP="006C4607">
            <w:pPr>
              <w:pStyle w:val="Vresteksts"/>
              <w:rPr>
                <w:sz w:val="24"/>
                <w:szCs w:val="24"/>
              </w:rPr>
            </w:pPr>
            <w:r w:rsidRPr="004111ED">
              <w:rPr>
                <w:sz w:val="24"/>
                <w:szCs w:val="24"/>
              </w:rPr>
              <w:t>Projekts šo jomu neskar</w:t>
            </w:r>
            <w:r w:rsidR="00F5478B">
              <w:rPr>
                <w:sz w:val="24"/>
                <w:szCs w:val="24"/>
              </w:rPr>
              <w:t>.</w:t>
            </w:r>
          </w:p>
        </w:tc>
      </w:tr>
      <w:tr w:rsidR="00262E2B" w:rsidRPr="004111ED" w:rsidTr="00805770">
        <w:trPr>
          <w:trHeight w:val="384"/>
        </w:trPr>
        <w:tc>
          <w:tcPr>
            <w:tcW w:w="550" w:type="dxa"/>
          </w:tcPr>
          <w:p w:rsidR="00262E2B" w:rsidRPr="004111ED" w:rsidRDefault="00262E2B" w:rsidP="006C4607">
            <w:pPr>
              <w:pStyle w:val="naiskr"/>
              <w:spacing w:before="0" w:after="0"/>
            </w:pPr>
            <w:r w:rsidRPr="004111ED">
              <w:t>4.</w:t>
            </w:r>
          </w:p>
        </w:tc>
        <w:tc>
          <w:tcPr>
            <w:tcW w:w="2574" w:type="dxa"/>
          </w:tcPr>
          <w:p w:rsidR="00262E2B" w:rsidRPr="004111ED" w:rsidRDefault="000C790C" w:rsidP="006C4607">
            <w:pPr>
              <w:pStyle w:val="naiskr"/>
              <w:spacing w:before="0" w:after="0"/>
            </w:pPr>
            <w:r w:rsidRPr="004111ED">
              <w:t>Tiesiskā r</w:t>
            </w:r>
            <w:r w:rsidR="00400032" w:rsidRPr="004111ED">
              <w:t xml:space="preserve">egulējuma </w:t>
            </w:r>
            <w:r w:rsidR="00262E2B" w:rsidRPr="004111ED">
              <w:t>mērķis un būtība</w:t>
            </w:r>
          </w:p>
        </w:tc>
        <w:tc>
          <w:tcPr>
            <w:tcW w:w="6095" w:type="dxa"/>
          </w:tcPr>
          <w:p w:rsidR="00381FC9" w:rsidRPr="004111ED" w:rsidRDefault="00381FC9" w:rsidP="00F626C2">
            <w:pPr>
              <w:ind w:firstLine="283"/>
              <w:jc w:val="both"/>
            </w:pPr>
            <w:r w:rsidRPr="004111ED">
              <w:t xml:space="preserve">Projektā ietvertā tiesiskā regulējuma mērķis ir pagarināt </w:t>
            </w:r>
            <w:r w:rsidR="00EB6FA8" w:rsidRPr="004111ED">
              <w:t xml:space="preserve">Noteikumos Nr.1493 </w:t>
            </w:r>
            <w:r w:rsidRPr="004111ED">
              <w:t xml:space="preserve">šobrīd </w:t>
            </w:r>
            <w:r w:rsidR="00F626C2" w:rsidRPr="004111ED">
              <w:t xml:space="preserve">spēkā </w:t>
            </w:r>
            <w:r w:rsidRPr="004111ED">
              <w:t>esošo pārejas periodu līdz 2014.gada 1.janvārim</w:t>
            </w:r>
            <w:r w:rsidR="00EB6FA8" w:rsidRPr="004111ED">
              <w:t xml:space="preserve"> (Projekta</w:t>
            </w:r>
            <w:r w:rsidR="004A16C8" w:rsidRPr="004111ED">
              <w:t xml:space="preserve"> 1.</w:t>
            </w:r>
            <w:r w:rsidR="0091600A" w:rsidRPr="004111ED">
              <w:t>15</w:t>
            </w:r>
            <w:r w:rsidR="004A16C8" w:rsidRPr="004111ED">
              <w:t>.</w:t>
            </w:r>
            <w:r w:rsidR="0091600A" w:rsidRPr="004111ED">
              <w:t xml:space="preserve"> un 1.18</w:t>
            </w:r>
            <w:r w:rsidR="00EB6FA8" w:rsidRPr="004111ED">
              <w:t>.apakšpunkts)</w:t>
            </w:r>
            <w:r w:rsidRPr="004111ED">
              <w:t xml:space="preserve">, kā arī veikt grozījumus </w:t>
            </w:r>
            <w:r w:rsidR="001F5586">
              <w:t>saistībā</w:t>
            </w:r>
            <w:r w:rsidR="001F5586" w:rsidRPr="004111ED">
              <w:t xml:space="preserve"> </w:t>
            </w:r>
            <w:r w:rsidRPr="004111ED">
              <w:t>ar</w:t>
            </w:r>
            <w:r w:rsidR="0075254D">
              <w:t xml:space="preserve"> </w:t>
            </w:r>
            <w:r w:rsidRPr="004111ED">
              <w:t xml:space="preserve">iepriekšminētajiem nepieciešamajiem precizējumiem. </w:t>
            </w:r>
          </w:p>
          <w:p w:rsidR="00E14A7A" w:rsidRPr="004111ED" w:rsidRDefault="00F626C2" w:rsidP="00E14A7A">
            <w:pPr>
              <w:ind w:firstLine="283"/>
              <w:jc w:val="both"/>
            </w:pPr>
            <w:r w:rsidRPr="004111ED">
              <w:t>Projekta 1.1.apakšpunkt</w:t>
            </w:r>
            <w:r w:rsidR="00E14A7A" w:rsidRPr="004111ED">
              <w:t xml:space="preserve">ā </w:t>
            </w:r>
            <w:r w:rsidR="00B805DC" w:rsidRPr="004111ED">
              <w:t xml:space="preserve">ietvertā </w:t>
            </w:r>
            <w:r w:rsidR="00E14A7A" w:rsidRPr="004111ED">
              <w:t>grozījum</w:t>
            </w:r>
            <w:r w:rsidR="00B805DC" w:rsidRPr="004111ED">
              <w:t>a</w:t>
            </w:r>
            <w:r w:rsidR="00E14A7A" w:rsidRPr="004111ED">
              <w:t xml:space="preserve"> </w:t>
            </w:r>
            <w:r w:rsidR="00B805DC" w:rsidRPr="004111ED">
              <w:t>mērķis ir attiecināt</w:t>
            </w:r>
            <w:r w:rsidR="00E14A7A" w:rsidRPr="004111ED">
              <w:t xml:space="preserve"> </w:t>
            </w:r>
            <w:r w:rsidR="00B805DC" w:rsidRPr="004111ED">
              <w:t xml:space="preserve">regulējumu </w:t>
            </w:r>
            <w:r w:rsidR="00B37DD4" w:rsidRPr="004111ED">
              <w:t>par</w:t>
            </w:r>
            <w:r w:rsidR="00E14A7A" w:rsidRPr="004111ED">
              <w:t xml:space="preserve"> samaksas apmēra noteikšanu divkāršā stundas likmes apmērā </w:t>
            </w:r>
            <w:r w:rsidR="00B37DD4" w:rsidRPr="004111ED">
              <w:t xml:space="preserve">arī uz </w:t>
            </w:r>
            <w:r w:rsidR="00E14A7A" w:rsidRPr="004111ED">
              <w:t xml:space="preserve">tiem juridiskās palīdzības sniedzējiem, kuri valsts nodrošināto juridisko palīdzību administratīvajās lietās sniedz </w:t>
            </w:r>
            <w:r w:rsidR="00F67B13" w:rsidRPr="004111ED">
              <w:t>ne tikai</w:t>
            </w:r>
            <w:r w:rsidR="00E14A7A" w:rsidRPr="004111ED">
              <w:t xml:space="preserve"> pēc Juridiskās palīdzības administrācijas norīkojuma, bet </w:t>
            </w:r>
            <w:r w:rsidR="00F67B13" w:rsidRPr="004111ED">
              <w:t xml:space="preserve">arī </w:t>
            </w:r>
            <w:r w:rsidR="00E14A7A" w:rsidRPr="004111ED">
              <w:t>pēc attiecīgās iestā</w:t>
            </w:r>
            <w:r w:rsidR="00342801" w:rsidRPr="004111ED">
              <w:t>des uzaicinājuma</w:t>
            </w:r>
            <w:r w:rsidR="002352B6" w:rsidRPr="004111ED">
              <w:t>.</w:t>
            </w:r>
            <w:r w:rsidR="00E14A7A" w:rsidRPr="004111ED">
              <w:t xml:space="preserve">    </w:t>
            </w:r>
          </w:p>
          <w:p w:rsidR="0091600A" w:rsidRPr="004111ED" w:rsidRDefault="00F626C2" w:rsidP="008668F9">
            <w:pPr>
              <w:pStyle w:val="naiskr"/>
              <w:spacing w:before="0" w:after="0"/>
              <w:ind w:firstLine="284"/>
              <w:jc w:val="both"/>
            </w:pPr>
            <w:r w:rsidRPr="004111ED">
              <w:t>Projekta 1.2.apakšpunktā</w:t>
            </w:r>
            <w:r w:rsidR="00E14A7A" w:rsidRPr="004111ED">
              <w:t xml:space="preserve"> </w:t>
            </w:r>
            <w:r w:rsidR="0091600A" w:rsidRPr="004111ED">
              <w:t>ietvertais grozījums paredz papildināt Noteikumus Nr.1493 ar 17.</w:t>
            </w:r>
            <w:r w:rsidR="0091600A" w:rsidRPr="004111ED">
              <w:rPr>
                <w:vertAlign w:val="superscript"/>
              </w:rPr>
              <w:t>1</w:t>
            </w:r>
            <w:r w:rsidR="0091600A" w:rsidRPr="004111ED">
              <w:t xml:space="preserve">punktu, nosakot, ka juridiskās palīdzības sniedzējam, kas pārstāv divas vai vairākas personas vienā civillietā, administratīvajā lietā vai pārrobežu </w:t>
            </w:r>
            <w:r w:rsidR="0091600A" w:rsidRPr="004111ED">
              <w:lastRenderedPageBreak/>
              <w:t xml:space="preserve">strīda lietā, samaksu par iepazīšanos ar vienu civillietas vai administratīvās lietas materiālu sējumu tiesā </w:t>
            </w:r>
            <w:r w:rsidR="000D36AC" w:rsidRPr="00F5085C">
              <w:t>par katru personu</w:t>
            </w:r>
            <w:r w:rsidR="0091600A" w:rsidRPr="004111ED">
              <w:t xml:space="preserve"> aprēķina 65% apmērā no summas, kas paredzēta šo noteikumu 9.8.apakšpunktā. Minētais grozījums ir izstrādāts pēc līdzības ar Noteikumu Nr.1493 17.punktu. Tādējādi tiek novērsta samaksas apmēra aprēķināšanas neskaidrība gadījumos, kad vienā civillietā, administratīvajā lietā vai pārrobežu strīda lietā tiek pārstāvētas divas vai vairākas personas. Vienlaikus norādāms, ka projekta 1.2.apakšpunktā ietvertais regulējums ir attiecināms uz to valsts nodrošināto juridisko palīdzību, kas tiks sniegta, sākot ar 2013.gada 1.janvāri. Līdz ar to attiecībā uz samaksas apmēru par valsts nodrošināto juridisko palīdzību, kas sniegta līdz 2012.gada 31.decembrim (ieskaitot), tiks piemērots tiesiskais regulējums, kas bija spēkā līdz 2013.gada 1.janvārim.</w:t>
            </w:r>
          </w:p>
          <w:p w:rsidR="0091600A" w:rsidRPr="004111ED" w:rsidRDefault="0091600A" w:rsidP="008668F9">
            <w:pPr>
              <w:pStyle w:val="naiskr"/>
              <w:spacing w:before="0" w:after="0"/>
              <w:ind w:firstLine="284"/>
              <w:jc w:val="both"/>
            </w:pPr>
            <w:r w:rsidRPr="004111ED">
              <w:t>Projekta 1.3.apakšpuntkā ietvertais grozījums paredz</w:t>
            </w:r>
            <w:r w:rsidR="00221851">
              <w:t xml:space="preserve"> attiecināt </w:t>
            </w:r>
            <w:r w:rsidRPr="004111ED">
              <w:t xml:space="preserve"> </w:t>
            </w:r>
            <w:r w:rsidR="00221851" w:rsidRPr="004111ED">
              <w:t>izņēmum</w:t>
            </w:r>
            <w:r w:rsidR="00221851">
              <w:t>u</w:t>
            </w:r>
            <w:r w:rsidR="00221851" w:rsidRPr="004111ED">
              <w:t xml:space="preserve"> Noteikumu Nr.1493 10., 11. un 12.punktā minētajos nosacījumos arī uz juridiskās palīdzības sniegšanu izraidāmajiem ārzemniekiem, kuriem juridiskās palīdzības sniedzēju uzaicinājusi Valsts robežsardze. Tādējādi ne</w:t>
            </w:r>
            <w:r w:rsidR="00221851">
              <w:t xml:space="preserve">tiks </w:t>
            </w:r>
            <w:r w:rsidR="00221851" w:rsidRPr="004111ED">
              <w:t>ierobežot</w:t>
            </w:r>
            <w:r w:rsidR="00221851">
              <w:t>as</w:t>
            </w:r>
            <w:r w:rsidR="00221851" w:rsidRPr="004111ED">
              <w:t xml:space="preserve"> minēt</w:t>
            </w:r>
            <w:r w:rsidR="00221851">
              <w:t>ajām</w:t>
            </w:r>
            <w:r w:rsidR="00221851" w:rsidRPr="004111ED">
              <w:t xml:space="preserve"> person</w:t>
            </w:r>
            <w:r w:rsidR="00221851">
              <w:t>ām</w:t>
            </w:r>
            <w:r w:rsidR="00221851" w:rsidRPr="004111ED">
              <w:t xml:space="preserve"> garantētās pamattiesības</w:t>
            </w:r>
            <w:r w:rsidR="00E23711">
              <w:t>.</w:t>
            </w:r>
            <w:r w:rsidRPr="004111ED">
              <w:t xml:space="preserve"> </w:t>
            </w:r>
          </w:p>
          <w:p w:rsidR="00AF4A8F" w:rsidRPr="004111ED" w:rsidRDefault="00221851" w:rsidP="008668F9">
            <w:pPr>
              <w:pStyle w:val="naiskr"/>
              <w:spacing w:before="0" w:after="0"/>
              <w:ind w:firstLine="284"/>
              <w:jc w:val="both"/>
            </w:pPr>
            <w:r>
              <w:t xml:space="preserve">Ar </w:t>
            </w:r>
            <w:r w:rsidR="00381FC9" w:rsidRPr="004111ED">
              <w:t xml:space="preserve">Projekta </w:t>
            </w:r>
            <w:r w:rsidR="0091600A" w:rsidRPr="004111ED">
              <w:t xml:space="preserve">1.4., </w:t>
            </w:r>
            <w:r w:rsidR="00F626C2" w:rsidRPr="004111ED">
              <w:t>1.9.</w:t>
            </w:r>
            <w:r w:rsidR="0091600A" w:rsidRPr="004111ED">
              <w:t>, 1.11. un 1.13.</w:t>
            </w:r>
            <w:r w:rsidR="008668F9" w:rsidRPr="004111ED">
              <w:t>apakšpunktā ietvert</w:t>
            </w:r>
            <w:r>
              <w:t>o</w:t>
            </w:r>
            <w:r w:rsidR="008668F9" w:rsidRPr="004111ED">
              <w:t xml:space="preserve"> grozījum</w:t>
            </w:r>
            <w:r>
              <w:t>u</w:t>
            </w:r>
            <w:r w:rsidR="00805770" w:rsidRPr="004111ED">
              <w:t xml:space="preserve"> </w:t>
            </w:r>
            <w:r w:rsidRPr="004111ED">
              <w:t xml:space="preserve">juridiskās palīdzības sniedzējiem </w:t>
            </w:r>
            <w:r>
              <w:t xml:space="preserve">tiks </w:t>
            </w:r>
            <w:r w:rsidRPr="004111ED">
              <w:t>atvieglo</w:t>
            </w:r>
            <w:r>
              <w:t>ta</w:t>
            </w:r>
            <w:r w:rsidRPr="004111ED">
              <w:t xml:space="preserve"> izpratn</w:t>
            </w:r>
            <w:r>
              <w:t>e</w:t>
            </w:r>
            <w:r w:rsidRPr="004111ED">
              <w:t xml:space="preserve"> par to, kura paziņojuma veidlapa konkrētajā gadījumā ir jāiesniedz Juridiskās palīdzības administrācijā</w:t>
            </w:r>
            <w:r w:rsidR="00E23711">
              <w:t>.</w:t>
            </w:r>
            <w:r w:rsidR="00F626C2" w:rsidRPr="004111ED">
              <w:t xml:space="preserve"> </w:t>
            </w:r>
          </w:p>
          <w:p w:rsidR="00C4306B" w:rsidRPr="004111ED" w:rsidRDefault="00221851" w:rsidP="00AF4A8F">
            <w:pPr>
              <w:pStyle w:val="naiskr"/>
              <w:spacing w:before="0" w:after="0"/>
              <w:ind w:firstLine="284"/>
              <w:jc w:val="both"/>
            </w:pPr>
            <w:r>
              <w:t xml:space="preserve">Ar </w:t>
            </w:r>
            <w:r w:rsidR="003C4564" w:rsidRPr="004111ED">
              <w:t>Projekta 1.</w:t>
            </w:r>
            <w:r w:rsidR="0091600A" w:rsidRPr="004111ED">
              <w:t>5</w:t>
            </w:r>
            <w:r w:rsidR="003C4564" w:rsidRPr="004111ED">
              <w:t>.apakšpunktā ietvert</w:t>
            </w:r>
            <w:r>
              <w:t xml:space="preserve">o grozījumu tiek novērstas </w:t>
            </w:r>
            <w:r w:rsidRPr="004111ED">
              <w:t xml:space="preserve">Noteikumu Nr.1493 28.9.apakšpunktā </w:t>
            </w:r>
            <w:r>
              <w:t xml:space="preserve">ietvertās </w:t>
            </w:r>
            <w:r w:rsidRPr="004111ED">
              <w:t>tiesību normas dažādas interpretācijas iespējas.</w:t>
            </w:r>
            <w:r>
              <w:t xml:space="preserve"> </w:t>
            </w:r>
          </w:p>
          <w:p w:rsidR="00F13C5E" w:rsidRPr="004111ED" w:rsidRDefault="004A16C8" w:rsidP="00AF4A8F">
            <w:pPr>
              <w:pStyle w:val="naiskr"/>
              <w:spacing w:before="0" w:after="0"/>
              <w:ind w:firstLine="284"/>
              <w:jc w:val="both"/>
            </w:pPr>
            <w:r w:rsidRPr="004111ED">
              <w:t>P</w:t>
            </w:r>
            <w:r w:rsidR="008668F9" w:rsidRPr="004111ED">
              <w:t>rojekta 1.</w:t>
            </w:r>
            <w:r w:rsidR="0091600A" w:rsidRPr="004111ED">
              <w:t>6</w:t>
            </w:r>
            <w:r w:rsidR="008668F9" w:rsidRPr="004111ED">
              <w:t>.apakšpunktā ietvertais grozījums</w:t>
            </w:r>
            <w:r w:rsidR="00576827" w:rsidRPr="004111ED">
              <w:t xml:space="preserve"> paredz </w:t>
            </w:r>
            <w:r w:rsidR="00381FC9" w:rsidRPr="004111ED">
              <w:t>svītrot</w:t>
            </w:r>
            <w:r w:rsidR="00576827" w:rsidRPr="004111ED">
              <w:t xml:space="preserve"> Noteikumu Nr.1493 29.punktā vārdus „aizdomās turētajam vai apsūdzētajam”. </w:t>
            </w:r>
            <w:r w:rsidR="00805770" w:rsidRPr="004111ED">
              <w:t>Tādējādi tiek novērstas</w:t>
            </w:r>
            <w:r w:rsidR="00381FC9" w:rsidRPr="004111ED">
              <w:t xml:space="preserve"> </w:t>
            </w:r>
            <w:r w:rsidR="004375F2">
              <w:t xml:space="preserve">atšķirīgas </w:t>
            </w:r>
            <w:r w:rsidR="00381FC9" w:rsidRPr="004111ED">
              <w:t>interpretācijas iespējas par personu loku</w:t>
            </w:r>
            <w:r w:rsidR="00576827" w:rsidRPr="004111ED">
              <w:t xml:space="preserve">, kuram tiek sniegta juridiskā konsultācija uzreiz pirms vai pēc procesuālās darbības veikšanas vai tiesas sēdes. </w:t>
            </w:r>
          </w:p>
          <w:p w:rsidR="0091600A" w:rsidRPr="004111ED" w:rsidRDefault="0091600A" w:rsidP="00AF4A8F">
            <w:pPr>
              <w:pStyle w:val="naiskr"/>
              <w:spacing w:before="0" w:after="0"/>
              <w:ind w:firstLine="284"/>
              <w:jc w:val="both"/>
            </w:pPr>
            <w:r w:rsidRPr="004111ED">
              <w:t>Projekta 1.7.apakšpunktā ietvertais grozījums</w:t>
            </w:r>
            <w:r w:rsidR="00221851">
              <w:t xml:space="preserve"> paredz precizēt Noteikumu Nr.1493 31.punktā ietverto regulējumu par samaksas apmēra aprēķināšan</w:t>
            </w:r>
            <w:r w:rsidR="00E23711">
              <w:t>u</w:t>
            </w:r>
            <w:r w:rsidR="00221851">
              <w:t xml:space="preserve"> juridiskās palīdzības sniedzējam, kas aizstāv vai pārstāv divas vai vairākas personas vienā kriminālprocesā, attiecinot tiesisko regulējumu arī pārstāvības gadījumiem, jo </w:t>
            </w:r>
            <w:r w:rsidRPr="004111ED">
              <w:t xml:space="preserve">arī divām vai vairākām personām, kurām nepieciešama pārstāvība kriminālprocesā, var būt viens pārstāvis. </w:t>
            </w:r>
          </w:p>
          <w:p w:rsidR="0091600A" w:rsidRPr="004111ED" w:rsidRDefault="00F13C5E" w:rsidP="00221851">
            <w:pPr>
              <w:pStyle w:val="naiskr"/>
              <w:spacing w:before="0" w:after="0"/>
              <w:ind w:firstLine="284"/>
              <w:jc w:val="both"/>
            </w:pPr>
            <w:r w:rsidRPr="004111ED">
              <w:t>Projekta 1.</w:t>
            </w:r>
            <w:r w:rsidR="0091600A" w:rsidRPr="004111ED">
              <w:t>8</w:t>
            </w:r>
            <w:r w:rsidRPr="004111ED">
              <w:t>.apakšpunktā ietvertais grozījums</w:t>
            </w:r>
            <w:r w:rsidR="00221851">
              <w:t xml:space="preserve"> paredz regulējumu par samaksas apmēra aprēķināšan</w:t>
            </w:r>
            <w:r w:rsidR="00E23711">
              <w:t>u</w:t>
            </w:r>
            <w:r w:rsidR="00221851">
              <w:t xml:space="preserve"> juridiskās palīdzības sniedzējam par iepazīšanos ar </w:t>
            </w:r>
            <w:r w:rsidR="00221851" w:rsidRPr="004111ED">
              <w:t>vienu krimināllietas materiālu sējumu tiesā</w:t>
            </w:r>
            <w:r w:rsidR="00221851">
              <w:t>, ja tiek aizstāvētās vai pārstāvētas divas vai vairākas personas viena kriminālprocesa ietvaros</w:t>
            </w:r>
            <w:r w:rsidR="000D36AC">
              <w:t xml:space="preserve">, nosakot, ka samaksa par iepazīšanos ar vienu krimināllietas materiālu </w:t>
            </w:r>
            <w:r w:rsidR="000D36AC">
              <w:lastRenderedPageBreak/>
              <w:t xml:space="preserve">sējumu </w:t>
            </w:r>
            <w:r w:rsidR="000D36AC" w:rsidRPr="000D36AC">
              <w:t>par katru aizstāvamo vai pārstāvamo personu</w:t>
            </w:r>
            <w:r w:rsidR="000D36AC">
              <w:t xml:space="preserve"> nosakāma 65% apmērā no summas, kas paredzēta Noteikumu Nr.1493 28.9.apakšpunktā</w:t>
            </w:r>
            <w:r w:rsidR="00221851">
              <w:t>.</w:t>
            </w:r>
            <w:r w:rsidR="000D36AC">
              <w:t xml:space="preserve"> </w:t>
            </w:r>
            <w:r w:rsidR="00F626C2" w:rsidRPr="004111ED">
              <w:t>Vienlaikus norādāms, ka</w:t>
            </w:r>
            <w:r w:rsidR="0091600A" w:rsidRPr="004111ED">
              <w:t xml:space="preserve"> projekta 1.8</w:t>
            </w:r>
            <w:r w:rsidR="00152F30" w:rsidRPr="004111ED">
              <w:t>.apakšpunktā ietvertais regulējums ir attiecināms uz to valsts nodrošināto juridisko palīdzību, kas tiks sniegta</w:t>
            </w:r>
            <w:r w:rsidR="002352B6" w:rsidRPr="004111ED">
              <w:t>,</w:t>
            </w:r>
            <w:r w:rsidR="00152F30" w:rsidRPr="004111ED">
              <w:t xml:space="preserve"> sākot ar 2013.gada 1.janvāri. Līdz ar to attiecībā uz samaksas apmēru par valsts nodrošināto juridisko palīdzību, kas sniegta līdz 2012.gada 31.decembrim (ieskaitot), tiks piemērots tiesiskais regulējums, kas bija spēkā līdz 2013.gada 1.janvārim.</w:t>
            </w:r>
          </w:p>
          <w:p w:rsidR="00480E90" w:rsidRPr="004111ED" w:rsidRDefault="0091600A" w:rsidP="00152F30">
            <w:pPr>
              <w:pStyle w:val="naiskr"/>
              <w:spacing w:before="0" w:after="0"/>
              <w:ind w:firstLine="284"/>
              <w:jc w:val="both"/>
            </w:pPr>
            <w:r w:rsidRPr="004111ED">
              <w:t>Projekta 1.10.apakšpunkts paredz papildināt Noteikumus Nr.1493 ar 41.</w:t>
            </w:r>
            <w:r w:rsidRPr="004111ED">
              <w:rPr>
                <w:vertAlign w:val="superscript"/>
              </w:rPr>
              <w:t>1</w:t>
            </w:r>
            <w:r w:rsidRPr="004111ED">
              <w:t>punktu, nosakot regulējumu attiecībā uz samaksas saņemšanu par juridiskās palīdzības sniegšanu izraidāmajam ārzemniekam pēc iestādes</w:t>
            </w:r>
            <w:r w:rsidR="00CB5A9B">
              <w:t xml:space="preserve"> (Valsts robežsardzes)</w:t>
            </w:r>
            <w:r w:rsidRPr="004111ED">
              <w:t>, kura Imigrācijas likuma noteiktajos gadījumos un kārtībā to ir aizturējusi, uzaicinājuma.</w:t>
            </w:r>
            <w:r w:rsidR="001628F3" w:rsidRPr="004111ED">
              <w:t xml:space="preserve"> Vienlaikus ar šo grozījumu tiek paredzēts, ka paziņojumu par valsts nodrošinātās juridiskās palīdzības sniegšanu civillietā, administratīvajā lietā vai pārrobežu strīda lietā apstiprina iestādes</w:t>
            </w:r>
            <w:r w:rsidR="00CB5A9B">
              <w:t xml:space="preserve"> (Valsts robežsardzes)</w:t>
            </w:r>
            <w:r w:rsidR="001628F3" w:rsidRPr="004111ED">
              <w:t xml:space="preserve"> atbildīgā amatpersona, kura Imigrācijas likuma noteiktajos gadījumos  un kārtībā ir uzaicinājusi juridiskās palīdzības sniedzēju. </w:t>
            </w:r>
            <w:r w:rsidR="003B0970" w:rsidRPr="004111ED">
              <w:t>Minētais regulējums ir nepieciešams, lai Juridiskās palīdzības administrācija varētu konstatēt, ka juridiskā palīdzība administratīvajā lietā ir sniegta pēc iepriekš minētās iestādes uzaicinājuma un attiecīgi šīs iestādes atbildīgā amatpersona, kura juridiskās palīdzības sniedzēju ir uzaicinājusi, ir apstiprinājusi paziņojumu par valsts nodrošinātās juridiskās palīdzības sniegšanu civillietā, administratīvajā lietā vai pārrobežu strīda lietā.</w:t>
            </w:r>
          </w:p>
          <w:p w:rsidR="00337EEF" w:rsidRPr="004111ED" w:rsidRDefault="00480E90" w:rsidP="00AF4A8F">
            <w:pPr>
              <w:pStyle w:val="naiskr"/>
              <w:spacing w:before="0" w:after="0"/>
              <w:ind w:firstLine="284"/>
              <w:jc w:val="both"/>
            </w:pPr>
            <w:r w:rsidRPr="004111ED">
              <w:t>Projekta 1.</w:t>
            </w:r>
            <w:r w:rsidR="001628F3" w:rsidRPr="004111ED">
              <w:t>12</w:t>
            </w:r>
            <w:r w:rsidRPr="004111ED">
              <w:t>.apakšpunktā ietvertais grozījums paredz papildināt Noteikumus Nr.1493 ar 51.</w:t>
            </w:r>
            <w:r w:rsidRPr="004111ED">
              <w:rPr>
                <w:vertAlign w:val="superscript"/>
              </w:rPr>
              <w:t>1</w:t>
            </w:r>
            <w:r w:rsidRPr="004111ED">
              <w:t>punktu</w:t>
            </w:r>
            <w:r w:rsidR="00235B7D" w:rsidRPr="004111ED">
              <w:t xml:space="preserve">, nosakot, ka paziņojumu par valsts nodrošinātās juridiskās palīdzības sniegšanu civillietās, administratīvajās lietās un pārrobežu strīdu lietās (1.pielikums) vai paziņojumu (2.pielikums) un </w:t>
            </w:r>
            <w:r w:rsidR="00342801" w:rsidRPr="004111ED">
              <w:t>tie</w:t>
            </w:r>
            <w:r w:rsidR="00235B7D" w:rsidRPr="004111ED">
              <w:t xml:space="preserve">m pievienojamos dokumentus juridiskās palīdzības sniedzējs </w:t>
            </w:r>
            <w:r w:rsidR="00B07900" w:rsidRPr="004111ED">
              <w:t>Juridiskās palīdzības administrācijā</w:t>
            </w:r>
            <w:r w:rsidR="00235B7D" w:rsidRPr="004111ED">
              <w:t xml:space="preserve"> var iesniegt elektroniski, noformējot tos atbilstoši normatīvajiem aktiem par elektronisko dokumentu izstrādi un apriti, ja tie atbilst šajos noteikumos noteiktajām aizpildīšanas un noformēšanas prasībām. </w:t>
            </w:r>
          </w:p>
          <w:p w:rsidR="003B0970" w:rsidRPr="004111ED" w:rsidRDefault="003B0970" w:rsidP="003B0970">
            <w:pPr>
              <w:pStyle w:val="naiskr"/>
              <w:spacing w:before="0" w:after="0"/>
              <w:ind w:firstLine="284"/>
              <w:jc w:val="both"/>
            </w:pPr>
            <w:r w:rsidRPr="004111ED">
              <w:t xml:space="preserve">Projekta 1.14.apakšpunktā ietvertais grozījums paredz izteikt Noteikumu Nr.1493 55.punkta pirmo teikumu jaunā redakcijā. Minētais grozījums precizē tiesisko regulējumu attiecībā uz nepilnīgi aizpildītiem paziņojumiem, proti, gadījumā, ja iesniegtais paziņojums nav pilnīgi aizpildīts, Juridiskās palīdzības administrācija to atdos atpakaļ juridiskās palīdzības sniedzējam aizpildīšanai. </w:t>
            </w:r>
          </w:p>
          <w:p w:rsidR="00EB6FA8" w:rsidRPr="004111ED" w:rsidRDefault="001628F3" w:rsidP="00AF4A8F">
            <w:pPr>
              <w:pStyle w:val="naiskr"/>
              <w:spacing w:before="0" w:after="0"/>
              <w:ind w:firstLine="284"/>
              <w:jc w:val="both"/>
            </w:pPr>
            <w:r w:rsidRPr="004111ED">
              <w:t>Projekta 1.16</w:t>
            </w:r>
            <w:r w:rsidR="00EB6FA8" w:rsidRPr="004111ED">
              <w:t>. apakšpunktā ietvertais grozījums pared</w:t>
            </w:r>
            <w:r w:rsidR="008D6707" w:rsidRPr="004111ED">
              <w:t>z papildināt Noteikumu Nr.1493 n</w:t>
            </w:r>
            <w:r w:rsidR="00EB6FA8" w:rsidRPr="004111ED">
              <w:t xml:space="preserve">oslēguma jautājumus ar jaunu punktu, kas noteic pārejas periodu Juridiskās palīdzības </w:t>
            </w:r>
            <w:r w:rsidR="00EB6FA8" w:rsidRPr="004111ED">
              <w:lastRenderedPageBreak/>
              <w:t>administrācijā iesniedzamajām paziņojumu veidlapām,</w:t>
            </w:r>
            <w:r w:rsidR="00B87B33" w:rsidRPr="004111ED">
              <w:t xml:space="preserve"> kas bija spēkā līdz 2012.gada 31.decembrim,</w:t>
            </w:r>
            <w:r w:rsidR="00EB6FA8" w:rsidRPr="004111ED">
              <w:t xml:space="preserve"> ņemot vērā to, ka ar Projektā ietvertajiem grozījumiem Noteikumu Nr.1493 1. un 2.pielikums tiek izteikts jaunā redakcijā.</w:t>
            </w:r>
          </w:p>
          <w:p w:rsidR="008668F9" w:rsidRPr="004111ED" w:rsidRDefault="001628F3" w:rsidP="00AF4A8F">
            <w:pPr>
              <w:pStyle w:val="naiskr"/>
              <w:spacing w:before="0" w:after="0"/>
              <w:ind w:firstLine="284"/>
              <w:jc w:val="both"/>
            </w:pPr>
            <w:r w:rsidRPr="004111ED">
              <w:t>Projekta 1.17</w:t>
            </w:r>
            <w:r w:rsidR="00B87B33" w:rsidRPr="004111ED">
              <w:t>. un 1.</w:t>
            </w:r>
            <w:r w:rsidR="00B07900" w:rsidRPr="004111ED">
              <w:t>1</w:t>
            </w:r>
            <w:r w:rsidRPr="004111ED">
              <w:t>9</w:t>
            </w:r>
            <w:r w:rsidR="00EB6FA8" w:rsidRPr="004111ED">
              <w:t>.apakšpunktā ir ietverts grozījums, kas paredz pagarināt pārejas periodu atsevišķu juridiskās palīdzības veidu ieviešanai līdz 2014.gada 1.janvārim.</w:t>
            </w:r>
            <w:r w:rsidR="00B87B33" w:rsidRPr="004111ED">
              <w:t xml:space="preserve"> Minēto grozījumu nepieciešamības pamatojums ir ietverts šīs anotācijas I sadaļas 1.punktā.</w:t>
            </w:r>
            <w:r w:rsidR="00EB6FA8" w:rsidRPr="004111ED">
              <w:t xml:space="preserve">    </w:t>
            </w:r>
            <w:r w:rsidR="00337EEF" w:rsidRPr="004111ED">
              <w:t xml:space="preserve"> </w:t>
            </w:r>
          </w:p>
          <w:p w:rsidR="00D40D42" w:rsidRPr="004111ED" w:rsidRDefault="00715D2D" w:rsidP="00AF4A8F">
            <w:pPr>
              <w:pStyle w:val="naiskr"/>
              <w:spacing w:before="0" w:after="0"/>
              <w:ind w:firstLine="284"/>
              <w:jc w:val="both"/>
            </w:pPr>
            <w:r w:rsidRPr="004111ED">
              <w:t>Projekt</w:t>
            </w:r>
            <w:r w:rsidR="002352B6" w:rsidRPr="004111ED">
              <w:t>a</w:t>
            </w:r>
            <w:r w:rsidR="001628F3" w:rsidRPr="004111ED">
              <w:t xml:space="preserve"> 1.20</w:t>
            </w:r>
            <w:r w:rsidRPr="004111ED">
              <w:t>.apakšpunktā ietvertais grozījums paredz izteikt jaunā redakcijā Noteikumu Nr.1493 1. un 2.pielikumu. Ar minēto grozījumu tiek aktualizētas pielikumos esošās paziņojumu veidlap</w:t>
            </w:r>
            <w:r w:rsidR="00D40D42" w:rsidRPr="004111ED">
              <w:t>as, ņemot vērā praksē konstatētās</w:t>
            </w:r>
            <w:r w:rsidRPr="004111ED">
              <w:t xml:space="preserve"> </w:t>
            </w:r>
            <w:r w:rsidR="00D40D42" w:rsidRPr="004111ED">
              <w:t xml:space="preserve">problēmas to aizpildīšanā, piemēram, gadījumos, kad juridiskās palīdzības sniedzēji iesniedz lietu kategorijai neatbilstošu paziņojumu </w:t>
            </w:r>
            <w:r w:rsidR="0050053D" w:rsidRPr="004111ED">
              <w:rPr>
                <w:i/>
              </w:rPr>
              <w:t>(</w:t>
            </w:r>
            <w:proofErr w:type="spellStart"/>
            <w:r w:rsidR="0050053D" w:rsidRPr="004111ED">
              <w:rPr>
                <w:i/>
              </w:rPr>
              <w:t>sk</w:t>
            </w:r>
            <w:proofErr w:type="spellEnd"/>
            <w:r w:rsidR="0050053D" w:rsidRPr="004111ED">
              <w:rPr>
                <w:i/>
              </w:rPr>
              <w:t>. Projekta 1.4</w:t>
            </w:r>
            <w:r w:rsidR="00D40D42" w:rsidRPr="004111ED">
              <w:rPr>
                <w:i/>
              </w:rPr>
              <w:t>.apaškpunkta pamatojumu)</w:t>
            </w:r>
            <w:r w:rsidR="00D40D42" w:rsidRPr="004111ED">
              <w:t>.</w:t>
            </w:r>
            <w:r w:rsidRPr="004111ED">
              <w:t xml:space="preserve"> </w:t>
            </w:r>
            <w:r w:rsidR="00D40D42" w:rsidRPr="004111ED">
              <w:t>Līdz ar to ir</w:t>
            </w:r>
            <w:r w:rsidRPr="004111ED">
              <w:t xml:space="preserve"> precizēts 1.pielikumā ietvertās paziņojuma veidlapas nosaukums.</w:t>
            </w:r>
            <w:r w:rsidR="00D40D42" w:rsidRPr="004111ED">
              <w:t xml:space="preserve"> Tāpat 1.pielikumā ir svītrota aile „Krimināllietas numurs”, kā arī aile „Juridiska konsultācija privātās apsūdzības kriminālprocesa uzsākšanai” un aile „Sūdzības sastādīšana privātās apsūdzības lietās”, ņemot vērā to, ka ar 2011. gada 1. janvāri no Kriminālprocesa likuma tika izslēgts privātās apsūdzības institūts, paredzot, ka turpmāk tiks veikts tikai publiskās apsūdzības kriminālprocess. Līdz ar to 1.pielikumā esošais paziņojums būs jāaizpilda gadījumos, kad valsts nodrošinātā juridiskā palīdzība tiks sniegta civillietās, administratīvajās lietās un pārrobežu strīdu lietās. Attiecīgi precizētas arī 1.pielikumā esošās piezīmes.</w:t>
            </w:r>
          </w:p>
          <w:p w:rsidR="00D40D42" w:rsidRPr="004111ED" w:rsidRDefault="00715D2D" w:rsidP="00AF4A8F">
            <w:pPr>
              <w:pStyle w:val="naiskr"/>
              <w:spacing w:before="0" w:after="0"/>
              <w:ind w:firstLine="284"/>
              <w:jc w:val="both"/>
            </w:pPr>
            <w:r w:rsidRPr="004111ED">
              <w:t>Savukārt 2.pielikumā ietvertā</w:t>
            </w:r>
            <w:r w:rsidR="004111ED">
              <w:t>s</w:t>
            </w:r>
            <w:r w:rsidRPr="004111ED">
              <w:t xml:space="preserve"> paziņojuma veidlapa</w:t>
            </w:r>
            <w:r w:rsidR="004111ED">
              <w:t>s piezīmes</w:t>
            </w:r>
            <w:r w:rsidRPr="004111ED">
              <w:t xml:space="preserve"> </w:t>
            </w:r>
            <w:r w:rsidR="001D2A31" w:rsidRPr="004111ED">
              <w:t>ir</w:t>
            </w:r>
            <w:r w:rsidRPr="004111ED">
              <w:t xml:space="preserve"> </w:t>
            </w:r>
            <w:r w:rsidR="004111ED">
              <w:t>precizētas</w:t>
            </w:r>
            <w:r w:rsidR="001D2A31" w:rsidRPr="004111ED">
              <w:t xml:space="preserve"> atbilstoši Projektā paredzētajam tiesiskajam regulējumam.  </w:t>
            </w:r>
          </w:p>
          <w:p w:rsidR="00D40D42" w:rsidRPr="004111ED" w:rsidRDefault="00715D2D" w:rsidP="00D40D42">
            <w:pPr>
              <w:pStyle w:val="naiskr"/>
              <w:spacing w:before="0" w:after="0"/>
              <w:ind w:firstLine="284"/>
              <w:jc w:val="both"/>
            </w:pPr>
            <w:r w:rsidRPr="004111ED">
              <w:t xml:space="preserve">Tāpat abos pielikumos </w:t>
            </w:r>
            <w:r w:rsidR="00D40D42" w:rsidRPr="004111ED">
              <w:t>ir</w:t>
            </w:r>
            <w:r w:rsidRPr="004111ED">
              <w:t xml:space="preserve"> veikti tehniska rakstura precizējumi.</w:t>
            </w:r>
          </w:p>
          <w:p w:rsidR="00262E2B" w:rsidRPr="004111ED" w:rsidRDefault="004C1512" w:rsidP="004C1512">
            <w:pPr>
              <w:pStyle w:val="naiskr"/>
              <w:spacing w:before="0" w:after="0"/>
              <w:ind w:firstLine="284"/>
              <w:jc w:val="both"/>
            </w:pPr>
            <w:r w:rsidRPr="004111ED">
              <w:t xml:space="preserve">Projekta 2.punkts paredz, ka tajā ietvertais regulējums stājas spēkā 2013.gada 1.janvārī. </w:t>
            </w:r>
          </w:p>
          <w:p w:rsidR="00BA1E0A" w:rsidRPr="004111ED" w:rsidRDefault="00BA1E0A" w:rsidP="004C1512">
            <w:pPr>
              <w:pStyle w:val="naiskr"/>
              <w:spacing w:before="0" w:after="0"/>
              <w:ind w:firstLine="284"/>
              <w:jc w:val="both"/>
            </w:pPr>
            <w:r w:rsidRPr="004111ED">
              <w:t xml:space="preserve">Ar Projektā ietverto regulējumu anotācijas I sadaļas 2.punktā minētās problēmas tiks atrisinātas pilnībā.  </w:t>
            </w:r>
          </w:p>
        </w:tc>
      </w:tr>
      <w:tr w:rsidR="00262E2B" w:rsidRPr="004111ED" w:rsidTr="00805770">
        <w:trPr>
          <w:trHeight w:val="476"/>
        </w:trPr>
        <w:tc>
          <w:tcPr>
            <w:tcW w:w="550" w:type="dxa"/>
          </w:tcPr>
          <w:p w:rsidR="00262E2B" w:rsidRPr="004111ED" w:rsidRDefault="00262E2B" w:rsidP="006C4607">
            <w:pPr>
              <w:pStyle w:val="naiskr"/>
              <w:spacing w:before="0" w:after="0"/>
            </w:pPr>
            <w:r w:rsidRPr="004111ED">
              <w:lastRenderedPageBreak/>
              <w:t>5.</w:t>
            </w:r>
          </w:p>
        </w:tc>
        <w:tc>
          <w:tcPr>
            <w:tcW w:w="2574" w:type="dxa"/>
          </w:tcPr>
          <w:p w:rsidR="00262E2B" w:rsidRPr="004111ED" w:rsidRDefault="001A4066" w:rsidP="006C4607">
            <w:pPr>
              <w:pStyle w:val="naiskr"/>
              <w:spacing w:before="0" w:after="0"/>
            </w:pPr>
            <w:r w:rsidRPr="004111ED">
              <w:t>Projekta i</w:t>
            </w:r>
            <w:r w:rsidR="00262E2B" w:rsidRPr="004111ED">
              <w:t>zstrād</w:t>
            </w:r>
            <w:r w:rsidR="00420870" w:rsidRPr="004111ED">
              <w:t xml:space="preserve">ē </w:t>
            </w:r>
            <w:r w:rsidR="00262E2B" w:rsidRPr="004111ED">
              <w:t>iesaistītās institūcijas</w:t>
            </w:r>
          </w:p>
        </w:tc>
        <w:tc>
          <w:tcPr>
            <w:tcW w:w="6095" w:type="dxa"/>
          </w:tcPr>
          <w:p w:rsidR="00262E2B" w:rsidRPr="004111ED" w:rsidRDefault="00144723" w:rsidP="00144723">
            <w:pPr>
              <w:pStyle w:val="naiskr"/>
              <w:spacing w:before="0" w:after="0"/>
              <w:jc w:val="both"/>
            </w:pPr>
            <w:r w:rsidRPr="004111ED">
              <w:rPr>
                <w:iCs/>
              </w:rPr>
              <w:t>Tieslietu ministrija, Juridiskās palīdzības administrācija</w:t>
            </w:r>
            <w:r w:rsidR="00F5478B">
              <w:rPr>
                <w:iCs/>
              </w:rPr>
              <w:t>.</w:t>
            </w:r>
          </w:p>
        </w:tc>
      </w:tr>
      <w:tr w:rsidR="00262E2B" w:rsidRPr="004111ED" w:rsidTr="00805770">
        <w:trPr>
          <w:trHeight w:val="964"/>
        </w:trPr>
        <w:tc>
          <w:tcPr>
            <w:tcW w:w="550" w:type="dxa"/>
          </w:tcPr>
          <w:p w:rsidR="00262E2B" w:rsidRPr="004111ED" w:rsidRDefault="00262E2B" w:rsidP="006C4607">
            <w:pPr>
              <w:pStyle w:val="naiskr"/>
              <w:spacing w:before="0" w:after="0"/>
            </w:pPr>
            <w:r w:rsidRPr="004111ED">
              <w:t>6.</w:t>
            </w:r>
          </w:p>
        </w:tc>
        <w:tc>
          <w:tcPr>
            <w:tcW w:w="2574" w:type="dxa"/>
          </w:tcPr>
          <w:p w:rsidR="00262E2B" w:rsidRPr="004111ED" w:rsidRDefault="00BB7C94" w:rsidP="006C4607">
            <w:pPr>
              <w:pStyle w:val="naiskr"/>
              <w:spacing w:before="0" w:after="0"/>
              <w:rPr>
                <w:i/>
              </w:rPr>
            </w:pPr>
            <w:r w:rsidRPr="004111ED">
              <w:t xml:space="preserve">Iemesli, kādēļ netika nodrošināta </w:t>
            </w:r>
            <w:r w:rsidR="00262E2B" w:rsidRPr="004111ED">
              <w:t xml:space="preserve">sabiedrības </w:t>
            </w:r>
            <w:r w:rsidRPr="004111ED">
              <w:t>līdzdalība</w:t>
            </w:r>
          </w:p>
        </w:tc>
        <w:tc>
          <w:tcPr>
            <w:tcW w:w="6095" w:type="dxa"/>
          </w:tcPr>
          <w:p w:rsidR="00E56A45" w:rsidRDefault="00E56A45" w:rsidP="00E56A45">
            <w:pPr>
              <w:pStyle w:val="Vresteksts"/>
              <w:ind w:firstLine="283"/>
              <w:jc w:val="both"/>
              <w:rPr>
                <w:sz w:val="24"/>
                <w:szCs w:val="24"/>
              </w:rPr>
            </w:pPr>
            <w:r>
              <w:rPr>
                <w:sz w:val="24"/>
                <w:szCs w:val="24"/>
              </w:rPr>
              <w:t xml:space="preserve">Ņemot vērā to, ka Projektā ietvertais regulējums lielākoties ir izstrādāts, pamatojoties uz šīs anotācijas I sadaļas 1.punktā minēto Ministru kabineta lēmumu, tai skaitā uz Protokola Nr.20 pamata, sabiedrībai bija iespēja paust savu viedokli to pieņemšanas gaitā, tai skaitā, izskatot informatīvo ziņojumu </w:t>
            </w:r>
            <w:r w:rsidRPr="001D3505">
              <w:rPr>
                <w:sz w:val="24"/>
                <w:szCs w:val="24"/>
              </w:rPr>
              <w:t>„Par priekšlikumiem par iespējamiem grozījumiem normatīvajos aktos, paredzot normu ierobežojumu saglabāšanu līdz 2016.gada 1.janvārim vai arī to apjoma pakāpenisku atjaunošanu trīs gadu laikā”</w:t>
            </w:r>
            <w:r>
              <w:rPr>
                <w:sz w:val="24"/>
                <w:szCs w:val="24"/>
              </w:rPr>
              <w:t xml:space="preserve"> gan Ministru kabineta 2012.gada 31.jūlija sēdē, gan 2012.gada 16.augusta sēdē. </w:t>
            </w:r>
          </w:p>
          <w:p w:rsidR="00E56A45" w:rsidRDefault="00E56A45" w:rsidP="00E56A45">
            <w:pPr>
              <w:pStyle w:val="Vresteksts"/>
              <w:ind w:firstLine="283"/>
              <w:jc w:val="both"/>
              <w:rPr>
                <w:sz w:val="24"/>
                <w:szCs w:val="24"/>
              </w:rPr>
            </w:pPr>
            <w:r>
              <w:rPr>
                <w:sz w:val="24"/>
                <w:szCs w:val="24"/>
              </w:rPr>
              <w:lastRenderedPageBreak/>
              <w:t xml:space="preserve">Turklāt Protokolā Nr.20 dotā uzdevuma izpildei ir jānodrošina šo grozījumu apstiprināšana Ministru kabinetā vēl šogad, proti, 2012.gadā. </w:t>
            </w:r>
          </w:p>
          <w:p w:rsidR="00D20FF4" w:rsidRPr="004111ED" w:rsidRDefault="00E56A45" w:rsidP="00E56A45">
            <w:pPr>
              <w:pStyle w:val="Vresteksts"/>
              <w:ind w:firstLine="283"/>
              <w:jc w:val="both"/>
              <w:rPr>
                <w:sz w:val="24"/>
                <w:szCs w:val="24"/>
              </w:rPr>
            </w:pPr>
            <w:r>
              <w:rPr>
                <w:sz w:val="24"/>
                <w:szCs w:val="24"/>
              </w:rPr>
              <w:t>Ņemot vērā šos apsvērumus, šā P</w:t>
            </w:r>
            <w:r w:rsidRPr="001D3505">
              <w:rPr>
                <w:sz w:val="24"/>
                <w:szCs w:val="24"/>
              </w:rPr>
              <w:t>rojekta tapšanas procesā sabiedrība netika iesaistīta, bet tai būs iespējas izteikties</w:t>
            </w:r>
            <w:r>
              <w:rPr>
                <w:sz w:val="24"/>
                <w:szCs w:val="24"/>
              </w:rPr>
              <w:t>, izskatot šo Projektu Ministru kabineta sēdē</w:t>
            </w:r>
            <w:r w:rsidRPr="001D3505">
              <w:rPr>
                <w:sz w:val="24"/>
                <w:szCs w:val="24"/>
              </w:rPr>
              <w:t>.</w:t>
            </w:r>
            <w:r>
              <w:rPr>
                <w:sz w:val="24"/>
                <w:szCs w:val="24"/>
              </w:rPr>
              <w:t xml:space="preserve"> </w:t>
            </w:r>
          </w:p>
        </w:tc>
      </w:tr>
      <w:tr w:rsidR="00262E2B" w:rsidRPr="004111ED" w:rsidTr="00805770">
        <w:tc>
          <w:tcPr>
            <w:tcW w:w="550" w:type="dxa"/>
          </w:tcPr>
          <w:p w:rsidR="00262E2B" w:rsidRPr="004111ED" w:rsidRDefault="00262E2B" w:rsidP="006C4607">
            <w:pPr>
              <w:pStyle w:val="naiskr"/>
              <w:spacing w:before="0" w:after="0"/>
            </w:pPr>
            <w:r w:rsidRPr="004111ED">
              <w:lastRenderedPageBreak/>
              <w:t>7.</w:t>
            </w:r>
          </w:p>
        </w:tc>
        <w:tc>
          <w:tcPr>
            <w:tcW w:w="2574" w:type="dxa"/>
          </w:tcPr>
          <w:p w:rsidR="00262E2B" w:rsidRPr="004111ED" w:rsidRDefault="00262E2B" w:rsidP="006C4607">
            <w:pPr>
              <w:pStyle w:val="naiskr"/>
              <w:spacing w:before="0" w:after="0"/>
            </w:pPr>
            <w:r w:rsidRPr="004111ED">
              <w:t>Cita informācija</w:t>
            </w:r>
          </w:p>
        </w:tc>
        <w:tc>
          <w:tcPr>
            <w:tcW w:w="6095" w:type="dxa"/>
          </w:tcPr>
          <w:p w:rsidR="00262E2B" w:rsidRPr="004111ED" w:rsidRDefault="00144723" w:rsidP="006C4607">
            <w:pPr>
              <w:pStyle w:val="naiskr"/>
              <w:spacing w:before="0" w:after="0"/>
            </w:pPr>
            <w:r w:rsidRPr="004111ED">
              <w:t xml:space="preserve"> </w:t>
            </w:r>
            <w:r w:rsidR="00262E2B" w:rsidRPr="004111ED">
              <w:t>Nav</w:t>
            </w:r>
            <w:r w:rsidR="00F5478B">
              <w:t>.</w:t>
            </w:r>
          </w:p>
        </w:tc>
      </w:tr>
    </w:tbl>
    <w:p w:rsidR="00852042" w:rsidRPr="004111ED" w:rsidRDefault="00852042" w:rsidP="006C4607">
      <w:pPr>
        <w:pStyle w:val="naisf"/>
        <w:spacing w:before="0" w:after="0"/>
      </w:pPr>
    </w:p>
    <w:tbl>
      <w:tblPr>
        <w:tblpPr w:leftFromText="180" w:rightFromText="180" w:vertAnchor="text" w:horzAnchor="margin" w:tblpXSpec="center" w:tblpY="149"/>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2"/>
        <w:gridCol w:w="2830"/>
        <w:gridCol w:w="5954"/>
      </w:tblGrid>
      <w:tr w:rsidR="0062298A" w:rsidRPr="004111ED" w:rsidTr="00E56A45">
        <w:tc>
          <w:tcPr>
            <w:tcW w:w="9356" w:type="dxa"/>
            <w:gridSpan w:val="3"/>
            <w:vAlign w:val="center"/>
          </w:tcPr>
          <w:p w:rsidR="0062298A" w:rsidRPr="004111ED" w:rsidRDefault="0062298A" w:rsidP="006C4607">
            <w:pPr>
              <w:pStyle w:val="naisnod"/>
              <w:spacing w:before="0" w:after="0"/>
            </w:pPr>
            <w:r w:rsidRPr="004111ED">
              <w:t>II</w:t>
            </w:r>
            <w:r w:rsidR="000941C5" w:rsidRPr="004111ED">
              <w:t>.</w:t>
            </w:r>
            <w:r w:rsidRPr="004111ED">
              <w:t xml:space="preserve"> Tiesību akta projekta ietekme uz sabiedrību</w:t>
            </w:r>
          </w:p>
        </w:tc>
      </w:tr>
      <w:tr w:rsidR="0062298A" w:rsidRPr="004111ED" w:rsidTr="00E56A45">
        <w:trPr>
          <w:trHeight w:val="467"/>
        </w:trPr>
        <w:tc>
          <w:tcPr>
            <w:tcW w:w="572" w:type="dxa"/>
          </w:tcPr>
          <w:p w:rsidR="0062298A" w:rsidRPr="004111ED" w:rsidRDefault="0062298A" w:rsidP="006C4607">
            <w:pPr>
              <w:pStyle w:val="naiskr"/>
              <w:spacing w:before="0" w:after="0"/>
            </w:pPr>
            <w:r w:rsidRPr="004111ED">
              <w:t>1.</w:t>
            </w:r>
          </w:p>
        </w:tc>
        <w:tc>
          <w:tcPr>
            <w:tcW w:w="2830" w:type="dxa"/>
          </w:tcPr>
          <w:p w:rsidR="0062298A" w:rsidRPr="004111ED" w:rsidRDefault="00C27A08" w:rsidP="006C4607">
            <w:pPr>
              <w:pStyle w:val="naiskr"/>
              <w:spacing w:before="0" w:after="0"/>
            </w:pPr>
            <w:r w:rsidRPr="004111ED">
              <w:t>Sabiedrības mērķgrupa</w:t>
            </w:r>
          </w:p>
        </w:tc>
        <w:tc>
          <w:tcPr>
            <w:tcW w:w="5954" w:type="dxa"/>
          </w:tcPr>
          <w:p w:rsidR="002C4FA9" w:rsidRPr="004111ED" w:rsidRDefault="002C4FA9" w:rsidP="002C4FA9">
            <w:pPr>
              <w:ind w:firstLine="284"/>
              <w:jc w:val="both"/>
              <w:rPr>
                <w:iCs/>
              </w:rPr>
            </w:pPr>
            <w:r w:rsidRPr="004111ED">
              <w:rPr>
                <w:iCs/>
                <w:sz w:val="22"/>
                <w:szCs w:val="22"/>
              </w:rPr>
              <w:t> </w:t>
            </w:r>
            <w:r w:rsidRPr="004111ED">
              <w:rPr>
                <w:iCs/>
              </w:rPr>
              <w:t xml:space="preserve">Projekta tiesiskais regulējums attiecināms uz juridiskās palīdzības </w:t>
            </w:r>
            <w:r w:rsidR="00045A0E" w:rsidRPr="004111ED">
              <w:rPr>
                <w:iCs/>
              </w:rPr>
              <w:t>pieprasītājiem, juridiskās</w:t>
            </w:r>
            <w:r w:rsidR="002C2B37" w:rsidRPr="004111ED">
              <w:rPr>
                <w:iCs/>
              </w:rPr>
              <w:t xml:space="preserve"> palīdzības sniedzējiem</w:t>
            </w:r>
            <w:r w:rsidR="00045A0E" w:rsidRPr="004111ED">
              <w:rPr>
                <w:iCs/>
              </w:rPr>
              <w:t xml:space="preserve"> un projekta izpildē iesaistīto institūciju – Juridiskās palīdzības administrāciju</w:t>
            </w:r>
            <w:r w:rsidR="002C2B37" w:rsidRPr="004111ED">
              <w:rPr>
                <w:iCs/>
              </w:rPr>
              <w:t xml:space="preserve">. </w:t>
            </w:r>
          </w:p>
          <w:p w:rsidR="00D96CB1" w:rsidRPr="004111ED" w:rsidRDefault="002C4FA9" w:rsidP="002C4FA9">
            <w:pPr>
              <w:ind w:firstLine="284"/>
              <w:jc w:val="both"/>
            </w:pPr>
            <w:r w:rsidRPr="004111ED">
              <w:t>Saskaņā ar Juridiskās palīdzības administrācijas statistikas datiem</w:t>
            </w:r>
            <w:r w:rsidRPr="004111ED">
              <w:rPr>
                <w:rStyle w:val="Vresatsauce"/>
              </w:rPr>
              <w:footnoteReference w:id="2"/>
            </w:r>
            <w:r w:rsidRPr="004111ED">
              <w:t xml:space="preserve"> 201</w:t>
            </w:r>
            <w:r w:rsidR="002C2B37" w:rsidRPr="004111ED">
              <w:t xml:space="preserve">1. gadā </w:t>
            </w:r>
            <w:r w:rsidR="00D96CB1" w:rsidRPr="004111ED">
              <w:t xml:space="preserve">juridisko palīdzību nodrošināja 141 juridiskās palīdzības sniedzējs. 2011.gadā </w:t>
            </w:r>
            <w:r w:rsidR="002C2B37" w:rsidRPr="004111ED">
              <w:t>reģistrēti</w:t>
            </w:r>
            <w:r w:rsidRPr="004111ED">
              <w:t xml:space="preserve"> </w:t>
            </w:r>
            <w:r w:rsidR="002C2B37" w:rsidRPr="004111ED">
              <w:t>3288</w:t>
            </w:r>
            <w:r w:rsidRPr="004111ED">
              <w:t xml:space="preserve"> iesniegum</w:t>
            </w:r>
            <w:r w:rsidR="002C2B37" w:rsidRPr="004111ED">
              <w:t>i</w:t>
            </w:r>
            <w:r w:rsidRPr="004111ED">
              <w:t xml:space="preserve"> par valsts nodrošinātās juridiskās palīdzības pieprasījumu</w:t>
            </w:r>
            <w:r w:rsidR="002C2B37" w:rsidRPr="004111ED">
              <w:t xml:space="preserve"> un </w:t>
            </w:r>
            <w:r w:rsidRPr="004111ED">
              <w:t>pieņemt</w:t>
            </w:r>
            <w:r w:rsidR="002C2B37" w:rsidRPr="004111ED">
              <w:t>i 2755</w:t>
            </w:r>
            <w:r w:rsidRPr="004111ED">
              <w:t xml:space="preserve"> lēmumi par valsts nodrošinātās juridiskās palīdzības piešķiršanu.</w:t>
            </w:r>
            <w:r w:rsidR="002C2B37" w:rsidRPr="004111ED">
              <w:t xml:space="preserve"> </w:t>
            </w:r>
          </w:p>
          <w:p w:rsidR="002C4FA9" w:rsidRPr="004111ED" w:rsidRDefault="00D96CB1" w:rsidP="002C4FA9">
            <w:pPr>
              <w:ind w:firstLine="284"/>
              <w:jc w:val="both"/>
            </w:pPr>
            <w:r w:rsidRPr="004111ED">
              <w:t>2011.gadā Juridiskās palīdzības administrācij</w:t>
            </w:r>
            <w:r w:rsidR="002352B6" w:rsidRPr="004111ED">
              <w:rPr>
                <w:strike/>
              </w:rPr>
              <w:t>ā</w:t>
            </w:r>
            <w:r w:rsidRPr="004111ED">
              <w:t xml:space="preserve"> apmaksai saņemti juridiskās palīdzības sniedzēju iesniegtie 3434 paziņojumi par valsts nodrošinātās juridiskās palīdzības sniegšanu civillietās, administratīvajās lietās un pārrobežu strīdu lietās, bet par valsts nodrošinātās juridiskās palīdzības sniegšanu saskaņā ar Ārstniecības likuma 68.</w:t>
            </w:r>
            <w:r w:rsidRPr="004111ED">
              <w:rPr>
                <w:vertAlign w:val="superscript"/>
              </w:rPr>
              <w:t>1</w:t>
            </w:r>
            <w:r w:rsidRPr="004111ED">
              <w:t xml:space="preserve"> pantu Juridiskās palīdzības administrācijai apmaksai iesniegti 80 paziņojumi. Savukārt par valsts nodrošinātās juridiskās palīdzības sniegšanu kriminālprocesā 2011.gadā Juridiskās palīdzības administrācija apmaksai ir saņēmusi 19 788 iesniegtus juridiskās palīdzības sniedzēju paziņojumus. Kopā 2011.gadā Juridiskās palīdzības administrācija apmaksai saņēmusi 23222 paziņojumus.   </w:t>
            </w:r>
            <w:r w:rsidR="002C2B37" w:rsidRPr="004111ED">
              <w:t xml:space="preserve">  </w:t>
            </w:r>
          </w:p>
          <w:p w:rsidR="00E13CBB" w:rsidRPr="004111ED" w:rsidRDefault="002C2B37" w:rsidP="004A16C8">
            <w:pPr>
              <w:ind w:firstLine="284"/>
              <w:jc w:val="both"/>
            </w:pPr>
            <w:r w:rsidRPr="004111ED">
              <w:t xml:space="preserve">Savukārt 2012.gada pirmajos </w:t>
            </w:r>
            <w:r w:rsidR="00F3146C" w:rsidRPr="004111ED">
              <w:t xml:space="preserve">astoņos </w:t>
            </w:r>
            <w:r w:rsidRPr="004111ED">
              <w:t xml:space="preserve">mēnešos </w:t>
            </w:r>
            <w:r w:rsidR="00D96CB1" w:rsidRPr="004111ED">
              <w:t>juridisko palīdzību nodrošināja 139 juridiskās palīdzības sniedzēji. Minētajā laika posmā i</w:t>
            </w:r>
            <w:r w:rsidRPr="004111ED">
              <w:t xml:space="preserve">esniegti </w:t>
            </w:r>
            <w:r w:rsidR="00F3146C" w:rsidRPr="004111ED">
              <w:t>2015</w:t>
            </w:r>
            <w:r w:rsidRPr="004111ED">
              <w:t xml:space="preserve"> iesniegumi par valsts nodrošinātās juridiskās palīdzības pieprasījumu, pieņemti </w:t>
            </w:r>
            <w:r w:rsidR="00F3146C" w:rsidRPr="004111ED">
              <w:t>1628</w:t>
            </w:r>
            <w:r w:rsidRPr="004111ED">
              <w:t xml:space="preserve"> lēmumi par valsts nodrošinātās juridiskās palīdzības piešķiršanu</w:t>
            </w:r>
            <w:r w:rsidR="004A16C8" w:rsidRPr="004111ED">
              <w:t>.</w:t>
            </w:r>
          </w:p>
          <w:p w:rsidR="00D96CB1" w:rsidRPr="004111ED" w:rsidRDefault="00D96CB1" w:rsidP="00D96CB1">
            <w:pPr>
              <w:ind w:firstLine="284"/>
              <w:jc w:val="both"/>
            </w:pPr>
            <w:r w:rsidRPr="004111ED">
              <w:t>Tāpat minētajā laika posmā Juridiskās palīdzības administrācijā apmaksai iesniegti 2275 paziņojumi par valsts nodrošinātās juridiskās palīdzības sniegšanu civillietās, administratīvajās lietās un pārrobežu strīdu lietās, bet par valsts nodrošinātās juridiskās palīdzības sniegšanu saskaņā ar Ārstniecības likuma 68.</w:t>
            </w:r>
            <w:r w:rsidRPr="004111ED">
              <w:rPr>
                <w:vertAlign w:val="superscript"/>
              </w:rPr>
              <w:t>1</w:t>
            </w:r>
            <w:r w:rsidRPr="004111ED">
              <w:t xml:space="preserve">pantu - 48 paziņojumi. Savukārt par valsts nodrošinātās juridiskās palīdzības sniegšanu kriminālprocesā 2012.gada pirmajos astoņos mēnešos Juridiskās palīdzības administrācija apmaksai ir saņēmusi </w:t>
            </w:r>
            <w:r w:rsidRPr="004111ED">
              <w:lastRenderedPageBreak/>
              <w:t>13492 paziņojumus.</w:t>
            </w:r>
          </w:p>
          <w:p w:rsidR="00733FC1" w:rsidRPr="004111ED" w:rsidRDefault="00733FC1" w:rsidP="00D96CB1">
            <w:pPr>
              <w:ind w:firstLine="284"/>
              <w:jc w:val="both"/>
            </w:pPr>
            <w:r w:rsidRPr="004111ED">
              <w:t xml:space="preserve">Vienlaikus norādāms, ka precīzu šo sabiedrības </w:t>
            </w:r>
            <w:proofErr w:type="spellStart"/>
            <w:r w:rsidRPr="004111ED">
              <w:t>mērķgrupu</w:t>
            </w:r>
            <w:proofErr w:type="spellEnd"/>
            <w:r w:rsidRPr="004111ED">
              <w:t xml:space="preserve"> skaitlisko lielumu nav iespējams prognozēt, jo nav iespējams precīzi noteikt valsts nodrošinātās juridiskās palīdzības gadījumu skaitu un tā dinamiku.</w:t>
            </w:r>
          </w:p>
          <w:p w:rsidR="00D96CB1" w:rsidRPr="004111ED" w:rsidRDefault="00D96CB1" w:rsidP="00D96CB1">
            <w:pPr>
              <w:ind w:firstLine="284"/>
              <w:jc w:val="both"/>
            </w:pPr>
          </w:p>
        </w:tc>
      </w:tr>
      <w:tr w:rsidR="0062298A" w:rsidRPr="004111ED" w:rsidTr="00E56A45">
        <w:trPr>
          <w:trHeight w:val="523"/>
        </w:trPr>
        <w:tc>
          <w:tcPr>
            <w:tcW w:w="572" w:type="dxa"/>
          </w:tcPr>
          <w:p w:rsidR="0062298A" w:rsidRPr="004111ED" w:rsidRDefault="0062298A" w:rsidP="006C4607">
            <w:pPr>
              <w:pStyle w:val="naiskr"/>
              <w:spacing w:before="0" w:after="0"/>
            </w:pPr>
            <w:r w:rsidRPr="004111ED">
              <w:lastRenderedPageBreak/>
              <w:t>2.</w:t>
            </w:r>
          </w:p>
        </w:tc>
        <w:tc>
          <w:tcPr>
            <w:tcW w:w="2830" w:type="dxa"/>
          </w:tcPr>
          <w:p w:rsidR="00C1133D" w:rsidRPr="004111ED" w:rsidRDefault="00C27A08" w:rsidP="006C4607">
            <w:pPr>
              <w:pStyle w:val="naiskr"/>
              <w:spacing w:before="0" w:after="0"/>
            </w:pPr>
            <w:r w:rsidRPr="004111ED">
              <w:t>Citas sabiedrības grupas (bez mērķgrupas), kuras tiesiskais regulējums arī ietekmē vai varētu ietekmēt</w:t>
            </w:r>
          </w:p>
        </w:tc>
        <w:tc>
          <w:tcPr>
            <w:tcW w:w="5954" w:type="dxa"/>
          </w:tcPr>
          <w:p w:rsidR="0062298A" w:rsidRPr="004111ED" w:rsidRDefault="00053E1D" w:rsidP="006C4607">
            <w:pPr>
              <w:pStyle w:val="naiskr"/>
              <w:spacing w:before="0" w:after="0"/>
            </w:pPr>
            <w:r w:rsidRPr="004111ED">
              <w:rPr>
                <w:iCs/>
              </w:rPr>
              <w:t>Projekts šo jomu neskar</w:t>
            </w:r>
            <w:r w:rsidR="00F5478B">
              <w:rPr>
                <w:iCs/>
              </w:rPr>
              <w:t>.</w:t>
            </w:r>
          </w:p>
        </w:tc>
      </w:tr>
      <w:tr w:rsidR="0062298A" w:rsidRPr="004111ED" w:rsidTr="00E56A45">
        <w:trPr>
          <w:trHeight w:val="517"/>
        </w:trPr>
        <w:tc>
          <w:tcPr>
            <w:tcW w:w="572" w:type="dxa"/>
          </w:tcPr>
          <w:p w:rsidR="0062298A" w:rsidRPr="004111ED" w:rsidRDefault="0062298A" w:rsidP="006C4607">
            <w:pPr>
              <w:pStyle w:val="naiskr"/>
              <w:spacing w:before="0" w:after="0"/>
            </w:pPr>
            <w:r w:rsidRPr="004111ED">
              <w:t>3.</w:t>
            </w:r>
          </w:p>
        </w:tc>
        <w:tc>
          <w:tcPr>
            <w:tcW w:w="2830" w:type="dxa"/>
          </w:tcPr>
          <w:p w:rsidR="00C1133D" w:rsidRPr="004111ED" w:rsidRDefault="000C790C" w:rsidP="006C4607">
            <w:pPr>
              <w:pStyle w:val="naiskr"/>
              <w:spacing w:before="0" w:after="0"/>
            </w:pPr>
            <w:r w:rsidRPr="004111ED">
              <w:t>Tiesiskā r</w:t>
            </w:r>
            <w:r w:rsidR="003D21FF" w:rsidRPr="004111ED">
              <w:t>egulējuma</w:t>
            </w:r>
            <w:r w:rsidR="00C27A08" w:rsidRPr="004111ED">
              <w:t xml:space="preserve"> finansiālā ietekme</w:t>
            </w:r>
          </w:p>
        </w:tc>
        <w:tc>
          <w:tcPr>
            <w:tcW w:w="5954" w:type="dxa"/>
          </w:tcPr>
          <w:p w:rsidR="00AA4A90" w:rsidRPr="004111ED" w:rsidRDefault="00053E1D" w:rsidP="00AA4A90">
            <w:pPr>
              <w:pStyle w:val="naiskr"/>
              <w:spacing w:before="0" w:after="0"/>
              <w:ind w:firstLine="283"/>
              <w:jc w:val="both"/>
            </w:pPr>
            <w:r w:rsidRPr="004111ED">
              <w:rPr>
                <w:iCs/>
              </w:rPr>
              <w:t>Projekt</w:t>
            </w:r>
            <w:r w:rsidR="00D76966" w:rsidRPr="004111ED">
              <w:rPr>
                <w:iCs/>
              </w:rPr>
              <w:t xml:space="preserve">ā paredzētajam regulējumam ir finansiāla ietekme, proti, tiek </w:t>
            </w:r>
            <w:r w:rsidR="00F3146C" w:rsidRPr="004111ED">
              <w:t xml:space="preserve"> pagarināts Noteikumos Nr.1493 šobrīd spēkā esošais pārejas periods līdz 2014.gada 1.janvārim.</w:t>
            </w:r>
          </w:p>
          <w:p w:rsidR="00AA4A90" w:rsidRPr="004111ED" w:rsidRDefault="00AA4A90" w:rsidP="00AA4A90">
            <w:pPr>
              <w:pStyle w:val="naiskr"/>
              <w:spacing w:before="0" w:after="0"/>
              <w:ind w:firstLine="283"/>
              <w:jc w:val="both"/>
            </w:pPr>
            <w:r w:rsidRPr="004111ED">
              <w:t xml:space="preserve">Norādāms, ka </w:t>
            </w:r>
            <w:r w:rsidRPr="004111ED">
              <w:rPr>
                <w:b/>
              </w:rPr>
              <w:t>2012.gadā</w:t>
            </w:r>
            <w:r w:rsidRPr="004111ED">
              <w:t xml:space="preserve"> Juridiskās palīdzības administrācijai piešķirtie </w:t>
            </w:r>
            <w:r w:rsidR="002352B6" w:rsidRPr="004111ED">
              <w:t xml:space="preserve">valsts </w:t>
            </w:r>
            <w:r w:rsidRPr="004111ED">
              <w:t xml:space="preserve">budžeta līdzekļi juridiskās palīdzības piešķiršanas funkcijas izpildei ir </w:t>
            </w:r>
            <w:r w:rsidR="00A00FEA" w:rsidRPr="004111ED">
              <w:rPr>
                <w:b/>
              </w:rPr>
              <w:t>Ls 67</w:t>
            </w:r>
            <w:r w:rsidRPr="004111ED">
              <w:rPr>
                <w:b/>
              </w:rPr>
              <w:t>6</w:t>
            </w:r>
            <w:r w:rsidR="00A00FEA" w:rsidRPr="004111ED">
              <w:rPr>
                <w:b/>
              </w:rPr>
              <w:t> </w:t>
            </w:r>
            <w:r w:rsidRPr="004111ED">
              <w:rPr>
                <w:b/>
              </w:rPr>
              <w:t>304</w:t>
            </w:r>
            <w:r w:rsidR="00A00FEA" w:rsidRPr="004111ED">
              <w:rPr>
                <w:b/>
              </w:rPr>
              <w:t>.</w:t>
            </w:r>
          </w:p>
          <w:p w:rsidR="00AA4A90" w:rsidRPr="004111ED" w:rsidRDefault="00AA4A90" w:rsidP="00AA4A90">
            <w:pPr>
              <w:pStyle w:val="naiskr"/>
              <w:spacing w:before="0" w:after="0"/>
              <w:ind w:firstLine="283"/>
              <w:jc w:val="both"/>
            </w:pPr>
            <w:r w:rsidRPr="004111ED">
              <w:t xml:space="preserve">Ņemot vērā to, ka Noteikumos Nr.1493 </w:t>
            </w:r>
            <w:r w:rsidR="00D22E19">
              <w:t xml:space="preserve">šobrīd </w:t>
            </w:r>
            <w:r w:rsidRPr="004111ED">
              <w:t xml:space="preserve">noteiktais normu ierobežojums tiek saglabāts līdz 2014.gada 1.janvārim, tad saskaņā ar Projektā ietverto regulējumu </w:t>
            </w:r>
            <w:r w:rsidRPr="004111ED">
              <w:rPr>
                <w:b/>
              </w:rPr>
              <w:t>2013.gadā</w:t>
            </w:r>
            <w:r w:rsidRPr="004111ED">
              <w:t xml:space="preserve"> juridiskās palīdzības piešķiršanas funkcijas izpildei </w:t>
            </w:r>
            <w:r w:rsidR="00BA5E8A" w:rsidRPr="004111ED">
              <w:t>nepieciešamais</w:t>
            </w:r>
            <w:r w:rsidRPr="004111ED">
              <w:t xml:space="preserve"> finansējuma apmērs ir tāds pats kā 2012.gadā, proti, </w:t>
            </w:r>
            <w:r w:rsidRPr="004111ED">
              <w:rPr>
                <w:b/>
              </w:rPr>
              <w:t>Ls 676 304</w:t>
            </w:r>
            <w:r w:rsidRPr="004111ED">
              <w:t>.</w:t>
            </w:r>
            <w:r w:rsidR="00BA5E8A" w:rsidRPr="004111ED">
              <w:t xml:space="preserve"> Turklāt norādāms, ka</w:t>
            </w:r>
            <w:r w:rsidRPr="004111ED">
              <w:t xml:space="preserve"> 2013.gadā ne</w:t>
            </w:r>
            <w:r w:rsidRPr="004111ED">
              <w:rPr>
                <w:bCs/>
              </w:rPr>
              <w:t>tiek uzsākta jauno apmaksājamo juridiskās palīdzības veidu samaksa, kā arī netiek palielināts esošo juridiskās palīdzības veidu samaksas apmērs.</w:t>
            </w:r>
          </w:p>
          <w:p w:rsidR="00F921F4" w:rsidRPr="004111ED" w:rsidRDefault="00AA4A90" w:rsidP="00E36B5C">
            <w:pPr>
              <w:pStyle w:val="naiskr"/>
              <w:spacing w:before="0" w:after="0"/>
              <w:ind w:firstLine="283"/>
              <w:jc w:val="both"/>
              <w:rPr>
                <w:bCs/>
              </w:rPr>
            </w:pPr>
            <w:r w:rsidRPr="004111ED">
              <w:t>Savukār</w:t>
            </w:r>
            <w:r w:rsidR="00E36B5C" w:rsidRPr="004111ED">
              <w:t>t ņemot vērā Projektā paredzēto</w:t>
            </w:r>
            <w:r w:rsidRPr="004111ED">
              <w:t xml:space="preserve"> normu ierobežojum</w:t>
            </w:r>
            <w:r w:rsidR="00E36B5C" w:rsidRPr="004111ED">
              <w:t>a</w:t>
            </w:r>
            <w:r w:rsidRPr="004111ED">
              <w:t xml:space="preserve"> pagarinā</w:t>
            </w:r>
            <w:r w:rsidR="00E36B5C" w:rsidRPr="004111ED">
              <w:t>jumu</w:t>
            </w:r>
            <w:r w:rsidRPr="004111ED">
              <w:t xml:space="preserve"> līdz 2014.gada 1.javārim, sākot ar 2014.gada 1.janvāri</w:t>
            </w:r>
            <w:r w:rsidR="004375F2">
              <w:t>,</w:t>
            </w:r>
            <w:r w:rsidRPr="004111ED">
              <w:t xml:space="preserve"> spēkā stāsies Noteikumu Nr.1493 pa</w:t>
            </w:r>
            <w:r w:rsidR="00CB5A9B">
              <w:t>mattekstā noteiktais regulējums, kas paredz</w:t>
            </w:r>
            <w:r w:rsidR="004375F2">
              <w:t>,</w:t>
            </w:r>
            <w:r w:rsidRPr="004111ED">
              <w:t xml:space="preserve"> </w:t>
            </w:r>
            <w:r w:rsidR="00F921F4" w:rsidRPr="004111ED">
              <w:t>sākot ar 2014.gada 1.javāri</w:t>
            </w:r>
            <w:r w:rsidR="002352B6" w:rsidRPr="004111ED">
              <w:t>,</w:t>
            </w:r>
            <w:r w:rsidR="00F921F4" w:rsidRPr="004111ED">
              <w:t xml:space="preserve"> </w:t>
            </w:r>
            <w:r w:rsidR="004111ED">
              <w:rPr>
                <w:bCs/>
              </w:rPr>
              <w:t>uzsākt</w:t>
            </w:r>
            <w:r w:rsidR="00F921F4" w:rsidRPr="004111ED">
              <w:rPr>
                <w:bCs/>
              </w:rPr>
              <w:t xml:space="preserve"> jauno apmaksājamo juridiskās palīdzības veidu </w:t>
            </w:r>
            <w:r w:rsidR="00A55D7F" w:rsidRPr="004111ED">
              <w:rPr>
                <w:bCs/>
              </w:rPr>
              <w:t>samaksu</w:t>
            </w:r>
            <w:r w:rsidR="00F921F4" w:rsidRPr="004111ED">
              <w:rPr>
                <w:bCs/>
              </w:rPr>
              <w:t>,</w:t>
            </w:r>
            <w:r w:rsidR="00BA5E8A" w:rsidRPr="004111ED">
              <w:rPr>
                <w:bCs/>
              </w:rPr>
              <w:t xml:space="preserve"> kas līdz šim netika veikta,</w:t>
            </w:r>
            <w:r w:rsidR="00F921F4" w:rsidRPr="004111ED">
              <w:rPr>
                <w:bCs/>
              </w:rPr>
              <w:t xml:space="preserve"> un esošo juridiskās palīdzības veidu </w:t>
            </w:r>
            <w:r w:rsidR="00A55D7F" w:rsidRPr="004111ED">
              <w:rPr>
                <w:bCs/>
              </w:rPr>
              <w:t xml:space="preserve">samaksu </w:t>
            </w:r>
            <w:r w:rsidR="00BA5E8A" w:rsidRPr="004111ED">
              <w:rPr>
                <w:bCs/>
              </w:rPr>
              <w:t>maksimālajā</w:t>
            </w:r>
            <w:r w:rsidR="00F921F4" w:rsidRPr="004111ED">
              <w:rPr>
                <w:bCs/>
              </w:rPr>
              <w:t xml:space="preserve"> apmērā. Ievērojot minēto</w:t>
            </w:r>
            <w:r w:rsidR="002352B6" w:rsidRPr="004111ED">
              <w:rPr>
                <w:bCs/>
              </w:rPr>
              <w:t>,</w:t>
            </w:r>
            <w:r w:rsidR="00F921F4" w:rsidRPr="004111ED">
              <w:rPr>
                <w:bCs/>
              </w:rPr>
              <w:t xml:space="preserve"> </w:t>
            </w:r>
            <w:r w:rsidR="00F921F4" w:rsidRPr="004111ED">
              <w:rPr>
                <w:b/>
                <w:bCs/>
              </w:rPr>
              <w:t>2014.gadā</w:t>
            </w:r>
            <w:r w:rsidR="00F921F4" w:rsidRPr="004111ED">
              <w:rPr>
                <w:bCs/>
              </w:rPr>
              <w:t xml:space="preserve"> papildus </w:t>
            </w:r>
            <w:r w:rsidR="00BA5E8A" w:rsidRPr="004111ED">
              <w:rPr>
                <w:bCs/>
              </w:rPr>
              <w:t xml:space="preserve">nepieciešamais </w:t>
            </w:r>
            <w:r w:rsidR="00F921F4" w:rsidRPr="004111ED">
              <w:rPr>
                <w:bCs/>
              </w:rPr>
              <w:t xml:space="preserve">finansējuma apmērs ir  </w:t>
            </w:r>
            <w:r w:rsidR="00F921F4" w:rsidRPr="004111ED">
              <w:rPr>
                <w:b/>
                <w:bCs/>
              </w:rPr>
              <w:t xml:space="preserve">Ls </w:t>
            </w:r>
            <w:r w:rsidR="00E36B5C" w:rsidRPr="004111ED">
              <w:rPr>
                <w:b/>
                <w:bCs/>
              </w:rPr>
              <w:t>1 617 391</w:t>
            </w:r>
            <w:r w:rsidR="00F921F4" w:rsidRPr="004111ED">
              <w:rPr>
                <w:b/>
                <w:bCs/>
              </w:rPr>
              <w:t xml:space="preserve">, </w:t>
            </w:r>
            <w:r w:rsidR="00F921F4" w:rsidRPr="004111ED">
              <w:rPr>
                <w:bCs/>
              </w:rPr>
              <w:t>bet</w:t>
            </w:r>
            <w:r w:rsidR="00F921F4" w:rsidRPr="004111ED">
              <w:rPr>
                <w:b/>
                <w:bCs/>
              </w:rPr>
              <w:t xml:space="preserve"> 2015.gadā - </w:t>
            </w:r>
            <w:r w:rsidR="00527FD6" w:rsidRPr="004111ED">
              <w:rPr>
                <w:b/>
                <w:bCs/>
              </w:rPr>
              <w:t>Ls 1</w:t>
            </w:r>
            <w:r w:rsidR="00CB5A9B">
              <w:rPr>
                <w:b/>
                <w:bCs/>
              </w:rPr>
              <w:t> </w:t>
            </w:r>
            <w:r w:rsidR="00527FD6" w:rsidRPr="004111ED">
              <w:rPr>
                <w:b/>
                <w:bCs/>
              </w:rPr>
              <w:t>685</w:t>
            </w:r>
            <w:r w:rsidR="00CB5A9B">
              <w:rPr>
                <w:b/>
                <w:bCs/>
              </w:rPr>
              <w:t xml:space="preserve"> </w:t>
            </w:r>
            <w:r w:rsidR="00527FD6" w:rsidRPr="004111ED">
              <w:rPr>
                <w:b/>
                <w:bCs/>
              </w:rPr>
              <w:t>929</w:t>
            </w:r>
            <w:r w:rsidR="00F921F4" w:rsidRPr="004111ED">
              <w:rPr>
                <w:bCs/>
              </w:rPr>
              <w:t>.</w:t>
            </w:r>
          </w:p>
          <w:p w:rsidR="00045A0E" w:rsidRPr="004111ED" w:rsidRDefault="00045A0E" w:rsidP="00045A0E">
            <w:pPr>
              <w:pStyle w:val="naiskr"/>
              <w:spacing w:before="0" w:after="0"/>
              <w:ind w:firstLine="283"/>
              <w:jc w:val="both"/>
            </w:pPr>
            <w:r w:rsidRPr="004111ED">
              <w:t xml:space="preserve">Vienlaikus, ņemot vērā to, ka </w:t>
            </w:r>
            <w:r w:rsidR="008D5C36" w:rsidRPr="004111ED">
              <w:t>līdz 2014.gada 1.janvārim</w:t>
            </w:r>
            <w:r w:rsidR="008D5C36" w:rsidRPr="004111ED">
              <w:rPr>
                <w:iCs/>
              </w:rPr>
              <w:t xml:space="preserve"> </w:t>
            </w:r>
            <w:r w:rsidRPr="004111ED">
              <w:rPr>
                <w:iCs/>
              </w:rPr>
              <w:t xml:space="preserve">tiek </w:t>
            </w:r>
            <w:r w:rsidRPr="004111ED">
              <w:t xml:space="preserve"> pagarināts Noteikumos Nr.1493 šobrīd spēkā esošais pārejas periods, samaksas apmērs par sniegto juridisko palīdzību juridiskās palīdzības sniedzējiem 2013.gadā būs tāds pats</w:t>
            </w:r>
            <w:r w:rsidR="004111ED">
              <w:t>,</w:t>
            </w:r>
            <w:r w:rsidRPr="004111ED">
              <w:t xml:space="preserve"> kāds tas ir noteikts 2012.gadā.</w:t>
            </w:r>
          </w:p>
          <w:p w:rsidR="00045A0E" w:rsidRPr="004111ED" w:rsidRDefault="00045A0E" w:rsidP="008D5C36">
            <w:pPr>
              <w:pStyle w:val="naiskr"/>
              <w:spacing w:before="0" w:after="0"/>
              <w:ind w:firstLine="283"/>
              <w:jc w:val="both"/>
            </w:pPr>
            <w:r w:rsidRPr="004111ED">
              <w:t xml:space="preserve">Savukārt </w:t>
            </w:r>
            <w:r w:rsidR="008D5C36">
              <w:t xml:space="preserve">atbilstoši </w:t>
            </w:r>
            <w:r w:rsidR="008D5C36" w:rsidRPr="004111ED">
              <w:t>Noteikum</w:t>
            </w:r>
            <w:r w:rsidR="008D5C36">
              <w:t>os</w:t>
            </w:r>
            <w:r w:rsidR="008D5C36" w:rsidRPr="004111ED">
              <w:t xml:space="preserve"> Nr.1493 </w:t>
            </w:r>
            <w:r w:rsidR="008D5C36">
              <w:t>paredzētajam regulējumam</w:t>
            </w:r>
            <w:r w:rsidR="004375F2">
              <w:t>,</w:t>
            </w:r>
            <w:r w:rsidR="008D5C36">
              <w:t xml:space="preserve"> </w:t>
            </w:r>
            <w:r w:rsidRPr="004111ED">
              <w:t>sākot ar 2014.gada 1.janvāri</w:t>
            </w:r>
            <w:r w:rsidR="004375F2">
              <w:t>,</w:t>
            </w:r>
            <w:r w:rsidR="008D5C36" w:rsidRPr="004111ED">
              <w:t xml:space="preserve"> </w:t>
            </w:r>
            <w:r w:rsidRPr="004111ED">
              <w:t>juridiskā</w:t>
            </w:r>
            <w:r w:rsidR="008D5C36">
              <w:t>s palīdzības sniedzējiem samaksa</w:t>
            </w:r>
            <w:r w:rsidRPr="004111ED">
              <w:t xml:space="preserve"> par sniegto juridisko palīdzību </w:t>
            </w:r>
            <w:r w:rsidR="008D5C36">
              <w:t xml:space="preserve">tiks veikta </w:t>
            </w:r>
            <w:r w:rsidRPr="004111ED">
              <w:t xml:space="preserve">apmērā, kāds ir noteikts Noteikumu Nr.1493 pamatregulējumā. Precīzu finansiālo ietekmi uz katru juridiskās palīdzības sniedzēju noteikt nav iespējams, jo tas ir atkarīgs no katra juridiskās palīdzības sniedzēja sniegtās juridiskās palīdzības apjoma. Kopējā statistika par </w:t>
            </w:r>
            <w:r w:rsidR="008D5C36" w:rsidRPr="004111ED">
              <w:t xml:space="preserve">Juridiskās palīdzības administrācijā apmaksai iesniegto </w:t>
            </w:r>
            <w:r w:rsidRPr="004111ED">
              <w:lastRenderedPageBreak/>
              <w:t>j</w:t>
            </w:r>
            <w:r w:rsidR="008D5C36">
              <w:t xml:space="preserve">uridiskās palīdzības sniedzēju </w:t>
            </w:r>
            <w:r w:rsidRPr="004111ED">
              <w:t xml:space="preserve">paziņojumu skaitu ir norādīta </w:t>
            </w:r>
            <w:r w:rsidR="004375F2">
              <w:t xml:space="preserve">anotācijas </w:t>
            </w:r>
            <w:r w:rsidRPr="004111ED">
              <w:t>II</w:t>
            </w:r>
            <w:r w:rsidR="00A55D7F" w:rsidRPr="004111ED">
              <w:t> </w:t>
            </w:r>
            <w:r w:rsidRPr="004111ED">
              <w:t>sadaļas 1.punktā.</w:t>
            </w:r>
          </w:p>
        </w:tc>
      </w:tr>
      <w:tr w:rsidR="00053E1D" w:rsidRPr="004111ED" w:rsidTr="00E56A45">
        <w:trPr>
          <w:trHeight w:val="517"/>
        </w:trPr>
        <w:tc>
          <w:tcPr>
            <w:tcW w:w="572" w:type="dxa"/>
          </w:tcPr>
          <w:p w:rsidR="00053E1D" w:rsidRPr="004111ED" w:rsidRDefault="00053E1D" w:rsidP="006C4607">
            <w:pPr>
              <w:pStyle w:val="naiskr"/>
              <w:spacing w:before="0" w:after="0"/>
            </w:pPr>
            <w:r w:rsidRPr="004111ED">
              <w:lastRenderedPageBreak/>
              <w:t>4.</w:t>
            </w:r>
          </w:p>
        </w:tc>
        <w:tc>
          <w:tcPr>
            <w:tcW w:w="2830" w:type="dxa"/>
          </w:tcPr>
          <w:p w:rsidR="00053E1D" w:rsidRPr="004111ED" w:rsidRDefault="00053E1D" w:rsidP="006C4607">
            <w:pPr>
              <w:pStyle w:val="naiskr"/>
              <w:spacing w:before="0" w:after="0"/>
            </w:pPr>
            <w:r w:rsidRPr="004111ED">
              <w:t>Tiesiskā regulējuma nefinansiālā ietekme</w:t>
            </w:r>
          </w:p>
        </w:tc>
        <w:tc>
          <w:tcPr>
            <w:tcW w:w="5954" w:type="dxa"/>
          </w:tcPr>
          <w:p w:rsidR="00A97CF7" w:rsidRPr="004111ED" w:rsidRDefault="00342801" w:rsidP="00A97CF7">
            <w:pPr>
              <w:ind w:firstLine="283"/>
              <w:jc w:val="both"/>
              <w:rPr>
                <w:iCs/>
              </w:rPr>
            </w:pPr>
            <w:r w:rsidRPr="004111ED">
              <w:rPr>
                <w:iCs/>
              </w:rPr>
              <w:t>Projekt</w:t>
            </w:r>
            <w:r w:rsidR="0091600A" w:rsidRPr="004111ED">
              <w:rPr>
                <w:iCs/>
              </w:rPr>
              <w:t>ā ietvertais regulējums ietekmēs anotācijas II</w:t>
            </w:r>
            <w:r w:rsidR="00A55D7F" w:rsidRPr="004111ED">
              <w:rPr>
                <w:iCs/>
              </w:rPr>
              <w:t> </w:t>
            </w:r>
            <w:r w:rsidR="0091600A" w:rsidRPr="004111ED">
              <w:rPr>
                <w:iCs/>
              </w:rPr>
              <w:t>sadaļas 1.punktā minētās mērķgrupas intereses, piemēram, ar projekta 1.3.</w:t>
            </w:r>
            <w:r w:rsidR="008D5C36">
              <w:rPr>
                <w:iCs/>
              </w:rPr>
              <w:t> </w:t>
            </w:r>
            <w:r w:rsidR="008D5C36" w:rsidRPr="004111ED">
              <w:rPr>
                <w:iCs/>
              </w:rPr>
              <w:t>apakšpunktā</w:t>
            </w:r>
            <w:r w:rsidR="0091600A" w:rsidRPr="004111ED">
              <w:rPr>
                <w:iCs/>
              </w:rPr>
              <w:t xml:space="preserve"> ietverto grozījumu </w:t>
            </w:r>
            <w:r w:rsidR="008D5C36" w:rsidRPr="004111ED">
              <w:t>izņēmums Noteikumu Nr.1493 10., 11. un 12.punktā minētajos nosacījumos</w:t>
            </w:r>
            <w:r w:rsidR="008748A2">
              <w:t xml:space="preserve"> (sniegtās juridiskās palīdzības apjoma palielināšana)</w:t>
            </w:r>
            <w:r w:rsidR="008D5C36" w:rsidRPr="004111ED">
              <w:t xml:space="preserve"> būs attiecināms arī uz juridiskās palīdzības sniegšanu izraidāmajiem ārzemniekiem, kuriem juridiskās palīdzības sniedzēju uzaicinājusi Valsts robežsardze. </w:t>
            </w:r>
            <w:r w:rsidR="00A97CF7" w:rsidRPr="004111ED">
              <w:rPr>
                <w:iCs/>
              </w:rPr>
              <w:t xml:space="preserve"> Tādējādi tiks nodrošinātas vienlīdzīgas tiesības visiem juridiskās palīdzības pieprasītājiem.</w:t>
            </w:r>
          </w:p>
          <w:p w:rsidR="00A97CF7" w:rsidRPr="004111ED" w:rsidRDefault="00A97CF7" w:rsidP="00A97CF7">
            <w:pPr>
              <w:ind w:firstLine="283"/>
              <w:jc w:val="both"/>
              <w:rPr>
                <w:iCs/>
              </w:rPr>
            </w:pPr>
            <w:r w:rsidRPr="004111ED">
              <w:rPr>
                <w:iCs/>
              </w:rPr>
              <w:t>Tāpat projekta 1.10.apakšpunktā ietvertais regulējums uzliek par pienākumu juridiskās palīdzības sniedzējam iesniegt Juridiskās palīdzības administrācijā paziņojumu par valsts nodrošinātās juridiskās palīdzības sniegšanu civillietās, administratīvajās lietās un pārrobežu strīdu lietās, ko ir apstiprinājusi iestāde, kas Imigrācijas likumā noteiktajos gadījumos un kārtībā juridiskās palīdzības sniedzēju ir uzaicinājusi.</w:t>
            </w:r>
          </w:p>
          <w:p w:rsidR="00A97CF7" w:rsidRPr="004111ED" w:rsidRDefault="00A97CF7" w:rsidP="00A97CF7">
            <w:pPr>
              <w:ind w:firstLine="283"/>
              <w:jc w:val="both"/>
              <w:rPr>
                <w:iCs/>
              </w:rPr>
            </w:pPr>
            <w:r w:rsidRPr="004111ED">
              <w:rPr>
                <w:iCs/>
              </w:rPr>
              <w:t>Savukārt projekta 1.12.apakšpunktā ietvertais tiesiskais regulējums rada tiesības juridiskās palīdzības sniedzējiem Noteikumu Nr.1493 pielikumos esošos paziņojums Juridiskās palīdzības administrācijā iesniegt elektroniski.</w:t>
            </w:r>
          </w:p>
          <w:p w:rsidR="00C40280" w:rsidRPr="004111ED" w:rsidRDefault="00A97CF7" w:rsidP="00A97CF7">
            <w:pPr>
              <w:ind w:firstLine="283"/>
              <w:jc w:val="both"/>
              <w:rPr>
                <w:iCs/>
              </w:rPr>
            </w:pPr>
            <w:r w:rsidRPr="004111ED">
              <w:rPr>
                <w:iCs/>
              </w:rPr>
              <w:t>Projekta 1.16.apakšpunkts rada tiesības juridiskās palīdzības sniedzējiem iesniegt Juridiskās palīdzības administrācijā līdz 2013.gada 1.martam paziņojumu veidlapas, kas bija spēkā līdz 2012.gada decembrim.</w:t>
            </w:r>
          </w:p>
          <w:p w:rsidR="00053E1D" w:rsidRPr="004111ED" w:rsidRDefault="00C40280" w:rsidP="00CB5A9B">
            <w:pPr>
              <w:ind w:firstLine="283"/>
              <w:jc w:val="both"/>
            </w:pPr>
            <w:r w:rsidRPr="004111ED">
              <w:rPr>
                <w:iCs/>
              </w:rPr>
              <w:t>Ņemot vērā to, ka ar Projekta 1.20.apakšpunktu jaunā redakcijā tiek izteikts Noteikumu Nr.1493 1. un 2.pielikums, juridiskās palīdzības sniedzējiem būs pienākums</w:t>
            </w:r>
            <w:r w:rsidR="00855E89">
              <w:rPr>
                <w:iCs/>
              </w:rPr>
              <w:t>,</w:t>
            </w:r>
            <w:r w:rsidRPr="004111ED">
              <w:rPr>
                <w:iCs/>
              </w:rPr>
              <w:t xml:space="preserve"> sākot ar 2013.gada 1.</w:t>
            </w:r>
            <w:r w:rsidR="00CB5A9B">
              <w:rPr>
                <w:iCs/>
              </w:rPr>
              <w:t>j</w:t>
            </w:r>
            <w:r w:rsidRPr="004111ED">
              <w:rPr>
                <w:iCs/>
              </w:rPr>
              <w:t>anvāri</w:t>
            </w:r>
            <w:r w:rsidR="00855E89">
              <w:rPr>
                <w:iCs/>
              </w:rPr>
              <w:t>,</w:t>
            </w:r>
            <w:r w:rsidRPr="004111ED">
              <w:rPr>
                <w:iCs/>
              </w:rPr>
              <w:t xml:space="preserve"> izmantot jaunās paziņojumu veidlapas. </w:t>
            </w:r>
            <w:r w:rsidR="00A97CF7" w:rsidRPr="004111ED">
              <w:rPr>
                <w:iCs/>
              </w:rPr>
              <w:t xml:space="preserve">  </w:t>
            </w:r>
          </w:p>
        </w:tc>
      </w:tr>
      <w:tr w:rsidR="00053E1D" w:rsidRPr="004111ED" w:rsidTr="00E56A45">
        <w:trPr>
          <w:trHeight w:val="531"/>
        </w:trPr>
        <w:tc>
          <w:tcPr>
            <w:tcW w:w="572" w:type="dxa"/>
          </w:tcPr>
          <w:p w:rsidR="00053E1D" w:rsidRPr="004111ED" w:rsidRDefault="00053E1D" w:rsidP="006C4607">
            <w:pPr>
              <w:pStyle w:val="naiskr"/>
              <w:spacing w:before="0" w:after="0"/>
            </w:pPr>
            <w:r w:rsidRPr="004111ED">
              <w:t>5.</w:t>
            </w:r>
          </w:p>
        </w:tc>
        <w:tc>
          <w:tcPr>
            <w:tcW w:w="2830" w:type="dxa"/>
          </w:tcPr>
          <w:p w:rsidR="00053E1D" w:rsidRPr="004111ED" w:rsidRDefault="00053E1D" w:rsidP="006C4607">
            <w:pPr>
              <w:pStyle w:val="naiskr"/>
              <w:spacing w:before="0" w:after="0"/>
            </w:pPr>
            <w:r w:rsidRPr="004111ED">
              <w:t>Administratīvās procedūras raksturojums</w:t>
            </w:r>
          </w:p>
        </w:tc>
        <w:tc>
          <w:tcPr>
            <w:tcW w:w="5954" w:type="dxa"/>
          </w:tcPr>
          <w:p w:rsidR="00053E1D" w:rsidRPr="004111ED" w:rsidRDefault="00053E1D">
            <w:r w:rsidRPr="004111ED">
              <w:rPr>
                <w:iCs/>
              </w:rPr>
              <w:t>Projekts šo jomu neskar</w:t>
            </w:r>
            <w:r w:rsidR="00F5478B">
              <w:rPr>
                <w:iCs/>
              </w:rPr>
              <w:t>.</w:t>
            </w:r>
          </w:p>
        </w:tc>
      </w:tr>
      <w:tr w:rsidR="00053E1D" w:rsidRPr="004111ED" w:rsidTr="00E56A45">
        <w:trPr>
          <w:trHeight w:val="357"/>
        </w:trPr>
        <w:tc>
          <w:tcPr>
            <w:tcW w:w="572" w:type="dxa"/>
          </w:tcPr>
          <w:p w:rsidR="00053E1D" w:rsidRPr="004111ED" w:rsidRDefault="00053E1D" w:rsidP="006C4607">
            <w:pPr>
              <w:pStyle w:val="naiskr"/>
              <w:spacing w:before="0" w:after="0"/>
            </w:pPr>
            <w:r w:rsidRPr="004111ED">
              <w:t>6.</w:t>
            </w:r>
          </w:p>
        </w:tc>
        <w:tc>
          <w:tcPr>
            <w:tcW w:w="2830" w:type="dxa"/>
          </w:tcPr>
          <w:p w:rsidR="00053E1D" w:rsidRPr="004111ED" w:rsidRDefault="00053E1D" w:rsidP="006C4607">
            <w:pPr>
              <w:pStyle w:val="naiskr"/>
              <w:spacing w:before="0" w:after="0"/>
            </w:pPr>
            <w:r w:rsidRPr="004111ED">
              <w:t>Administratīvo izmaksu monetārs novērtējums</w:t>
            </w:r>
          </w:p>
        </w:tc>
        <w:tc>
          <w:tcPr>
            <w:tcW w:w="5954" w:type="dxa"/>
          </w:tcPr>
          <w:p w:rsidR="00053E1D" w:rsidRPr="004111ED" w:rsidRDefault="00053E1D">
            <w:r w:rsidRPr="004111ED">
              <w:rPr>
                <w:iCs/>
              </w:rPr>
              <w:t>Projekts šo jomu neskar</w:t>
            </w:r>
            <w:r w:rsidR="00F5478B">
              <w:rPr>
                <w:iCs/>
              </w:rPr>
              <w:t>.</w:t>
            </w:r>
          </w:p>
        </w:tc>
      </w:tr>
      <w:tr w:rsidR="0062298A" w:rsidRPr="004111ED" w:rsidTr="00E56A45">
        <w:tc>
          <w:tcPr>
            <w:tcW w:w="572" w:type="dxa"/>
          </w:tcPr>
          <w:p w:rsidR="0062298A" w:rsidRPr="004111ED" w:rsidRDefault="00C27A08" w:rsidP="006C4607">
            <w:pPr>
              <w:pStyle w:val="naiskr"/>
              <w:spacing w:before="0" w:after="0"/>
            </w:pPr>
            <w:r w:rsidRPr="004111ED">
              <w:t>7</w:t>
            </w:r>
            <w:r w:rsidR="0062298A" w:rsidRPr="004111ED">
              <w:t>.</w:t>
            </w:r>
          </w:p>
        </w:tc>
        <w:tc>
          <w:tcPr>
            <w:tcW w:w="2830" w:type="dxa"/>
          </w:tcPr>
          <w:p w:rsidR="0062298A" w:rsidRPr="004111ED" w:rsidRDefault="009E12D7" w:rsidP="006C4607">
            <w:pPr>
              <w:pStyle w:val="naiskr"/>
              <w:spacing w:before="0" w:after="0"/>
            </w:pPr>
            <w:r w:rsidRPr="004111ED">
              <w:t>Cita informācija</w:t>
            </w:r>
          </w:p>
        </w:tc>
        <w:tc>
          <w:tcPr>
            <w:tcW w:w="5954" w:type="dxa"/>
          </w:tcPr>
          <w:p w:rsidR="0062298A" w:rsidRPr="004111ED" w:rsidRDefault="0062298A" w:rsidP="006C4607">
            <w:pPr>
              <w:pStyle w:val="naiskr"/>
              <w:spacing w:before="0" w:after="0"/>
            </w:pPr>
            <w:r w:rsidRPr="004111ED">
              <w:t>Nav</w:t>
            </w:r>
            <w:r w:rsidR="00F5478B">
              <w:t>.</w:t>
            </w:r>
          </w:p>
        </w:tc>
      </w:tr>
    </w:tbl>
    <w:p w:rsidR="008C5649" w:rsidRPr="004111ED" w:rsidRDefault="008C5649" w:rsidP="006C4607">
      <w:pPr>
        <w:pStyle w:val="naisf"/>
        <w:spacing w:before="0" w:after="0"/>
      </w:pP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7"/>
        <w:gridCol w:w="1292"/>
        <w:gridCol w:w="1325"/>
        <w:gridCol w:w="1325"/>
        <w:gridCol w:w="1326"/>
        <w:gridCol w:w="1307"/>
      </w:tblGrid>
      <w:tr w:rsidR="002C4FA9" w:rsidRPr="004111ED" w:rsidTr="00821206">
        <w:trPr>
          <w:trHeight w:val="652"/>
          <w:jc w:val="center"/>
        </w:trPr>
        <w:tc>
          <w:tcPr>
            <w:tcW w:w="9662" w:type="dxa"/>
            <w:gridSpan w:val="6"/>
          </w:tcPr>
          <w:p w:rsidR="002C4FA9" w:rsidRPr="004111ED" w:rsidRDefault="002C4FA9" w:rsidP="00F90009">
            <w:pPr>
              <w:pStyle w:val="naisnod"/>
              <w:spacing w:before="0" w:after="0"/>
              <w:rPr>
                <w:i/>
              </w:rPr>
            </w:pPr>
            <w:r w:rsidRPr="004111ED">
              <w:br w:type="page"/>
              <w:t>III. Tiesību akta projekta ietekme uz valsts budžetu un pašvaldību budžetiem</w:t>
            </w:r>
          </w:p>
        </w:tc>
      </w:tr>
      <w:tr w:rsidR="002C4FA9" w:rsidRPr="004111ED" w:rsidTr="00821206">
        <w:trPr>
          <w:jc w:val="center"/>
        </w:trPr>
        <w:tc>
          <w:tcPr>
            <w:tcW w:w="3087" w:type="dxa"/>
            <w:vMerge w:val="restart"/>
            <w:vAlign w:val="center"/>
          </w:tcPr>
          <w:p w:rsidR="002C4FA9" w:rsidRPr="004111ED" w:rsidRDefault="002C4FA9" w:rsidP="00F90009">
            <w:pPr>
              <w:pStyle w:val="naisf"/>
              <w:spacing w:before="0" w:after="0"/>
              <w:ind w:firstLine="0"/>
              <w:jc w:val="center"/>
              <w:rPr>
                <w:b/>
              </w:rPr>
            </w:pPr>
            <w:r w:rsidRPr="004111ED">
              <w:rPr>
                <w:b/>
              </w:rPr>
              <w:t>Rādītāji</w:t>
            </w:r>
          </w:p>
        </w:tc>
        <w:tc>
          <w:tcPr>
            <w:tcW w:w="2617" w:type="dxa"/>
            <w:gridSpan w:val="2"/>
            <w:vMerge w:val="restart"/>
            <w:vAlign w:val="center"/>
          </w:tcPr>
          <w:p w:rsidR="002C4FA9" w:rsidRPr="004111ED" w:rsidRDefault="00945DCD" w:rsidP="00F90009">
            <w:pPr>
              <w:pStyle w:val="naisf"/>
              <w:spacing w:before="0" w:after="0"/>
              <w:ind w:firstLine="0"/>
              <w:jc w:val="center"/>
              <w:rPr>
                <w:b/>
              </w:rPr>
            </w:pPr>
            <w:r w:rsidRPr="004111ED">
              <w:rPr>
                <w:b/>
              </w:rPr>
              <w:t>2012</w:t>
            </w:r>
          </w:p>
        </w:tc>
        <w:tc>
          <w:tcPr>
            <w:tcW w:w="3958" w:type="dxa"/>
            <w:gridSpan w:val="3"/>
            <w:vAlign w:val="center"/>
          </w:tcPr>
          <w:p w:rsidR="002C4FA9" w:rsidRPr="004111ED" w:rsidRDefault="002C4FA9" w:rsidP="00F90009">
            <w:pPr>
              <w:pStyle w:val="naisf"/>
              <w:spacing w:before="0" w:after="0"/>
              <w:ind w:firstLine="0"/>
              <w:jc w:val="center"/>
              <w:rPr>
                <w:b/>
                <w:i/>
              </w:rPr>
            </w:pPr>
            <w:r w:rsidRPr="004111ED">
              <w:t>Turpmākie trīs gadi (</w:t>
            </w:r>
            <w:proofErr w:type="spellStart"/>
            <w:r w:rsidRPr="004111ED">
              <w:t>tūkst</w:t>
            </w:r>
            <w:proofErr w:type="spellEnd"/>
            <w:r w:rsidRPr="004111ED">
              <w:t>. latu)</w:t>
            </w:r>
          </w:p>
        </w:tc>
      </w:tr>
      <w:tr w:rsidR="002C4FA9" w:rsidRPr="004111ED" w:rsidTr="00821206">
        <w:trPr>
          <w:jc w:val="center"/>
        </w:trPr>
        <w:tc>
          <w:tcPr>
            <w:tcW w:w="3087" w:type="dxa"/>
            <w:vMerge/>
            <w:vAlign w:val="center"/>
          </w:tcPr>
          <w:p w:rsidR="002C4FA9" w:rsidRPr="004111ED" w:rsidRDefault="002C4FA9" w:rsidP="00F90009">
            <w:pPr>
              <w:pStyle w:val="naisf"/>
              <w:spacing w:before="0" w:after="0"/>
              <w:ind w:firstLine="0"/>
              <w:jc w:val="center"/>
              <w:rPr>
                <w:b/>
                <w:i/>
              </w:rPr>
            </w:pPr>
          </w:p>
        </w:tc>
        <w:tc>
          <w:tcPr>
            <w:tcW w:w="2617" w:type="dxa"/>
            <w:gridSpan w:val="2"/>
            <w:vMerge/>
            <w:vAlign w:val="center"/>
          </w:tcPr>
          <w:p w:rsidR="002C4FA9" w:rsidRPr="004111ED" w:rsidRDefault="002C4FA9" w:rsidP="00F90009">
            <w:pPr>
              <w:pStyle w:val="naisf"/>
              <w:spacing w:before="0" w:after="0"/>
              <w:ind w:firstLine="0"/>
              <w:jc w:val="center"/>
              <w:rPr>
                <w:b/>
                <w:i/>
              </w:rPr>
            </w:pPr>
          </w:p>
        </w:tc>
        <w:tc>
          <w:tcPr>
            <w:tcW w:w="1325" w:type="dxa"/>
            <w:vAlign w:val="center"/>
          </w:tcPr>
          <w:p w:rsidR="002C4FA9" w:rsidRPr="004111ED" w:rsidRDefault="00945DCD" w:rsidP="00F90009">
            <w:pPr>
              <w:pStyle w:val="naisf"/>
              <w:spacing w:before="0" w:after="0"/>
              <w:ind w:firstLine="0"/>
              <w:jc w:val="center"/>
              <w:rPr>
                <w:b/>
                <w:i/>
              </w:rPr>
            </w:pPr>
            <w:r w:rsidRPr="004111ED">
              <w:rPr>
                <w:b/>
                <w:bCs/>
              </w:rPr>
              <w:t>2013</w:t>
            </w:r>
          </w:p>
        </w:tc>
        <w:tc>
          <w:tcPr>
            <w:tcW w:w="1326" w:type="dxa"/>
            <w:vAlign w:val="center"/>
          </w:tcPr>
          <w:p w:rsidR="002C4FA9" w:rsidRPr="004111ED" w:rsidRDefault="00945DCD" w:rsidP="00F90009">
            <w:pPr>
              <w:pStyle w:val="naisf"/>
              <w:spacing w:before="0" w:after="0"/>
              <w:ind w:firstLine="0"/>
              <w:jc w:val="center"/>
              <w:rPr>
                <w:b/>
                <w:i/>
              </w:rPr>
            </w:pPr>
            <w:r w:rsidRPr="004111ED">
              <w:rPr>
                <w:b/>
                <w:bCs/>
              </w:rPr>
              <w:t>2014</w:t>
            </w:r>
          </w:p>
        </w:tc>
        <w:tc>
          <w:tcPr>
            <w:tcW w:w="1307" w:type="dxa"/>
            <w:vAlign w:val="center"/>
          </w:tcPr>
          <w:p w:rsidR="002C4FA9" w:rsidRPr="004111ED" w:rsidRDefault="00945DCD" w:rsidP="00F90009">
            <w:pPr>
              <w:pStyle w:val="naisf"/>
              <w:spacing w:before="0" w:after="0"/>
              <w:ind w:firstLine="0"/>
              <w:jc w:val="center"/>
              <w:rPr>
                <w:b/>
                <w:i/>
              </w:rPr>
            </w:pPr>
            <w:r w:rsidRPr="004111ED">
              <w:rPr>
                <w:b/>
                <w:bCs/>
              </w:rPr>
              <w:t>2015</w:t>
            </w:r>
          </w:p>
        </w:tc>
      </w:tr>
      <w:tr w:rsidR="002C4FA9" w:rsidRPr="004111ED" w:rsidTr="00821206">
        <w:trPr>
          <w:jc w:val="center"/>
        </w:trPr>
        <w:tc>
          <w:tcPr>
            <w:tcW w:w="3087" w:type="dxa"/>
            <w:vMerge/>
            <w:vAlign w:val="center"/>
          </w:tcPr>
          <w:p w:rsidR="002C4FA9" w:rsidRPr="004111ED" w:rsidRDefault="002C4FA9" w:rsidP="00F90009">
            <w:pPr>
              <w:pStyle w:val="naisf"/>
              <w:spacing w:before="0" w:after="0"/>
              <w:ind w:firstLine="0"/>
              <w:jc w:val="center"/>
              <w:rPr>
                <w:b/>
                <w:i/>
              </w:rPr>
            </w:pPr>
          </w:p>
        </w:tc>
        <w:tc>
          <w:tcPr>
            <w:tcW w:w="1292" w:type="dxa"/>
            <w:vAlign w:val="center"/>
          </w:tcPr>
          <w:p w:rsidR="002C4FA9" w:rsidRPr="004111ED" w:rsidRDefault="002C4FA9" w:rsidP="00F90009">
            <w:pPr>
              <w:pStyle w:val="naisf"/>
              <w:spacing w:before="0" w:after="0"/>
              <w:ind w:firstLine="0"/>
              <w:jc w:val="center"/>
              <w:rPr>
                <w:b/>
                <w:i/>
              </w:rPr>
            </w:pPr>
            <w:r w:rsidRPr="004111ED">
              <w:t>Saskaņā ar valsts budžetu kārtējam gadam</w:t>
            </w:r>
          </w:p>
        </w:tc>
        <w:tc>
          <w:tcPr>
            <w:tcW w:w="1325" w:type="dxa"/>
            <w:vAlign w:val="center"/>
          </w:tcPr>
          <w:p w:rsidR="002C4FA9" w:rsidRPr="004111ED" w:rsidRDefault="002C4FA9" w:rsidP="00F90009">
            <w:pPr>
              <w:pStyle w:val="naisf"/>
              <w:spacing w:before="0" w:after="0"/>
              <w:ind w:firstLine="0"/>
              <w:jc w:val="center"/>
              <w:rPr>
                <w:b/>
                <w:i/>
              </w:rPr>
            </w:pPr>
            <w:r w:rsidRPr="004111ED">
              <w:t xml:space="preserve">Izmaiņas kārtējā gadā, salīdzinot ar budžetu kārtējam </w:t>
            </w:r>
            <w:r w:rsidRPr="004111ED">
              <w:lastRenderedPageBreak/>
              <w:t>gadam</w:t>
            </w:r>
          </w:p>
        </w:tc>
        <w:tc>
          <w:tcPr>
            <w:tcW w:w="1325" w:type="dxa"/>
            <w:vAlign w:val="center"/>
          </w:tcPr>
          <w:p w:rsidR="002C4FA9" w:rsidRPr="004111ED" w:rsidRDefault="002C4FA9" w:rsidP="00F90009">
            <w:pPr>
              <w:pStyle w:val="naisf"/>
              <w:spacing w:before="0" w:after="0"/>
              <w:ind w:firstLine="0"/>
              <w:jc w:val="center"/>
              <w:rPr>
                <w:b/>
                <w:i/>
              </w:rPr>
            </w:pPr>
            <w:r w:rsidRPr="004111ED">
              <w:lastRenderedPageBreak/>
              <w:t>Izmaiņas, salīdzinot ar kārtējo (n) gadu</w:t>
            </w:r>
          </w:p>
        </w:tc>
        <w:tc>
          <w:tcPr>
            <w:tcW w:w="1326" w:type="dxa"/>
            <w:vAlign w:val="center"/>
          </w:tcPr>
          <w:p w:rsidR="002C4FA9" w:rsidRPr="004111ED" w:rsidRDefault="002C4FA9" w:rsidP="00F90009">
            <w:pPr>
              <w:pStyle w:val="naisf"/>
              <w:spacing w:before="0" w:after="0"/>
              <w:ind w:firstLine="0"/>
              <w:jc w:val="center"/>
              <w:rPr>
                <w:b/>
                <w:i/>
              </w:rPr>
            </w:pPr>
            <w:r w:rsidRPr="004111ED">
              <w:t>Izmaiņas, salīdzinot ar kārtējo (n) gadu</w:t>
            </w:r>
          </w:p>
        </w:tc>
        <w:tc>
          <w:tcPr>
            <w:tcW w:w="1307" w:type="dxa"/>
            <w:vAlign w:val="center"/>
          </w:tcPr>
          <w:p w:rsidR="002C4FA9" w:rsidRPr="004111ED" w:rsidRDefault="002C4FA9" w:rsidP="00F90009">
            <w:pPr>
              <w:pStyle w:val="naisf"/>
              <w:spacing w:before="0" w:after="0"/>
              <w:ind w:firstLine="0"/>
              <w:jc w:val="center"/>
              <w:rPr>
                <w:b/>
                <w:i/>
              </w:rPr>
            </w:pPr>
            <w:r w:rsidRPr="004111ED">
              <w:t>Izmaiņas, salīdzinot ar kārtējo (n) gadu</w:t>
            </w:r>
          </w:p>
        </w:tc>
      </w:tr>
      <w:tr w:rsidR="002C4FA9" w:rsidRPr="004111ED" w:rsidTr="00821206">
        <w:trPr>
          <w:jc w:val="center"/>
        </w:trPr>
        <w:tc>
          <w:tcPr>
            <w:tcW w:w="3087" w:type="dxa"/>
            <w:vAlign w:val="center"/>
          </w:tcPr>
          <w:p w:rsidR="002C4FA9" w:rsidRPr="004111ED" w:rsidRDefault="002C4FA9" w:rsidP="00F90009">
            <w:pPr>
              <w:pStyle w:val="naisf"/>
              <w:spacing w:before="0" w:after="0"/>
              <w:ind w:firstLine="0"/>
              <w:jc w:val="center"/>
              <w:rPr>
                <w:bCs/>
              </w:rPr>
            </w:pPr>
            <w:r w:rsidRPr="004111ED">
              <w:rPr>
                <w:bCs/>
              </w:rPr>
              <w:lastRenderedPageBreak/>
              <w:t>1</w:t>
            </w:r>
          </w:p>
        </w:tc>
        <w:tc>
          <w:tcPr>
            <w:tcW w:w="1292" w:type="dxa"/>
            <w:vAlign w:val="center"/>
          </w:tcPr>
          <w:p w:rsidR="002C4FA9" w:rsidRPr="004111ED" w:rsidRDefault="002C4FA9" w:rsidP="00F90009">
            <w:pPr>
              <w:pStyle w:val="naisf"/>
              <w:spacing w:before="0" w:after="0"/>
              <w:ind w:firstLine="0"/>
              <w:jc w:val="center"/>
              <w:rPr>
                <w:bCs/>
              </w:rPr>
            </w:pPr>
            <w:r w:rsidRPr="004111ED">
              <w:rPr>
                <w:bCs/>
              </w:rPr>
              <w:t>2</w:t>
            </w:r>
          </w:p>
        </w:tc>
        <w:tc>
          <w:tcPr>
            <w:tcW w:w="1325" w:type="dxa"/>
            <w:vAlign w:val="center"/>
          </w:tcPr>
          <w:p w:rsidR="002C4FA9" w:rsidRPr="004111ED" w:rsidRDefault="002C4FA9" w:rsidP="00F90009">
            <w:pPr>
              <w:pStyle w:val="naisf"/>
              <w:spacing w:before="0" w:after="0"/>
              <w:ind w:firstLine="0"/>
              <w:jc w:val="center"/>
              <w:rPr>
                <w:bCs/>
              </w:rPr>
            </w:pPr>
            <w:r w:rsidRPr="004111ED">
              <w:rPr>
                <w:bCs/>
              </w:rPr>
              <w:t>3</w:t>
            </w:r>
          </w:p>
        </w:tc>
        <w:tc>
          <w:tcPr>
            <w:tcW w:w="1325" w:type="dxa"/>
            <w:vAlign w:val="center"/>
          </w:tcPr>
          <w:p w:rsidR="002C4FA9" w:rsidRPr="004111ED" w:rsidRDefault="002C4FA9" w:rsidP="00F90009">
            <w:pPr>
              <w:pStyle w:val="naisf"/>
              <w:spacing w:before="0" w:after="0"/>
              <w:ind w:firstLine="0"/>
              <w:jc w:val="center"/>
              <w:rPr>
                <w:bCs/>
              </w:rPr>
            </w:pPr>
            <w:r w:rsidRPr="004111ED">
              <w:rPr>
                <w:bCs/>
              </w:rPr>
              <w:t>4</w:t>
            </w:r>
          </w:p>
        </w:tc>
        <w:tc>
          <w:tcPr>
            <w:tcW w:w="1326" w:type="dxa"/>
            <w:vAlign w:val="center"/>
          </w:tcPr>
          <w:p w:rsidR="002C4FA9" w:rsidRPr="004111ED" w:rsidRDefault="002C4FA9" w:rsidP="00F90009">
            <w:pPr>
              <w:pStyle w:val="naisf"/>
              <w:spacing w:before="0" w:after="0"/>
              <w:ind w:firstLine="0"/>
              <w:jc w:val="center"/>
              <w:rPr>
                <w:bCs/>
              </w:rPr>
            </w:pPr>
            <w:r w:rsidRPr="004111ED">
              <w:rPr>
                <w:bCs/>
              </w:rPr>
              <w:t>5</w:t>
            </w:r>
          </w:p>
        </w:tc>
        <w:tc>
          <w:tcPr>
            <w:tcW w:w="1307" w:type="dxa"/>
            <w:vAlign w:val="center"/>
          </w:tcPr>
          <w:p w:rsidR="002C4FA9" w:rsidRPr="004111ED" w:rsidRDefault="002C4FA9" w:rsidP="00F90009">
            <w:pPr>
              <w:pStyle w:val="naisf"/>
              <w:spacing w:before="0" w:after="0"/>
              <w:ind w:firstLine="0"/>
              <w:jc w:val="center"/>
              <w:rPr>
                <w:bCs/>
              </w:rPr>
            </w:pPr>
            <w:r w:rsidRPr="004111ED">
              <w:rPr>
                <w:bCs/>
              </w:rPr>
              <w:t>6</w:t>
            </w:r>
          </w:p>
        </w:tc>
      </w:tr>
      <w:tr w:rsidR="002C4FA9" w:rsidRPr="004111ED" w:rsidTr="00821206">
        <w:trPr>
          <w:jc w:val="center"/>
        </w:trPr>
        <w:tc>
          <w:tcPr>
            <w:tcW w:w="3087" w:type="dxa"/>
          </w:tcPr>
          <w:p w:rsidR="002C4FA9" w:rsidRPr="004111ED" w:rsidRDefault="002C4FA9" w:rsidP="00F90009">
            <w:pPr>
              <w:pStyle w:val="naisf"/>
              <w:spacing w:before="0" w:after="0"/>
              <w:ind w:firstLine="0"/>
              <w:rPr>
                <w:i/>
              </w:rPr>
            </w:pPr>
            <w:r w:rsidRPr="004111ED">
              <w:t>1. Budžeta ieņēmumi:</w:t>
            </w:r>
          </w:p>
        </w:tc>
        <w:tc>
          <w:tcPr>
            <w:tcW w:w="1292" w:type="dxa"/>
          </w:tcPr>
          <w:p w:rsidR="002C4FA9" w:rsidRPr="004111ED" w:rsidRDefault="00D8535F" w:rsidP="00210839">
            <w:pPr>
              <w:pStyle w:val="naisf"/>
              <w:spacing w:before="0" w:after="0"/>
              <w:ind w:firstLine="0"/>
              <w:jc w:val="center"/>
            </w:pPr>
            <w:r w:rsidRPr="004111ED">
              <w:t>676,3</w:t>
            </w:r>
          </w:p>
        </w:tc>
        <w:tc>
          <w:tcPr>
            <w:tcW w:w="1325" w:type="dxa"/>
          </w:tcPr>
          <w:p w:rsidR="002C4FA9" w:rsidRPr="004111ED" w:rsidRDefault="00D8535F" w:rsidP="00210839">
            <w:pPr>
              <w:pStyle w:val="naisf"/>
              <w:spacing w:before="0" w:after="0"/>
              <w:ind w:firstLine="0"/>
              <w:jc w:val="center"/>
            </w:pPr>
            <w:r w:rsidRPr="004111ED">
              <w:t>0</w:t>
            </w:r>
          </w:p>
        </w:tc>
        <w:tc>
          <w:tcPr>
            <w:tcW w:w="1325" w:type="dxa"/>
          </w:tcPr>
          <w:p w:rsidR="002C4FA9" w:rsidRPr="004111ED" w:rsidRDefault="00D8535F" w:rsidP="00210839">
            <w:pPr>
              <w:pStyle w:val="naisf"/>
              <w:spacing w:before="0" w:after="0"/>
              <w:ind w:firstLine="0"/>
              <w:jc w:val="center"/>
            </w:pPr>
            <w:r w:rsidRPr="004111ED">
              <w:t>0</w:t>
            </w:r>
          </w:p>
        </w:tc>
        <w:tc>
          <w:tcPr>
            <w:tcW w:w="1326" w:type="dxa"/>
          </w:tcPr>
          <w:p w:rsidR="002C4FA9" w:rsidRPr="004111ED" w:rsidRDefault="00D8535F" w:rsidP="00210839">
            <w:pPr>
              <w:pStyle w:val="naisf"/>
              <w:spacing w:before="0" w:after="0"/>
              <w:ind w:firstLine="0"/>
              <w:jc w:val="center"/>
            </w:pPr>
            <w:r w:rsidRPr="004111ED">
              <w:t>0</w:t>
            </w:r>
          </w:p>
        </w:tc>
        <w:tc>
          <w:tcPr>
            <w:tcW w:w="1307" w:type="dxa"/>
          </w:tcPr>
          <w:p w:rsidR="002C4FA9" w:rsidRPr="004111ED" w:rsidRDefault="00D8535F" w:rsidP="00210839">
            <w:pPr>
              <w:pStyle w:val="naisf"/>
              <w:spacing w:before="0" w:after="0"/>
              <w:ind w:firstLine="0"/>
              <w:jc w:val="center"/>
            </w:pPr>
            <w:r w:rsidRPr="004111ED">
              <w:t>0</w:t>
            </w:r>
          </w:p>
        </w:tc>
      </w:tr>
      <w:tr w:rsidR="002C4FA9" w:rsidRPr="004111ED" w:rsidTr="00821206">
        <w:trPr>
          <w:jc w:val="center"/>
        </w:trPr>
        <w:tc>
          <w:tcPr>
            <w:tcW w:w="3087" w:type="dxa"/>
          </w:tcPr>
          <w:p w:rsidR="002C4FA9" w:rsidRPr="004111ED" w:rsidRDefault="002C4FA9" w:rsidP="00210839">
            <w:pPr>
              <w:pStyle w:val="naisf"/>
              <w:spacing w:before="0" w:after="0"/>
              <w:ind w:firstLine="0"/>
              <w:rPr>
                <w:i/>
              </w:rPr>
            </w:pPr>
            <w:r w:rsidRPr="004111ED">
              <w:t>1.1. valsts pamatbudžets, tai skaitā ieņēmumi no maksas pakalpojumiem un citi pašu ieņēmumi</w:t>
            </w:r>
          </w:p>
        </w:tc>
        <w:tc>
          <w:tcPr>
            <w:tcW w:w="1292" w:type="dxa"/>
          </w:tcPr>
          <w:p w:rsidR="002C4FA9" w:rsidRPr="004111ED" w:rsidRDefault="00D8535F" w:rsidP="00210839">
            <w:pPr>
              <w:pStyle w:val="naisf"/>
              <w:spacing w:before="0" w:after="0"/>
              <w:ind w:firstLine="0"/>
              <w:jc w:val="center"/>
            </w:pPr>
            <w:r w:rsidRPr="004111ED">
              <w:t>676,3</w:t>
            </w:r>
          </w:p>
        </w:tc>
        <w:tc>
          <w:tcPr>
            <w:tcW w:w="1325" w:type="dxa"/>
          </w:tcPr>
          <w:p w:rsidR="002C4FA9" w:rsidRPr="004111ED" w:rsidRDefault="00D8535F" w:rsidP="00210839">
            <w:pPr>
              <w:pStyle w:val="naisf"/>
              <w:spacing w:before="0" w:after="0"/>
              <w:ind w:firstLine="0"/>
              <w:jc w:val="center"/>
            </w:pPr>
            <w:r w:rsidRPr="004111ED">
              <w:t>0</w:t>
            </w:r>
          </w:p>
        </w:tc>
        <w:tc>
          <w:tcPr>
            <w:tcW w:w="1325" w:type="dxa"/>
          </w:tcPr>
          <w:p w:rsidR="002C4FA9" w:rsidRPr="004111ED" w:rsidRDefault="00D8535F" w:rsidP="00210839">
            <w:pPr>
              <w:pStyle w:val="naisf"/>
              <w:spacing w:before="0" w:after="0"/>
              <w:ind w:firstLine="0"/>
              <w:jc w:val="center"/>
            </w:pPr>
            <w:r w:rsidRPr="004111ED">
              <w:t>0</w:t>
            </w:r>
          </w:p>
        </w:tc>
        <w:tc>
          <w:tcPr>
            <w:tcW w:w="1326" w:type="dxa"/>
          </w:tcPr>
          <w:p w:rsidR="002C4FA9" w:rsidRPr="004111ED" w:rsidRDefault="00D8535F" w:rsidP="00210839">
            <w:pPr>
              <w:pStyle w:val="naisf"/>
              <w:spacing w:before="0" w:after="0"/>
              <w:ind w:firstLine="0"/>
              <w:jc w:val="center"/>
            </w:pPr>
            <w:r w:rsidRPr="004111ED">
              <w:t>0</w:t>
            </w:r>
          </w:p>
        </w:tc>
        <w:tc>
          <w:tcPr>
            <w:tcW w:w="1307" w:type="dxa"/>
          </w:tcPr>
          <w:p w:rsidR="002C4FA9" w:rsidRPr="004111ED" w:rsidRDefault="00D8535F" w:rsidP="00210839">
            <w:pPr>
              <w:pStyle w:val="naisf"/>
              <w:spacing w:before="0" w:after="0"/>
              <w:ind w:firstLine="0"/>
              <w:jc w:val="center"/>
            </w:pPr>
            <w:r w:rsidRPr="004111ED">
              <w:t>0</w:t>
            </w:r>
          </w:p>
        </w:tc>
      </w:tr>
      <w:tr w:rsidR="002C4FA9" w:rsidRPr="004111ED" w:rsidTr="00821206">
        <w:trPr>
          <w:jc w:val="center"/>
        </w:trPr>
        <w:tc>
          <w:tcPr>
            <w:tcW w:w="3087" w:type="dxa"/>
          </w:tcPr>
          <w:p w:rsidR="002C4FA9" w:rsidRPr="004111ED" w:rsidRDefault="002C4FA9" w:rsidP="00F90009">
            <w:pPr>
              <w:pStyle w:val="naisf"/>
              <w:spacing w:before="0" w:after="0"/>
              <w:ind w:firstLine="0"/>
              <w:rPr>
                <w:i/>
              </w:rPr>
            </w:pPr>
            <w:r w:rsidRPr="004111ED">
              <w:t>1.2. valsts speciālais budžets</w:t>
            </w:r>
          </w:p>
        </w:tc>
        <w:tc>
          <w:tcPr>
            <w:tcW w:w="1292" w:type="dxa"/>
          </w:tcPr>
          <w:p w:rsidR="002C4FA9" w:rsidRPr="004111ED" w:rsidRDefault="002C4FA9" w:rsidP="00210839">
            <w:pPr>
              <w:pStyle w:val="naisf"/>
              <w:spacing w:before="0" w:after="0"/>
              <w:ind w:firstLine="0"/>
              <w:jc w:val="center"/>
            </w:pPr>
          </w:p>
        </w:tc>
        <w:tc>
          <w:tcPr>
            <w:tcW w:w="1325" w:type="dxa"/>
          </w:tcPr>
          <w:p w:rsidR="002C4FA9" w:rsidRPr="004111ED" w:rsidRDefault="002C4FA9" w:rsidP="00210839">
            <w:pPr>
              <w:pStyle w:val="naisf"/>
              <w:spacing w:before="0" w:after="0"/>
              <w:ind w:firstLine="0"/>
              <w:jc w:val="center"/>
            </w:pPr>
          </w:p>
        </w:tc>
        <w:tc>
          <w:tcPr>
            <w:tcW w:w="1325" w:type="dxa"/>
          </w:tcPr>
          <w:p w:rsidR="002C4FA9" w:rsidRPr="004111ED" w:rsidRDefault="002C4FA9" w:rsidP="00210839">
            <w:pPr>
              <w:pStyle w:val="naisf"/>
              <w:spacing w:before="0" w:after="0"/>
              <w:ind w:firstLine="0"/>
              <w:jc w:val="center"/>
            </w:pPr>
          </w:p>
        </w:tc>
        <w:tc>
          <w:tcPr>
            <w:tcW w:w="1326" w:type="dxa"/>
          </w:tcPr>
          <w:p w:rsidR="002C4FA9" w:rsidRPr="004111ED" w:rsidRDefault="002C4FA9" w:rsidP="00210839">
            <w:pPr>
              <w:pStyle w:val="naisf"/>
              <w:spacing w:before="0" w:after="0"/>
              <w:ind w:firstLine="0"/>
              <w:jc w:val="center"/>
            </w:pPr>
          </w:p>
        </w:tc>
        <w:tc>
          <w:tcPr>
            <w:tcW w:w="1307" w:type="dxa"/>
          </w:tcPr>
          <w:p w:rsidR="002C4FA9" w:rsidRPr="004111ED" w:rsidRDefault="002C4FA9" w:rsidP="00210839">
            <w:pPr>
              <w:pStyle w:val="naisf"/>
              <w:spacing w:before="0" w:after="0"/>
              <w:ind w:firstLine="0"/>
              <w:jc w:val="center"/>
            </w:pPr>
          </w:p>
        </w:tc>
      </w:tr>
      <w:tr w:rsidR="002C4FA9" w:rsidRPr="004111ED" w:rsidTr="00821206">
        <w:trPr>
          <w:jc w:val="center"/>
        </w:trPr>
        <w:tc>
          <w:tcPr>
            <w:tcW w:w="3087" w:type="dxa"/>
          </w:tcPr>
          <w:p w:rsidR="002C4FA9" w:rsidRPr="004111ED" w:rsidRDefault="002C4FA9" w:rsidP="00F90009">
            <w:pPr>
              <w:pStyle w:val="naisf"/>
              <w:spacing w:before="0" w:after="0"/>
              <w:ind w:firstLine="0"/>
              <w:rPr>
                <w:i/>
              </w:rPr>
            </w:pPr>
            <w:r w:rsidRPr="004111ED">
              <w:t>1.3. pašvaldību budžets</w:t>
            </w:r>
          </w:p>
        </w:tc>
        <w:tc>
          <w:tcPr>
            <w:tcW w:w="1292" w:type="dxa"/>
          </w:tcPr>
          <w:p w:rsidR="002C4FA9" w:rsidRPr="004111ED" w:rsidRDefault="002C4FA9" w:rsidP="00210839">
            <w:pPr>
              <w:pStyle w:val="naisf"/>
              <w:spacing w:before="0" w:after="0"/>
              <w:ind w:firstLine="0"/>
              <w:jc w:val="center"/>
            </w:pPr>
          </w:p>
        </w:tc>
        <w:tc>
          <w:tcPr>
            <w:tcW w:w="1325" w:type="dxa"/>
          </w:tcPr>
          <w:p w:rsidR="002C4FA9" w:rsidRPr="004111ED" w:rsidRDefault="002C4FA9" w:rsidP="00210839">
            <w:pPr>
              <w:pStyle w:val="naisf"/>
              <w:spacing w:before="0" w:after="0"/>
              <w:ind w:firstLine="0"/>
              <w:jc w:val="center"/>
            </w:pPr>
          </w:p>
        </w:tc>
        <w:tc>
          <w:tcPr>
            <w:tcW w:w="1325" w:type="dxa"/>
          </w:tcPr>
          <w:p w:rsidR="002C4FA9" w:rsidRPr="004111ED" w:rsidRDefault="002C4FA9" w:rsidP="00210839">
            <w:pPr>
              <w:pStyle w:val="naisf"/>
              <w:spacing w:before="0" w:after="0"/>
              <w:ind w:firstLine="0"/>
              <w:jc w:val="center"/>
            </w:pPr>
          </w:p>
        </w:tc>
        <w:tc>
          <w:tcPr>
            <w:tcW w:w="1326" w:type="dxa"/>
          </w:tcPr>
          <w:p w:rsidR="002C4FA9" w:rsidRPr="004111ED" w:rsidRDefault="002C4FA9" w:rsidP="00210839">
            <w:pPr>
              <w:pStyle w:val="naisf"/>
              <w:spacing w:before="0" w:after="0"/>
              <w:ind w:firstLine="0"/>
              <w:jc w:val="center"/>
            </w:pPr>
          </w:p>
        </w:tc>
        <w:tc>
          <w:tcPr>
            <w:tcW w:w="1307" w:type="dxa"/>
          </w:tcPr>
          <w:p w:rsidR="002C4FA9" w:rsidRPr="004111ED" w:rsidRDefault="002C4FA9" w:rsidP="00210839">
            <w:pPr>
              <w:pStyle w:val="naisf"/>
              <w:spacing w:before="0" w:after="0"/>
              <w:ind w:firstLine="0"/>
              <w:jc w:val="center"/>
            </w:pPr>
          </w:p>
        </w:tc>
      </w:tr>
      <w:tr w:rsidR="00D8535F" w:rsidRPr="004111ED" w:rsidTr="00821206">
        <w:trPr>
          <w:jc w:val="center"/>
        </w:trPr>
        <w:tc>
          <w:tcPr>
            <w:tcW w:w="3087" w:type="dxa"/>
          </w:tcPr>
          <w:p w:rsidR="00D8535F" w:rsidRPr="004111ED" w:rsidRDefault="00D8535F" w:rsidP="00F90009">
            <w:pPr>
              <w:jc w:val="both"/>
            </w:pPr>
            <w:r w:rsidRPr="004111ED">
              <w:t>2. Budžeta izdevumi:</w:t>
            </w:r>
          </w:p>
        </w:tc>
        <w:tc>
          <w:tcPr>
            <w:tcW w:w="1292" w:type="dxa"/>
          </w:tcPr>
          <w:p w:rsidR="00D8535F" w:rsidRPr="004111ED" w:rsidRDefault="00D8535F" w:rsidP="00210839">
            <w:pPr>
              <w:pStyle w:val="naisf"/>
              <w:spacing w:before="0" w:after="0"/>
              <w:ind w:firstLine="0"/>
              <w:jc w:val="center"/>
            </w:pPr>
            <w:r w:rsidRPr="004111ED">
              <w:t>676,3</w:t>
            </w:r>
          </w:p>
        </w:tc>
        <w:tc>
          <w:tcPr>
            <w:tcW w:w="1325" w:type="dxa"/>
          </w:tcPr>
          <w:p w:rsidR="00D8535F" w:rsidRPr="004111ED" w:rsidRDefault="00D8535F" w:rsidP="00210839">
            <w:pPr>
              <w:pStyle w:val="naisf"/>
              <w:spacing w:before="0" w:after="0"/>
              <w:ind w:firstLine="0"/>
              <w:jc w:val="center"/>
            </w:pPr>
            <w:r w:rsidRPr="004111ED">
              <w:t>0</w:t>
            </w:r>
          </w:p>
        </w:tc>
        <w:tc>
          <w:tcPr>
            <w:tcW w:w="1325" w:type="dxa"/>
          </w:tcPr>
          <w:p w:rsidR="00D8535F" w:rsidRPr="004111ED" w:rsidRDefault="00D8535F" w:rsidP="00210839">
            <w:pPr>
              <w:pStyle w:val="naisf"/>
              <w:spacing w:before="0" w:after="0"/>
              <w:ind w:firstLine="0"/>
              <w:jc w:val="center"/>
            </w:pPr>
            <w:r w:rsidRPr="004111ED">
              <w:t>0</w:t>
            </w:r>
          </w:p>
        </w:tc>
        <w:tc>
          <w:tcPr>
            <w:tcW w:w="1326" w:type="dxa"/>
          </w:tcPr>
          <w:p w:rsidR="00D8535F" w:rsidRPr="004111ED" w:rsidRDefault="00D8535F" w:rsidP="00210839">
            <w:pPr>
              <w:pStyle w:val="naisf"/>
              <w:spacing w:before="0" w:after="0"/>
              <w:ind w:firstLine="0"/>
              <w:jc w:val="center"/>
            </w:pPr>
            <w:r w:rsidRPr="004111ED">
              <w:t>1617,4</w:t>
            </w:r>
          </w:p>
        </w:tc>
        <w:tc>
          <w:tcPr>
            <w:tcW w:w="1307" w:type="dxa"/>
          </w:tcPr>
          <w:p w:rsidR="00D8535F" w:rsidRPr="004111ED" w:rsidRDefault="000823E0" w:rsidP="00210839">
            <w:pPr>
              <w:pStyle w:val="naisf"/>
              <w:spacing w:before="0" w:after="0"/>
              <w:ind w:firstLine="0"/>
              <w:jc w:val="center"/>
            </w:pPr>
            <w:r w:rsidRPr="004111ED">
              <w:t>1686,0</w:t>
            </w:r>
          </w:p>
        </w:tc>
      </w:tr>
      <w:tr w:rsidR="00D8535F" w:rsidRPr="004111ED" w:rsidTr="00821206">
        <w:trPr>
          <w:jc w:val="center"/>
        </w:trPr>
        <w:tc>
          <w:tcPr>
            <w:tcW w:w="3087" w:type="dxa"/>
          </w:tcPr>
          <w:p w:rsidR="00D8535F" w:rsidRPr="004111ED" w:rsidRDefault="00D8535F" w:rsidP="00F90009">
            <w:pPr>
              <w:jc w:val="both"/>
            </w:pPr>
            <w:r w:rsidRPr="004111ED">
              <w:t>2.1. valsts pamatbudžets</w:t>
            </w:r>
          </w:p>
        </w:tc>
        <w:tc>
          <w:tcPr>
            <w:tcW w:w="1292" w:type="dxa"/>
          </w:tcPr>
          <w:p w:rsidR="00D8535F" w:rsidRPr="004111ED" w:rsidRDefault="00D8535F" w:rsidP="00210839">
            <w:pPr>
              <w:pStyle w:val="naisf"/>
              <w:spacing w:before="0" w:after="0"/>
              <w:ind w:firstLine="0"/>
              <w:jc w:val="center"/>
            </w:pPr>
            <w:r w:rsidRPr="004111ED">
              <w:t>676,3</w:t>
            </w:r>
          </w:p>
        </w:tc>
        <w:tc>
          <w:tcPr>
            <w:tcW w:w="1325" w:type="dxa"/>
          </w:tcPr>
          <w:p w:rsidR="00D8535F" w:rsidRPr="004111ED" w:rsidRDefault="00D8535F" w:rsidP="00210839">
            <w:pPr>
              <w:pStyle w:val="naisf"/>
              <w:spacing w:before="0" w:after="0"/>
              <w:ind w:firstLine="0"/>
              <w:jc w:val="center"/>
            </w:pPr>
            <w:r w:rsidRPr="004111ED">
              <w:t>0</w:t>
            </w:r>
          </w:p>
        </w:tc>
        <w:tc>
          <w:tcPr>
            <w:tcW w:w="1325" w:type="dxa"/>
          </w:tcPr>
          <w:p w:rsidR="00D8535F" w:rsidRPr="004111ED" w:rsidRDefault="00D8535F" w:rsidP="00210839">
            <w:pPr>
              <w:pStyle w:val="naisf"/>
              <w:spacing w:before="0" w:after="0"/>
              <w:ind w:firstLine="0"/>
              <w:jc w:val="center"/>
            </w:pPr>
            <w:r w:rsidRPr="004111ED">
              <w:t>0</w:t>
            </w:r>
          </w:p>
        </w:tc>
        <w:tc>
          <w:tcPr>
            <w:tcW w:w="1326" w:type="dxa"/>
          </w:tcPr>
          <w:p w:rsidR="00D8535F" w:rsidRPr="004111ED" w:rsidRDefault="00D8535F" w:rsidP="00210839">
            <w:pPr>
              <w:pStyle w:val="naisf"/>
              <w:spacing w:before="0" w:after="0"/>
              <w:ind w:firstLine="0"/>
              <w:jc w:val="center"/>
            </w:pPr>
            <w:r w:rsidRPr="004111ED">
              <w:t>1617,4</w:t>
            </w:r>
          </w:p>
        </w:tc>
        <w:tc>
          <w:tcPr>
            <w:tcW w:w="1307" w:type="dxa"/>
          </w:tcPr>
          <w:p w:rsidR="00D8535F" w:rsidRPr="004111ED" w:rsidRDefault="000823E0" w:rsidP="00210839">
            <w:pPr>
              <w:pStyle w:val="naisf"/>
              <w:spacing w:before="0" w:after="0"/>
              <w:ind w:firstLine="0"/>
              <w:jc w:val="center"/>
            </w:pPr>
            <w:r w:rsidRPr="004111ED">
              <w:t>1686,0</w:t>
            </w:r>
          </w:p>
        </w:tc>
      </w:tr>
      <w:tr w:rsidR="00D8535F" w:rsidRPr="004111ED" w:rsidTr="00821206">
        <w:trPr>
          <w:jc w:val="center"/>
        </w:trPr>
        <w:tc>
          <w:tcPr>
            <w:tcW w:w="3087" w:type="dxa"/>
          </w:tcPr>
          <w:p w:rsidR="00D8535F" w:rsidRPr="004111ED" w:rsidRDefault="00D8535F" w:rsidP="00F90009">
            <w:pPr>
              <w:jc w:val="both"/>
            </w:pPr>
            <w:r w:rsidRPr="004111ED">
              <w:t>2.2. valsts speciālais budžets</w:t>
            </w:r>
          </w:p>
        </w:tc>
        <w:tc>
          <w:tcPr>
            <w:tcW w:w="1292" w:type="dxa"/>
          </w:tcPr>
          <w:p w:rsidR="00D8535F" w:rsidRPr="004111ED" w:rsidRDefault="00D8535F" w:rsidP="00210839">
            <w:pPr>
              <w:pStyle w:val="naisf"/>
              <w:spacing w:before="0" w:after="0"/>
              <w:ind w:firstLine="0"/>
              <w:jc w:val="center"/>
            </w:pPr>
          </w:p>
        </w:tc>
        <w:tc>
          <w:tcPr>
            <w:tcW w:w="1325" w:type="dxa"/>
          </w:tcPr>
          <w:p w:rsidR="00D8535F" w:rsidRPr="004111ED" w:rsidRDefault="00D8535F" w:rsidP="00210839">
            <w:pPr>
              <w:pStyle w:val="naisf"/>
              <w:spacing w:before="0" w:after="0"/>
              <w:ind w:firstLine="0"/>
              <w:jc w:val="center"/>
            </w:pPr>
          </w:p>
        </w:tc>
        <w:tc>
          <w:tcPr>
            <w:tcW w:w="1325" w:type="dxa"/>
          </w:tcPr>
          <w:p w:rsidR="00D8535F" w:rsidRPr="004111ED" w:rsidRDefault="00D8535F" w:rsidP="00210839">
            <w:pPr>
              <w:pStyle w:val="naisf"/>
              <w:spacing w:before="0" w:after="0"/>
              <w:ind w:firstLine="0"/>
              <w:jc w:val="center"/>
            </w:pPr>
          </w:p>
        </w:tc>
        <w:tc>
          <w:tcPr>
            <w:tcW w:w="1326" w:type="dxa"/>
          </w:tcPr>
          <w:p w:rsidR="00D8535F" w:rsidRPr="004111ED" w:rsidRDefault="00D8535F" w:rsidP="00210839">
            <w:pPr>
              <w:pStyle w:val="naisf"/>
              <w:spacing w:before="0" w:after="0"/>
              <w:ind w:firstLine="0"/>
              <w:jc w:val="center"/>
            </w:pPr>
          </w:p>
        </w:tc>
        <w:tc>
          <w:tcPr>
            <w:tcW w:w="1307" w:type="dxa"/>
          </w:tcPr>
          <w:p w:rsidR="00D8535F" w:rsidRPr="004111ED" w:rsidRDefault="00D8535F" w:rsidP="00210839">
            <w:pPr>
              <w:pStyle w:val="naisf"/>
              <w:spacing w:before="0" w:after="0"/>
              <w:ind w:firstLine="0"/>
              <w:jc w:val="center"/>
            </w:pPr>
          </w:p>
        </w:tc>
      </w:tr>
      <w:tr w:rsidR="00D8535F" w:rsidRPr="004111ED" w:rsidTr="00821206">
        <w:trPr>
          <w:jc w:val="center"/>
        </w:trPr>
        <w:tc>
          <w:tcPr>
            <w:tcW w:w="3087" w:type="dxa"/>
          </w:tcPr>
          <w:p w:rsidR="00D8535F" w:rsidRPr="004111ED" w:rsidRDefault="00D8535F" w:rsidP="00F90009">
            <w:pPr>
              <w:jc w:val="both"/>
            </w:pPr>
            <w:r w:rsidRPr="004111ED">
              <w:t xml:space="preserve">2.3. pašvaldību budžets </w:t>
            </w:r>
          </w:p>
        </w:tc>
        <w:tc>
          <w:tcPr>
            <w:tcW w:w="1292" w:type="dxa"/>
          </w:tcPr>
          <w:p w:rsidR="00D8535F" w:rsidRPr="004111ED" w:rsidRDefault="00D8535F" w:rsidP="00210839">
            <w:pPr>
              <w:pStyle w:val="naisf"/>
              <w:spacing w:before="0" w:after="0"/>
              <w:ind w:firstLine="0"/>
              <w:jc w:val="center"/>
            </w:pPr>
          </w:p>
        </w:tc>
        <w:tc>
          <w:tcPr>
            <w:tcW w:w="1325" w:type="dxa"/>
          </w:tcPr>
          <w:p w:rsidR="00D8535F" w:rsidRPr="004111ED" w:rsidRDefault="00D8535F" w:rsidP="00210839">
            <w:pPr>
              <w:pStyle w:val="naisf"/>
              <w:spacing w:before="0" w:after="0"/>
              <w:ind w:firstLine="0"/>
              <w:jc w:val="center"/>
            </w:pPr>
          </w:p>
        </w:tc>
        <w:tc>
          <w:tcPr>
            <w:tcW w:w="1325" w:type="dxa"/>
          </w:tcPr>
          <w:p w:rsidR="00D8535F" w:rsidRPr="004111ED" w:rsidRDefault="00D8535F" w:rsidP="00210839">
            <w:pPr>
              <w:pStyle w:val="naisf"/>
              <w:spacing w:before="0" w:after="0"/>
              <w:ind w:firstLine="0"/>
              <w:jc w:val="center"/>
            </w:pPr>
          </w:p>
        </w:tc>
        <w:tc>
          <w:tcPr>
            <w:tcW w:w="1326" w:type="dxa"/>
          </w:tcPr>
          <w:p w:rsidR="00D8535F" w:rsidRPr="004111ED" w:rsidRDefault="00D8535F" w:rsidP="00210839">
            <w:pPr>
              <w:pStyle w:val="naisf"/>
              <w:spacing w:before="0" w:after="0"/>
              <w:ind w:firstLine="0"/>
              <w:jc w:val="center"/>
            </w:pPr>
          </w:p>
        </w:tc>
        <w:tc>
          <w:tcPr>
            <w:tcW w:w="1307" w:type="dxa"/>
          </w:tcPr>
          <w:p w:rsidR="00D8535F" w:rsidRPr="004111ED" w:rsidRDefault="00D8535F" w:rsidP="00210839">
            <w:pPr>
              <w:pStyle w:val="naisf"/>
              <w:spacing w:before="0" w:after="0"/>
              <w:ind w:firstLine="0"/>
              <w:jc w:val="center"/>
            </w:pPr>
          </w:p>
        </w:tc>
      </w:tr>
      <w:tr w:rsidR="00D8535F" w:rsidRPr="004111ED" w:rsidTr="00821206">
        <w:trPr>
          <w:jc w:val="center"/>
        </w:trPr>
        <w:tc>
          <w:tcPr>
            <w:tcW w:w="3087" w:type="dxa"/>
          </w:tcPr>
          <w:p w:rsidR="00D8535F" w:rsidRPr="004111ED" w:rsidRDefault="00D8535F" w:rsidP="00F90009">
            <w:pPr>
              <w:jc w:val="both"/>
            </w:pPr>
            <w:r w:rsidRPr="004111ED">
              <w:t>3. Finansiālā ietekme:</w:t>
            </w:r>
          </w:p>
        </w:tc>
        <w:tc>
          <w:tcPr>
            <w:tcW w:w="1292" w:type="dxa"/>
            <w:shd w:val="clear" w:color="auto" w:fill="auto"/>
            <w:vAlign w:val="center"/>
          </w:tcPr>
          <w:p w:rsidR="00D8535F" w:rsidRPr="004111ED" w:rsidRDefault="00D8535F" w:rsidP="00D8535F">
            <w:pPr>
              <w:pStyle w:val="naisf"/>
              <w:spacing w:before="0" w:after="0"/>
              <w:ind w:firstLine="0"/>
              <w:jc w:val="center"/>
            </w:pPr>
            <w:r w:rsidRPr="004111ED">
              <w:t>0</w:t>
            </w:r>
          </w:p>
        </w:tc>
        <w:tc>
          <w:tcPr>
            <w:tcW w:w="1325" w:type="dxa"/>
          </w:tcPr>
          <w:p w:rsidR="00D8535F" w:rsidRPr="004111ED" w:rsidRDefault="00D8535F" w:rsidP="00210839">
            <w:pPr>
              <w:pStyle w:val="naisf"/>
              <w:spacing w:before="0" w:after="0"/>
              <w:ind w:firstLine="0"/>
              <w:jc w:val="center"/>
            </w:pPr>
            <w:r w:rsidRPr="004111ED">
              <w:t>0</w:t>
            </w:r>
          </w:p>
        </w:tc>
        <w:tc>
          <w:tcPr>
            <w:tcW w:w="1325" w:type="dxa"/>
          </w:tcPr>
          <w:p w:rsidR="00D8535F" w:rsidRPr="004111ED" w:rsidRDefault="00D8535F" w:rsidP="00210839">
            <w:pPr>
              <w:pStyle w:val="naisf"/>
              <w:spacing w:before="0" w:after="0"/>
              <w:ind w:firstLine="0"/>
              <w:jc w:val="center"/>
            </w:pPr>
            <w:r w:rsidRPr="004111ED">
              <w:t>0</w:t>
            </w:r>
          </w:p>
        </w:tc>
        <w:tc>
          <w:tcPr>
            <w:tcW w:w="1326" w:type="dxa"/>
          </w:tcPr>
          <w:p w:rsidR="00D8535F" w:rsidRPr="004111ED" w:rsidRDefault="00D8535F" w:rsidP="00210839">
            <w:pPr>
              <w:pStyle w:val="naisf"/>
              <w:spacing w:before="0" w:after="0"/>
              <w:ind w:firstLine="0"/>
              <w:jc w:val="center"/>
            </w:pPr>
            <w:r w:rsidRPr="004111ED">
              <w:t>-1617,4</w:t>
            </w:r>
          </w:p>
        </w:tc>
        <w:tc>
          <w:tcPr>
            <w:tcW w:w="1307" w:type="dxa"/>
          </w:tcPr>
          <w:p w:rsidR="00D8535F" w:rsidRPr="004111ED" w:rsidRDefault="000823E0" w:rsidP="00210839">
            <w:pPr>
              <w:pStyle w:val="naisf"/>
              <w:spacing w:before="0" w:after="0"/>
              <w:ind w:firstLine="0"/>
              <w:jc w:val="center"/>
            </w:pPr>
            <w:r w:rsidRPr="004111ED">
              <w:t>-1686,0</w:t>
            </w:r>
          </w:p>
        </w:tc>
      </w:tr>
      <w:tr w:rsidR="00D8535F" w:rsidRPr="004111ED" w:rsidTr="00821206">
        <w:trPr>
          <w:jc w:val="center"/>
        </w:trPr>
        <w:tc>
          <w:tcPr>
            <w:tcW w:w="3087" w:type="dxa"/>
          </w:tcPr>
          <w:p w:rsidR="00D8535F" w:rsidRPr="004111ED" w:rsidRDefault="00D8535F" w:rsidP="00F90009">
            <w:pPr>
              <w:jc w:val="both"/>
            </w:pPr>
            <w:r w:rsidRPr="004111ED">
              <w:t>3.1. valsts pamatbudžets</w:t>
            </w:r>
          </w:p>
        </w:tc>
        <w:tc>
          <w:tcPr>
            <w:tcW w:w="1292" w:type="dxa"/>
            <w:shd w:val="clear" w:color="auto" w:fill="auto"/>
          </w:tcPr>
          <w:p w:rsidR="00D8535F" w:rsidRPr="004111ED" w:rsidRDefault="00D8535F" w:rsidP="00210839">
            <w:pPr>
              <w:pStyle w:val="naisf"/>
              <w:spacing w:before="0" w:after="0"/>
              <w:ind w:firstLine="0"/>
              <w:jc w:val="center"/>
            </w:pPr>
            <w:r w:rsidRPr="004111ED">
              <w:t>0</w:t>
            </w:r>
          </w:p>
        </w:tc>
        <w:tc>
          <w:tcPr>
            <w:tcW w:w="1325" w:type="dxa"/>
          </w:tcPr>
          <w:p w:rsidR="00D8535F" w:rsidRPr="004111ED" w:rsidRDefault="00D8535F" w:rsidP="00210839">
            <w:pPr>
              <w:pStyle w:val="naisf"/>
              <w:spacing w:before="0" w:after="0"/>
              <w:ind w:firstLine="0"/>
              <w:jc w:val="center"/>
            </w:pPr>
            <w:r w:rsidRPr="004111ED">
              <w:t>0</w:t>
            </w:r>
          </w:p>
        </w:tc>
        <w:tc>
          <w:tcPr>
            <w:tcW w:w="1325" w:type="dxa"/>
          </w:tcPr>
          <w:p w:rsidR="00D8535F" w:rsidRPr="004111ED" w:rsidRDefault="00D8535F" w:rsidP="00210839">
            <w:pPr>
              <w:pStyle w:val="naisf"/>
              <w:spacing w:before="0" w:after="0"/>
              <w:ind w:firstLine="0"/>
              <w:jc w:val="center"/>
            </w:pPr>
            <w:r w:rsidRPr="004111ED">
              <w:t>0</w:t>
            </w:r>
          </w:p>
        </w:tc>
        <w:tc>
          <w:tcPr>
            <w:tcW w:w="1326" w:type="dxa"/>
          </w:tcPr>
          <w:p w:rsidR="00D8535F" w:rsidRPr="004111ED" w:rsidRDefault="00D8535F" w:rsidP="00210839">
            <w:pPr>
              <w:pStyle w:val="naisf"/>
              <w:spacing w:before="0" w:after="0"/>
              <w:ind w:firstLine="0"/>
              <w:jc w:val="center"/>
            </w:pPr>
            <w:r w:rsidRPr="004111ED">
              <w:t>-1617,4</w:t>
            </w:r>
          </w:p>
        </w:tc>
        <w:tc>
          <w:tcPr>
            <w:tcW w:w="1307" w:type="dxa"/>
          </w:tcPr>
          <w:p w:rsidR="00D8535F" w:rsidRPr="004111ED" w:rsidRDefault="000823E0" w:rsidP="00210839">
            <w:pPr>
              <w:pStyle w:val="naisf"/>
              <w:spacing w:before="0" w:after="0"/>
              <w:ind w:firstLine="0"/>
              <w:jc w:val="center"/>
            </w:pPr>
            <w:r w:rsidRPr="004111ED">
              <w:t>-1686,0</w:t>
            </w:r>
          </w:p>
        </w:tc>
      </w:tr>
      <w:tr w:rsidR="00D8535F" w:rsidRPr="004111ED" w:rsidTr="00821206">
        <w:trPr>
          <w:jc w:val="center"/>
        </w:trPr>
        <w:tc>
          <w:tcPr>
            <w:tcW w:w="3087" w:type="dxa"/>
          </w:tcPr>
          <w:p w:rsidR="00D8535F" w:rsidRPr="004111ED" w:rsidRDefault="00D8535F" w:rsidP="00F90009">
            <w:pPr>
              <w:jc w:val="both"/>
            </w:pPr>
            <w:r w:rsidRPr="004111ED">
              <w:t>3.2. speciālais budžets</w:t>
            </w:r>
          </w:p>
        </w:tc>
        <w:tc>
          <w:tcPr>
            <w:tcW w:w="1292" w:type="dxa"/>
            <w:shd w:val="clear" w:color="auto" w:fill="auto"/>
          </w:tcPr>
          <w:p w:rsidR="00D8535F" w:rsidRPr="004111ED" w:rsidRDefault="00D8535F" w:rsidP="00210839">
            <w:pPr>
              <w:pStyle w:val="naisf"/>
              <w:spacing w:before="0" w:after="0"/>
              <w:ind w:firstLine="0"/>
              <w:jc w:val="center"/>
            </w:pPr>
          </w:p>
        </w:tc>
        <w:tc>
          <w:tcPr>
            <w:tcW w:w="1325" w:type="dxa"/>
          </w:tcPr>
          <w:p w:rsidR="00D8535F" w:rsidRPr="004111ED" w:rsidRDefault="00D8535F" w:rsidP="00210839">
            <w:pPr>
              <w:pStyle w:val="naisf"/>
              <w:spacing w:before="0" w:after="0"/>
              <w:ind w:firstLine="0"/>
              <w:jc w:val="center"/>
            </w:pPr>
          </w:p>
        </w:tc>
        <w:tc>
          <w:tcPr>
            <w:tcW w:w="1325" w:type="dxa"/>
          </w:tcPr>
          <w:p w:rsidR="00D8535F" w:rsidRPr="004111ED" w:rsidRDefault="00D8535F" w:rsidP="00210839">
            <w:pPr>
              <w:pStyle w:val="naisf"/>
              <w:spacing w:before="0" w:after="0"/>
              <w:ind w:firstLine="0"/>
              <w:jc w:val="center"/>
            </w:pPr>
          </w:p>
        </w:tc>
        <w:tc>
          <w:tcPr>
            <w:tcW w:w="1326" w:type="dxa"/>
          </w:tcPr>
          <w:p w:rsidR="00D8535F" w:rsidRPr="004111ED" w:rsidRDefault="00D8535F" w:rsidP="00210839">
            <w:pPr>
              <w:pStyle w:val="naisf"/>
              <w:spacing w:before="0" w:after="0"/>
              <w:ind w:firstLine="0"/>
              <w:jc w:val="center"/>
            </w:pPr>
          </w:p>
        </w:tc>
        <w:tc>
          <w:tcPr>
            <w:tcW w:w="1307" w:type="dxa"/>
          </w:tcPr>
          <w:p w:rsidR="00D8535F" w:rsidRPr="004111ED" w:rsidRDefault="00D8535F" w:rsidP="00210839">
            <w:pPr>
              <w:pStyle w:val="naisf"/>
              <w:spacing w:before="0" w:after="0"/>
              <w:ind w:firstLine="0"/>
              <w:jc w:val="center"/>
            </w:pPr>
          </w:p>
        </w:tc>
      </w:tr>
      <w:tr w:rsidR="00D8535F" w:rsidRPr="004111ED" w:rsidTr="00821206">
        <w:trPr>
          <w:jc w:val="center"/>
        </w:trPr>
        <w:tc>
          <w:tcPr>
            <w:tcW w:w="3087" w:type="dxa"/>
          </w:tcPr>
          <w:p w:rsidR="00D8535F" w:rsidRPr="004111ED" w:rsidRDefault="00D8535F" w:rsidP="00F90009">
            <w:pPr>
              <w:jc w:val="both"/>
            </w:pPr>
            <w:r w:rsidRPr="004111ED">
              <w:t xml:space="preserve">3.3. pašvaldību budžets </w:t>
            </w:r>
          </w:p>
        </w:tc>
        <w:tc>
          <w:tcPr>
            <w:tcW w:w="1292" w:type="dxa"/>
            <w:shd w:val="clear" w:color="auto" w:fill="auto"/>
          </w:tcPr>
          <w:p w:rsidR="00D8535F" w:rsidRPr="004111ED" w:rsidRDefault="00D8535F" w:rsidP="00210839">
            <w:pPr>
              <w:pStyle w:val="naisf"/>
              <w:spacing w:before="0" w:after="0"/>
              <w:ind w:firstLine="0"/>
              <w:jc w:val="center"/>
            </w:pPr>
          </w:p>
        </w:tc>
        <w:tc>
          <w:tcPr>
            <w:tcW w:w="1325" w:type="dxa"/>
          </w:tcPr>
          <w:p w:rsidR="00D8535F" w:rsidRPr="004111ED" w:rsidRDefault="00D8535F" w:rsidP="00210839">
            <w:pPr>
              <w:pStyle w:val="naisf"/>
              <w:spacing w:before="0" w:after="0"/>
              <w:ind w:firstLine="0"/>
              <w:jc w:val="center"/>
            </w:pPr>
          </w:p>
        </w:tc>
        <w:tc>
          <w:tcPr>
            <w:tcW w:w="1325" w:type="dxa"/>
          </w:tcPr>
          <w:p w:rsidR="00D8535F" w:rsidRPr="004111ED" w:rsidRDefault="00D8535F" w:rsidP="00210839">
            <w:pPr>
              <w:pStyle w:val="naisf"/>
              <w:spacing w:before="0" w:after="0"/>
              <w:ind w:firstLine="0"/>
              <w:jc w:val="center"/>
            </w:pPr>
          </w:p>
        </w:tc>
        <w:tc>
          <w:tcPr>
            <w:tcW w:w="1326" w:type="dxa"/>
          </w:tcPr>
          <w:p w:rsidR="00D8535F" w:rsidRPr="004111ED" w:rsidRDefault="00D8535F" w:rsidP="00210839">
            <w:pPr>
              <w:pStyle w:val="naisf"/>
              <w:spacing w:before="0" w:after="0"/>
              <w:ind w:firstLine="0"/>
              <w:jc w:val="center"/>
            </w:pPr>
          </w:p>
        </w:tc>
        <w:tc>
          <w:tcPr>
            <w:tcW w:w="1307" w:type="dxa"/>
          </w:tcPr>
          <w:p w:rsidR="00D8535F" w:rsidRPr="004111ED" w:rsidRDefault="00D8535F" w:rsidP="00210839">
            <w:pPr>
              <w:pStyle w:val="naisf"/>
              <w:spacing w:before="0" w:after="0"/>
              <w:ind w:firstLine="0"/>
              <w:jc w:val="center"/>
            </w:pPr>
          </w:p>
        </w:tc>
      </w:tr>
      <w:tr w:rsidR="00D8535F" w:rsidRPr="004111ED" w:rsidTr="00821206">
        <w:trPr>
          <w:jc w:val="center"/>
        </w:trPr>
        <w:tc>
          <w:tcPr>
            <w:tcW w:w="3087" w:type="dxa"/>
            <w:vMerge w:val="restart"/>
          </w:tcPr>
          <w:p w:rsidR="00D8535F" w:rsidRPr="004111ED" w:rsidRDefault="00D8535F" w:rsidP="00F90009">
            <w:pPr>
              <w:jc w:val="both"/>
            </w:pPr>
            <w:r w:rsidRPr="004111ED">
              <w:t>4. Finanšu līdzekļi papildu izde</w:t>
            </w:r>
            <w:r w:rsidRPr="004111ED">
              <w:softHyphen/>
              <w:t>vumu finansēšanai (kompensējošu izdevumu samazinājumu norāda ar "+" zīmi)</w:t>
            </w:r>
          </w:p>
        </w:tc>
        <w:tc>
          <w:tcPr>
            <w:tcW w:w="1292" w:type="dxa"/>
            <w:vMerge w:val="restart"/>
          </w:tcPr>
          <w:p w:rsidR="00D8535F" w:rsidRPr="004111ED" w:rsidRDefault="00D8535F" w:rsidP="00D8535F">
            <w:pPr>
              <w:pStyle w:val="naisf"/>
              <w:spacing w:before="0" w:after="0"/>
              <w:ind w:firstLine="0"/>
              <w:jc w:val="center"/>
            </w:pPr>
            <w:r w:rsidRPr="004111ED">
              <w:t>X</w:t>
            </w:r>
          </w:p>
        </w:tc>
        <w:tc>
          <w:tcPr>
            <w:tcW w:w="1325" w:type="dxa"/>
          </w:tcPr>
          <w:p w:rsidR="00D8535F" w:rsidRPr="004111ED" w:rsidRDefault="00D8535F" w:rsidP="00210839">
            <w:pPr>
              <w:pStyle w:val="naisf"/>
              <w:spacing w:before="0" w:after="0"/>
              <w:ind w:firstLine="0"/>
              <w:jc w:val="center"/>
            </w:pPr>
            <w:r w:rsidRPr="004111ED">
              <w:t>0</w:t>
            </w:r>
          </w:p>
        </w:tc>
        <w:tc>
          <w:tcPr>
            <w:tcW w:w="1325" w:type="dxa"/>
          </w:tcPr>
          <w:p w:rsidR="00D8535F" w:rsidRPr="004111ED" w:rsidRDefault="00D8535F" w:rsidP="00210839">
            <w:pPr>
              <w:pStyle w:val="naisf"/>
              <w:spacing w:before="0" w:after="0"/>
              <w:ind w:firstLine="0"/>
              <w:jc w:val="center"/>
            </w:pPr>
            <w:r w:rsidRPr="004111ED">
              <w:t>0</w:t>
            </w:r>
          </w:p>
        </w:tc>
        <w:tc>
          <w:tcPr>
            <w:tcW w:w="1326" w:type="dxa"/>
          </w:tcPr>
          <w:p w:rsidR="00D8535F" w:rsidRPr="004111ED" w:rsidRDefault="00D8535F" w:rsidP="00210839">
            <w:pPr>
              <w:pStyle w:val="naisf"/>
              <w:spacing w:before="0" w:after="0"/>
              <w:ind w:firstLine="0"/>
              <w:jc w:val="center"/>
            </w:pPr>
            <w:r w:rsidRPr="004111ED">
              <w:t>0</w:t>
            </w:r>
          </w:p>
        </w:tc>
        <w:tc>
          <w:tcPr>
            <w:tcW w:w="1307" w:type="dxa"/>
          </w:tcPr>
          <w:p w:rsidR="00D8535F" w:rsidRPr="004111ED" w:rsidRDefault="000823E0" w:rsidP="00210839">
            <w:pPr>
              <w:pStyle w:val="naisf"/>
              <w:spacing w:before="0" w:after="0"/>
              <w:ind w:firstLine="0"/>
              <w:jc w:val="center"/>
            </w:pPr>
            <w:r w:rsidRPr="004111ED">
              <w:t>0</w:t>
            </w:r>
          </w:p>
        </w:tc>
      </w:tr>
      <w:tr w:rsidR="00D8535F" w:rsidRPr="004111ED" w:rsidTr="00821206">
        <w:trPr>
          <w:jc w:val="center"/>
        </w:trPr>
        <w:tc>
          <w:tcPr>
            <w:tcW w:w="3087" w:type="dxa"/>
            <w:vMerge/>
          </w:tcPr>
          <w:p w:rsidR="00D8535F" w:rsidRPr="004111ED" w:rsidRDefault="00D8535F" w:rsidP="00F90009">
            <w:pPr>
              <w:jc w:val="both"/>
            </w:pPr>
          </w:p>
        </w:tc>
        <w:tc>
          <w:tcPr>
            <w:tcW w:w="1292" w:type="dxa"/>
            <w:vMerge/>
          </w:tcPr>
          <w:p w:rsidR="00D8535F" w:rsidRPr="004111ED" w:rsidRDefault="00D8535F" w:rsidP="00210839">
            <w:pPr>
              <w:pStyle w:val="naisf"/>
              <w:spacing w:before="0" w:after="0"/>
              <w:ind w:firstLine="0"/>
              <w:jc w:val="center"/>
            </w:pPr>
          </w:p>
        </w:tc>
        <w:tc>
          <w:tcPr>
            <w:tcW w:w="1325" w:type="dxa"/>
          </w:tcPr>
          <w:p w:rsidR="00D8535F" w:rsidRPr="004111ED" w:rsidRDefault="00D8535F" w:rsidP="00210839">
            <w:pPr>
              <w:pStyle w:val="naisf"/>
              <w:spacing w:before="0" w:after="0"/>
              <w:ind w:firstLine="0"/>
              <w:jc w:val="center"/>
            </w:pPr>
          </w:p>
        </w:tc>
        <w:tc>
          <w:tcPr>
            <w:tcW w:w="1325" w:type="dxa"/>
          </w:tcPr>
          <w:p w:rsidR="00D8535F" w:rsidRPr="004111ED" w:rsidRDefault="00D8535F" w:rsidP="00210839">
            <w:pPr>
              <w:pStyle w:val="naisf"/>
              <w:spacing w:before="0" w:after="0"/>
              <w:ind w:firstLine="0"/>
              <w:jc w:val="center"/>
            </w:pPr>
          </w:p>
        </w:tc>
        <w:tc>
          <w:tcPr>
            <w:tcW w:w="1326" w:type="dxa"/>
          </w:tcPr>
          <w:p w:rsidR="00D8535F" w:rsidRPr="004111ED" w:rsidRDefault="00D8535F" w:rsidP="00210839">
            <w:pPr>
              <w:pStyle w:val="naisf"/>
              <w:spacing w:before="0" w:after="0"/>
              <w:ind w:firstLine="0"/>
              <w:jc w:val="center"/>
            </w:pPr>
          </w:p>
        </w:tc>
        <w:tc>
          <w:tcPr>
            <w:tcW w:w="1307" w:type="dxa"/>
          </w:tcPr>
          <w:p w:rsidR="00D8535F" w:rsidRPr="004111ED" w:rsidRDefault="00D8535F" w:rsidP="00210839">
            <w:pPr>
              <w:pStyle w:val="naisf"/>
              <w:spacing w:before="0" w:after="0"/>
              <w:ind w:firstLine="0"/>
              <w:jc w:val="center"/>
            </w:pPr>
          </w:p>
        </w:tc>
      </w:tr>
      <w:tr w:rsidR="00D8535F" w:rsidRPr="004111ED" w:rsidTr="00821206">
        <w:trPr>
          <w:jc w:val="center"/>
        </w:trPr>
        <w:tc>
          <w:tcPr>
            <w:tcW w:w="3087" w:type="dxa"/>
            <w:vMerge/>
          </w:tcPr>
          <w:p w:rsidR="00D8535F" w:rsidRPr="004111ED" w:rsidRDefault="00D8535F" w:rsidP="00F90009">
            <w:pPr>
              <w:jc w:val="both"/>
            </w:pPr>
          </w:p>
        </w:tc>
        <w:tc>
          <w:tcPr>
            <w:tcW w:w="1292" w:type="dxa"/>
            <w:vMerge/>
          </w:tcPr>
          <w:p w:rsidR="00D8535F" w:rsidRPr="004111ED" w:rsidRDefault="00D8535F" w:rsidP="00210839">
            <w:pPr>
              <w:pStyle w:val="naisf"/>
              <w:spacing w:before="0" w:after="0"/>
              <w:ind w:firstLine="0"/>
              <w:jc w:val="center"/>
            </w:pPr>
          </w:p>
        </w:tc>
        <w:tc>
          <w:tcPr>
            <w:tcW w:w="1325" w:type="dxa"/>
          </w:tcPr>
          <w:p w:rsidR="00D8535F" w:rsidRPr="004111ED" w:rsidRDefault="00D8535F" w:rsidP="00210839">
            <w:pPr>
              <w:pStyle w:val="naisf"/>
              <w:spacing w:before="0" w:after="0"/>
              <w:ind w:firstLine="0"/>
              <w:jc w:val="center"/>
            </w:pPr>
          </w:p>
        </w:tc>
        <w:tc>
          <w:tcPr>
            <w:tcW w:w="1325" w:type="dxa"/>
          </w:tcPr>
          <w:p w:rsidR="00D8535F" w:rsidRPr="004111ED" w:rsidRDefault="00D8535F" w:rsidP="00210839">
            <w:pPr>
              <w:pStyle w:val="naisf"/>
              <w:spacing w:before="0" w:after="0"/>
              <w:ind w:firstLine="0"/>
              <w:jc w:val="center"/>
            </w:pPr>
          </w:p>
        </w:tc>
        <w:tc>
          <w:tcPr>
            <w:tcW w:w="1326" w:type="dxa"/>
          </w:tcPr>
          <w:p w:rsidR="00D8535F" w:rsidRPr="004111ED" w:rsidRDefault="00D8535F" w:rsidP="00210839">
            <w:pPr>
              <w:pStyle w:val="naisf"/>
              <w:spacing w:before="0" w:after="0"/>
              <w:ind w:firstLine="0"/>
              <w:jc w:val="center"/>
            </w:pPr>
          </w:p>
        </w:tc>
        <w:tc>
          <w:tcPr>
            <w:tcW w:w="1307" w:type="dxa"/>
          </w:tcPr>
          <w:p w:rsidR="00D8535F" w:rsidRPr="004111ED" w:rsidRDefault="00D8535F" w:rsidP="00210839">
            <w:pPr>
              <w:pStyle w:val="naisf"/>
              <w:spacing w:before="0" w:after="0"/>
              <w:ind w:firstLine="0"/>
              <w:jc w:val="center"/>
            </w:pPr>
          </w:p>
        </w:tc>
      </w:tr>
      <w:tr w:rsidR="00D8535F" w:rsidRPr="004111ED" w:rsidTr="00821206">
        <w:trPr>
          <w:jc w:val="center"/>
        </w:trPr>
        <w:tc>
          <w:tcPr>
            <w:tcW w:w="3087" w:type="dxa"/>
          </w:tcPr>
          <w:p w:rsidR="00D8535F" w:rsidRPr="004111ED" w:rsidRDefault="00D8535F" w:rsidP="00F90009">
            <w:pPr>
              <w:jc w:val="both"/>
            </w:pPr>
            <w:r w:rsidRPr="004111ED">
              <w:t>5. Precizēta finansiālā ietekme:</w:t>
            </w:r>
          </w:p>
        </w:tc>
        <w:tc>
          <w:tcPr>
            <w:tcW w:w="1292" w:type="dxa"/>
            <w:vMerge w:val="restart"/>
          </w:tcPr>
          <w:p w:rsidR="00D8535F" w:rsidRPr="004111ED" w:rsidRDefault="00D8535F" w:rsidP="00D8535F">
            <w:pPr>
              <w:pStyle w:val="naisf"/>
              <w:spacing w:before="0" w:after="0"/>
              <w:ind w:firstLine="0"/>
              <w:jc w:val="center"/>
            </w:pPr>
            <w:r w:rsidRPr="004111ED">
              <w:t>X</w:t>
            </w:r>
          </w:p>
        </w:tc>
        <w:tc>
          <w:tcPr>
            <w:tcW w:w="1325" w:type="dxa"/>
          </w:tcPr>
          <w:p w:rsidR="00D8535F" w:rsidRPr="004111ED" w:rsidRDefault="00D8535F" w:rsidP="00210839">
            <w:pPr>
              <w:pStyle w:val="naisf"/>
              <w:spacing w:before="0" w:after="0"/>
              <w:ind w:firstLine="0"/>
              <w:jc w:val="center"/>
            </w:pPr>
            <w:r w:rsidRPr="004111ED">
              <w:t>0</w:t>
            </w:r>
          </w:p>
        </w:tc>
        <w:tc>
          <w:tcPr>
            <w:tcW w:w="1325" w:type="dxa"/>
          </w:tcPr>
          <w:p w:rsidR="00D8535F" w:rsidRPr="004111ED" w:rsidRDefault="00D8535F" w:rsidP="00210839">
            <w:pPr>
              <w:pStyle w:val="naisf"/>
              <w:spacing w:before="0" w:after="0"/>
              <w:ind w:firstLine="0"/>
              <w:jc w:val="center"/>
            </w:pPr>
            <w:r w:rsidRPr="004111ED">
              <w:t>0</w:t>
            </w:r>
          </w:p>
        </w:tc>
        <w:tc>
          <w:tcPr>
            <w:tcW w:w="1326" w:type="dxa"/>
          </w:tcPr>
          <w:p w:rsidR="00D8535F" w:rsidRPr="004111ED" w:rsidRDefault="00D8535F" w:rsidP="00210839">
            <w:pPr>
              <w:pStyle w:val="naisf"/>
              <w:spacing w:before="0" w:after="0"/>
              <w:ind w:firstLine="0"/>
              <w:jc w:val="center"/>
            </w:pPr>
            <w:r w:rsidRPr="004111ED">
              <w:t>-1617,4</w:t>
            </w:r>
          </w:p>
        </w:tc>
        <w:tc>
          <w:tcPr>
            <w:tcW w:w="1307" w:type="dxa"/>
          </w:tcPr>
          <w:p w:rsidR="00D8535F" w:rsidRPr="004111ED" w:rsidRDefault="000823E0" w:rsidP="00210839">
            <w:pPr>
              <w:pStyle w:val="naisf"/>
              <w:spacing w:before="0" w:after="0"/>
              <w:ind w:firstLine="0"/>
              <w:jc w:val="center"/>
            </w:pPr>
            <w:r w:rsidRPr="004111ED">
              <w:t>-1686,0</w:t>
            </w:r>
          </w:p>
        </w:tc>
      </w:tr>
      <w:tr w:rsidR="00D8535F" w:rsidRPr="004111ED" w:rsidTr="00821206">
        <w:trPr>
          <w:jc w:val="center"/>
        </w:trPr>
        <w:tc>
          <w:tcPr>
            <w:tcW w:w="3087" w:type="dxa"/>
          </w:tcPr>
          <w:p w:rsidR="00D8535F" w:rsidRPr="004111ED" w:rsidRDefault="00D8535F" w:rsidP="00F90009">
            <w:pPr>
              <w:jc w:val="both"/>
            </w:pPr>
            <w:r w:rsidRPr="004111ED">
              <w:t>5.1. valsts pamatbudžets</w:t>
            </w:r>
          </w:p>
        </w:tc>
        <w:tc>
          <w:tcPr>
            <w:tcW w:w="1292" w:type="dxa"/>
            <w:vMerge/>
            <w:vAlign w:val="center"/>
          </w:tcPr>
          <w:p w:rsidR="00D8535F" w:rsidRPr="004111ED" w:rsidRDefault="00D8535F" w:rsidP="00210839">
            <w:pPr>
              <w:pStyle w:val="naisf"/>
              <w:spacing w:before="0" w:after="0"/>
              <w:ind w:firstLine="0"/>
              <w:jc w:val="center"/>
            </w:pPr>
          </w:p>
        </w:tc>
        <w:tc>
          <w:tcPr>
            <w:tcW w:w="1325" w:type="dxa"/>
          </w:tcPr>
          <w:p w:rsidR="00D8535F" w:rsidRPr="004111ED" w:rsidRDefault="00D8535F" w:rsidP="00210839">
            <w:pPr>
              <w:pStyle w:val="naisf"/>
              <w:spacing w:before="0" w:after="0"/>
              <w:ind w:firstLine="0"/>
              <w:jc w:val="center"/>
            </w:pPr>
            <w:r w:rsidRPr="004111ED">
              <w:t>0</w:t>
            </w:r>
          </w:p>
        </w:tc>
        <w:tc>
          <w:tcPr>
            <w:tcW w:w="1325" w:type="dxa"/>
          </w:tcPr>
          <w:p w:rsidR="00D8535F" w:rsidRPr="004111ED" w:rsidRDefault="00D8535F" w:rsidP="00210839">
            <w:pPr>
              <w:pStyle w:val="naisf"/>
              <w:spacing w:before="0" w:after="0"/>
              <w:ind w:firstLine="0"/>
              <w:jc w:val="center"/>
            </w:pPr>
            <w:r w:rsidRPr="004111ED">
              <w:t>0</w:t>
            </w:r>
          </w:p>
        </w:tc>
        <w:tc>
          <w:tcPr>
            <w:tcW w:w="1326" w:type="dxa"/>
          </w:tcPr>
          <w:p w:rsidR="00D8535F" w:rsidRPr="004111ED" w:rsidRDefault="00D8535F" w:rsidP="00210839">
            <w:pPr>
              <w:pStyle w:val="naisf"/>
              <w:spacing w:before="0" w:after="0"/>
              <w:ind w:firstLine="0"/>
              <w:jc w:val="center"/>
            </w:pPr>
            <w:r w:rsidRPr="004111ED">
              <w:t>-1617,4</w:t>
            </w:r>
          </w:p>
        </w:tc>
        <w:tc>
          <w:tcPr>
            <w:tcW w:w="1307" w:type="dxa"/>
          </w:tcPr>
          <w:p w:rsidR="00D8535F" w:rsidRPr="004111ED" w:rsidRDefault="000823E0" w:rsidP="00210839">
            <w:pPr>
              <w:pStyle w:val="naisf"/>
              <w:spacing w:before="0" w:after="0"/>
              <w:ind w:firstLine="0"/>
              <w:jc w:val="center"/>
            </w:pPr>
            <w:r w:rsidRPr="004111ED">
              <w:t>-1686,0</w:t>
            </w:r>
          </w:p>
        </w:tc>
      </w:tr>
      <w:tr w:rsidR="00D8535F" w:rsidRPr="004111ED" w:rsidTr="00821206">
        <w:trPr>
          <w:jc w:val="center"/>
        </w:trPr>
        <w:tc>
          <w:tcPr>
            <w:tcW w:w="3087" w:type="dxa"/>
          </w:tcPr>
          <w:p w:rsidR="00D8535F" w:rsidRPr="004111ED" w:rsidRDefault="00D8535F" w:rsidP="00F90009">
            <w:pPr>
              <w:jc w:val="both"/>
            </w:pPr>
            <w:r w:rsidRPr="004111ED">
              <w:t>5.2. speciālais budžets</w:t>
            </w:r>
          </w:p>
        </w:tc>
        <w:tc>
          <w:tcPr>
            <w:tcW w:w="1292" w:type="dxa"/>
            <w:vMerge/>
            <w:vAlign w:val="center"/>
          </w:tcPr>
          <w:p w:rsidR="00D8535F" w:rsidRPr="004111ED" w:rsidRDefault="00D8535F" w:rsidP="00210839">
            <w:pPr>
              <w:pStyle w:val="naisf"/>
              <w:spacing w:before="0" w:after="0"/>
              <w:ind w:firstLine="0"/>
              <w:jc w:val="center"/>
            </w:pPr>
          </w:p>
        </w:tc>
        <w:tc>
          <w:tcPr>
            <w:tcW w:w="1325" w:type="dxa"/>
          </w:tcPr>
          <w:p w:rsidR="00D8535F" w:rsidRPr="004111ED" w:rsidRDefault="00D8535F" w:rsidP="00210839">
            <w:pPr>
              <w:pStyle w:val="naisf"/>
              <w:spacing w:before="0" w:after="0"/>
              <w:ind w:firstLine="0"/>
              <w:jc w:val="center"/>
            </w:pPr>
          </w:p>
        </w:tc>
        <w:tc>
          <w:tcPr>
            <w:tcW w:w="1325" w:type="dxa"/>
          </w:tcPr>
          <w:p w:rsidR="00D8535F" w:rsidRPr="004111ED" w:rsidRDefault="00D8535F" w:rsidP="00210839">
            <w:pPr>
              <w:pStyle w:val="naisf"/>
              <w:spacing w:before="0" w:after="0"/>
              <w:ind w:firstLine="0"/>
              <w:jc w:val="center"/>
            </w:pPr>
          </w:p>
        </w:tc>
        <w:tc>
          <w:tcPr>
            <w:tcW w:w="1326" w:type="dxa"/>
          </w:tcPr>
          <w:p w:rsidR="00D8535F" w:rsidRPr="004111ED" w:rsidRDefault="00D8535F" w:rsidP="00210839">
            <w:pPr>
              <w:pStyle w:val="naisf"/>
              <w:spacing w:before="0" w:after="0"/>
              <w:ind w:firstLine="0"/>
              <w:jc w:val="center"/>
            </w:pPr>
          </w:p>
        </w:tc>
        <w:tc>
          <w:tcPr>
            <w:tcW w:w="1307" w:type="dxa"/>
          </w:tcPr>
          <w:p w:rsidR="00D8535F" w:rsidRPr="004111ED" w:rsidRDefault="00D8535F" w:rsidP="00210839">
            <w:pPr>
              <w:pStyle w:val="naisf"/>
              <w:spacing w:before="0" w:after="0"/>
              <w:ind w:firstLine="0"/>
              <w:jc w:val="center"/>
            </w:pPr>
          </w:p>
        </w:tc>
      </w:tr>
      <w:tr w:rsidR="00D8535F" w:rsidRPr="004111ED" w:rsidTr="00821206">
        <w:trPr>
          <w:jc w:val="center"/>
        </w:trPr>
        <w:tc>
          <w:tcPr>
            <w:tcW w:w="3087" w:type="dxa"/>
          </w:tcPr>
          <w:p w:rsidR="00D8535F" w:rsidRPr="004111ED" w:rsidRDefault="00D8535F" w:rsidP="00F90009">
            <w:pPr>
              <w:jc w:val="both"/>
            </w:pPr>
            <w:r w:rsidRPr="004111ED">
              <w:t xml:space="preserve">5.3. pašvaldību budžets </w:t>
            </w:r>
          </w:p>
        </w:tc>
        <w:tc>
          <w:tcPr>
            <w:tcW w:w="1292" w:type="dxa"/>
            <w:vMerge/>
            <w:vAlign w:val="center"/>
          </w:tcPr>
          <w:p w:rsidR="00D8535F" w:rsidRPr="004111ED" w:rsidRDefault="00D8535F" w:rsidP="00210839">
            <w:pPr>
              <w:pStyle w:val="naisf"/>
              <w:spacing w:before="0" w:after="0"/>
              <w:ind w:firstLine="0"/>
              <w:jc w:val="center"/>
            </w:pPr>
          </w:p>
        </w:tc>
        <w:tc>
          <w:tcPr>
            <w:tcW w:w="1325" w:type="dxa"/>
          </w:tcPr>
          <w:p w:rsidR="00D8535F" w:rsidRPr="004111ED" w:rsidRDefault="00D8535F" w:rsidP="00210839">
            <w:pPr>
              <w:pStyle w:val="naisf"/>
              <w:spacing w:before="0" w:after="0"/>
              <w:ind w:firstLine="0"/>
              <w:jc w:val="center"/>
            </w:pPr>
          </w:p>
        </w:tc>
        <w:tc>
          <w:tcPr>
            <w:tcW w:w="1325" w:type="dxa"/>
          </w:tcPr>
          <w:p w:rsidR="00D8535F" w:rsidRPr="004111ED" w:rsidRDefault="00D8535F" w:rsidP="00210839">
            <w:pPr>
              <w:pStyle w:val="naisf"/>
              <w:spacing w:before="0" w:after="0"/>
              <w:ind w:firstLine="0"/>
              <w:jc w:val="center"/>
            </w:pPr>
          </w:p>
        </w:tc>
        <w:tc>
          <w:tcPr>
            <w:tcW w:w="1326" w:type="dxa"/>
          </w:tcPr>
          <w:p w:rsidR="00D8535F" w:rsidRPr="004111ED" w:rsidRDefault="00D8535F" w:rsidP="00210839">
            <w:pPr>
              <w:pStyle w:val="naisf"/>
              <w:spacing w:before="0" w:after="0"/>
              <w:ind w:firstLine="0"/>
              <w:jc w:val="center"/>
            </w:pPr>
          </w:p>
        </w:tc>
        <w:tc>
          <w:tcPr>
            <w:tcW w:w="1307" w:type="dxa"/>
          </w:tcPr>
          <w:p w:rsidR="00D8535F" w:rsidRPr="004111ED" w:rsidRDefault="00D8535F" w:rsidP="00210839">
            <w:pPr>
              <w:pStyle w:val="naisf"/>
              <w:spacing w:before="0" w:after="0"/>
              <w:ind w:firstLine="0"/>
              <w:jc w:val="center"/>
            </w:pPr>
          </w:p>
        </w:tc>
      </w:tr>
      <w:tr w:rsidR="00D8535F" w:rsidRPr="004111ED" w:rsidTr="00821206">
        <w:trPr>
          <w:jc w:val="center"/>
        </w:trPr>
        <w:tc>
          <w:tcPr>
            <w:tcW w:w="3087" w:type="dxa"/>
          </w:tcPr>
          <w:p w:rsidR="00D8535F" w:rsidRPr="004111ED" w:rsidRDefault="00D8535F" w:rsidP="00F90009">
            <w:pPr>
              <w:jc w:val="both"/>
            </w:pPr>
            <w:r w:rsidRPr="004111ED">
              <w:t>6. Detalizēts ieņēmumu un izdevu</w:t>
            </w:r>
            <w:r w:rsidRPr="004111ED">
              <w:softHyphen/>
              <w:t>mu aprēķins (ja nepieciešams, detalizētu ieņēmumu un izdevumu aprēķinu var pievienot anotācijas pielikumā):</w:t>
            </w:r>
          </w:p>
        </w:tc>
        <w:tc>
          <w:tcPr>
            <w:tcW w:w="6575" w:type="dxa"/>
            <w:gridSpan w:val="5"/>
            <w:vMerge w:val="restart"/>
            <w:vAlign w:val="center"/>
          </w:tcPr>
          <w:p w:rsidR="000823E0" w:rsidRPr="004111ED" w:rsidRDefault="000823E0" w:rsidP="000823E0">
            <w:pPr>
              <w:pStyle w:val="naiskr"/>
              <w:spacing w:before="0" w:after="0"/>
              <w:ind w:firstLine="283"/>
              <w:jc w:val="both"/>
              <w:rPr>
                <w:b/>
              </w:rPr>
            </w:pPr>
            <w:r w:rsidRPr="004111ED">
              <w:rPr>
                <w:b/>
              </w:rPr>
              <w:t>2012.gads:</w:t>
            </w:r>
          </w:p>
          <w:p w:rsidR="000823E0" w:rsidRPr="00793171" w:rsidRDefault="000823E0" w:rsidP="000823E0">
            <w:pPr>
              <w:pStyle w:val="naiskr"/>
              <w:spacing w:before="0" w:after="0"/>
              <w:ind w:firstLine="283"/>
              <w:jc w:val="both"/>
              <w:rPr>
                <w:b/>
              </w:rPr>
            </w:pPr>
            <w:r w:rsidRPr="00E23711">
              <w:t xml:space="preserve">Saskaņā ar likumu „Grozījumi likumā „Par valsts budžetu 2012.gadam”” Tieslietu ministrijas budžeta programmā 45.00.00 „Juridiskās palīdzības nodrošināšana” valsts nodrošinātas juridiskās palīdzības sniegšanai paredzēti </w:t>
            </w:r>
            <w:r w:rsidRPr="00793171">
              <w:rPr>
                <w:b/>
              </w:rPr>
              <w:t>Ls 676 304.</w:t>
            </w:r>
          </w:p>
          <w:p w:rsidR="000823E0" w:rsidRPr="00793171" w:rsidRDefault="000823E0" w:rsidP="000823E0">
            <w:pPr>
              <w:pStyle w:val="naiskr"/>
              <w:spacing w:before="0" w:after="0"/>
              <w:ind w:firstLine="283"/>
              <w:jc w:val="both"/>
            </w:pPr>
          </w:p>
          <w:p w:rsidR="000823E0" w:rsidRPr="00793171" w:rsidRDefault="000823E0" w:rsidP="000823E0">
            <w:pPr>
              <w:pStyle w:val="naiskr"/>
              <w:spacing w:before="0" w:after="0"/>
              <w:ind w:firstLine="283"/>
              <w:jc w:val="both"/>
              <w:rPr>
                <w:b/>
              </w:rPr>
            </w:pPr>
            <w:r w:rsidRPr="00793171">
              <w:rPr>
                <w:b/>
              </w:rPr>
              <w:t>2013.gads:</w:t>
            </w:r>
          </w:p>
          <w:p w:rsidR="000823E0" w:rsidRPr="00781D26" w:rsidRDefault="00781D26" w:rsidP="000823E0">
            <w:pPr>
              <w:pStyle w:val="naiskr"/>
              <w:spacing w:before="0" w:after="0"/>
              <w:ind w:firstLine="283"/>
              <w:jc w:val="both"/>
            </w:pPr>
            <w:r w:rsidRPr="00F5085C">
              <w:t xml:space="preserve">Projektā noteikto normu </w:t>
            </w:r>
            <w:r w:rsidR="000823E0" w:rsidRPr="00F5085C">
              <w:t>īstenošana</w:t>
            </w:r>
            <w:r w:rsidR="000823E0" w:rsidRPr="00781D26">
              <w:t xml:space="preserve"> 2013.gadā un turpmākajos gados tiks nodrošināta Tieslietu ministrijai (Juridiskās palīdzības administrācijai) piešķirto valsts budžeta līdzekļu ietvaros, finansējot no programmas „Juridiskās palīdzības nodrošināšana”.</w:t>
            </w:r>
          </w:p>
          <w:p w:rsidR="00931DBC" w:rsidRPr="00F5085C" w:rsidRDefault="00931DBC" w:rsidP="00931DBC">
            <w:pPr>
              <w:pStyle w:val="naiskr"/>
              <w:spacing w:before="0" w:after="0"/>
              <w:ind w:firstLine="283"/>
              <w:jc w:val="both"/>
            </w:pPr>
            <w:r w:rsidRPr="00F5085C">
              <w:t>Projekta 1.2., 1.3., 1.7. un 1.8.apakšpunktu īstenošanai nav nepieciešams papildus finansējums, bet to īstenošana tiks nodrošināta Tieslietu ministrijai (Juridiskās palīdzības administrācijai) piešķirto valsts budžeta līdzekļu ietvaros, finansējot no programmas „Juridiskās palīdzības nodrošināšana”.</w:t>
            </w:r>
          </w:p>
          <w:p w:rsidR="000823E0" w:rsidRDefault="00931DBC" w:rsidP="000823E0">
            <w:pPr>
              <w:pStyle w:val="naisf"/>
              <w:tabs>
                <w:tab w:val="left" w:pos="4644"/>
              </w:tabs>
              <w:spacing w:before="0" w:after="0"/>
              <w:ind w:left="-33" w:firstLine="425"/>
            </w:pPr>
            <w:r>
              <w:t xml:space="preserve"> </w:t>
            </w:r>
            <w:r w:rsidR="000823E0" w:rsidRPr="00793171">
              <w:t>Veicot finansiālās ietekmes aprēķinus, ņemts vērā Noteikumu Nr.1493 noslēguma jautājumu 59., 60., 61. un 62.punkts, kā arī Projekta 1.1</w:t>
            </w:r>
            <w:r w:rsidR="00210839" w:rsidRPr="00793171">
              <w:t>5</w:t>
            </w:r>
            <w:r w:rsidR="000823E0" w:rsidRPr="00793171">
              <w:t>., 1.1</w:t>
            </w:r>
            <w:r w:rsidR="00210839" w:rsidRPr="00793171">
              <w:t>7</w:t>
            </w:r>
            <w:r w:rsidR="000823E0" w:rsidRPr="00793171">
              <w:t>., 1.1</w:t>
            </w:r>
            <w:r w:rsidR="00210839" w:rsidRPr="00793171">
              <w:t>8</w:t>
            </w:r>
            <w:r w:rsidR="000823E0" w:rsidRPr="00793171">
              <w:t>. un 1.1</w:t>
            </w:r>
            <w:r w:rsidR="00210839" w:rsidRPr="00793171">
              <w:t>9</w:t>
            </w:r>
            <w:r w:rsidR="000823E0" w:rsidRPr="00793171">
              <w:t>.apakšpunkts, kas paredz pārejas regulējumu 2013.gadā, proti, spēkā esošo normu ierobežojumu pagarināt līdz 2014.gada 1.janvārim.</w:t>
            </w:r>
          </w:p>
          <w:p w:rsidR="000823E0" w:rsidRPr="00E23711" w:rsidRDefault="000823E0" w:rsidP="000823E0">
            <w:pPr>
              <w:pStyle w:val="naisf"/>
              <w:tabs>
                <w:tab w:val="left" w:pos="4644"/>
              </w:tabs>
              <w:spacing w:before="0" w:after="0"/>
              <w:ind w:left="-33" w:firstLine="425"/>
            </w:pPr>
            <w:r w:rsidRPr="00793171">
              <w:lastRenderedPageBreak/>
              <w:t xml:space="preserve">Turklāt 2013.gada finansiālās ietekmes aprēķini ir veikti, ņemot vērā </w:t>
            </w:r>
            <w:r w:rsidR="00210839" w:rsidRPr="00793171">
              <w:t xml:space="preserve">plānoto </w:t>
            </w:r>
            <w:r w:rsidRPr="00793171">
              <w:t>2012.gada statistiku. Vienlaikus norādāms, ka nav iespējams precīzi prognozēt 2012.gada statistiku, jo nav precīzi zināms, cik gadījumos un kādās lietu kategorijās būs nepieciešama valsts nodrošinātā juridiskā palīdzība. Līdz ar to aprēķinu veikšanā tiek izmantota 2012.gada uz pieņēmumiem balstīta statistika. Ievērojot minēto, Projektā ietverto normu īstenošanai 2013.</w:t>
            </w:r>
            <w:r w:rsidR="00210839" w:rsidRPr="00793171">
              <w:t xml:space="preserve">gadā </w:t>
            </w:r>
            <w:r w:rsidRPr="00793171">
              <w:t xml:space="preserve">kopā ir nepieciešami </w:t>
            </w:r>
            <w:r w:rsidRPr="00793171">
              <w:rPr>
                <w:b/>
              </w:rPr>
              <w:t>Ls 676 304</w:t>
            </w:r>
            <w:r w:rsidRPr="00793171">
              <w:t>. Pret</w:t>
            </w:r>
            <w:r w:rsidRPr="00E23711">
              <w:t xml:space="preserve"> 2012. gadu papildus līdzekļi nav nepieciešami.    </w:t>
            </w:r>
          </w:p>
          <w:p w:rsidR="000823E0" w:rsidRPr="00793171" w:rsidRDefault="000823E0" w:rsidP="000823E0">
            <w:pPr>
              <w:pStyle w:val="naisf"/>
              <w:tabs>
                <w:tab w:val="left" w:pos="4644"/>
              </w:tabs>
              <w:spacing w:before="0" w:after="0"/>
              <w:ind w:left="-33" w:firstLine="425"/>
            </w:pPr>
          </w:p>
          <w:p w:rsidR="000823E0" w:rsidRPr="00793171" w:rsidRDefault="000823E0" w:rsidP="000823E0">
            <w:pPr>
              <w:pStyle w:val="naisf"/>
              <w:tabs>
                <w:tab w:val="left" w:pos="4644"/>
              </w:tabs>
              <w:spacing w:before="0" w:after="0"/>
              <w:ind w:left="-33" w:firstLine="425"/>
              <w:rPr>
                <w:b/>
              </w:rPr>
            </w:pPr>
            <w:r w:rsidRPr="00793171">
              <w:rPr>
                <w:b/>
              </w:rPr>
              <w:t>2014.gads:</w:t>
            </w:r>
          </w:p>
          <w:p w:rsidR="00D7041F" w:rsidRPr="00F5085C" w:rsidRDefault="000823E0" w:rsidP="003B6252">
            <w:pPr>
              <w:pStyle w:val="naisf"/>
              <w:tabs>
                <w:tab w:val="left" w:pos="4644"/>
              </w:tabs>
              <w:spacing w:before="0" w:after="0"/>
              <w:ind w:left="-33" w:firstLine="425"/>
            </w:pPr>
            <w:r w:rsidRPr="00793171">
              <w:t>2014.gadā finansiālās ietekmes aprēķini ir veikti, ņemot vērā plānoto 2013.gada statistiku ar pieauguma tendenci 3% apmērā visām lietu kategorijām.</w:t>
            </w:r>
            <w:r w:rsidR="003B6252">
              <w:t xml:space="preserve"> </w:t>
            </w:r>
            <w:r w:rsidR="00814292">
              <w:t xml:space="preserve">Šim </w:t>
            </w:r>
            <w:r w:rsidR="00814292" w:rsidRPr="00F5085C">
              <w:t>a</w:t>
            </w:r>
            <w:r w:rsidR="003B6252" w:rsidRPr="00F5085C">
              <w:t>prēķin</w:t>
            </w:r>
            <w:r w:rsidR="00814292" w:rsidRPr="00F5085C">
              <w:t>am tika izmantota</w:t>
            </w:r>
            <w:r w:rsidR="003B6252" w:rsidRPr="00F5085C">
              <w:t xml:space="preserve"> gan Juridiskās palīdzības administrācijas statistika par  kopējo Juridiskās palīdzības administrācijā apmaksai iesniegto paziņojumu skaitu</w:t>
            </w:r>
            <w:r w:rsidR="003B6252" w:rsidRPr="00F5085C">
              <w:rPr>
                <w:rStyle w:val="Vresatsauce"/>
              </w:rPr>
              <w:footnoteReference w:id="3"/>
            </w:r>
            <w:r w:rsidR="003B6252" w:rsidRPr="00F5085C">
              <w:t xml:space="preserve"> </w:t>
            </w:r>
            <w:r w:rsidR="00814292" w:rsidRPr="00F5085C">
              <w:t xml:space="preserve">un to skaita procentuālām  pieauguma tendencēm </w:t>
            </w:r>
            <w:r w:rsidR="003B6252" w:rsidRPr="00F5085C">
              <w:t>(piemēram, 2008.gadā kopā iesniegti 19073 paziņojumi, 2009.gadā – 21135</w:t>
            </w:r>
            <w:r w:rsidR="00814292" w:rsidRPr="00F5085C">
              <w:t xml:space="preserve"> (</w:t>
            </w:r>
            <w:proofErr w:type="spellStart"/>
            <w:r w:rsidR="00814292" w:rsidRPr="00F5085C">
              <w:t>t.i</w:t>
            </w:r>
            <w:proofErr w:type="spellEnd"/>
            <w:r w:rsidR="00814292" w:rsidRPr="00F5085C">
              <w:t xml:space="preserve">., </w:t>
            </w:r>
            <w:r w:rsidR="001B4B66" w:rsidRPr="00F5085C">
              <w:t>par ~ 10 % vairāk nekā 2008.gadā)</w:t>
            </w:r>
            <w:r w:rsidR="003B6252" w:rsidRPr="00F5085C">
              <w:t>, 2010.gadā – 21760</w:t>
            </w:r>
            <w:r w:rsidR="001B4B66" w:rsidRPr="00F5085C">
              <w:t xml:space="preserve"> (</w:t>
            </w:r>
            <w:proofErr w:type="spellStart"/>
            <w:r w:rsidR="001B4B66" w:rsidRPr="00F5085C">
              <w:t>t.i</w:t>
            </w:r>
            <w:proofErr w:type="spellEnd"/>
            <w:r w:rsidR="001B4B66" w:rsidRPr="00F5085C">
              <w:t>., par ~ 3 % vairāk nekā 2009.gadā</w:t>
            </w:r>
            <w:r w:rsidR="003B6252" w:rsidRPr="00F5085C">
              <w:t xml:space="preserve">, bet 2011.gadā </w:t>
            </w:r>
            <w:r w:rsidR="001B4B66" w:rsidRPr="00F5085C">
              <w:t>–</w:t>
            </w:r>
            <w:r w:rsidR="003B6252" w:rsidRPr="00F5085C">
              <w:t xml:space="preserve"> 23222</w:t>
            </w:r>
            <w:r w:rsidR="001B4B66" w:rsidRPr="00F5085C">
              <w:t xml:space="preserve"> (</w:t>
            </w:r>
            <w:proofErr w:type="spellStart"/>
            <w:r w:rsidR="001B4B66" w:rsidRPr="00F5085C">
              <w:t>t.i</w:t>
            </w:r>
            <w:proofErr w:type="spellEnd"/>
            <w:r w:rsidR="001B4B66" w:rsidRPr="00F5085C">
              <w:t>., par ~ 6 % vairāk nekā 2010.gadā</w:t>
            </w:r>
            <w:r w:rsidR="003B6252" w:rsidRPr="00F5085C">
              <w:t xml:space="preserve">), </w:t>
            </w:r>
            <w:r w:rsidR="00D24284" w:rsidRPr="00F5085C">
              <w:t xml:space="preserve">kas liecina par ikgadēju attiecīgu procentuālu iesniegto paziņojumu skaita pieaugumu, līdz ar ko arī 2012.gadā </w:t>
            </w:r>
            <w:r w:rsidR="008B73E1" w:rsidRPr="00F5085C">
              <w:t xml:space="preserve">un turpmākajos gados </w:t>
            </w:r>
            <w:r w:rsidR="00D24284" w:rsidRPr="00F5085C">
              <w:t>prognozējams iespējams attiecīga procentuāla iesni</w:t>
            </w:r>
            <w:r w:rsidR="007B3692" w:rsidRPr="00F5085C">
              <w:t xml:space="preserve">egto paziņojumu skaita pieaugums. Turklāt tika ņemts vērā </w:t>
            </w:r>
            <w:r w:rsidR="003B6252" w:rsidRPr="00F5085C">
              <w:t>iespējamo apmaksājamo valsts nodrošinātās juridiskās palī</w:t>
            </w:r>
            <w:r w:rsidR="007B3692" w:rsidRPr="00F5085C">
              <w:t>dzības gadījumu skaita pieaugums (kas izriet no paziņojumiem)</w:t>
            </w:r>
            <w:r w:rsidR="003B6252" w:rsidRPr="00F5085C">
              <w:t xml:space="preserve">, piemēram, </w:t>
            </w:r>
            <w:r w:rsidR="00AA211B" w:rsidRPr="00F5085C">
              <w:t xml:space="preserve">attiecībā uz krimināllietām, </w:t>
            </w:r>
            <w:r w:rsidR="003B6252" w:rsidRPr="00F5085C">
              <w:t>ņemot vērā tiesībaizsardzības iestādēs ierosināto kopējo kriminālprocesu skaita palielināšanos katru gadu</w:t>
            </w:r>
            <w:r w:rsidR="003B6252" w:rsidRPr="00F5085C">
              <w:rPr>
                <w:rStyle w:val="Vresatsauce"/>
              </w:rPr>
              <w:footnoteReference w:id="4"/>
            </w:r>
            <w:r w:rsidR="003B6252" w:rsidRPr="00F5085C">
              <w:t>. Vienlaikus norādāms, ka valsts nodrošinātā juridiskā palīdzība tiek sniegta vairākās lietu kategorijās (krimināllietās, administratīvajās lietas, civillietās, no Ārstniecības liku</w:t>
            </w:r>
            <w:r w:rsidR="008B73E1" w:rsidRPr="00F5085C">
              <w:t>ma izrietošās lietās</w:t>
            </w:r>
            <w:r w:rsidR="007B3692" w:rsidRPr="00F5085C">
              <w:t>, pārrobežu lietās</w:t>
            </w:r>
            <w:r w:rsidR="008B73E1" w:rsidRPr="00F5085C">
              <w:t xml:space="preserve">), un katrā </w:t>
            </w:r>
            <w:r w:rsidR="003B6252" w:rsidRPr="00F5085C">
              <w:t>liet</w:t>
            </w:r>
            <w:r w:rsidR="008B73E1" w:rsidRPr="00F5085C">
              <w:t>ā</w:t>
            </w:r>
            <w:r w:rsidR="003B6252" w:rsidRPr="00F5085C">
              <w:t xml:space="preserve"> </w:t>
            </w:r>
            <w:r w:rsidR="00A52846" w:rsidRPr="00F5085C">
              <w:t xml:space="preserve">tiek </w:t>
            </w:r>
            <w:r w:rsidR="007B3692" w:rsidRPr="00F5085C">
              <w:t>izmantoti v</w:t>
            </w:r>
            <w:r w:rsidR="008B73E1" w:rsidRPr="00F5085C">
              <w:t xml:space="preserve">airāki juridiskās palīdzības veidi </w:t>
            </w:r>
            <w:r w:rsidR="003B6252" w:rsidRPr="00F5085C">
              <w:t xml:space="preserve">(piemēram, </w:t>
            </w:r>
            <w:r w:rsidR="008B73E1" w:rsidRPr="00F5085C">
              <w:t xml:space="preserve">juridiska </w:t>
            </w:r>
            <w:r w:rsidR="003B6252" w:rsidRPr="00F5085C">
              <w:t>konsultācija, dokumentus sagatavošana, iepazīšanās ar</w:t>
            </w:r>
            <w:r w:rsidR="000B39B0" w:rsidRPr="00F5085C">
              <w:t xml:space="preserve"> lietas materiāliem </w:t>
            </w:r>
            <w:proofErr w:type="spellStart"/>
            <w:r w:rsidR="000B39B0" w:rsidRPr="00F5085C">
              <w:t>u.c</w:t>
            </w:r>
            <w:proofErr w:type="spellEnd"/>
            <w:r w:rsidR="000B39B0" w:rsidRPr="00F5085C">
              <w:t xml:space="preserve">.), kurus </w:t>
            </w:r>
            <w:r w:rsidR="008B73E1" w:rsidRPr="00F5085C">
              <w:t xml:space="preserve">nodrošina juridiskās palīdzības sniedzējs, un kuru sniegšanas veids un daudzums ir atkarīgs no lietas </w:t>
            </w:r>
            <w:r w:rsidR="00A52846" w:rsidRPr="00F5085C">
              <w:t xml:space="preserve">kategorijas, </w:t>
            </w:r>
            <w:r w:rsidR="008B73E1" w:rsidRPr="00F5085C">
              <w:t xml:space="preserve">būtības, sarežģītības un normatīvajos aktos noteiktās lietas virzības procedūras (piemēram, </w:t>
            </w:r>
            <w:r w:rsidR="00D7041F" w:rsidRPr="00F5085C">
              <w:t xml:space="preserve">lietas </w:t>
            </w:r>
            <w:r w:rsidR="008B73E1" w:rsidRPr="00F5085C">
              <w:t>tiek izskatīta</w:t>
            </w:r>
            <w:r w:rsidR="000B39B0" w:rsidRPr="00F5085C">
              <w:t>s</w:t>
            </w:r>
            <w:r w:rsidR="008B73E1" w:rsidRPr="00F5085C">
              <w:t xml:space="preserve"> rakstveida procesā (attiecīgi tiek vairāk gatavoti procesuālie dokumenti) vai tiesas sēdē (vairāk tiek veikta</w:t>
            </w:r>
            <w:r w:rsidR="00D7041F" w:rsidRPr="00F5085C">
              <w:t xml:space="preserve"> aizstāvība tiesas sēdēs, kam attiecīgi vairāk tiek apmaksātas stundas</w:t>
            </w:r>
            <w:r w:rsidR="008B73E1" w:rsidRPr="00F5085C">
              <w:t>)</w:t>
            </w:r>
            <w:r w:rsidR="00D7041F" w:rsidRPr="00F5085C">
              <w:t>, līdz ar ko juridiskās palīdzības veidu</w:t>
            </w:r>
            <w:r w:rsidR="008B73E1" w:rsidRPr="00F5085C">
              <w:t xml:space="preserve"> </w:t>
            </w:r>
            <w:r w:rsidR="003B6252" w:rsidRPr="00F5085C">
              <w:t>daudzumu katrā atsevišķā lietā nav iespējams prognozēt</w:t>
            </w:r>
            <w:r w:rsidR="00D7041F" w:rsidRPr="00F5085C">
              <w:t>, bet gan kopējo pieauguma tendenci</w:t>
            </w:r>
            <w:r w:rsidR="003B6252" w:rsidRPr="00F5085C">
              <w:t xml:space="preserve">. Turklāt nav iespējams precīzi prognozēt arī katrā konkrētā lietu kategorijā apmaksai iesniegto paziņojumu </w:t>
            </w:r>
            <w:r w:rsidR="003B6252" w:rsidRPr="00F5085C">
              <w:lastRenderedPageBreak/>
              <w:t>skaita pieaugumu, jo katra gada ietvaros kādā lietu kategorijā statistikas dati var pieaugt, savukārt cit</w:t>
            </w:r>
            <w:r w:rsidR="00D7041F" w:rsidRPr="00F5085C">
              <w:t>ā lietu kategorijā samazināties</w:t>
            </w:r>
            <w:r w:rsidR="00054D7E" w:rsidRPr="00F5085C">
              <w:t>.</w:t>
            </w:r>
          </w:p>
          <w:p w:rsidR="003B6252" w:rsidRPr="00F5085C" w:rsidRDefault="00D7041F" w:rsidP="003B6252">
            <w:pPr>
              <w:pStyle w:val="naisf"/>
              <w:tabs>
                <w:tab w:val="left" w:pos="4644"/>
              </w:tabs>
              <w:spacing w:before="0" w:after="0"/>
              <w:ind w:left="-33" w:firstLine="425"/>
            </w:pPr>
            <w:r w:rsidRPr="00F5085C">
              <w:t xml:space="preserve">Ņemot vērā minēto, tiek </w:t>
            </w:r>
            <w:r w:rsidR="00226971" w:rsidRPr="00F5085C">
              <w:t xml:space="preserve">pieņemts </w:t>
            </w:r>
            <w:r w:rsidRPr="00F5085C">
              <w:t xml:space="preserve">ikgadējs apmaksājamo juridiskās palīdzības veidu pieaugums visām lietu kategorijām </w:t>
            </w:r>
            <w:r w:rsidR="003B6252" w:rsidRPr="00F5085C">
              <w:t>3% apmērā</w:t>
            </w:r>
            <w:r w:rsidRPr="00F5085C">
              <w:t xml:space="preserve">. </w:t>
            </w:r>
          </w:p>
          <w:p w:rsidR="00AA211B" w:rsidRPr="00F5085C" w:rsidRDefault="000823E0" w:rsidP="000823E0">
            <w:pPr>
              <w:pStyle w:val="naisf"/>
              <w:tabs>
                <w:tab w:val="left" w:pos="4644"/>
              </w:tabs>
              <w:spacing w:before="0" w:after="0"/>
              <w:ind w:left="-33" w:firstLine="425"/>
            </w:pPr>
            <w:r w:rsidRPr="00793171">
              <w:t xml:space="preserve">Turklāt ņemts vērā apstāklis, ka, sākot ar 2014.gada 1.janvāri, plānots uzsākt līdz šim neapmaksāto juridiskās palīdzības veidu apmaksu un </w:t>
            </w:r>
            <w:r w:rsidRPr="00793171">
              <w:rPr>
                <w:bCs/>
              </w:rPr>
              <w:t>esošo juridiskās palīdzības veidu samaksu maksimālajā apmērā, kas ir noteikts Noteikumu Nr.1493 pamatregulējumā</w:t>
            </w:r>
            <w:r w:rsidRPr="00793171">
              <w:t>.</w:t>
            </w:r>
            <w:r w:rsidR="00AA211B">
              <w:t xml:space="preserve"> </w:t>
            </w:r>
            <w:r w:rsidR="00AA211B" w:rsidRPr="00F5085C">
              <w:t>Prognozējot jaunā juridiskās palīdzības veida apjomu krimināllietās, tiek ņemts vērā 2011.gadā uzsākto kriminālprocesu skaits, kas ir 52032</w:t>
            </w:r>
            <w:r w:rsidR="0067151F" w:rsidRPr="00F5085C">
              <w:t xml:space="preserve"> (Iekšlietu ministrijas Informācijas centra sniegtā statistika)</w:t>
            </w:r>
            <w:r w:rsidR="00AA211B" w:rsidRPr="00F5085C">
              <w:t xml:space="preserve">, no minētā skaita provizoriski </w:t>
            </w:r>
            <w:r w:rsidR="0067151F" w:rsidRPr="00F5085C">
              <w:t xml:space="preserve">tiek pieņemts, ka </w:t>
            </w:r>
            <w:r w:rsidR="00AA211B" w:rsidRPr="00F5085C">
              <w:t xml:space="preserve">15% jeb 7805 gadījumos </w:t>
            </w:r>
            <w:r w:rsidR="00D00EF5" w:rsidRPr="00F5085C">
              <w:t>tiek</w:t>
            </w:r>
            <w:r w:rsidR="00AA211B" w:rsidRPr="00F5085C">
              <w:t xml:space="preserve"> </w:t>
            </w:r>
            <w:r w:rsidR="00D00EF5" w:rsidRPr="00F5085C">
              <w:t>nodrošināta valsts apmaksāta juridiskā palīdzība</w:t>
            </w:r>
            <w:r w:rsidR="00AA211B" w:rsidRPr="00F5085C">
              <w:t xml:space="preserve"> kriminālprocesā, un provizoriski </w:t>
            </w:r>
            <w:r w:rsidR="0067151F" w:rsidRPr="00F5085C">
              <w:t xml:space="preserve">tiek pieņemts, ka </w:t>
            </w:r>
            <w:r w:rsidR="00AA211B" w:rsidRPr="00F5085C">
              <w:t>50% jeb 3902 gadījumos no minētajiem 7805 gadījumiem</w:t>
            </w:r>
            <w:r w:rsidR="00D00EF5" w:rsidRPr="00F5085C">
              <w:t>, kad t</w:t>
            </w:r>
            <w:r w:rsidR="00C94B4B" w:rsidRPr="00F5085C">
              <w:t>iek nodrošināta</w:t>
            </w:r>
            <w:r w:rsidR="0067151F" w:rsidRPr="00F5085C">
              <w:t xml:space="preserve"> valsts apmaksāta juridisk</w:t>
            </w:r>
            <w:r w:rsidR="00C94B4B" w:rsidRPr="00F5085C">
              <w:t>ā</w:t>
            </w:r>
            <w:r w:rsidR="0067151F" w:rsidRPr="00F5085C">
              <w:t xml:space="preserve"> palīdzība kriminālprocesā</w:t>
            </w:r>
            <w:r w:rsidR="00D00EF5" w:rsidRPr="00F5085C">
              <w:t>, tiks</w:t>
            </w:r>
            <w:r w:rsidR="00AA211B" w:rsidRPr="00F5085C">
              <w:t xml:space="preserve"> </w:t>
            </w:r>
            <w:r w:rsidR="00D00EF5" w:rsidRPr="00F5085C">
              <w:t>sagatavota</w:t>
            </w:r>
            <w:r w:rsidR="00AA211B" w:rsidRPr="00F5085C">
              <w:t xml:space="preserve"> sūdzība par kriminālprocesu veicošās amatpersonas rīcību vai nolēmumu un procesuālā piespiedu līdzekļa piemērošanu, grozīšanu vai atcelšanu. </w:t>
            </w:r>
            <w:r w:rsidR="00D00EF5" w:rsidRPr="00F5085C">
              <w:t xml:space="preserve"> </w:t>
            </w:r>
          </w:p>
          <w:p w:rsidR="00C94B4B" w:rsidRPr="00F5085C" w:rsidRDefault="00AA211B" w:rsidP="000823E0">
            <w:pPr>
              <w:pStyle w:val="naisf"/>
              <w:tabs>
                <w:tab w:val="left" w:pos="4644"/>
              </w:tabs>
              <w:spacing w:before="0" w:after="0"/>
              <w:ind w:left="-33" w:firstLine="425"/>
            </w:pPr>
            <w:r w:rsidRPr="00F5085C">
              <w:t xml:space="preserve">Savukārt prognozējot jaunā juridiskās palīdzības veida apjomu civillietās un administratīvajās lietās, tiek ņemts vērā 2013.gadā prognozētais </w:t>
            </w:r>
            <w:r w:rsidR="00C94B4B" w:rsidRPr="00F5085C">
              <w:t xml:space="preserve">juridisko </w:t>
            </w:r>
            <w:r w:rsidRPr="00F5085C">
              <w:t xml:space="preserve">konsultāciju apjoms. Pēc Juridiskās palīdzības administrācijas sniegtās informācijas katrā lietā vidēji ir nepieciešamas 3 konsultācijas, no kurām </w:t>
            </w:r>
            <w:r w:rsidR="00C94B4B" w:rsidRPr="00F5085C">
              <w:t>vidēji</w:t>
            </w:r>
            <w:r w:rsidRPr="00F5085C">
              <w:t xml:space="preserve"> </w:t>
            </w:r>
            <w:r w:rsidR="00C94B4B" w:rsidRPr="00F5085C">
              <w:t xml:space="preserve">katrā </w:t>
            </w:r>
            <w:r w:rsidRPr="00F5085C">
              <w:t>trešajā</w:t>
            </w:r>
            <w:r w:rsidR="00D00EF5" w:rsidRPr="00F5085C">
              <w:t xml:space="preserve"> </w:t>
            </w:r>
            <w:r w:rsidR="00C94B4B" w:rsidRPr="00F5085C">
              <w:t>l</w:t>
            </w:r>
            <w:r w:rsidR="00D00EF5" w:rsidRPr="00F5085C">
              <w:t>ietā</w:t>
            </w:r>
            <w:r w:rsidRPr="00F5085C">
              <w:t xml:space="preserve">, būs nepieciešams sastādīt dokumentu, kas </w:t>
            </w:r>
            <w:r w:rsidR="00C94B4B" w:rsidRPr="00F5085C">
              <w:t>nepieciešams lietas izšķiršanai, līdz ar ko tiek pieņemts aptuvenais civillietās un administratīvajās lietās sastādāmo dokumentu, kas nepieciešams lietas izšķiršanai, skaits.</w:t>
            </w:r>
          </w:p>
          <w:p w:rsidR="000823E0" w:rsidRPr="00E23711" w:rsidRDefault="000823E0" w:rsidP="000823E0">
            <w:pPr>
              <w:pStyle w:val="naisf"/>
              <w:tabs>
                <w:tab w:val="left" w:pos="4644"/>
              </w:tabs>
              <w:spacing w:before="0" w:after="0"/>
              <w:ind w:left="-33" w:firstLine="425"/>
            </w:pPr>
            <w:r w:rsidRPr="00793171">
              <w:t xml:space="preserve">Ievērojot minēto, 2014.gadā kopā nepieciešamais finansējums ir </w:t>
            </w:r>
            <w:r w:rsidRPr="00793171">
              <w:rPr>
                <w:b/>
              </w:rPr>
              <w:t>Ls 2 293 695</w:t>
            </w:r>
            <w:r w:rsidRPr="00793171">
              <w:t xml:space="preserve">. </w:t>
            </w:r>
            <w:r w:rsidR="00AA211B" w:rsidRPr="00F5085C">
              <w:t>Plānotie izdevumi plānoti no precēm un pakalpojumiem (EKK 2276).</w:t>
            </w:r>
            <w:r w:rsidR="00AA211B" w:rsidRPr="004111ED">
              <w:t xml:space="preserve"> </w:t>
            </w:r>
            <w:r w:rsidRPr="00793171">
              <w:t xml:space="preserve">Pret </w:t>
            </w:r>
            <w:r w:rsidRPr="00E23711">
              <w:t xml:space="preserve">2012. gadu  papildus nepieciešami Ls </w:t>
            </w:r>
            <w:r w:rsidRPr="00E23711">
              <w:rPr>
                <w:b/>
              </w:rPr>
              <w:t>1 617 391</w:t>
            </w:r>
            <w:r w:rsidRPr="00E23711">
              <w:t xml:space="preserve">.    </w:t>
            </w:r>
          </w:p>
          <w:p w:rsidR="000823E0" w:rsidRPr="00793171" w:rsidRDefault="000823E0" w:rsidP="000823E0">
            <w:pPr>
              <w:pStyle w:val="naisf"/>
              <w:tabs>
                <w:tab w:val="left" w:pos="4644"/>
              </w:tabs>
              <w:spacing w:before="0" w:after="0"/>
              <w:ind w:left="-33" w:firstLine="425"/>
            </w:pPr>
          </w:p>
          <w:p w:rsidR="000823E0" w:rsidRPr="00793171" w:rsidRDefault="000823E0" w:rsidP="000823E0">
            <w:pPr>
              <w:pStyle w:val="naisf"/>
              <w:tabs>
                <w:tab w:val="left" w:pos="4644"/>
              </w:tabs>
              <w:spacing w:before="0" w:after="0"/>
              <w:ind w:left="-33" w:firstLine="425"/>
              <w:rPr>
                <w:b/>
              </w:rPr>
            </w:pPr>
            <w:r w:rsidRPr="00793171">
              <w:rPr>
                <w:b/>
              </w:rPr>
              <w:t>2015.gads:</w:t>
            </w:r>
          </w:p>
          <w:p w:rsidR="000823E0" w:rsidRPr="00793171" w:rsidRDefault="000823E0" w:rsidP="000823E0">
            <w:pPr>
              <w:pStyle w:val="naisf"/>
              <w:tabs>
                <w:tab w:val="left" w:pos="4644"/>
              </w:tabs>
              <w:spacing w:before="0" w:after="0"/>
              <w:ind w:left="-33" w:firstLine="425"/>
            </w:pPr>
            <w:r w:rsidRPr="00793171">
              <w:t xml:space="preserve">2015.gadā finansiālās ietekmes aprēķini ir veikti, ņemot vērā plānoto 2014.gada statistiku ar pieauguma tendenci 3% apmērā visām lietu kategorijām. Turklāt ņemts vērā apstāklis, ka, sākot ar 2014.gada 1.janvāri, plānots uzsākt līdz šim neapmaksāto juridiskās palīdzības veidu apmaksu. Ievērojot minēto, 2015.gadā kopā nepieciešamais finansējums ir </w:t>
            </w:r>
            <w:r w:rsidRPr="00793171">
              <w:rPr>
                <w:b/>
              </w:rPr>
              <w:t>Ls 2 362 233</w:t>
            </w:r>
            <w:r w:rsidRPr="00793171">
              <w:t xml:space="preserve">. </w:t>
            </w:r>
            <w:r w:rsidR="00AA211B" w:rsidRPr="00F5085C">
              <w:t>Plānotie izdevumi plānoti no precēm un pakalpojumiem (EKK 2276).</w:t>
            </w:r>
            <w:r w:rsidR="00AA211B" w:rsidRPr="004111ED">
              <w:t xml:space="preserve"> </w:t>
            </w:r>
            <w:r w:rsidRPr="00793171">
              <w:t>Pret</w:t>
            </w:r>
            <w:r w:rsidRPr="00E23711">
              <w:t xml:space="preserve"> 2012. gadu  papildus nepieciešami Ls </w:t>
            </w:r>
            <w:r w:rsidRPr="00793171">
              <w:rPr>
                <w:b/>
              </w:rPr>
              <w:t>1 685 929</w:t>
            </w:r>
            <w:r w:rsidRPr="00793171">
              <w:t xml:space="preserve">.    </w:t>
            </w:r>
          </w:p>
          <w:p w:rsidR="000823E0" w:rsidRPr="00793171" w:rsidRDefault="000823E0" w:rsidP="000823E0">
            <w:pPr>
              <w:pStyle w:val="naisf"/>
              <w:tabs>
                <w:tab w:val="left" w:pos="4644"/>
              </w:tabs>
              <w:spacing w:before="0" w:after="0"/>
              <w:ind w:left="-33" w:firstLine="425"/>
            </w:pPr>
            <w:r w:rsidRPr="00793171">
              <w:t xml:space="preserve"> Detalizētu finansējuma aprēķinu katram gadam skatīt anotācijas pielikumos</w:t>
            </w:r>
            <w:r w:rsidR="00E23711" w:rsidRPr="00793171">
              <w:t>.</w:t>
            </w:r>
            <w:r w:rsidRPr="00793171">
              <w:t xml:space="preserve"> </w:t>
            </w:r>
          </w:p>
          <w:p w:rsidR="000823E0" w:rsidRPr="004111ED" w:rsidRDefault="000823E0" w:rsidP="000823E0">
            <w:pPr>
              <w:pStyle w:val="naisf"/>
              <w:tabs>
                <w:tab w:val="left" w:pos="4644"/>
              </w:tabs>
              <w:spacing w:before="0" w:after="0"/>
              <w:ind w:left="-33" w:firstLine="425"/>
            </w:pPr>
          </w:p>
          <w:p w:rsidR="000823E0" w:rsidRPr="004111ED" w:rsidRDefault="000823E0" w:rsidP="000823E0">
            <w:pPr>
              <w:pStyle w:val="naiskr"/>
              <w:spacing w:before="0" w:after="0"/>
              <w:ind w:firstLine="284"/>
              <w:jc w:val="both"/>
            </w:pPr>
            <w:r w:rsidRPr="004111ED">
              <w:t xml:space="preserve">Finansiālās ietekmes aprēķini ir veikti, ņemot vērā pēdējo gadu </w:t>
            </w:r>
            <w:r w:rsidRPr="004111ED">
              <w:lastRenderedPageBreak/>
              <w:t xml:space="preserve">statistiku (juridiskās palīdzības sniedzēju iesniegto paziņojumu skaits, iespējamā prognoze juridiskās palīdzības veidiem, par kuriem apmaksa šobrīd netiek veikta </w:t>
            </w:r>
            <w:proofErr w:type="spellStart"/>
            <w:r w:rsidRPr="004111ED">
              <w:t>u.tml</w:t>
            </w:r>
            <w:proofErr w:type="spellEnd"/>
            <w:r w:rsidRPr="004111ED">
              <w:t>.), tās ikgadēju  pieauguma tendenci, kā arī ņemts vērā apstāklis par līdz šim neapmaksāto juridiskās palīdzības veidu spēkā stāšanos (Noteikumu Nr.1493 9.5., 28.2.apakšpunkts un 29.punkts).</w:t>
            </w:r>
          </w:p>
          <w:p w:rsidR="000823E0" w:rsidRPr="004111ED" w:rsidRDefault="000823E0" w:rsidP="000823E0">
            <w:pPr>
              <w:pStyle w:val="naiskr"/>
              <w:spacing w:before="0" w:after="0"/>
              <w:ind w:firstLine="284"/>
              <w:jc w:val="both"/>
            </w:pPr>
            <w:r w:rsidRPr="004111ED">
              <w:t xml:space="preserve">Vienlaikus norādāms, ka nav iespējams noteikt precīzas prognozes katram gadam attiecībā uz valsts nodrošinātās juridiskās palīdzības sniegšanas gadījumiem, jo nav precīzi prognozējams, cik gadījumos un kurās lietu kategorijās personām būs nepieciešama valsts nodrošinātā juridiskā palīdzība.  </w:t>
            </w:r>
          </w:p>
          <w:p w:rsidR="000823E0" w:rsidRPr="004111ED" w:rsidRDefault="000823E0" w:rsidP="000823E0">
            <w:pPr>
              <w:pStyle w:val="naiskr"/>
              <w:spacing w:before="0" w:after="0"/>
              <w:ind w:firstLine="284"/>
              <w:jc w:val="both"/>
            </w:pPr>
            <w:r w:rsidRPr="004111ED">
              <w:rPr>
                <w:bCs/>
              </w:rPr>
              <w:t xml:space="preserve">Tāpat norādāms, ka </w:t>
            </w:r>
            <w:r w:rsidRPr="004111ED">
              <w:t>nav prognozējams ierosināto civillietu, administratīvo lietu un kriminālprocesu skaita pieaugums vai samazināšanās ārpustiesas un pirmstiesas stadijā un līdz ar to arī izskatāmo civillietu, administratīvo lietu un krimināllietu skaits tiesvedības stadijā, kurās tiek pieaicināts valsts nodrošinātās juridiskās palīdzības sniedzējs, kuram samaksa par sniegto juridisko palīdzību un citi ar tās sniegšanu saistītie atlīdzināmie izdevumi tiek segti no valsts budžeta līdzekļiem.</w:t>
            </w:r>
          </w:p>
          <w:p w:rsidR="000823E0" w:rsidRPr="004111ED" w:rsidRDefault="000823E0" w:rsidP="000823E0">
            <w:pPr>
              <w:pStyle w:val="naiskr"/>
              <w:spacing w:before="0" w:after="0"/>
              <w:ind w:firstLine="284"/>
              <w:jc w:val="both"/>
            </w:pPr>
            <w:r w:rsidRPr="004111ED">
              <w:t>Līdz ar to civillietu skaita ārpustiesas un tiesvedības stadijā, administratīvo lietu  tiesvedības stadijā un kriminālprocesu skaita pirmstiesas stadijā un tiesvedības stadijā samazinājuma gadījumā, kurās tiek pieaicināts valsts nodrošinātās juridiskās palīdzības sniedzējs, valsts nodrošinātās juridiskās palīdzības sniedzēja samaksai un citu ar valsts nodrošinātās juridiskās palīdzības sniegšanu saistīto atlīdzināmo izdevumu segšanai nepieciešamo valsts budžeta līdzekļu apmērs var samazināties, kā rezultātā var veidoties šim mērķim paredzēto valsts budžeta līdzekļu ietaupījums, vai otrādi, ka ierosināto civillietu, administratīvo lietu un kriminālprocesu skaita pirmstiesas stadijā un tiesvedības stadijā palielinājuma gadījumā, kurās tiek pieaicināts valsts nodrošinātās juridiskās palīdzības sniedzējs, nepieciešamo valsts budžeta līdzekļu apmērs var palielināties.</w:t>
            </w:r>
          </w:p>
          <w:p w:rsidR="00210839" w:rsidRPr="004111ED" w:rsidRDefault="000823E0" w:rsidP="00210839">
            <w:pPr>
              <w:pStyle w:val="naiskr"/>
              <w:spacing w:before="0" w:after="0"/>
              <w:ind w:firstLine="284"/>
              <w:jc w:val="both"/>
              <w:rPr>
                <w:bCs/>
              </w:rPr>
            </w:pPr>
            <w:r w:rsidRPr="004111ED">
              <w:t xml:space="preserve">No lietu, kurās tiek pieaicināts valsts nodrošinātās juridiskās palīdzības sniedzējs, skaita pieauguma vai samazināšanās tendences ir atkarīga </w:t>
            </w:r>
            <w:r w:rsidRPr="004111ED">
              <w:rPr>
                <w:bCs/>
              </w:rPr>
              <w:t>apmaksājamo juridiskās palīdzības gadījumu skaita palielināšanās vai samazināšanās.</w:t>
            </w:r>
          </w:p>
          <w:p w:rsidR="00D8535F" w:rsidRPr="004111ED" w:rsidRDefault="000823E0" w:rsidP="00210839">
            <w:pPr>
              <w:pStyle w:val="naiskr"/>
              <w:spacing w:before="0" w:after="0"/>
              <w:ind w:firstLine="284"/>
              <w:jc w:val="both"/>
              <w:rPr>
                <w:bCs/>
              </w:rPr>
            </w:pPr>
            <w:r w:rsidRPr="004111ED">
              <w:t xml:space="preserve">Turklāt </w:t>
            </w:r>
            <w:r w:rsidRPr="004111ED">
              <w:rPr>
                <w:bCs/>
              </w:rPr>
              <w:t>apmaksājamo juridiskās palīdzības gadījumu skaita palielināšanās vai samazināšanās ir atkarīga arī no valsts ekonomiskās situācijas un personas maksātspējas izmaiņām, proti, to uzlabošanās gadījumā var samazināties personu pieprasījumu nodrošināt valsts apmaksāto juridisko palīdzību skaits, vai otrādi, ka personu pieprasījumu nodrošināt valsts apmaksāto juridisko palīdzību skaits var palielināties.</w:t>
            </w:r>
          </w:p>
        </w:tc>
      </w:tr>
      <w:tr w:rsidR="00D8535F" w:rsidRPr="004111ED" w:rsidTr="00821206">
        <w:trPr>
          <w:jc w:val="center"/>
        </w:trPr>
        <w:tc>
          <w:tcPr>
            <w:tcW w:w="3087" w:type="dxa"/>
          </w:tcPr>
          <w:p w:rsidR="00D8535F" w:rsidRPr="004111ED" w:rsidRDefault="00D8535F" w:rsidP="00F90009">
            <w:pPr>
              <w:jc w:val="both"/>
            </w:pPr>
            <w:r w:rsidRPr="004111ED">
              <w:t>6.1. detalizēts ieņēmumu aprēķins</w:t>
            </w:r>
          </w:p>
        </w:tc>
        <w:tc>
          <w:tcPr>
            <w:tcW w:w="6575" w:type="dxa"/>
            <w:gridSpan w:val="5"/>
            <w:vMerge/>
          </w:tcPr>
          <w:p w:rsidR="00D8535F" w:rsidRPr="004111ED" w:rsidRDefault="00D8535F" w:rsidP="00F90009">
            <w:pPr>
              <w:pStyle w:val="naisf"/>
              <w:spacing w:before="0" w:after="0"/>
              <w:ind w:firstLine="0"/>
              <w:rPr>
                <w:b/>
                <w:i/>
              </w:rPr>
            </w:pPr>
          </w:p>
        </w:tc>
      </w:tr>
      <w:tr w:rsidR="00D8535F" w:rsidRPr="004111ED" w:rsidTr="00821206">
        <w:trPr>
          <w:jc w:val="center"/>
        </w:trPr>
        <w:tc>
          <w:tcPr>
            <w:tcW w:w="3087" w:type="dxa"/>
          </w:tcPr>
          <w:p w:rsidR="00D8535F" w:rsidRPr="004111ED" w:rsidRDefault="00D8535F" w:rsidP="00F90009">
            <w:pPr>
              <w:jc w:val="both"/>
            </w:pPr>
            <w:r w:rsidRPr="004111ED">
              <w:t>6.2. detalizēts izdevumu aprēķins</w:t>
            </w:r>
          </w:p>
        </w:tc>
        <w:tc>
          <w:tcPr>
            <w:tcW w:w="6575" w:type="dxa"/>
            <w:gridSpan w:val="5"/>
            <w:vMerge/>
          </w:tcPr>
          <w:p w:rsidR="00D8535F" w:rsidRPr="004111ED" w:rsidRDefault="00D8535F" w:rsidP="00F90009">
            <w:pPr>
              <w:pStyle w:val="naisf"/>
              <w:spacing w:before="0" w:after="0"/>
              <w:ind w:firstLine="0"/>
              <w:rPr>
                <w:b/>
                <w:i/>
              </w:rPr>
            </w:pPr>
          </w:p>
        </w:tc>
      </w:tr>
      <w:tr w:rsidR="00D8535F" w:rsidRPr="004111ED" w:rsidTr="00821206">
        <w:trPr>
          <w:jc w:val="center"/>
        </w:trPr>
        <w:tc>
          <w:tcPr>
            <w:tcW w:w="3087" w:type="dxa"/>
          </w:tcPr>
          <w:p w:rsidR="00D8535F" w:rsidRPr="004111ED" w:rsidRDefault="00D8535F" w:rsidP="00F90009">
            <w:pPr>
              <w:jc w:val="both"/>
            </w:pPr>
            <w:r w:rsidRPr="004111ED">
              <w:lastRenderedPageBreak/>
              <w:t>7. Cita informācija</w:t>
            </w:r>
          </w:p>
        </w:tc>
        <w:tc>
          <w:tcPr>
            <w:tcW w:w="6575" w:type="dxa"/>
            <w:gridSpan w:val="5"/>
          </w:tcPr>
          <w:p w:rsidR="00D8535F" w:rsidRPr="004111ED" w:rsidRDefault="00E7058C" w:rsidP="00E7058C">
            <w:pPr>
              <w:pStyle w:val="naiskr"/>
              <w:spacing w:before="0" w:after="0"/>
              <w:ind w:firstLine="284"/>
              <w:jc w:val="both"/>
              <w:rPr>
                <w:bCs/>
              </w:rPr>
            </w:pPr>
            <w:r w:rsidRPr="00E7058C">
              <w:rPr>
                <w:bCs/>
              </w:rPr>
              <w:t xml:space="preserve">Jautājumu par papildu nepieciešamā finansējuma piešķiršanu Tieslietu ministrijai noteikumu projektā minēto normu īstenošanai 2014.gadā un turpmākajos gados izskatīt Ministru kabinetā kopā ar visu ministriju budžeta prioritāšu pieteikumiem likumprojekta „Par vidēja termiņa budžeta ietvaru 2014., 2015. un 2016.gadam” </w:t>
            </w:r>
            <w:r w:rsidRPr="00E7058C">
              <w:rPr>
                <w:bCs/>
              </w:rPr>
              <w:lastRenderedPageBreak/>
              <w:t>sagatavošanas procesā</w:t>
            </w:r>
            <w:r>
              <w:rPr>
                <w:bCs/>
              </w:rPr>
              <w:t xml:space="preserve"> </w:t>
            </w:r>
            <w:r w:rsidRPr="00E7058C">
              <w:rPr>
                <w:bCs/>
              </w:rPr>
              <w:t xml:space="preserve">(Ministru kabineta 2012.gada 16.augusta sēdes protokola Nr.46 </w:t>
            </w:r>
            <w:bookmarkStart w:id="2" w:name="22"/>
            <w:r w:rsidRPr="00E7058C">
              <w:rPr>
                <w:bCs/>
              </w:rPr>
              <w:t>22</w:t>
            </w:r>
            <w:bookmarkEnd w:id="2"/>
            <w:r w:rsidRPr="00E7058C">
              <w:rPr>
                <w:bCs/>
              </w:rPr>
              <w:t>.§ 5.punkts).</w:t>
            </w:r>
          </w:p>
        </w:tc>
      </w:tr>
    </w:tbl>
    <w:p w:rsidR="002C4FA9" w:rsidRDefault="002C4FA9" w:rsidP="00053E1D">
      <w:pPr>
        <w:pStyle w:val="naiskr"/>
        <w:tabs>
          <w:tab w:val="left" w:pos="2628"/>
        </w:tabs>
        <w:spacing w:before="0" w:after="0"/>
        <w:rPr>
          <w:i/>
        </w:rPr>
      </w:pPr>
    </w:p>
    <w:p w:rsidR="00E7058C" w:rsidRDefault="00E7058C" w:rsidP="00053E1D">
      <w:pPr>
        <w:pStyle w:val="naiskr"/>
        <w:tabs>
          <w:tab w:val="left" w:pos="2628"/>
        </w:tabs>
        <w:spacing w:before="0" w:after="0"/>
        <w:rPr>
          <w:i/>
        </w:rPr>
      </w:pPr>
    </w:p>
    <w:tbl>
      <w:tblPr>
        <w:tblW w:w="9554" w:type="dxa"/>
        <w:jc w:val="center"/>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2"/>
        <w:gridCol w:w="4335"/>
        <w:gridCol w:w="4907"/>
      </w:tblGrid>
      <w:tr w:rsidR="001157CF" w:rsidRPr="007C0F2C" w:rsidTr="001157CF">
        <w:trPr>
          <w:trHeight w:val="553"/>
          <w:jc w:val="center"/>
        </w:trPr>
        <w:tc>
          <w:tcPr>
            <w:tcW w:w="9554" w:type="dxa"/>
            <w:gridSpan w:val="3"/>
          </w:tcPr>
          <w:p w:rsidR="001157CF" w:rsidRPr="001157CF" w:rsidRDefault="001157CF" w:rsidP="001157CF">
            <w:pPr>
              <w:pStyle w:val="naiskr"/>
              <w:spacing w:before="0" w:after="0"/>
              <w:ind w:left="57" w:right="57"/>
              <w:jc w:val="center"/>
              <w:rPr>
                <w:b/>
                <w:iCs/>
              </w:rPr>
            </w:pPr>
            <w:r w:rsidRPr="001157CF">
              <w:rPr>
                <w:b/>
                <w:iCs/>
              </w:rPr>
              <w:t>VI. Sabiedrības līdzdalība un šīs līdzdalības rezultāti</w:t>
            </w:r>
          </w:p>
        </w:tc>
      </w:tr>
      <w:tr w:rsidR="00527A04" w:rsidRPr="007C0F2C" w:rsidTr="001157CF">
        <w:trPr>
          <w:trHeight w:val="553"/>
          <w:jc w:val="center"/>
        </w:trPr>
        <w:tc>
          <w:tcPr>
            <w:tcW w:w="312" w:type="dxa"/>
          </w:tcPr>
          <w:p w:rsidR="00527A04" w:rsidRPr="00527A04" w:rsidRDefault="00527A04" w:rsidP="00527A04">
            <w:pPr>
              <w:pStyle w:val="naiskr"/>
              <w:spacing w:before="0" w:after="0"/>
              <w:ind w:left="57" w:right="57"/>
              <w:jc w:val="both"/>
              <w:rPr>
                <w:iCs/>
              </w:rPr>
            </w:pPr>
            <w:r w:rsidRPr="00527A04">
              <w:rPr>
                <w:iCs/>
              </w:rPr>
              <w:t>1.</w:t>
            </w:r>
          </w:p>
        </w:tc>
        <w:tc>
          <w:tcPr>
            <w:tcW w:w="4335" w:type="dxa"/>
          </w:tcPr>
          <w:p w:rsidR="00527A04" w:rsidRPr="00527A04" w:rsidRDefault="00527A04" w:rsidP="00527A04">
            <w:pPr>
              <w:pStyle w:val="naiskr"/>
              <w:tabs>
                <w:tab w:val="left" w:pos="170"/>
              </w:tabs>
              <w:spacing w:before="0" w:after="0"/>
              <w:ind w:left="57" w:right="57"/>
              <w:jc w:val="both"/>
              <w:rPr>
                <w:iCs/>
              </w:rPr>
            </w:pPr>
            <w:r w:rsidRPr="00527A04">
              <w:rPr>
                <w:iCs/>
              </w:rPr>
              <w:t>Sabiedrības informēšana par projekta izstrādes uzsākšanu</w:t>
            </w:r>
          </w:p>
        </w:tc>
        <w:tc>
          <w:tcPr>
            <w:tcW w:w="4907" w:type="dxa"/>
          </w:tcPr>
          <w:p w:rsidR="00527A04" w:rsidRPr="007C0F2C" w:rsidRDefault="00C372BE" w:rsidP="00797D00">
            <w:pPr>
              <w:pStyle w:val="naiskr"/>
              <w:spacing w:before="0" w:after="0"/>
              <w:ind w:left="57" w:right="57"/>
              <w:jc w:val="both"/>
              <w:rPr>
                <w:sz w:val="22"/>
                <w:szCs w:val="22"/>
              </w:rPr>
            </w:pPr>
            <w:r w:rsidRPr="00C372BE">
              <w:rPr>
                <w:iCs/>
              </w:rPr>
              <w:t>Projekts šo jomu neskar</w:t>
            </w:r>
            <w:r w:rsidR="00E56A45">
              <w:rPr>
                <w:iCs/>
              </w:rPr>
              <w:t>.</w:t>
            </w:r>
            <w:r>
              <w:rPr>
                <w:iCs/>
              </w:rPr>
              <w:t xml:space="preserve"> </w:t>
            </w:r>
          </w:p>
        </w:tc>
      </w:tr>
      <w:tr w:rsidR="00527A04" w:rsidRPr="007C0F2C" w:rsidTr="001157CF">
        <w:trPr>
          <w:trHeight w:val="339"/>
          <w:jc w:val="center"/>
        </w:trPr>
        <w:tc>
          <w:tcPr>
            <w:tcW w:w="312" w:type="dxa"/>
          </w:tcPr>
          <w:p w:rsidR="00527A04" w:rsidRPr="00527A04" w:rsidRDefault="00527A04" w:rsidP="00527A04">
            <w:pPr>
              <w:pStyle w:val="naiskr"/>
              <w:spacing w:before="0" w:after="0"/>
              <w:ind w:left="57" w:right="57"/>
              <w:jc w:val="both"/>
              <w:rPr>
                <w:iCs/>
              </w:rPr>
            </w:pPr>
            <w:r w:rsidRPr="00527A04">
              <w:rPr>
                <w:iCs/>
              </w:rPr>
              <w:t>2.</w:t>
            </w:r>
          </w:p>
        </w:tc>
        <w:tc>
          <w:tcPr>
            <w:tcW w:w="4335" w:type="dxa"/>
          </w:tcPr>
          <w:p w:rsidR="00527A04" w:rsidRPr="00527A04" w:rsidRDefault="00527A04" w:rsidP="00527A04">
            <w:pPr>
              <w:pStyle w:val="naiskr"/>
              <w:spacing w:before="0" w:after="0"/>
              <w:ind w:left="57" w:right="57"/>
              <w:jc w:val="both"/>
              <w:rPr>
                <w:iCs/>
              </w:rPr>
            </w:pPr>
            <w:r w:rsidRPr="00527A04">
              <w:rPr>
                <w:iCs/>
              </w:rPr>
              <w:t xml:space="preserve">Sabiedrības līdzdalība projekta izstrādē </w:t>
            </w:r>
          </w:p>
        </w:tc>
        <w:tc>
          <w:tcPr>
            <w:tcW w:w="4907" w:type="dxa"/>
          </w:tcPr>
          <w:p w:rsidR="00527A04" w:rsidRPr="007C0F2C" w:rsidRDefault="00C372BE" w:rsidP="00797D00">
            <w:pPr>
              <w:pStyle w:val="naiskr"/>
              <w:spacing w:before="0" w:after="0"/>
              <w:ind w:left="57" w:right="57"/>
              <w:jc w:val="both"/>
              <w:rPr>
                <w:sz w:val="22"/>
                <w:szCs w:val="22"/>
              </w:rPr>
            </w:pPr>
            <w:r w:rsidRPr="00C372BE">
              <w:rPr>
                <w:iCs/>
              </w:rPr>
              <w:t>Projekts šo jomu neskar</w:t>
            </w:r>
            <w:r w:rsidR="00E56A45" w:rsidRPr="00E56A45">
              <w:rPr>
                <w:iCs/>
              </w:rPr>
              <w:t>.</w:t>
            </w:r>
            <w:r>
              <w:rPr>
                <w:iCs/>
              </w:rPr>
              <w:t xml:space="preserve"> </w:t>
            </w:r>
          </w:p>
        </w:tc>
      </w:tr>
      <w:tr w:rsidR="00527A04" w:rsidRPr="007C0F2C" w:rsidTr="001157CF">
        <w:trPr>
          <w:trHeight w:val="375"/>
          <w:jc w:val="center"/>
        </w:trPr>
        <w:tc>
          <w:tcPr>
            <w:tcW w:w="312" w:type="dxa"/>
          </w:tcPr>
          <w:p w:rsidR="00527A04" w:rsidRPr="00527A04" w:rsidRDefault="00527A04" w:rsidP="00527A04">
            <w:pPr>
              <w:pStyle w:val="naiskr"/>
              <w:spacing w:before="0" w:after="0"/>
              <w:ind w:left="57" w:right="57"/>
              <w:jc w:val="both"/>
              <w:rPr>
                <w:iCs/>
              </w:rPr>
            </w:pPr>
            <w:r w:rsidRPr="00527A04">
              <w:rPr>
                <w:iCs/>
              </w:rPr>
              <w:t>3.</w:t>
            </w:r>
          </w:p>
        </w:tc>
        <w:tc>
          <w:tcPr>
            <w:tcW w:w="4335" w:type="dxa"/>
          </w:tcPr>
          <w:p w:rsidR="00527A04" w:rsidRPr="00527A04" w:rsidRDefault="00527A04" w:rsidP="00527A04">
            <w:pPr>
              <w:pStyle w:val="naiskr"/>
              <w:spacing w:before="0" w:after="0"/>
              <w:ind w:left="57" w:right="57"/>
              <w:jc w:val="both"/>
              <w:rPr>
                <w:iCs/>
              </w:rPr>
            </w:pPr>
            <w:r w:rsidRPr="00527A04">
              <w:rPr>
                <w:iCs/>
              </w:rPr>
              <w:t xml:space="preserve">Sabiedrības līdzdalības rezultāti </w:t>
            </w:r>
          </w:p>
        </w:tc>
        <w:tc>
          <w:tcPr>
            <w:tcW w:w="4907" w:type="dxa"/>
          </w:tcPr>
          <w:p w:rsidR="00527A04" w:rsidRPr="007C0F2C" w:rsidRDefault="00C372BE" w:rsidP="00797D00">
            <w:pPr>
              <w:pStyle w:val="naiskr"/>
              <w:spacing w:before="0" w:after="0"/>
              <w:ind w:left="57" w:right="57"/>
              <w:jc w:val="both"/>
              <w:rPr>
                <w:sz w:val="22"/>
                <w:szCs w:val="22"/>
              </w:rPr>
            </w:pPr>
            <w:r w:rsidRPr="00C372BE">
              <w:rPr>
                <w:iCs/>
              </w:rPr>
              <w:t>Projekts šo jomu neskar</w:t>
            </w:r>
            <w:r w:rsidR="00F5478B">
              <w:rPr>
                <w:iCs/>
              </w:rPr>
              <w:t>.</w:t>
            </w:r>
            <w:r>
              <w:rPr>
                <w:iCs/>
              </w:rPr>
              <w:t xml:space="preserve"> </w:t>
            </w:r>
          </w:p>
        </w:tc>
      </w:tr>
      <w:tr w:rsidR="00527A04" w:rsidRPr="007C0F2C" w:rsidTr="001157CF">
        <w:trPr>
          <w:trHeight w:val="397"/>
          <w:jc w:val="center"/>
        </w:trPr>
        <w:tc>
          <w:tcPr>
            <w:tcW w:w="312" w:type="dxa"/>
          </w:tcPr>
          <w:p w:rsidR="00527A04" w:rsidRPr="00527A04" w:rsidRDefault="00527A04" w:rsidP="00527A04">
            <w:pPr>
              <w:pStyle w:val="naiskr"/>
              <w:spacing w:before="0" w:after="0"/>
              <w:ind w:left="57" w:right="57"/>
              <w:jc w:val="both"/>
              <w:rPr>
                <w:iCs/>
              </w:rPr>
            </w:pPr>
            <w:r w:rsidRPr="00527A04">
              <w:rPr>
                <w:iCs/>
              </w:rPr>
              <w:t>4.</w:t>
            </w:r>
          </w:p>
        </w:tc>
        <w:tc>
          <w:tcPr>
            <w:tcW w:w="4335" w:type="dxa"/>
          </w:tcPr>
          <w:p w:rsidR="00527A04" w:rsidRPr="00527A04" w:rsidRDefault="00527A04" w:rsidP="00527A04">
            <w:pPr>
              <w:pStyle w:val="naiskr"/>
              <w:spacing w:before="0" w:after="0"/>
              <w:ind w:left="57" w:right="57"/>
              <w:jc w:val="both"/>
              <w:rPr>
                <w:iCs/>
              </w:rPr>
            </w:pPr>
            <w:r w:rsidRPr="00527A04">
              <w:rPr>
                <w:iCs/>
              </w:rPr>
              <w:t>Saeimas un ekspertu līdzdalība</w:t>
            </w:r>
          </w:p>
        </w:tc>
        <w:tc>
          <w:tcPr>
            <w:tcW w:w="4907" w:type="dxa"/>
          </w:tcPr>
          <w:p w:rsidR="00527A04" w:rsidRPr="007C0F2C" w:rsidRDefault="00527A04" w:rsidP="00527A04">
            <w:pPr>
              <w:pStyle w:val="naiskr"/>
              <w:spacing w:before="0" w:after="0"/>
              <w:ind w:left="57" w:right="57"/>
              <w:jc w:val="both"/>
              <w:rPr>
                <w:sz w:val="22"/>
                <w:szCs w:val="22"/>
              </w:rPr>
            </w:pPr>
            <w:r>
              <w:t xml:space="preserve">Latvijas Zvērinātu advokātu padome ir sniegusi viedokli par Projektu. Latvijas Zvērinātu advokātu padome neatbalsta Projektu, jo </w:t>
            </w:r>
            <w:r w:rsidRPr="008630AB">
              <w:rPr>
                <w:sz w:val="26"/>
                <w:szCs w:val="26"/>
              </w:rPr>
              <w:t xml:space="preserve">nepiekrīt spēkā esošajos  </w:t>
            </w:r>
            <w:r>
              <w:rPr>
                <w:sz w:val="26"/>
                <w:szCs w:val="26"/>
              </w:rPr>
              <w:t xml:space="preserve">Noteikumos Nr.1493 </w:t>
            </w:r>
            <w:r w:rsidRPr="008630AB">
              <w:rPr>
                <w:sz w:val="26"/>
                <w:szCs w:val="26"/>
              </w:rPr>
              <w:t>paredzētā pārejas perioda pagarināšanai līdz 2014.gada 1.janvārim</w:t>
            </w:r>
            <w:r>
              <w:rPr>
                <w:sz w:val="26"/>
                <w:szCs w:val="26"/>
              </w:rPr>
              <w:t>.</w:t>
            </w:r>
          </w:p>
        </w:tc>
      </w:tr>
      <w:tr w:rsidR="00527A04" w:rsidRPr="007C0F2C" w:rsidTr="001157CF">
        <w:trPr>
          <w:trHeight w:val="476"/>
          <w:jc w:val="center"/>
        </w:trPr>
        <w:tc>
          <w:tcPr>
            <w:tcW w:w="312" w:type="dxa"/>
          </w:tcPr>
          <w:p w:rsidR="00527A04" w:rsidRPr="00527A04" w:rsidRDefault="00527A04" w:rsidP="00527A04">
            <w:pPr>
              <w:pStyle w:val="naiskr"/>
              <w:spacing w:before="0" w:after="0"/>
              <w:ind w:left="57" w:right="57"/>
              <w:jc w:val="both"/>
              <w:rPr>
                <w:iCs/>
              </w:rPr>
            </w:pPr>
            <w:r w:rsidRPr="00527A04">
              <w:rPr>
                <w:iCs/>
              </w:rPr>
              <w:t>5.</w:t>
            </w:r>
          </w:p>
        </w:tc>
        <w:tc>
          <w:tcPr>
            <w:tcW w:w="4335" w:type="dxa"/>
          </w:tcPr>
          <w:p w:rsidR="00527A04" w:rsidRPr="00527A04" w:rsidRDefault="00527A04" w:rsidP="00527A04">
            <w:pPr>
              <w:pStyle w:val="naiskr"/>
              <w:spacing w:before="0" w:after="0"/>
              <w:ind w:left="57" w:right="57"/>
              <w:jc w:val="both"/>
              <w:rPr>
                <w:iCs/>
              </w:rPr>
            </w:pPr>
            <w:r w:rsidRPr="00527A04">
              <w:rPr>
                <w:iCs/>
              </w:rPr>
              <w:t>Cita informācija</w:t>
            </w:r>
          </w:p>
          <w:p w:rsidR="00527A04" w:rsidRPr="00527A04" w:rsidRDefault="00527A04" w:rsidP="00527A04">
            <w:pPr>
              <w:pStyle w:val="naiskr"/>
              <w:spacing w:before="0" w:after="0"/>
              <w:ind w:left="57" w:right="57"/>
              <w:jc w:val="both"/>
              <w:rPr>
                <w:iCs/>
              </w:rPr>
            </w:pPr>
          </w:p>
        </w:tc>
        <w:tc>
          <w:tcPr>
            <w:tcW w:w="4907" w:type="dxa"/>
          </w:tcPr>
          <w:p w:rsidR="00527A04" w:rsidRPr="007C0F2C" w:rsidRDefault="00527A04" w:rsidP="00797D00">
            <w:pPr>
              <w:pStyle w:val="naiskr"/>
              <w:spacing w:before="0" w:after="0"/>
              <w:ind w:left="57" w:right="57"/>
              <w:jc w:val="both"/>
              <w:rPr>
                <w:sz w:val="22"/>
                <w:szCs w:val="22"/>
              </w:rPr>
            </w:pPr>
            <w:r w:rsidRPr="007C0F2C">
              <w:rPr>
                <w:sz w:val="22"/>
                <w:szCs w:val="22"/>
              </w:rPr>
              <w:t>Nav</w:t>
            </w:r>
            <w:r w:rsidR="00F5478B">
              <w:rPr>
                <w:sz w:val="22"/>
                <w:szCs w:val="22"/>
              </w:rPr>
              <w:t>.</w:t>
            </w:r>
          </w:p>
        </w:tc>
      </w:tr>
    </w:tbl>
    <w:p w:rsidR="00527A04" w:rsidRDefault="00527A04" w:rsidP="00053E1D">
      <w:pPr>
        <w:pStyle w:val="naiskr"/>
        <w:tabs>
          <w:tab w:val="left" w:pos="2628"/>
        </w:tabs>
        <w:spacing w:before="0" w:after="0"/>
        <w:rPr>
          <w:i/>
        </w:rPr>
      </w:pPr>
    </w:p>
    <w:p w:rsidR="00527A04" w:rsidRPr="004111ED" w:rsidRDefault="00527A04" w:rsidP="00053E1D">
      <w:pPr>
        <w:pStyle w:val="naiskr"/>
        <w:tabs>
          <w:tab w:val="left" w:pos="2628"/>
        </w:tabs>
        <w:spacing w:before="0" w:after="0"/>
        <w:rPr>
          <w:i/>
        </w:rPr>
      </w:pPr>
    </w:p>
    <w:tbl>
      <w:tblPr>
        <w:tblW w:w="9640"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68"/>
        <w:gridCol w:w="4254"/>
        <w:gridCol w:w="4818"/>
      </w:tblGrid>
      <w:tr w:rsidR="0023436E" w:rsidRPr="004111ED" w:rsidTr="001157CF">
        <w:tc>
          <w:tcPr>
            <w:tcW w:w="9640" w:type="dxa"/>
            <w:gridSpan w:val="3"/>
            <w:tcBorders>
              <w:top w:val="single" w:sz="4" w:space="0" w:color="auto"/>
            </w:tcBorders>
          </w:tcPr>
          <w:p w:rsidR="0023436E" w:rsidRPr="004111ED" w:rsidRDefault="0023436E" w:rsidP="007D099D">
            <w:pPr>
              <w:pStyle w:val="naisnod"/>
              <w:spacing w:before="0" w:after="0"/>
              <w:ind w:left="57" w:right="57"/>
            </w:pPr>
            <w:r w:rsidRPr="004111ED">
              <w:t>VII</w:t>
            </w:r>
            <w:r w:rsidR="000941C5" w:rsidRPr="004111ED">
              <w:t>.</w:t>
            </w:r>
            <w:r w:rsidRPr="004111ED">
              <w:t xml:space="preserve"> Tiesību akta projekta izpildes nodrošināšana un tās ietekme uz institūcijām</w:t>
            </w:r>
          </w:p>
        </w:tc>
      </w:tr>
      <w:tr w:rsidR="0023436E" w:rsidRPr="004111ED" w:rsidTr="001157CF">
        <w:trPr>
          <w:trHeight w:val="427"/>
        </w:trPr>
        <w:tc>
          <w:tcPr>
            <w:tcW w:w="568" w:type="dxa"/>
          </w:tcPr>
          <w:p w:rsidR="0023436E" w:rsidRPr="004111ED" w:rsidRDefault="0023436E" w:rsidP="007D099D">
            <w:pPr>
              <w:pStyle w:val="naisnod"/>
              <w:spacing w:before="0" w:after="0"/>
              <w:ind w:left="57" w:right="57"/>
              <w:jc w:val="left"/>
              <w:rPr>
                <w:b w:val="0"/>
              </w:rPr>
            </w:pPr>
            <w:r w:rsidRPr="004111ED">
              <w:rPr>
                <w:b w:val="0"/>
              </w:rPr>
              <w:t>1.</w:t>
            </w:r>
          </w:p>
        </w:tc>
        <w:tc>
          <w:tcPr>
            <w:tcW w:w="4254" w:type="dxa"/>
          </w:tcPr>
          <w:p w:rsidR="0023436E" w:rsidRPr="004111ED" w:rsidRDefault="001A4066" w:rsidP="007D099D">
            <w:pPr>
              <w:pStyle w:val="naisf"/>
              <w:spacing w:before="0" w:after="0"/>
              <w:ind w:left="57" w:right="57" w:firstLine="0"/>
              <w:jc w:val="left"/>
            </w:pPr>
            <w:r w:rsidRPr="004111ED">
              <w:t>P</w:t>
            </w:r>
            <w:r w:rsidR="0023436E" w:rsidRPr="004111ED">
              <w:t xml:space="preserve">rojekta izpildē iesaistītās institūcijas </w:t>
            </w:r>
          </w:p>
        </w:tc>
        <w:tc>
          <w:tcPr>
            <w:tcW w:w="4818" w:type="dxa"/>
          </w:tcPr>
          <w:p w:rsidR="0023436E" w:rsidRPr="004111ED" w:rsidRDefault="00053E1D" w:rsidP="00E13CBB">
            <w:pPr>
              <w:pStyle w:val="naisnod"/>
              <w:spacing w:before="0" w:after="0"/>
              <w:ind w:left="57" w:right="57"/>
              <w:jc w:val="both"/>
              <w:rPr>
                <w:b w:val="0"/>
              </w:rPr>
            </w:pPr>
            <w:r w:rsidRPr="004111ED">
              <w:rPr>
                <w:b w:val="0"/>
                <w:iCs/>
              </w:rPr>
              <w:t>Juridiskās palīdzības administrācija</w:t>
            </w:r>
            <w:r w:rsidR="00214E36" w:rsidRPr="004111ED">
              <w:rPr>
                <w:b w:val="0"/>
                <w:iCs/>
              </w:rPr>
              <w:t>, valsts nodrošinātās juridiskās palīdzības sniedzēji</w:t>
            </w:r>
            <w:r w:rsidR="00F5478B">
              <w:rPr>
                <w:b w:val="0"/>
                <w:iCs/>
              </w:rPr>
              <w:t>.</w:t>
            </w:r>
          </w:p>
        </w:tc>
      </w:tr>
      <w:tr w:rsidR="00053E1D" w:rsidRPr="004111ED" w:rsidTr="001157CF">
        <w:trPr>
          <w:trHeight w:val="463"/>
        </w:trPr>
        <w:tc>
          <w:tcPr>
            <w:tcW w:w="568" w:type="dxa"/>
          </w:tcPr>
          <w:p w:rsidR="00053E1D" w:rsidRPr="004111ED" w:rsidRDefault="00053E1D" w:rsidP="007D099D">
            <w:pPr>
              <w:pStyle w:val="naisnod"/>
              <w:spacing w:before="0" w:after="0"/>
              <w:ind w:left="57" w:right="57"/>
              <w:jc w:val="left"/>
              <w:rPr>
                <w:b w:val="0"/>
              </w:rPr>
            </w:pPr>
            <w:r w:rsidRPr="004111ED">
              <w:rPr>
                <w:b w:val="0"/>
              </w:rPr>
              <w:t>2.</w:t>
            </w:r>
          </w:p>
        </w:tc>
        <w:tc>
          <w:tcPr>
            <w:tcW w:w="4254" w:type="dxa"/>
          </w:tcPr>
          <w:p w:rsidR="00053E1D" w:rsidRPr="004111ED" w:rsidRDefault="00053E1D" w:rsidP="007D099D">
            <w:pPr>
              <w:pStyle w:val="naisf"/>
              <w:spacing w:before="0" w:after="0"/>
              <w:ind w:left="57" w:right="57" w:firstLine="0"/>
              <w:jc w:val="left"/>
            </w:pPr>
            <w:r w:rsidRPr="004111ED">
              <w:t xml:space="preserve">Projekta izpildes ietekme uz pārvaldes funkcijām </w:t>
            </w:r>
          </w:p>
        </w:tc>
        <w:tc>
          <w:tcPr>
            <w:tcW w:w="4818" w:type="dxa"/>
          </w:tcPr>
          <w:p w:rsidR="00053E1D" w:rsidRPr="004111ED" w:rsidRDefault="00053E1D">
            <w:r w:rsidRPr="004111ED">
              <w:rPr>
                <w:iCs/>
              </w:rPr>
              <w:t>Projekts šo jomu neskar</w:t>
            </w:r>
            <w:r w:rsidR="00F5478B">
              <w:rPr>
                <w:iCs/>
              </w:rPr>
              <w:t>.</w:t>
            </w:r>
          </w:p>
        </w:tc>
      </w:tr>
      <w:tr w:rsidR="00053E1D" w:rsidRPr="004111ED" w:rsidTr="001157CF">
        <w:trPr>
          <w:trHeight w:val="725"/>
        </w:trPr>
        <w:tc>
          <w:tcPr>
            <w:tcW w:w="568" w:type="dxa"/>
          </w:tcPr>
          <w:p w:rsidR="00053E1D" w:rsidRPr="004111ED" w:rsidRDefault="00053E1D" w:rsidP="007D099D">
            <w:pPr>
              <w:pStyle w:val="naisnod"/>
              <w:spacing w:before="0" w:after="0"/>
              <w:ind w:left="57" w:right="57"/>
              <w:jc w:val="left"/>
              <w:rPr>
                <w:b w:val="0"/>
              </w:rPr>
            </w:pPr>
            <w:r w:rsidRPr="004111ED">
              <w:rPr>
                <w:b w:val="0"/>
              </w:rPr>
              <w:t>3.</w:t>
            </w:r>
          </w:p>
        </w:tc>
        <w:tc>
          <w:tcPr>
            <w:tcW w:w="4254" w:type="dxa"/>
          </w:tcPr>
          <w:p w:rsidR="00053E1D" w:rsidRPr="004111ED" w:rsidRDefault="00053E1D" w:rsidP="007D099D">
            <w:pPr>
              <w:pStyle w:val="naisf"/>
              <w:spacing w:before="0" w:after="0"/>
              <w:ind w:left="57" w:right="57" w:firstLine="0"/>
              <w:jc w:val="left"/>
            </w:pPr>
            <w:r w:rsidRPr="004111ED">
              <w:t>Projekta izpildes ietekme uz pārvaldes institucionālo struktūru.</w:t>
            </w:r>
          </w:p>
          <w:p w:rsidR="00053E1D" w:rsidRPr="004111ED" w:rsidRDefault="00053E1D" w:rsidP="007D099D">
            <w:pPr>
              <w:pStyle w:val="naisf"/>
              <w:spacing w:before="0" w:after="0"/>
              <w:ind w:left="57" w:right="57" w:firstLine="0"/>
              <w:jc w:val="left"/>
            </w:pPr>
            <w:r w:rsidRPr="004111ED">
              <w:t>Jaunu institūciju izveide</w:t>
            </w:r>
          </w:p>
        </w:tc>
        <w:tc>
          <w:tcPr>
            <w:tcW w:w="4818" w:type="dxa"/>
          </w:tcPr>
          <w:p w:rsidR="00053E1D" w:rsidRPr="004111ED" w:rsidRDefault="00053E1D">
            <w:r w:rsidRPr="004111ED">
              <w:rPr>
                <w:iCs/>
              </w:rPr>
              <w:t>Projekts šo jomu neskar</w:t>
            </w:r>
            <w:r w:rsidR="00F5478B">
              <w:rPr>
                <w:iCs/>
              </w:rPr>
              <w:t>.</w:t>
            </w:r>
          </w:p>
        </w:tc>
      </w:tr>
      <w:tr w:rsidR="00053E1D" w:rsidRPr="004111ED" w:rsidTr="001157CF">
        <w:trPr>
          <w:trHeight w:val="780"/>
        </w:trPr>
        <w:tc>
          <w:tcPr>
            <w:tcW w:w="568" w:type="dxa"/>
          </w:tcPr>
          <w:p w:rsidR="00053E1D" w:rsidRPr="004111ED" w:rsidRDefault="00053E1D" w:rsidP="007D099D">
            <w:pPr>
              <w:pStyle w:val="naisnod"/>
              <w:spacing w:before="0" w:after="0"/>
              <w:ind w:left="57" w:right="57"/>
              <w:jc w:val="left"/>
              <w:rPr>
                <w:b w:val="0"/>
              </w:rPr>
            </w:pPr>
            <w:r w:rsidRPr="004111ED">
              <w:rPr>
                <w:b w:val="0"/>
              </w:rPr>
              <w:t>4.</w:t>
            </w:r>
          </w:p>
        </w:tc>
        <w:tc>
          <w:tcPr>
            <w:tcW w:w="4254" w:type="dxa"/>
          </w:tcPr>
          <w:p w:rsidR="00053E1D" w:rsidRPr="004111ED" w:rsidRDefault="00053E1D" w:rsidP="007D099D">
            <w:pPr>
              <w:pStyle w:val="naisf"/>
              <w:spacing w:before="0" w:after="0"/>
              <w:ind w:left="57" w:right="57" w:firstLine="0"/>
              <w:jc w:val="left"/>
            </w:pPr>
            <w:r w:rsidRPr="004111ED">
              <w:t>Projekta izpildes ietekme uz pārvaldes institucionālo struktūru.</w:t>
            </w:r>
          </w:p>
          <w:p w:rsidR="00053E1D" w:rsidRPr="004111ED" w:rsidRDefault="00053E1D" w:rsidP="007D099D">
            <w:pPr>
              <w:pStyle w:val="naisf"/>
              <w:spacing w:before="0" w:after="0"/>
              <w:ind w:left="57" w:right="57" w:firstLine="0"/>
              <w:jc w:val="left"/>
            </w:pPr>
            <w:r w:rsidRPr="004111ED">
              <w:t>Esošu institūciju likvidācija</w:t>
            </w:r>
          </w:p>
        </w:tc>
        <w:tc>
          <w:tcPr>
            <w:tcW w:w="4818" w:type="dxa"/>
          </w:tcPr>
          <w:p w:rsidR="00053E1D" w:rsidRPr="004111ED" w:rsidRDefault="00053E1D">
            <w:r w:rsidRPr="004111ED">
              <w:rPr>
                <w:iCs/>
              </w:rPr>
              <w:t>Projekts šo jomu neskar</w:t>
            </w:r>
            <w:r w:rsidR="00F5478B">
              <w:rPr>
                <w:iCs/>
              </w:rPr>
              <w:t>.</w:t>
            </w:r>
          </w:p>
        </w:tc>
      </w:tr>
      <w:tr w:rsidR="00053E1D" w:rsidRPr="004111ED" w:rsidTr="001157CF">
        <w:trPr>
          <w:trHeight w:val="703"/>
        </w:trPr>
        <w:tc>
          <w:tcPr>
            <w:tcW w:w="568" w:type="dxa"/>
          </w:tcPr>
          <w:p w:rsidR="00053E1D" w:rsidRPr="004111ED" w:rsidRDefault="00053E1D" w:rsidP="007D099D">
            <w:pPr>
              <w:pStyle w:val="naisnod"/>
              <w:spacing w:before="0" w:after="0"/>
              <w:ind w:left="57" w:right="57"/>
              <w:jc w:val="left"/>
              <w:rPr>
                <w:b w:val="0"/>
              </w:rPr>
            </w:pPr>
            <w:r w:rsidRPr="004111ED">
              <w:rPr>
                <w:b w:val="0"/>
              </w:rPr>
              <w:t>5.</w:t>
            </w:r>
          </w:p>
        </w:tc>
        <w:tc>
          <w:tcPr>
            <w:tcW w:w="4254" w:type="dxa"/>
          </w:tcPr>
          <w:p w:rsidR="00053E1D" w:rsidRPr="004111ED" w:rsidRDefault="00053E1D" w:rsidP="007D099D">
            <w:pPr>
              <w:pStyle w:val="naisf"/>
              <w:spacing w:before="0" w:after="0"/>
              <w:ind w:left="57" w:right="57" w:firstLine="0"/>
              <w:jc w:val="left"/>
            </w:pPr>
            <w:r w:rsidRPr="004111ED">
              <w:t>Projekta izpildes ietekme uz pārvaldes institucionālo struktūru.</w:t>
            </w:r>
          </w:p>
          <w:p w:rsidR="00053E1D" w:rsidRPr="004111ED" w:rsidRDefault="00053E1D" w:rsidP="007D099D">
            <w:pPr>
              <w:pStyle w:val="naisf"/>
              <w:spacing w:before="0" w:after="0"/>
              <w:ind w:left="57" w:right="57" w:firstLine="0"/>
              <w:jc w:val="left"/>
            </w:pPr>
            <w:r w:rsidRPr="004111ED">
              <w:t>Esošu institūciju reorganizācija</w:t>
            </w:r>
          </w:p>
        </w:tc>
        <w:tc>
          <w:tcPr>
            <w:tcW w:w="4818" w:type="dxa"/>
          </w:tcPr>
          <w:p w:rsidR="00053E1D" w:rsidRPr="004111ED" w:rsidRDefault="00053E1D">
            <w:r w:rsidRPr="004111ED">
              <w:rPr>
                <w:iCs/>
              </w:rPr>
              <w:t>Projekts šo jomu neskar</w:t>
            </w:r>
            <w:r w:rsidR="00F5478B">
              <w:rPr>
                <w:iCs/>
              </w:rPr>
              <w:t>.</w:t>
            </w:r>
          </w:p>
        </w:tc>
      </w:tr>
      <w:tr w:rsidR="0023436E" w:rsidRPr="004111ED" w:rsidTr="001157CF">
        <w:trPr>
          <w:trHeight w:val="254"/>
        </w:trPr>
        <w:tc>
          <w:tcPr>
            <w:tcW w:w="568" w:type="dxa"/>
          </w:tcPr>
          <w:p w:rsidR="0023436E" w:rsidRPr="004111ED" w:rsidRDefault="00F63DAC" w:rsidP="007D099D">
            <w:pPr>
              <w:pStyle w:val="naiskr"/>
              <w:spacing w:before="0" w:after="0"/>
              <w:ind w:left="57" w:right="57"/>
            </w:pPr>
            <w:r w:rsidRPr="004111ED">
              <w:t>6</w:t>
            </w:r>
            <w:r w:rsidR="0023436E" w:rsidRPr="004111ED">
              <w:t>.</w:t>
            </w:r>
          </w:p>
        </w:tc>
        <w:tc>
          <w:tcPr>
            <w:tcW w:w="4254" w:type="dxa"/>
          </w:tcPr>
          <w:p w:rsidR="0023436E" w:rsidRPr="004111ED" w:rsidRDefault="006C4607" w:rsidP="007D099D">
            <w:pPr>
              <w:pStyle w:val="naiskr"/>
              <w:spacing w:before="0" w:after="0"/>
              <w:ind w:left="57" w:right="57"/>
            </w:pPr>
            <w:r w:rsidRPr="004111ED">
              <w:t>Cita informācija</w:t>
            </w:r>
          </w:p>
        </w:tc>
        <w:tc>
          <w:tcPr>
            <w:tcW w:w="4818" w:type="dxa"/>
          </w:tcPr>
          <w:p w:rsidR="0023436E" w:rsidRPr="004111ED" w:rsidRDefault="0023436E" w:rsidP="007D099D">
            <w:pPr>
              <w:pStyle w:val="naiskr"/>
              <w:spacing w:before="0" w:after="0"/>
              <w:ind w:left="57" w:right="57"/>
            </w:pPr>
            <w:r w:rsidRPr="004111ED">
              <w:t>Nav</w:t>
            </w:r>
            <w:r w:rsidR="00F5478B">
              <w:t>.</w:t>
            </w:r>
          </w:p>
        </w:tc>
      </w:tr>
    </w:tbl>
    <w:p w:rsidR="00855E89" w:rsidRDefault="00855E89" w:rsidP="00855E89">
      <w:pPr>
        <w:pStyle w:val="naiskr"/>
        <w:tabs>
          <w:tab w:val="left" w:pos="2628"/>
        </w:tabs>
        <w:spacing w:before="0" w:after="0"/>
        <w:rPr>
          <w:i/>
        </w:rPr>
      </w:pPr>
    </w:p>
    <w:p w:rsidR="00855E89" w:rsidRDefault="00527A04" w:rsidP="00855E89">
      <w:pPr>
        <w:pStyle w:val="naiskr"/>
        <w:tabs>
          <w:tab w:val="left" w:pos="2628"/>
        </w:tabs>
        <w:spacing w:before="0" w:after="0"/>
        <w:rPr>
          <w:i/>
        </w:rPr>
      </w:pPr>
      <w:r>
        <w:rPr>
          <w:i/>
        </w:rPr>
        <w:t>Anotācijas IV un V</w:t>
      </w:r>
      <w:r w:rsidR="00855E89" w:rsidRPr="004111ED">
        <w:rPr>
          <w:i/>
        </w:rPr>
        <w:t xml:space="preserve"> sadaļa – projekts šo jomu neskar.</w:t>
      </w:r>
    </w:p>
    <w:p w:rsidR="001D0D7F" w:rsidRDefault="001D0D7F" w:rsidP="00855E89">
      <w:pPr>
        <w:pStyle w:val="naiskr"/>
        <w:tabs>
          <w:tab w:val="left" w:pos="2628"/>
        </w:tabs>
        <w:spacing w:before="0" w:after="0"/>
        <w:rPr>
          <w:i/>
        </w:rPr>
      </w:pPr>
    </w:p>
    <w:p w:rsidR="001264DD" w:rsidRPr="004111ED" w:rsidRDefault="001264DD" w:rsidP="001264DD">
      <w:pPr>
        <w:pStyle w:val="naisf"/>
        <w:tabs>
          <w:tab w:val="left" w:pos="6804"/>
        </w:tabs>
        <w:spacing w:before="0" w:after="0"/>
        <w:ind w:firstLine="0"/>
      </w:pPr>
    </w:p>
    <w:p w:rsidR="001264DD" w:rsidRPr="004111ED" w:rsidRDefault="0015060C" w:rsidP="001264DD">
      <w:pPr>
        <w:pStyle w:val="naisf"/>
        <w:tabs>
          <w:tab w:val="left" w:pos="6804"/>
        </w:tabs>
        <w:spacing w:before="0" w:after="0"/>
        <w:ind w:firstLine="0"/>
      </w:pPr>
      <w:r w:rsidRPr="004111ED">
        <w:t>Tieslietu ministrs</w:t>
      </w:r>
      <w:r w:rsidR="00214094" w:rsidRPr="004111ED">
        <w:tab/>
      </w:r>
      <w:r w:rsidR="00F5478B">
        <w:tab/>
      </w:r>
      <w:r w:rsidR="00821206" w:rsidRPr="004111ED">
        <w:t>J</w:t>
      </w:r>
      <w:r w:rsidR="00214094" w:rsidRPr="004111ED">
        <w:t>.</w:t>
      </w:r>
      <w:r w:rsidR="00FE0666" w:rsidRPr="004111ED">
        <w:t> </w:t>
      </w:r>
      <w:proofErr w:type="spellStart"/>
      <w:r w:rsidR="00821206" w:rsidRPr="004111ED">
        <w:t>Bordāns</w:t>
      </w:r>
      <w:proofErr w:type="spellEnd"/>
    </w:p>
    <w:p w:rsidR="001264DD" w:rsidRPr="004111ED" w:rsidRDefault="001264DD" w:rsidP="001264DD">
      <w:pPr>
        <w:pStyle w:val="naisf"/>
        <w:tabs>
          <w:tab w:val="left" w:pos="6804"/>
        </w:tabs>
        <w:spacing w:before="0" w:after="0"/>
        <w:ind w:firstLine="0"/>
      </w:pPr>
    </w:p>
    <w:p w:rsidR="005A09A4" w:rsidRDefault="005A09A4" w:rsidP="003541FB">
      <w:pPr>
        <w:ind w:left="-284"/>
        <w:jc w:val="both"/>
        <w:rPr>
          <w:sz w:val="20"/>
          <w:szCs w:val="20"/>
          <w:lang w:val="sv-SE"/>
        </w:rPr>
      </w:pPr>
    </w:p>
    <w:p w:rsidR="003541FB" w:rsidRPr="004111ED" w:rsidRDefault="00E7058C" w:rsidP="003541FB">
      <w:pPr>
        <w:ind w:left="-284"/>
        <w:jc w:val="both"/>
        <w:rPr>
          <w:sz w:val="20"/>
          <w:szCs w:val="20"/>
        </w:rPr>
      </w:pPr>
      <w:r>
        <w:rPr>
          <w:sz w:val="20"/>
          <w:szCs w:val="20"/>
          <w:lang w:val="sv-SE"/>
        </w:rPr>
        <w:t>0</w:t>
      </w:r>
      <w:r w:rsidR="00C372BE">
        <w:rPr>
          <w:sz w:val="20"/>
          <w:szCs w:val="20"/>
          <w:lang w:val="sv-SE"/>
        </w:rPr>
        <w:t>4</w:t>
      </w:r>
      <w:r>
        <w:rPr>
          <w:sz w:val="20"/>
          <w:szCs w:val="20"/>
          <w:lang w:val="sv-SE"/>
        </w:rPr>
        <w:t>.12</w:t>
      </w:r>
      <w:r w:rsidR="003541FB" w:rsidRPr="004111ED">
        <w:rPr>
          <w:sz w:val="20"/>
          <w:szCs w:val="20"/>
          <w:lang w:val="sv-SE"/>
        </w:rPr>
        <w:t xml:space="preserve">.2012. </w:t>
      </w:r>
      <w:r w:rsidR="00096FA4">
        <w:rPr>
          <w:sz w:val="20"/>
          <w:szCs w:val="20"/>
          <w:lang w:val="sv-SE"/>
        </w:rPr>
        <w:t>1</w:t>
      </w:r>
      <w:r w:rsidR="00C372BE">
        <w:rPr>
          <w:sz w:val="20"/>
          <w:szCs w:val="20"/>
          <w:lang w:val="sv-SE"/>
        </w:rPr>
        <w:t>2</w:t>
      </w:r>
      <w:r w:rsidR="003541FB" w:rsidRPr="004111ED">
        <w:rPr>
          <w:sz w:val="20"/>
          <w:szCs w:val="20"/>
          <w:lang w:val="sv-SE"/>
        </w:rPr>
        <w:t>:</w:t>
      </w:r>
      <w:r w:rsidR="00C372BE">
        <w:rPr>
          <w:sz w:val="20"/>
          <w:szCs w:val="20"/>
          <w:lang w:val="sv-SE"/>
        </w:rPr>
        <w:t>14</w:t>
      </w:r>
      <w:r w:rsidR="00EF63E8">
        <w:rPr>
          <w:sz w:val="20"/>
          <w:szCs w:val="20"/>
          <w:lang w:val="sv-SE"/>
        </w:rPr>
        <w:t xml:space="preserve"> </w:t>
      </w:r>
    </w:p>
    <w:p w:rsidR="003541FB" w:rsidRPr="004111ED" w:rsidRDefault="00527A04" w:rsidP="003541FB">
      <w:pPr>
        <w:ind w:left="-284"/>
        <w:jc w:val="both"/>
        <w:rPr>
          <w:sz w:val="20"/>
          <w:szCs w:val="20"/>
        </w:rPr>
      </w:pPr>
      <w:r>
        <w:rPr>
          <w:sz w:val="20"/>
          <w:szCs w:val="20"/>
        </w:rPr>
        <w:t>5</w:t>
      </w:r>
      <w:r w:rsidR="00C372BE">
        <w:rPr>
          <w:sz w:val="20"/>
          <w:szCs w:val="20"/>
        </w:rPr>
        <w:t>153</w:t>
      </w:r>
      <w:r w:rsidR="00EF63E8">
        <w:rPr>
          <w:sz w:val="20"/>
          <w:szCs w:val="20"/>
        </w:rPr>
        <w:t xml:space="preserve"> </w:t>
      </w:r>
    </w:p>
    <w:p w:rsidR="003541FB" w:rsidRPr="004111ED" w:rsidRDefault="003541FB" w:rsidP="003541FB">
      <w:pPr>
        <w:pStyle w:val="HTMLiepriekformattais"/>
        <w:ind w:left="-284"/>
        <w:jc w:val="both"/>
        <w:rPr>
          <w:rFonts w:ascii="Times New Roman" w:hAnsi="Times New Roman"/>
        </w:rPr>
      </w:pPr>
      <w:proofErr w:type="spellStart"/>
      <w:r w:rsidRPr="004111ED">
        <w:rPr>
          <w:rFonts w:ascii="Times New Roman" w:hAnsi="Times New Roman"/>
        </w:rPr>
        <w:t>R.Kalnača</w:t>
      </w:r>
      <w:proofErr w:type="spellEnd"/>
    </w:p>
    <w:p w:rsidR="003541FB" w:rsidRPr="004111ED" w:rsidRDefault="003541FB" w:rsidP="00E16DB7">
      <w:pPr>
        <w:pStyle w:val="HTMLiepriekformattais"/>
        <w:ind w:left="-284"/>
        <w:jc w:val="both"/>
        <w:rPr>
          <w:sz w:val="24"/>
          <w:szCs w:val="24"/>
        </w:rPr>
      </w:pPr>
      <w:r w:rsidRPr="004111ED">
        <w:rPr>
          <w:rFonts w:ascii="Times New Roman" w:hAnsi="Times New Roman"/>
        </w:rPr>
        <w:t xml:space="preserve">67036769, </w:t>
      </w:r>
      <w:hyperlink r:id="rId12" w:history="1">
        <w:r w:rsidRPr="004111ED">
          <w:rPr>
            <w:rStyle w:val="Hipersaite"/>
            <w:rFonts w:ascii="Times New Roman" w:hAnsi="Times New Roman"/>
            <w:color w:val="auto"/>
          </w:rPr>
          <w:t>Ruta.Kalnaca@tm.gov.lv</w:t>
        </w:r>
      </w:hyperlink>
    </w:p>
    <w:sectPr w:rsidR="003541FB" w:rsidRPr="004111ED" w:rsidSect="00381FC9">
      <w:headerReference w:type="even" r:id="rId13"/>
      <w:headerReference w:type="default" r:id="rId14"/>
      <w:footerReference w:type="default" r:id="rId15"/>
      <w:footerReference w:type="first" r:id="rId16"/>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29A" w:rsidRDefault="00F5729A">
      <w:r>
        <w:separator/>
      </w:r>
    </w:p>
  </w:endnote>
  <w:endnote w:type="continuationSeparator" w:id="0">
    <w:p w:rsidR="00F5729A" w:rsidRDefault="00F57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692" w:rsidRPr="00381FC9" w:rsidRDefault="007B3692" w:rsidP="007716F4">
    <w:pPr>
      <w:ind w:left="-284" w:right="-142"/>
      <w:jc w:val="both"/>
      <w:rPr>
        <w:sz w:val="22"/>
        <w:szCs w:val="22"/>
      </w:rPr>
    </w:pPr>
    <w:r w:rsidRPr="00802555">
      <w:rPr>
        <w:sz w:val="22"/>
        <w:szCs w:val="22"/>
      </w:rPr>
      <w:t>T</w:t>
    </w:r>
    <w:r w:rsidR="00096FA4">
      <w:rPr>
        <w:sz w:val="22"/>
        <w:szCs w:val="22"/>
      </w:rPr>
      <w:t>MAnot_</w:t>
    </w:r>
    <w:r w:rsidR="00E7058C">
      <w:rPr>
        <w:sz w:val="22"/>
        <w:szCs w:val="22"/>
      </w:rPr>
      <w:t>0</w:t>
    </w:r>
    <w:r w:rsidR="00E56A45">
      <w:rPr>
        <w:sz w:val="22"/>
        <w:szCs w:val="22"/>
      </w:rPr>
      <w:t>4</w:t>
    </w:r>
    <w:r w:rsidR="00E7058C">
      <w:rPr>
        <w:sz w:val="22"/>
        <w:szCs w:val="22"/>
      </w:rPr>
      <w:t>12</w:t>
    </w:r>
    <w:r w:rsidRPr="00802555">
      <w:rPr>
        <w:sz w:val="22"/>
        <w:szCs w:val="22"/>
      </w:rPr>
      <w:t>12_</w:t>
    </w:r>
    <w:r w:rsidR="00F5478B">
      <w:rPr>
        <w:sz w:val="22"/>
        <w:szCs w:val="22"/>
      </w:rPr>
      <w:t>takses</w:t>
    </w:r>
    <w:r w:rsidRPr="00381FC9">
      <w:rPr>
        <w:sz w:val="22"/>
        <w:szCs w:val="22"/>
      </w:rPr>
      <w:t xml:space="preserve">; Ministru kabineta noteikumu projekta „Grozījumi Ministru kabineta 2009. gada 22. decembra noteikumos </w:t>
    </w:r>
    <w:proofErr w:type="spellStart"/>
    <w:r w:rsidRPr="00381FC9">
      <w:rPr>
        <w:sz w:val="22"/>
        <w:szCs w:val="22"/>
      </w:rPr>
      <w:t>Nr</w:t>
    </w:r>
    <w:proofErr w:type="spellEnd"/>
    <w:r w:rsidRPr="00381FC9">
      <w:rPr>
        <w:sz w:val="22"/>
        <w:szCs w:val="22"/>
      </w:rPr>
      <w:t>. 1493 „Noteikumi par valsts nodrošinātās juridiskās palīdzības apjomu, samaksas apmēru, atlīdzināmajiem izdevumiem un to izmaksas kārtību”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692" w:rsidRPr="00381FC9" w:rsidRDefault="007B3692" w:rsidP="00934428">
    <w:pPr>
      <w:ind w:left="-284" w:right="-142"/>
      <w:jc w:val="both"/>
      <w:rPr>
        <w:sz w:val="22"/>
        <w:szCs w:val="22"/>
      </w:rPr>
    </w:pPr>
    <w:r w:rsidRPr="00802555">
      <w:rPr>
        <w:sz w:val="22"/>
        <w:szCs w:val="22"/>
      </w:rPr>
      <w:t>T</w:t>
    </w:r>
    <w:r>
      <w:rPr>
        <w:sz w:val="22"/>
        <w:szCs w:val="22"/>
      </w:rPr>
      <w:t>MAn</w:t>
    </w:r>
    <w:r w:rsidR="00096FA4">
      <w:rPr>
        <w:sz w:val="22"/>
        <w:szCs w:val="22"/>
      </w:rPr>
      <w:t>ot_</w:t>
    </w:r>
    <w:r w:rsidR="00E7058C">
      <w:rPr>
        <w:sz w:val="22"/>
        <w:szCs w:val="22"/>
      </w:rPr>
      <w:t>0</w:t>
    </w:r>
    <w:r w:rsidR="00E56A45">
      <w:rPr>
        <w:sz w:val="22"/>
        <w:szCs w:val="22"/>
      </w:rPr>
      <w:t>4</w:t>
    </w:r>
    <w:r w:rsidR="00E7058C">
      <w:rPr>
        <w:sz w:val="22"/>
        <w:szCs w:val="22"/>
      </w:rPr>
      <w:t>12</w:t>
    </w:r>
    <w:r w:rsidRPr="00802555">
      <w:rPr>
        <w:sz w:val="22"/>
        <w:szCs w:val="22"/>
      </w:rPr>
      <w:t>12_</w:t>
    </w:r>
    <w:r w:rsidR="00F5478B">
      <w:rPr>
        <w:sz w:val="22"/>
        <w:szCs w:val="22"/>
      </w:rPr>
      <w:t>takses</w:t>
    </w:r>
    <w:r w:rsidRPr="00381FC9">
      <w:rPr>
        <w:sz w:val="22"/>
        <w:szCs w:val="22"/>
      </w:rPr>
      <w:t xml:space="preserve">; Ministru kabineta noteikumu projekta „Grozījumi Ministru kabineta 2009. gada 22. decembra noteikumos </w:t>
    </w:r>
    <w:proofErr w:type="spellStart"/>
    <w:r w:rsidRPr="00381FC9">
      <w:rPr>
        <w:sz w:val="22"/>
        <w:szCs w:val="22"/>
      </w:rPr>
      <w:t>Nr</w:t>
    </w:r>
    <w:proofErr w:type="spellEnd"/>
    <w:r w:rsidRPr="00381FC9">
      <w:rPr>
        <w:sz w:val="22"/>
        <w:szCs w:val="22"/>
      </w:rPr>
      <w:t>. 1493 „Noteikumi par valsts nodrošinātās juridiskās palīdzības apjomu, samaksas apmēru, atlīdzināmajiem izdevumiem un to izmaksas kārtību”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29A" w:rsidRDefault="00F5729A">
      <w:r>
        <w:separator/>
      </w:r>
    </w:p>
  </w:footnote>
  <w:footnote w:type="continuationSeparator" w:id="0">
    <w:p w:rsidR="00F5729A" w:rsidRDefault="00F5729A">
      <w:r>
        <w:continuationSeparator/>
      </w:r>
    </w:p>
  </w:footnote>
  <w:footnote w:id="1">
    <w:p w:rsidR="007B3692" w:rsidRDefault="007B3692" w:rsidP="00381FC9">
      <w:pPr>
        <w:pStyle w:val="Vresteksts"/>
        <w:ind w:right="-143"/>
        <w:jc w:val="both"/>
      </w:pPr>
      <w:r>
        <w:rPr>
          <w:rStyle w:val="Vresatsauce"/>
        </w:rPr>
        <w:footnoteRef/>
      </w:r>
      <w:r>
        <w:t xml:space="preserve"> Dokumenta sastādīšana, kas nepieciešams lietas izšķiršanai (viedoklis vai paskaidrojumi) civillietās, administratīvajās lietās un pārrobežu strīdu lietās (9.5.apakšpunkts); Kriminālprocesa likumā noteiktajos gadījumos paredzētās rakstiskās sūdzības sastādīšana par kriminālprocesu veicošās amatpersonas rīcību vai nolēmumu un procesuālā piespiedu līdzekļa piemērošanu, grozīšanu vai atcelšanu (28.2.apakšpunkts) un juridiska konsultācija uzreiz pirms vai pēc procesuālās darbības veikšanas vai tiesas sēdes (29.punkts)</w:t>
      </w:r>
    </w:p>
  </w:footnote>
  <w:footnote w:id="2">
    <w:p w:rsidR="007B3692" w:rsidRDefault="007B3692" w:rsidP="002C4FA9">
      <w:pPr>
        <w:pStyle w:val="Vresteksts"/>
        <w:ind w:left="-284"/>
      </w:pPr>
      <w:r>
        <w:rPr>
          <w:rStyle w:val="Vresatsauce"/>
        </w:rPr>
        <w:footnoteRef/>
      </w:r>
      <w:r>
        <w:t xml:space="preserve"> </w:t>
      </w:r>
      <w:r w:rsidRPr="002C2B37">
        <w:t>http://jpa.gov.lv/statistika</w:t>
      </w:r>
    </w:p>
  </w:footnote>
  <w:footnote w:id="3">
    <w:p w:rsidR="007B3692" w:rsidRDefault="007B3692">
      <w:pPr>
        <w:pStyle w:val="Vresteksts"/>
      </w:pPr>
      <w:r>
        <w:rPr>
          <w:rStyle w:val="Vresatsauce"/>
        </w:rPr>
        <w:footnoteRef/>
      </w:r>
      <w:r>
        <w:t xml:space="preserve"> </w:t>
      </w:r>
      <w:r w:rsidRPr="003B6252">
        <w:t>http://www.jpa.gov.lv/statistika</w:t>
      </w:r>
      <w:r>
        <w:t xml:space="preserve"> </w:t>
      </w:r>
    </w:p>
  </w:footnote>
  <w:footnote w:id="4">
    <w:p w:rsidR="007B3692" w:rsidRDefault="007B3692">
      <w:pPr>
        <w:pStyle w:val="Vresteksts"/>
      </w:pPr>
      <w:r>
        <w:rPr>
          <w:rStyle w:val="Vresatsauce"/>
        </w:rPr>
        <w:footnoteRef/>
      </w:r>
      <w:r>
        <w:t xml:space="preserve"> </w:t>
      </w:r>
      <w:r w:rsidRPr="003B6252">
        <w:t>http://www.vp.gov.lv/?id=305&amp;said=305</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692" w:rsidRDefault="007B3692" w:rsidP="003C449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7B3692" w:rsidRDefault="007B3692">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692" w:rsidRDefault="007B3692" w:rsidP="003C449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E93652">
      <w:rPr>
        <w:rStyle w:val="Lappusesnumurs"/>
        <w:noProof/>
      </w:rPr>
      <w:t>17</w:t>
    </w:r>
    <w:r>
      <w:rPr>
        <w:rStyle w:val="Lappusesnumurs"/>
      </w:rPr>
      <w:fldChar w:fldCharType="end"/>
    </w:r>
  </w:p>
  <w:p w:rsidR="007B3692" w:rsidRDefault="007B3692">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4">
    <w:nsid w:val="233147CD"/>
    <w:multiLevelType w:val="hybridMultilevel"/>
    <w:tmpl w:val="73C8631C"/>
    <w:lvl w:ilvl="0" w:tplc="04260001">
      <w:start w:val="1"/>
      <w:numFmt w:val="bullet"/>
      <w:lvlText w:val=""/>
      <w:lvlJc w:val="left"/>
      <w:pPr>
        <w:ind w:left="687" w:hanging="360"/>
      </w:pPr>
      <w:rPr>
        <w:rFonts w:ascii="Symbol" w:hAnsi="Symbol" w:hint="default"/>
      </w:rPr>
    </w:lvl>
    <w:lvl w:ilvl="1" w:tplc="04260003" w:tentative="1">
      <w:start w:val="1"/>
      <w:numFmt w:val="bullet"/>
      <w:lvlText w:val="o"/>
      <w:lvlJc w:val="left"/>
      <w:pPr>
        <w:ind w:left="1407" w:hanging="360"/>
      </w:pPr>
      <w:rPr>
        <w:rFonts w:ascii="Courier New" w:hAnsi="Courier New" w:cs="Courier New" w:hint="default"/>
      </w:rPr>
    </w:lvl>
    <w:lvl w:ilvl="2" w:tplc="04260005" w:tentative="1">
      <w:start w:val="1"/>
      <w:numFmt w:val="bullet"/>
      <w:lvlText w:val=""/>
      <w:lvlJc w:val="left"/>
      <w:pPr>
        <w:ind w:left="2127" w:hanging="360"/>
      </w:pPr>
      <w:rPr>
        <w:rFonts w:ascii="Wingdings" w:hAnsi="Wingdings" w:hint="default"/>
      </w:rPr>
    </w:lvl>
    <w:lvl w:ilvl="3" w:tplc="04260001" w:tentative="1">
      <w:start w:val="1"/>
      <w:numFmt w:val="bullet"/>
      <w:lvlText w:val=""/>
      <w:lvlJc w:val="left"/>
      <w:pPr>
        <w:ind w:left="2847" w:hanging="360"/>
      </w:pPr>
      <w:rPr>
        <w:rFonts w:ascii="Symbol" w:hAnsi="Symbol" w:hint="default"/>
      </w:rPr>
    </w:lvl>
    <w:lvl w:ilvl="4" w:tplc="04260003" w:tentative="1">
      <w:start w:val="1"/>
      <w:numFmt w:val="bullet"/>
      <w:lvlText w:val="o"/>
      <w:lvlJc w:val="left"/>
      <w:pPr>
        <w:ind w:left="3567" w:hanging="360"/>
      </w:pPr>
      <w:rPr>
        <w:rFonts w:ascii="Courier New" w:hAnsi="Courier New" w:cs="Courier New" w:hint="default"/>
      </w:rPr>
    </w:lvl>
    <w:lvl w:ilvl="5" w:tplc="04260005" w:tentative="1">
      <w:start w:val="1"/>
      <w:numFmt w:val="bullet"/>
      <w:lvlText w:val=""/>
      <w:lvlJc w:val="left"/>
      <w:pPr>
        <w:ind w:left="4287" w:hanging="360"/>
      </w:pPr>
      <w:rPr>
        <w:rFonts w:ascii="Wingdings" w:hAnsi="Wingdings" w:hint="default"/>
      </w:rPr>
    </w:lvl>
    <w:lvl w:ilvl="6" w:tplc="04260001" w:tentative="1">
      <w:start w:val="1"/>
      <w:numFmt w:val="bullet"/>
      <w:lvlText w:val=""/>
      <w:lvlJc w:val="left"/>
      <w:pPr>
        <w:ind w:left="5007" w:hanging="360"/>
      </w:pPr>
      <w:rPr>
        <w:rFonts w:ascii="Symbol" w:hAnsi="Symbol" w:hint="default"/>
      </w:rPr>
    </w:lvl>
    <w:lvl w:ilvl="7" w:tplc="04260003" w:tentative="1">
      <w:start w:val="1"/>
      <w:numFmt w:val="bullet"/>
      <w:lvlText w:val="o"/>
      <w:lvlJc w:val="left"/>
      <w:pPr>
        <w:ind w:left="5727" w:hanging="360"/>
      </w:pPr>
      <w:rPr>
        <w:rFonts w:ascii="Courier New" w:hAnsi="Courier New" w:cs="Courier New" w:hint="default"/>
      </w:rPr>
    </w:lvl>
    <w:lvl w:ilvl="8" w:tplc="04260005" w:tentative="1">
      <w:start w:val="1"/>
      <w:numFmt w:val="bullet"/>
      <w:lvlText w:val=""/>
      <w:lvlJc w:val="left"/>
      <w:pPr>
        <w:ind w:left="6447" w:hanging="360"/>
      </w:pPr>
      <w:rPr>
        <w:rFonts w:ascii="Wingdings" w:hAnsi="Wingdings" w:hint="default"/>
      </w:rPr>
    </w:lvl>
  </w:abstractNum>
  <w:abstractNum w:abstractNumId="5">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
    <w:nsid w:val="301E27EA"/>
    <w:multiLevelType w:val="hybridMultilevel"/>
    <w:tmpl w:val="C744F876"/>
    <w:lvl w:ilvl="0" w:tplc="06B2354A">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7">
    <w:nsid w:val="48582939"/>
    <w:multiLevelType w:val="multilevel"/>
    <w:tmpl w:val="565EE998"/>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4">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14"/>
  </w:num>
  <w:num w:numId="3">
    <w:abstractNumId w:val="3"/>
  </w:num>
  <w:num w:numId="4">
    <w:abstractNumId w:val="1"/>
  </w:num>
  <w:num w:numId="5">
    <w:abstractNumId w:val="0"/>
  </w:num>
  <w:num w:numId="6">
    <w:abstractNumId w:val="11"/>
  </w:num>
  <w:num w:numId="7">
    <w:abstractNumId w:val="15"/>
  </w:num>
  <w:num w:numId="8">
    <w:abstractNumId w:val="8"/>
  </w:num>
  <w:num w:numId="9">
    <w:abstractNumId w:val="2"/>
  </w:num>
  <w:num w:numId="10">
    <w:abstractNumId w:val="9"/>
  </w:num>
  <w:num w:numId="11">
    <w:abstractNumId w:val="10"/>
  </w:num>
  <w:num w:numId="12">
    <w:abstractNumId w:val="12"/>
  </w:num>
  <w:num w:numId="13">
    <w:abstractNumId w:val="13"/>
  </w:num>
  <w:num w:numId="14">
    <w:abstractNumId w:val="6"/>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49"/>
    <w:rsid w:val="00011D24"/>
    <w:rsid w:val="00013FF4"/>
    <w:rsid w:val="00020FE1"/>
    <w:rsid w:val="00022E13"/>
    <w:rsid w:val="00026398"/>
    <w:rsid w:val="00032388"/>
    <w:rsid w:val="00034762"/>
    <w:rsid w:val="00035CE2"/>
    <w:rsid w:val="00040BCD"/>
    <w:rsid w:val="00045A0E"/>
    <w:rsid w:val="00051B01"/>
    <w:rsid w:val="00052EB2"/>
    <w:rsid w:val="000534E2"/>
    <w:rsid w:val="0005369F"/>
    <w:rsid w:val="00053E1D"/>
    <w:rsid w:val="00054D7E"/>
    <w:rsid w:val="0005553B"/>
    <w:rsid w:val="000604D2"/>
    <w:rsid w:val="000823E0"/>
    <w:rsid w:val="000866ED"/>
    <w:rsid w:val="0009005E"/>
    <w:rsid w:val="000941C5"/>
    <w:rsid w:val="00096FA4"/>
    <w:rsid w:val="000A6451"/>
    <w:rsid w:val="000B064E"/>
    <w:rsid w:val="000B39B0"/>
    <w:rsid w:val="000B69CF"/>
    <w:rsid w:val="000C790C"/>
    <w:rsid w:val="000D0E78"/>
    <w:rsid w:val="000D36AC"/>
    <w:rsid w:val="000E0146"/>
    <w:rsid w:val="000E4056"/>
    <w:rsid w:val="000E74EB"/>
    <w:rsid w:val="000F061D"/>
    <w:rsid w:val="000F0A44"/>
    <w:rsid w:val="000F4794"/>
    <w:rsid w:val="000F699B"/>
    <w:rsid w:val="0011445C"/>
    <w:rsid w:val="001157CF"/>
    <w:rsid w:val="00121096"/>
    <w:rsid w:val="00124F12"/>
    <w:rsid w:val="001264DD"/>
    <w:rsid w:val="00134497"/>
    <w:rsid w:val="00144723"/>
    <w:rsid w:val="00144E3A"/>
    <w:rsid w:val="001501A4"/>
    <w:rsid w:val="0015060C"/>
    <w:rsid w:val="001524E4"/>
    <w:rsid w:val="00152F30"/>
    <w:rsid w:val="0016018A"/>
    <w:rsid w:val="00161F0E"/>
    <w:rsid w:val="001628F3"/>
    <w:rsid w:val="00165772"/>
    <w:rsid w:val="001658F1"/>
    <w:rsid w:val="00170E2A"/>
    <w:rsid w:val="00177394"/>
    <w:rsid w:val="00182C18"/>
    <w:rsid w:val="00183CC2"/>
    <w:rsid w:val="001900E4"/>
    <w:rsid w:val="00190F88"/>
    <w:rsid w:val="00194883"/>
    <w:rsid w:val="0019693A"/>
    <w:rsid w:val="001A4066"/>
    <w:rsid w:val="001A6AE4"/>
    <w:rsid w:val="001A74AD"/>
    <w:rsid w:val="001B01FD"/>
    <w:rsid w:val="001B4A71"/>
    <w:rsid w:val="001B4B66"/>
    <w:rsid w:val="001C24CC"/>
    <w:rsid w:val="001D0D7F"/>
    <w:rsid w:val="001D2A31"/>
    <w:rsid w:val="001D3505"/>
    <w:rsid w:val="001D5B54"/>
    <w:rsid w:val="001E1DBF"/>
    <w:rsid w:val="001E4639"/>
    <w:rsid w:val="001E4A7D"/>
    <w:rsid w:val="001F4209"/>
    <w:rsid w:val="001F43A8"/>
    <w:rsid w:val="001F5586"/>
    <w:rsid w:val="001F5CD6"/>
    <w:rsid w:val="00210839"/>
    <w:rsid w:val="0021263D"/>
    <w:rsid w:val="00213F0C"/>
    <w:rsid w:val="00214094"/>
    <w:rsid w:val="00214E36"/>
    <w:rsid w:val="0021592D"/>
    <w:rsid w:val="00221851"/>
    <w:rsid w:val="00222D76"/>
    <w:rsid w:val="00223696"/>
    <w:rsid w:val="00223EB1"/>
    <w:rsid w:val="00226971"/>
    <w:rsid w:val="00231344"/>
    <w:rsid w:val="002333D4"/>
    <w:rsid w:val="0023436E"/>
    <w:rsid w:val="002347C0"/>
    <w:rsid w:val="002352B6"/>
    <w:rsid w:val="00235B7D"/>
    <w:rsid w:val="00241A6C"/>
    <w:rsid w:val="00242D2B"/>
    <w:rsid w:val="002430F2"/>
    <w:rsid w:val="00256BD0"/>
    <w:rsid w:val="00262E2B"/>
    <w:rsid w:val="00270429"/>
    <w:rsid w:val="00271368"/>
    <w:rsid w:val="002723E9"/>
    <w:rsid w:val="00277929"/>
    <w:rsid w:val="002835DC"/>
    <w:rsid w:val="00283B82"/>
    <w:rsid w:val="002846E9"/>
    <w:rsid w:val="00284C34"/>
    <w:rsid w:val="0029066C"/>
    <w:rsid w:val="002A32C1"/>
    <w:rsid w:val="002B50DB"/>
    <w:rsid w:val="002B7934"/>
    <w:rsid w:val="002C12AB"/>
    <w:rsid w:val="002C1503"/>
    <w:rsid w:val="002C2B37"/>
    <w:rsid w:val="002C4816"/>
    <w:rsid w:val="002C4FA9"/>
    <w:rsid w:val="002C7CAC"/>
    <w:rsid w:val="002D3306"/>
    <w:rsid w:val="002D48AA"/>
    <w:rsid w:val="002D7BAA"/>
    <w:rsid w:val="002D7F54"/>
    <w:rsid w:val="002E3FF4"/>
    <w:rsid w:val="002F78C8"/>
    <w:rsid w:val="003012C2"/>
    <w:rsid w:val="00301CF3"/>
    <w:rsid w:val="003066BB"/>
    <w:rsid w:val="00307D78"/>
    <w:rsid w:val="00324006"/>
    <w:rsid w:val="0032715C"/>
    <w:rsid w:val="00337CA5"/>
    <w:rsid w:val="00337EEF"/>
    <w:rsid w:val="00342801"/>
    <w:rsid w:val="00347CF8"/>
    <w:rsid w:val="003510F7"/>
    <w:rsid w:val="003541FB"/>
    <w:rsid w:val="00354792"/>
    <w:rsid w:val="003570B2"/>
    <w:rsid w:val="00362478"/>
    <w:rsid w:val="00363D9F"/>
    <w:rsid w:val="00372292"/>
    <w:rsid w:val="00372E6C"/>
    <w:rsid w:val="00374958"/>
    <w:rsid w:val="00375B25"/>
    <w:rsid w:val="0037649F"/>
    <w:rsid w:val="003810CB"/>
    <w:rsid w:val="0038132C"/>
    <w:rsid w:val="00381FC9"/>
    <w:rsid w:val="00391A90"/>
    <w:rsid w:val="00396542"/>
    <w:rsid w:val="0039685B"/>
    <w:rsid w:val="003A220C"/>
    <w:rsid w:val="003A31A6"/>
    <w:rsid w:val="003A7F0C"/>
    <w:rsid w:val="003A7F79"/>
    <w:rsid w:val="003B0970"/>
    <w:rsid w:val="003B31A7"/>
    <w:rsid w:val="003B6252"/>
    <w:rsid w:val="003B6404"/>
    <w:rsid w:val="003C41E1"/>
    <w:rsid w:val="003C449B"/>
    <w:rsid w:val="003C4564"/>
    <w:rsid w:val="003C54A6"/>
    <w:rsid w:val="003C58B1"/>
    <w:rsid w:val="003C7466"/>
    <w:rsid w:val="003D21FF"/>
    <w:rsid w:val="003F0112"/>
    <w:rsid w:val="003F071A"/>
    <w:rsid w:val="003F0B8F"/>
    <w:rsid w:val="003F160B"/>
    <w:rsid w:val="003F400E"/>
    <w:rsid w:val="00400032"/>
    <w:rsid w:val="00400B5B"/>
    <w:rsid w:val="00401637"/>
    <w:rsid w:val="00405A00"/>
    <w:rsid w:val="004111ED"/>
    <w:rsid w:val="00420870"/>
    <w:rsid w:val="0042669D"/>
    <w:rsid w:val="00432D0C"/>
    <w:rsid w:val="004375F2"/>
    <w:rsid w:val="0043791B"/>
    <w:rsid w:val="00437FF2"/>
    <w:rsid w:val="00441483"/>
    <w:rsid w:val="0044162A"/>
    <w:rsid w:val="00441BCB"/>
    <w:rsid w:val="0045094E"/>
    <w:rsid w:val="0045176A"/>
    <w:rsid w:val="004545E7"/>
    <w:rsid w:val="00456332"/>
    <w:rsid w:val="00461826"/>
    <w:rsid w:val="004800F9"/>
    <w:rsid w:val="00480E90"/>
    <w:rsid w:val="0048612D"/>
    <w:rsid w:val="00487420"/>
    <w:rsid w:val="0049134A"/>
    <w:rsid w:val="004A16C8"/>
    <w:rsid w:val="004A58CB"/>
    <w:rsid w:val="004A5966"/>
    <w:rsid w:val="004A6BE3"/>
    <w:rsid w:val="004B0AAE"/>
    <w:rsid w:val="004B1795"/>
    <w:rsid w:val="004B4E51"/>
    <w:rsid w:val="004B56DD"/>
    <w:rsid w:val="004C020F"/>
    <w:rsid w:val="004C1512"/>
    <w:rsid w:val="004C1AFD"/>
    <w:rsid w:val="004C558B"/>
    <w:rsid w:val="004D0230"/>
    <w:rsid w:val="004D1F17"/>
    <w:rsid w:val="004F1F88"/>
    <w:rsid w:val="004F5452"/>
    <w:rsid w:val="004F5F1B"/>
    <w:rsid w:val="0050053D"/>
    <w:rsid w:val="00502374"/>
    <w:rsid w:val="005060A1"/>
    <w:rsid w:val="005066BC"/>
    <w:rsid w:val="00516072"/>
    <w:rsid w:val="00522ECE"/>
    <w:rsid w:val="00524C73"/>
    <w:rsid w:val="00525436"/>
    <w:rsid w:val="005255C1"/>
    <w:rsid w:val="00527A04"/>
    <w:rsid w:val="00527FD6"/>
    <w:rsid w:val="005332EC"/>
    <w:rsid w:val="00534418"/>
    <w:rsid w:val="005353AB"/>
    <w:rsid w:val="00535D0F"/>
    <w:rsid w:val="005360CD"/>
    <w:rsid w:val="005434D6"/>
    <w:rsid w:val="00555B02"/>
    <w:rsid w:val="005560BC"/>
    <w:rsid w:val="00556763"/>
    <w:rsid w:val="005573BE"/>
    <w:rsid w:val="0056095A"/>
    <w:rsid w:val="005617C4"/>
    <w:rsid w:val="0056740D"/>
    <w:rsid w:val="0056798B"/>
    <w:rsid w:val="00567BE1"/>
    <w:rsid w:val="00567D2F"/>
    <w:rsid w:val="005718CE"/>
    <w:rsid w:val="00572700"/>
    <w:rsid w:val="00576827"/>
    <w:rsid w:val="00580468"/>
    <w:rsid w:val="00582231"/>
    <w:rsid w:val="0058603B"/>
    <w:rsid w:val="00587514"/>
    <w:rsid w:val="00590EAF"/>
    <w:rsid w:val="0059431B"/>
    <w:rsid w:val="005A09A4"/>
    <w:rsid w:val="005A1C42"/>
    <w:rsid w:val="005A39CC"/>
    <w:rsid w:val="005B0B52"/>
    <w:rsid w:val="005B4730"/>
    <w:rsid w:val="005D74FE"/>
    <w:rsid w:val="005E05D7"/>
    <w:rsid w:val="005E0AC0"/>
    <w:rsid w:val="005E3370"/>
    <w:rsid w:val="005E41E7"/>
    <w:rsid w:val="005E450F"/>
    <w:rsid w:val="005F59CD"/>
    <w:rsid w:val="00607965"/>
    <w:rsid w:val="0061329F"/>
    <w:rsid w:val="006153A8"/>
    <w:rsid w:val="0062298A"/>
    <w:rsid w:val="006261A9"/>
    <w:rsid w:val="00626514"/>
    <w:rsid w:val="00626589"/>
    <w:rsid w:val="006339A0"/>
    <w:rsid w:val="006346BC"/>
    <w:rsid w:val="00637D5F"/>
    <w:rsid w:val="006413A8"/>
    <w:rsid w:val="00642E56"/>
    <w:rsid w:val="00651E00"/>
    <w:rsid w:val="00656A60"/>
    <w:rsid w:val="0066245A"/>
    <w:rsid w:val="0067151F"/>
    <w:rsid w:val="00674572"/>
    <w:rsid w:val="006873EF"/>
    <w:rsid w:val="00687763"/>
    <w:rsid w:val="00692B0D"/>
    <w:rsid w:val="00693E0E"/>
    <w:rsid w:val="006A1AE3"/>
    <w:rsid w:val="006A3CED"/>
    <w:rsid w:val="006B3AE3"/>
    <w:rsid w:val="006B4F1B"/>
    <w:rsid w:val="006C30E1"/>
    <w:rsid w:val="006C4607"/>
    <w:rsid w:val="006D1CE1"/>
    <w:rsid w:val="006D48F1"/>
    <w:rsid w:val="006F45BE"/>
    <w:rsid w:val="007004FC"/>
    <w:rsid w:val="00706670"/>
    <w:rsid w:val="00707A48"/>
    <w:rsid w:val="00711F59"/>
    <w:rsid w:val="00715636"/>
    <w:rsid w:val="00715D2D"/>
    <w:rsid w:val="0072417C"/>
    <w:rsid w:val="00733FC1"/>
    <w:rsid w:val="00734450"/>
    <w:rsid w:val="00736569"/>
    <w:rsid w:val="00745F67"/>
    <w:rsid w:val="00747BCF"/>
    <w:rsid w:val="0075039E"/>
    <w:rsid w:val="0075254D"/>
    <w:rsid w:val="00752D9D"/>
    <w:rsid w:val="00754784"/>
    <w:rsid w:val="007575B5"/>
    <w:rsid w:val="00757C6E"/>
    <w:rsid w:val="00762BDA"/>
    <w:rsid w:val="007716F4"/>
    <w:rsid w:val="0077488F"/>
    <w:rsid w:val="007805FD"/>
    <w:rsid w:val="00781D26"/>
    <w:rsid w:val="00784422"/>
    <w:rsid w:val="0078523B"/>
    <w:rsid w:val="00787D36"/>
    <w:rsid w:val="00793171"/>
    <w:rsid w:val="00797D00"/>
    <w:rsid w:val="007B3692"/>
    <w:rsid w:val="007B3B54"/>
    <w:rsid w:val="007B3FA0"/>
    <w:rsid w:val="007B74E8"/>
    <w:rsid w:val="007C0F2C"/>
    <w:rsid w:val="007C2BCC"/>
    <w:rsid w:val="007C4EF0"/>
    <w:rsid w:val="007C6A16"/>
    <w:rsid w:val="007D099D"/>
    <w:rsid w:val="007E2664"/>
    <w:rsid w:val="007E34DA"/>
    <w:rsid w:val="007E3ABF"/>
    <w:rsid w:val="007E5BFA"/>
    <w:rsid w:val="007E6689"/>
    <w:rsid w:val="007E714B"/>
    <w:rsid w:val="007E731C"/>
    <w:rsid w:val="007F0A03"/>
    <w:rsid w:val="008005F0"/>
    <w:rsid w:val="00802555"/>
    <w:rsid w:val="00805770"/>
    <w:rsid w:val="00810040"/>
    <w:rsid w:val="00814292"/>
    <w:rsid w:val="0082023A"/>
    <w:rsid w:val="00820439"/>
    <w:rsid w:val="00821206"/>
    <w:rsid w:val="00821A7A"/>
    <w:rsid w:val="008253F8"/>
    <w:rsid w:val="008325E4"/>
    <w:rsid w:val="00832A2B"/>
    <w:rsid w:val="00835A6E"/>
    <w:rsid w:val="008401E0"/>
    <w:rsid w:val="00845811"/>
    <w:rsid w:val="00846994"/>
    <w:rsid w:val="00850451"/>
    <w:rsid w:val="00852042"/>
    <w:rsid w:val="008534C9"/>
    <w:rsid w:val="0085599D"/>
    <w:rsid w:val="00855E89"/>
    <w:rsid w:val="008668F9"/>
    <w:rsid w:val="008711F2"/>
    <w:rsid w:val="008748A2"/>
    <w:rsid w:val="0087510C"/>
    <w:rsid w:val="0088238D"/>
    <w:rsid w:val="00892228"/>
    <w:rsid w:val="008968D2"/>
    <w:rsid w:val="0089738E"/>
    <w:rsid w:val="008A1B3B"/>
    <w:rsid w:val="008A517C"/>
    <w:rsid w:val="008B5FDB"/>
    <w:rsid w:val="008B73E1"/>
    <w:rsid w:val="008C50F4"/>
    <w:rsid w:val="008C5649"/>
    <w:rsid w:val="008D16ED"/>
    <w:rsid w:val="008D5C36"/>
    <w:rsid w:val="008D6707"/>
    <w:rsid w:val="008E44A2"/>
    <w:rsid w:val="008E686C"/>
    <w:rsid w:val="008E697D"/>
    <w:rsid w:val="008F0031"/>
    <w:rsid w:val="00903263"/>
    <w:rsid w:val="009040BE"/>
    <w:rsid w:val="00906A21"/>
    <w:rsid w:val="009079C3"/>
    <w:rsid w:val="00910462"/>
    <w:rsid w:val="00914F8D"/>
    <w:rsid w:val="00915A22"/>
    <w:rsid w:val="00915AB1"/>
    <w:rsid w:val="0091600A"/>
    <w:rsid w:val="009160CD"/>
    <w:rsid w:val="0091712C"/>
    <w:rsid w:val="00917532"/>
    <w:rsid w:val="009235BA"/>
    <w:rsid w:val="00924023"/>
    <w:rsid w:val="00924CE2"/>
    <w:rsid w:val="00925B9F"/>
    <w:rsid w:val="00926BAB"/>
    <w:rsid w:val="00931AED"/>
    <w:rsid w:val="00931DBC"/>
    <w:rsid w:val="00934428"/>
    <w:rsid w:val="00945DCD"/>
    <w:rsid w:val="009476A3"/>
    <w:rsid w:val="0095334F"/>
    <w:rsid w:val="00960B81"/>
    <w:rsid w:val="00965897"/>
    <w:rsid w:val="0096765C"/>
    <w:rsid w:val="009727E4"/>
    <w:rsid w:val="0098050C"/>
    <w:rsid w:val="00981D53"/>
    <w:rsid w:val="00983D54"/>
    <w:rsid w:val="00991A14"/>
    <w:rsid w:val="009934C5"/>
    <w:rsid w:val="00994C0F"/>
    <w:rsid w:val="009A4C3A"/>
    <w:rsid w:val="009B22D7"/>
    <w:rsid w:val="009B5E5A"/>
    <w:rsid w:val="009B70BD"/>
    <w:rsid w:val="009B72ED"/>
    <w:rsid w:val="009C0310"/>
    <w:rsid w:val="009C6DEB"/>
    <w:rsid w:val="009C73F6"/>
    <w:rsid w:val="009D6504"/>
    <w:rsid w:val="009E12D7"/>
    <w:rsid w:val="009E493A"/>
    <w:rsid w:val="009E661A"/>
    <w:rsid w:val="009F36F7"/>
    <w:rsid w:val="009F59AD"/>
    <w:rsid w:val="00A00FEA"/>
    <w:rsid w:val="00A06781"/>
    <w:rsid w:val="00A074C3"/>
    <w:rsid w:val="00A11797"/>
    <w:rsid w:val="00A1509C"/>
    <w:rsid w:val="00A249B9"/>
    <w:rsid w:val="00A34260"/>
    <w:rsid w:val="00A52846"/>
    <w:rsid w:val="00A55D7F"/>
    <w:rsid w:val="00A70CFD"/>
    <w:rsid w:val="00A72803"/>
    <w:rsid w:val="00A72A0B"/>
    <w:rsid w:val="00A81E42"/>
    <w:rsid w:val="00A825A5"/>
    <w:rsid w:val="00A82A7A"/>
    <w:rsid w:val="00A864FE"/>
    <w:rsid w:val="00A86F41"/>
    <w:rsid w:val="00A87D04"/>
    <w:rsid w:val="00A950C5"/>
    <w:rsid w:val="00A97CF7"/>
    <w:rsid w:val="00AA1D25"/>
    <w:rsid w:val="00AA211B"/>
    <w:rsid w:val="00AA4A90"/>
    <w:rsid w:val="00AB2B1A"/>
    <w:rsid w:val="00AB397F"/>
    <w:rsid w:val="00AB5832"/>
    <w:rsid w:val="00AC12CC"/>
    <w:rsid w:val="00AC51F2"/>
    <w:rsid w:val="00AD3269"/>
    <w:rsid w:val="00AE5066"/>
    <w:rsid w:val="00AE5E24"/>
    <w:rsid w:val="00AE61B7"/>
    <w:rsid w:val="00AE6CBA"/>
    <w:rsid w:val="00AE79AD"/>
    <w:rsid w:val="00AF107A"/>
    <w:rsid w:val="00AF35E4"/>
    <w:rsid w:val="00AF3EDF"/>
    <w:rsid w:val="00AF4A8F"/>
    <w:rsid w:val="00AF5CDE"/>
    <w:rsid w:val="00AF6AB8"/>
    <w:rsid w:val="00B07900"/>
    <w:rsid w:val="00B1022B"/>
    <w:rsid w:val="00B11A57"/>
    <w:rsid w:val="00B211C3"/>
    <w:rsid w:val="00B25597"/>
    <w:rsid w:val="00B267B9"/>
    <w:rsid w:val="00B33E09"/>
    <w:rsid w:val="00B37430"/>
    <w:rsid w:val="00B37DD4"/>
    <w:rsid w:val="00B43B7F"/>
    <w:rsid w:val="00B45832"/>
    <w:rsid w:val="00B50708"/>
    <w:rsid w:val="00B50C68"/>
    <w:rsid w:val="00B51293"/>
    <w:rsid w:val="00B52B1E"/>
    <w:rsid w:val="00B55481"/>
    <w:rsid w:val="00B55881"/>
    <w:rsid w:val="00B56C32"/>
    <w:rsid w:val="00B57ACF"/>
    <w:rsid w:val="00B64BB1"/>
    <w:rsid w:val="00B67E54"/>
    <w:rsid w:val="00B717BF"/>
    <w:rsid w:val="00B73166"/>
    <w:rsid w:val="00B805DC"/>
    <w:rsid w:val="00B82E1E"/>
    <w:rsid w:val="00B8426C"/>
    <w:rsid w:val="00B87B33"/>
    <w:rsid w:val="00B91B8D"/>
    <w:rsid w:val="00B94E90"/>
    <w:rsid w:val="00BA1E0A"/>
    <w:rsid w:val="00BA5E8A"/>
    <w:rsid w:val="00BB0A82"/>
    <w:rsid w:val="00BB7C94"/>
    <w:rsid w:val="00BC0A9D"/>
    <w:rsid w:val="00BD49A9"/>
    <w:rsid w:val="00BE2F34"/>
    <w:rsid w:val="00BF3F63"/>
    <w:rsid w:val="00BF40ED"/>
    <w:rsid w:val="00BF5BC2"/>
    <w:rsid w:val="00C031BC"/>
    <w:rsid w:val="00C1133D"/>
    <w:rsid w:val="00C12051"/>
    <w:rsid w:val="00C23FAB"/>
    <w:rsid w:val="00C27A08"/>
    <w:rsid w:val="00C31312"/>
    <w:rsid w:val="00C31579"/>
    <w:rsid w:val="00C31E36"/>
    <w:rsid w:val="00C326C6"/>
    <w:rsid w:val="00C35295"/>
    <w:rsid w:val="00C36ADD"/>
    <w:rsid w:val="00C36E74"/>
    <w:rsid w:val="00C372BE"/>
    <w:rsid w:val="00C40280"/>
    <w:rsid w:val="00C40595"/>
    <w:rsid w:val="00C41621"/>
    <w:rsid w:val="00C4306B"/>
    <w:rsid w:val="00C449FA"/>
    <w:rsid w:val="00C44DDB"/>
    <w:rsid w:val="00C472A9"/>
    <w:rsid w:val="00C47F5D"/>
    <w:rsid w:val="00C51A92"/>
    <w:rsid w:val="00C5384F"/>
    <w:rsid w:val="00C5679A"/>
    <w:rsid w:val="00C56964"/>
    <w:rsid w:val="00C656D5"/>
    <w:rsid w:val="00C67103"/>
    <w:rsid w:val="00C71BB9"/>
    <w:rsid w:val="00C92742"/>
    <w:rsid w:val="00C94B4B"/>
    <w:rsid w:val="00C94C28"/>
    <w:rsid w:val="00CB0247"/>
    <w:rsid w:val="00CB02DB"/>
    <w:rsid w:val="00CB3440"/>
    <w:rsid w:val="00CB5A9B"/>
    <w:rsid w:val="00CC1692"/>
    <w:rsid w:val="00CD138B"/>
    <w:rsid w:val="00CD3B50"/>
    <w:rsid w:val="00CD3E31"/>
    <w:rsid w:val="00CD74A3"/>
    <w:rsid w:val="00CE0527"/>
    <w:rsid w:val="00CE4072"/>
    <w:rsid w:val="00CE5B23"/>
    <w:rsid w:val="00CF70AD"/>
    <w:rsid w:val="00CF7729"/>
    <w:rsid w:val="00D00059"/>
    <w:rsid w:val="00D00EF5"/>
    <w:rsid w:val="00D107FA"/>
    <w:rsid w:val="00D10B4F"/>
    <w:rsid w:val="00D12275"/>
    <w:rsid w:val="00D12766"/>
    <w:rsid w:val="00D20AEC"/>
    <w:rsid w:val="00D20FF4"/>
    <w:rsid w:val="00D22E19"/>
    <w:rsid w:val="00D24284"/>
    <w:rsid w:val="00D243B5"/>
    <w:rsid w:val="00D24D2C"/>
    <w:rsid w:val="00D3179E"/>
    <w:rsid w:val="00D35881"/>
    <w:rsid w:val="00D35F6A"/>
    <w:rsid w:val="00D40D42"/>
    <w:rsid w:val="00D434F6"/>
    <w:rsid w:val="00D451DA"/>
    <w:rsid w:val="00D57193"/>
    <w:rsid w:val="00D7041F"/>
    <w:rsid w:val="00D76966"/>
    <w:rsid w:val="00D8535F"/>
    <w:rsid w:val="00D862C4"/>
    <w:rsid w:val="00D90A7A"/>
    <w:rsid w:val="00D96CB1"/>
    <w:rsid w:val="00DA7DA5"/>
    <w:rsid w:val="00DB073B"/>
    <w:rsid w:val="00DB78F0"/>
    <w:rsid w:val="00DC0A10"/>
    <w:rsid w:val="00DC0CEA"/>
    <w:rsid w:val="00DC2E43"/>
    <w:rsid w:val="00DC56D3"/>
    <w:rsid w:val="00DD095C"/>
    <w:rsid w:val="00DD1020"/>
    <w:rsid w:val="00DD1330"/>
    <w:rsid w:val="00DD6C8A"/>
    <w:rsid w:val="00DE030B"/>
    <w:rsid w:val="00DE0B83"/>
    <w:rsid w:val="00DE1A81"/>
    <w:rsid w:val="00DE1C13"/>
    <w:rsid w:val="00DE353B"/>
    <w:rsid w:val="00DE4E10"/>
    <w:rsid w:val="00DE6008"/>
    <w:rsid w:val="00DE7527"/>
    <w:rsid w:val="00DF1EB5"/>
    <w:rsid w:val="00E02ABF"/>
    <w:rsid w:val="00E13CBB"/>
    <w:rsid w:val="00E14995"/>
    <w:rsid w:val="00E14A7A"/>
    <w:rsid w:val="00E16DB7"/>
    <w:rsid w:val="00E16FDD"/>
    <w:rsid w:val="00E179CD"/>
    <w:rsid w:val="00E23711"/>
    <w:rsid w:val="00E23E8D"/>
    <w:rsid w:val="00E33F37"/>
    <w:rsid w:val="00E36B5C"/>
    <w:rsid w:val="00E37F98"/>
    <w:rsid w:val="00E46559"/>
    <w:rsid w:val="00E46DC2"/>
    <w:rsid w:val="00E56A45"/>
    <w:rsid w:val="00E56B49"/>
    <w:rsid w:val="00E57365"/>
    <w:rsid w:val="00E6670C"/>
    <w:rsid w:val="00E7058C"/>
    <w:rsid w:val="00E7239C"/>
    <w:rsid w:val="00E776E8"/>
    <w:rsid w:val="00E86F83"/>
    <w:rsid w:val="00E92C1F"/>
    <w:rsid w:val="00E93652"/>
    <w:rsid w:val="00E95D4B"/>
    <w:rsid w:val="00EA04B9"/>
    <w:rsid w:val="00EA09E4"/>
    <w:rsid w:val="00EA156A"/>
    <w:rsid w:val="00EB0BD3"/>
    <w:rsid w:val="00EB0F61"/>
    <w:rsid w:val="00EB199F"/>
    <w:rsid w:val="00EB67D6"/>
    <w:rsid w:val="00EB6FA8"/>
    <w:rsid w:val="00EB728C"/>
    <w:rsid w:val="00EB7EC1"/>
    <w:rsid w:val="00EC23F7"/>
    <w:rsid w:val="00EC4BD8"/>
    <w:rsid w:val="00EC63EB"/>
    <w:rsid w:val="00ED1A20"/>
    <w:rsid w:val="00ED412F"/>
    <w:rsid w:val="00ED55AE"/>
    <w:rsid w:val="00EF36B2"/>
    <w:rsid w:val="00EF63E8"/>
    <w:rsid w:val="00F02C4F"/>
    <w:rsid w:val="00F1246B"/>
    <w:rsid w:val="00F13C5E"/>
    <w:rsid w:val="00F201EC"/>
    <w:rsid w:val="00F208A9"/>
    <w:rsid w:val="00F307A1"/>
    <w:rsid w:val="00F3146C"/>
    <w:rsid w:val="00F41D75"/>
    <w:rsid w:val="00F42179"/>
    <w:rsid w:val="00F44880"/>
    <w:rsid w:val="00F5085C"/>
    <w:rsid w:val="00F5139D"/>
    <w:rsid w:val="00F5478B"/>
    <w:rsid w:val="00F5729A"/>
    <w:rsid w:val="00F626C2"/>
    <w:rsid w:val="00F63DAC"/>
    <w:rsid w:val="00F6670E"/>
    <w:rsid w:val="00F67B13"/>
    <w:rsid w:val="00F7454F"/>
    <w:rsid w:val="00F77988"/>
    <w:rsid w:val="00F77F48"/>
    <w:rsid w:val="00F87161"/>
    <w:rsid w:val="00F90009"/>
    <w:rsid w:val="00F921F4"/>
    <w:rsid w:val="00F92E3F"/>
    <w:rsid w:val="00F937BC"/>
    <w:rsid w:val="00FB30F1"/>
    <w:rsid w:val="00FB3D69"/>
    <w:rsid w:val="00FB53E7"/>
    <w:rsid w:val="00FC305A"/>
    <w:rsid w:val="00FD02B5"/>
    <w:rsid w:val="00FD2A8A"/>
    <w:rsid w:val="00FE06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8C564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rsid w:val="008C5649"/>
    <w:pPr>
      <w:tabs>
        <w:tab w:val="center" w:pos="4153"/>
        <w:tab w:val="right" w:pos="8306"/>
      </w:tabs>
    </w:pPr>
  </w:style>
  <w:style w:type="character" w:styleId="Lappusesnumurs">
    <w:name w:val="page number"/>
    <w:basedOn w:val="Noklusjumarindkopasfonts"/>
    <w:rsid w:val="008C5649"/>
  </w:style>
  <w:style w:type="paragraph" w:customStyle="1" w:styleId="naisf">
    <w:name w:val="naisf"/>
    <w:basedOn w:val="Parasts"/>
    <w:rsid w:val="008C5649"/>
    <w:pPr>
      <w:spacing w:before="75" w:after="75"/>
      <w:ind w:firstLine="375"/>
      <w:jc w:val="both"/>
    </w:pPr>
  </w:style>
  <w:style w:type="paragraph" w:customStyle="1" w:styleId="naisnod">
    <w:name w:val="naisnod"/>
    <w:basedOn w:val="Parasts"/>
    <w:rsid w:val="008C5649"/>
    <w:pPr>
      <w:spacing w:before="150" w:after="150"/>
      <w:jc w:val="center"/>
    </w:pPr>
    <w:rPr>
      <w:b/>
      <w:bCs/>
    </w:rPr>
  </w:style>
  <w:style w:type="paragraph" w:customStyle="1" w:styleId="naislab">
    <w:name w:val="naislab"/>
    <w:basedOn w:val="Parasts"/>
    <w:rsid w:val="008C5649"/>
    <w:pPr>
      <w:spacing w:before="75" w:after="75"/>
      <w:jc w:val="right"/>
    </w:pPr>
  </w:style>
  <w:style w:type="paragraph" w:customStyle="1" w:styleId="naiskr">
    <w:name w:val="naiskr"/>
    <w:basedOn w:val="Parasts"/>
    <w:rsid w:val="008C5649"/>
    <w:pPr>
      <w:spacing w:before="75" w:after="75"/>
    </w:pPr>
  </w:style>
  <w:style w:type="paragraph" w:customStyle="1" w:styleId="naisc">
    <w:name w:val="naisc"/>
    <w:basedOn w:val="Parasts"/>
    <w:rsid w:val="008C5649"/>
    <w:pPr>
      <w:spacing w:before="75" w:after="75"/>
      <w:jc w:val="center"/>
    </w:pPr>
  </w:style>
  <w:style w:type="character" w:customStyle="1" w:styleId="th1">
    <w:name w:val="th1"/>
    <w:rsid w:val="008C5649"/>
    <w:rPr>
      <w:b/>
      <w:bCs/>
      <w:color w:val="333333"/>
    </w:rPr>
  </w:style>
  <w:style w:type="character" w:styleId="Komentraatsauce">
    <w:name w:val="annotation reference"/>
    <w:semiHidden/>
    <w:rsid w:val="008C5649"/>
    <w:rPr>
      <w:sz w:val="16"/>
      <w:szCs w:val="16"/>
    </w:rPr>
  </w:style>
  <w:style w:type="paragraph" w:styleId="Komentrateksts">
    <w:name w:val="annotation text"/>
    <w:basedOn w:val="Parasts"/>
    <w:link w:val="KomentratekstsRakstz"/>
    <w:semiHidden/>
    <w:rsid w:val="008C5649"/>
    <w:rPr>
      <w:sz w:val="20"/>
      <w:szCs w:val="20"/>
    </w:rPr>
  </w:style>
  <w:style w:type="character" w:customStyle="1" w:styleId="KomentratekstsRakstz">
    <w:name w:val="Komentāra teksts Rakstz."/>
    <w:link w:val="Komentrateksts"/>
    <w:semiHidden/>
    <w:rsid w:val="008C5649"/>
    <w:rPr>
      <w:lang w:val="lv-LV" w:eastAsia="lv-LV" w:bidi="ar-SA"/>
    </w:rPr>
  </w:style>
  <w:style w:type="paragraph" w:styleId="Balonteksts">
    <w:name w:val="Balloon Text"/>
    <w:basedOn w:val="Parasts"/>
    <w:semiHidden/>
    <w:rsid w:val="008C5649"/>
    <w:rPr>
      <w:rFonts w:ascii="Tahoma" w:hAnsi="Tahoma" w:cs="Tahoma"/>
      <w:sz w:val="16"/>
      <w:szCs w:val="16"/>
    </w:rPr>
  </w:style>
  <w:style w:type="table" w:styleId="Reatabula">
    <w:name w:val="Table Grid"/>
    <w:basedOn w:val="Parastatabula"/>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resteksts">
    <w:name w:val="footnote text"/>
    <w:basedOn w:val="Parasts"/>
    <w:link w:val="VrestekstsRakstz"/>
    <w:uiPriority w:val="99"/>
    <w:semiHidden/>
    <w:rsid w:val="008C5649"/>
    <w:rPr>
      <w:sz w:val="20"/>
      <w:szCs w:val="20"/>
    </w:rPr>
  </w:style>
  <w:style w:type="character" w:styleId="Vresatsauce">
    <w:name w:val="footnote reference"/>
    <w:uiPriority w:val="99"/>
    <w:semiHidden/>
    <w:rsid w:val="008C5649"/>
    <w:rPr>
      <w:vertAlign w:val="superscript"/>
    </w:rPr>
  </w:style>
  <w:style w:type="paragraph" w:styleId="Komentratma">
    <w:name w:val="annotation subject"/>
    <w:basedOn w:val="Komentrateksts"/>
    <w:next w:val="Komentrateksts"/>
    <w:semiHidden/>
    <w:rsid w:val="00262E2B"/>
    <w:rPr>
      <w:b/>
      <w:bCs/>
    </w:rPr>
  </w:style>
  <w:style w:type="paragraph" w:styleId="Kjene">
    <w:name w:val="footer"/>
    <w:basedOn w:val="Parasts"/>
    <w:link w:val="KjeneRakstz"/>
    <w:rsid w:val="00262E2B"/>
    <w:pPr>
      <w:tabs>
        <w:tab w:val="center" w:pos="4153"/>
        <w:tab w:val="right" w:pos="8306"/>
      </w:tabs>
    </w:pPr>
  </w:style>
  <w:style w:type="character" w:customStyle="1" w:styleId="KjeneRakstz">
    <w:name w:val="Kājene Rakstz."/>
    <w:link w:val="Kjene"/>
    <w:rsid w:val="00231344"/>
    <w:rPr>
      <w:sz w:val="24"/>
      <w:szCs w:val="24"/>
      <w:lang w:val="lv-LV" w:eastAsia="lv-LV" w:bidi="ar-SA"/>
    </w:rPr>
  </w:style>
  <w:style w:type="character" w:styleId="Hipersaite">
    <w:name w:val="Hyperlink"/>
    <w:rsid w:val="007004FC"/>
    <w:rPr>
      <w:color w:val="0000FF"/>
      <w:u w:val="single"/>
    </w:rPr>
  </w:style>
  <w:style w:type="paragraph" w:styleId="Dokumentakarte">
    <w:name w:val="Document Map"/>
    <w:basedOn w:val="Parasts"/>
    <w:semiHidden/>
    <w:rsid w:val="00846994"/>
    <w:pPr>
      <w:shd w:val="clear" w:color="auto" w:fill="000080"/>
    </w:pPr>
    <w:rPr>
      <w:rFonts w:ascii="Tahoma" w:hAnsi="Tahoma" w:cs="Tahoma"/>
      <w:sz w:val="20"/>
      <w:szCs w:val="20"/>
    </w:rPr>
  </w:style>
  <w:style w:type="character" w:styleId="Izteiksmgs">
    <w:name w:val="Strong"/>
    <w:uiPriority w:val="22"/>
    <w:qFormat/>
    <w:rsid w:val="00FE0666"/>
    <w:rPr>
      <w:b/>
      <w:bCs/>
    </w:rPr>
  </w:style>
  <w:style w:type="paragraph" w:customStyle="1" w:styleId="naispant">
    <w:name w:val="naispant"/>
    <w:basedOn w:val="Parasts"/>
    <w:rsid w:val="00FE0666"/>
    <w:pPr>
      <w:widowControl w:val="0"/>
      <w:suppressAutoHyphens/>
      <w:spacing w:before="280" w:after="280"/>
    </w:pPr>
    <w:rPr>
      <w:rFonts w:eastAsia="Lucida Sans Unicode"/>
      <w:kern w:val="1"/>
      <w:lang w:eastAsia="ar-SA"/>
    </w:rPr>
  </w:style>
  <w:style w:type="paragraph" w:styleId="HTMLiepriekformattais">
    <w:name w:val="HTML Preformatted"/>
    <w:basedOn w:val="Parasts"/>
    <w:link w:val="HTMLiepriekformattaisRakstz"/>
    <w:rsid w:val="00354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iepriekformattaisRakstz">
    <w:name w:val="HTML iepriekšformatētais Rakstz."/>
    <w:link w:val="HTMLiepriekformattais"/>
    <w:rsid w:val="003541FB"/>
    <w:rPr>
      <w:rFonts w:ascii="Courier New" w:hAnsi="Courier New" w:cs="Courier New"/>
    </w:rPr>
  </w:style>
  <w:style w:type="character" w:styleId="Izmantotahipersaite">
    <w:name w:val="FollowedHyperlink"/>
    <w:rsid w:val="002C2B37"/>
    <w:rPr>
      <w:color w:val="800080"/>
      <w:u w:val="single"/>
    </w:rPr>
  </w:style>
  <w:style w:type="character" w:customStyle="1" w:styleId="VrestekstsRakstz">
    <w:name w:val="Vēres teksts Rakstz."/>
    <w:link w:val="Vresteksts"/>
    <w:uiPriority w:val="99"/>
    <w:semiHidden/>
    <w:rsid w:val="00C4306B"/>
  </w:style>
  <w:style w:type="paragraph" w:styleId="Sarakstarindkopa">
    <w:name w:val="List Paragraph"/>
    <w:basedOn w:val="Parasts"/>
    <w:uiPriority w:val="34"/>
    <w:qFormat/>
    <w:rsid w:val="00C4306B"/>
    <w:pPr>
      <w:ind w:left="720"/>
    </w:pPr>
    <w:rPr>
      <w:rFonts w:ascii="Calibri" w:eastAsia="Calibri" w:hAnsi="Calibri" w:cs="Calibri"/>
      <w:sz w:val="22"/>
      <w:szCs w:val="22"/>
    </w:rPr>
  </w:style>
  <w:style w:type="character" w:customStyle="1" w:styleId="spelle">
    <w:name w:val="spelle"/>
    <w:rsid w:val="000E74EB"/>
  </w:style>
  <w:style w:type="paragraph" w:styleId="Prskatjums">
    <w:name w:val="Revision"/>
    <w:hidden/>
    <w:uiPriority w:val="99"/>
    <w:semiHidden/>
    <w:rsid w:val="00210839"/>
    <w:rPr>
      <w:sz w:val="24"/>
      <w:szCs w:val="24"/>
    </w:rPr>
  </w:style>
  <w:style w:type="paragraph" w:styleId="Pamatteksts">
    <w:name w:val="Body Text"/>
    <w:basedOn w:val="Parasts"/>
    <w:link w:val="PamattekstsRakstz"/>
    <w:rsid w:val="00210839"/>
    <w:pPr>
      <w:jc w:val="both"/>
    </w:pPr>
    <w:rPr>
      <w:sz w:val="28"/>
      <w:szCs w:val="20"/>
      <w:lang w:val="x-none" w:eastAsia="x-none"/>
    </w:rPr>
  </w:style>
  <w:style w:type="character" w:customStyle="1" w:styleId="PamattekstsRakstz">
    <w:name w:val="Pamatteksts Rakstz."/>
    <w:link w:val="Pamatteksts"/>
    <w:rsid w:val="00210839"/>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8C564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rsid w:val="008C5649"/>
    <w:pPr>
      <w:tabs>
        <w:tab w:val="center" w:pos="4153"/>
        <w:tab w:val="right" w:pos="8306"/>
      </w:tabs>
    </w:pPr>
  </w:style>
  <w:style w:type="character" w:styleId="Lappusesnumurs">
    <w:name w:val="page number"/>
    <w:basedOn w:val="Noklusjumarindkopasfonts"/>
    <w:rsid w:val="008C5649"/>
  </w:style>
  <w:style w:type="paragraph" w:customStyle="1" w:styleId="naisf">
    <w:name w:val="naisf"/>
    <w:basedOn w:val="Parasts"/>
    <w:rsid w:val="008C5649"/>
    <w:pPr>
      <w:spacing w:before="75" w:after="75"/>
      <w:ind w:firstLine="375"/>
      <w:jc w:val="both"/>
    </w:pPr>
  </w:style>
  <w:style w:type="paragraph" w:customStyle="1" w:styleId="naisnod">
    <w:name w:val="naisnod"/>
    <w:basedOn w:val="Parasts"/>
    <w:rsid w:val="008C5649"/>
    <w:pPr>
      <w:spacing w:before="150" w:after="150"/>
      <w:jc w:val="center"/>
    </w:pPr>
    <w:rPr>
      <w:b/>
      <w:bCs/>
    </w:rPr>
  </w:style>
  <w:style w:type="paragraph" w:customStyle="1" w:styleId="naislab">
    <w:name w:val="naislab"/>
    <w:basedOn w:val="Parasts"/>
    <w:rsid w:val="008C5649"/>
    <w:pPr>
      <w:spacing w:before="75" w:after="75"/>
      <w:jc w:val="right"/>
    </w:pPr>
  </w:style>
  <w:style w:type="paragraph" w:customStyle="1" w:styleId="naiskr">
    <w:name w:val="naiskr"/>
    <w:basedOn w:val="Parasts"/>
    <w:rsid w:val="008C5649"/>
    <w:pPr>
      <w:spacing w:before="75" w:after="75"/>
    </w:pPr>
  </w:style>
  <w:style w:type="paragraph" w:customStyle="1" w:styleId="naisc">
    <w:name w:val="naisc"/>
    <w:basedOn w:val="Parasts"/>
    <w:rsid w:val="008C5649"/>
    <w:pPr>
      <w:spacing w:before="75" w:after="75"/>
      <w:jc w:val="center"/>
    </w:pPr>
  </w:style>
  <w:style w:type="character" w:customStyle="1" w:styleId="th1">
    <w:name w:val="th1"/>
    <w:rsid w:val="008C5649"/>
    <w:rPr>
      <w:b/>
      <w:bCs/>
      <w:color w:val="333333"/>
    </w:rPr>
  </w:style>
  <w:style w:type="character" w:styleId="Komentraatsauce">
    <w:name w:val="annotation reference"/>
    <w:semiHidden/>
    <w:rsid w:val="008C5649"/>
    <w:rPr>
      <w:sz w:val="16"/>
      <w:szCs w:val="16"/>
    </w:rPr>
  </w:style>
  <w:style w:type="paragraph" w:styleId="Komentrateksts">
    <w:name w:val="annotation text"/>
    <w:basedOn w:val="Parasts"/>
    <w:link w:val="KomentratekstsRakstz"/>
    <w:semiHidden/>
    <w:rsid w:val="008C5649"/>
    <w:rPr>
      <w:sz w:val="20"/>
      <w:szCs w:val="20"/>
    </w:rPr>
  </w:style>
  <w:style w:type="character" w:customStyle="1" w:styleId="KomentratekstsRakstz">
    <w:name w:val="Komentāra teksts Rakstz."/>
    <w:link w:val="Komentrateksts"/>
    <w:semiHidden/>
    <w:rsid w:val="008C5649"/>
    <w:rPr>
      <w:lang w:val="lv-LV" w:eastAsia="lv-LV" w:bidi="ar-SA"/>
    </w:rPr>
  </w:style>
  <w:style w:type="paragraph" w:styleId="Balonteksts">
    <w:name w:val="Balloon Text"/>
    <w:basedOn w:val="Parasts"/>
    <w:semiHidden/>
    <w:rsid w:val="008C5649"/>
    <w:rPr>
      <w:rFonts w:ascii="Tahoma" w:hAnsi="Tahoma" w:cs="Tahoma"/>
      <w:sz w:val="16"/>
      <w:szCs w:val="16"/>
    </w:rPr>
  </w:style>
  <w:style w:type="table" w:styleId="Reatabula">
    <w:name w:val="Table Grid"/>
    <w:basedOn w:val="Parastatabula"/>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resteksts">
    <w:name w:val="footnote text"/>
    <w:basedOn w:val="Parasts"/>
    <w:link w:val="VrestekstsRakstz"/>
    <w:uiPriority w:val="99"/>
    <w:semiHidden/>
    <w:rsid w:val="008C5649"/>
    <w:rPr>
      <w:sz w:val="20"/>
      <w:szCs w:val="20"/>
    </w:rPr>
  </w:style>
  <w:style w:type="character" w:styleId="Vresatsauce">
    <w:name w:val="footnote reference"/>
    <w:uiPriority w:val="99"/>
    <w:semiHidden/>
    <w:rsid w:val="008C5649"/>
    <w:rPr>
      <w:vertAlign w:val="superscript"/>
    </w:rPr>
  </w:style>
  <w:style w:type="paragraph" w:styleId="Komentratma">
    <w:name w:val="annotation subject"/>
    <w:basedOn w:val="Komentrateksts"/>
    <w:next w:val="Komentrateksts"/>
    <w:semiHidden/>
    <w:rsid w:val="00262E2B"/>
    <w:rPr>
      <w:b/>
      <w:bCs/>
    </w:rPr>
  </w:style>
  <w:style w:type="paragraph" w:styleId="Kjene">
    <w:name w:val="footer"/>
    <w:basedOn w:val="Parasts"/>
    <w:link w:val="KjeneRakstz"/>
    <w:rsid w:val="00262E2B"/>
    <w:pPr>
      <w:tabs>
        <w:tab w:val="center" w:pos="4153"/>
        <w:tab w:val="right" w:pos="8306"/>
      </w:tabs>
    </w:pPr>
  </w:style>
  <w:style w:type="character" w:customStyle="1" w:styleId="KjeneRakstz">
    <w:name w:val="Kājene Rakstz."/>
    <w:link w:val="Kjene"/>
    <w:rsid w:val="00231344"/>
    <w:rPr>
      <w:sz w:val="24"/>
      <w:szCs w:val="24"/>
      <w:lang w:val="lv-LV" w:eastAsia="lv-LV" w:bidi="ar-SA"/>
    </w:rPr>
  </w:style>
  <w:style w:type="character" w:styleId="Hipersaite">
    <w:name w:val="Hyperlink"/>
    <w:rsid w:val="007004FC"/>
    <w:rPr>
      <w:color w:val="0000FF"/>
      <w:u w:val="single"/>
    </w:rPr>
  </w:style>
  <w:style w:type="paragraph" w:styleId="Dokumentakarte">
    <w:name w:val="Document Map"/>
    <w:basedOn w:val="Parasts"/>
    <w:semiHidden/>
    <w:rsid w:val="00846994"/>
    <w:pPr>
      <w:shd w:val="clear" w:color="auto" w:fill="000080"/>
    </w:pPr>
    <w:rPr>
      <w:rFonts w:ascii="Tahoma" w:hAnsi="Tahoma" w:cs="Tahoma"/>
      <w:sz w:val="20"/>
      <w:szCs w:val="20"/>
    </w:rPr>
  </w:style>
  <w:style w:type="character" w:styleId="Izteiksmgs">
    <w:name w:val="Strong"/>
    <w:uiPriority w:val="22"/>
    <w:qFormat/>
    <w:rsid w:val="00FE0666"/>
    <w:rPr>
      <w:b/>
      <w:bCs/>
    </w:rPr>
  </w:style>
  <w:style w:type="paragraph" w:customStyle="1" w:styleId="naispant">
    <w:name w:val="naispant"/>
    <w:basedOn w:val="Parasts"/>
    <w:rsid w:val="00FE0666"/>
    <w:pPr>
      <w:widowControl w:val="0"/>
      <w:suppressAutoHyphens/>
      <w:spacing w:before="280" w:after="280"/>
    </w:pPr>
    <w:rPr>
      <w:rFonts w:eastAsia="Lucida Sans Unicode"/>
      <w:kern w:val="1"/>
      <w:lang w:eastAsia="ar-SA"/>
    </w:rPr>
  </w:style>
  <w:style w:type="paragraph" w:styleId="HTMLiepriekformattais">
    <w:name w:val="HTML Preformatted"/>
    <w:basedOn w:val="Parasts"/>
    <w:link w:val="HTMLiepriekformattaisRakstz"/>
    <w:rsid w:val="00354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iepriekformattaisRakstz">
    <w:name w:val="HTML iepriekšformatētais Rakstz."/>
    <w:link w:val="HTMLiepriekformattais"/>
    <w:rsid w:val="003541FB"/>
    <w:rPr>
      <w:rFonts w:ascii="Courier New" w:hAnsi="Courier New" w:cs="Courier New"/>
    </w:rPr>
  </w:style>
  <w:style w:type="character" w:styleId="Izmantotahipersaite">
    <w:name w:val="FollowedHyperlink"/>
    <w:rsid w:val="002C2B37"/>
    <w:rPr>
      <w:color w:val="800080"/>
      <w:u w:val="single"/>
    </w:rPr>
  </w:style>
  <w:style w:type="character" w:customStyle="1" w:styleId="VrestekstsRakstz">
    <w:name w:val="Vēres teksts Rakstz."/>
    <w:link w:val="Vresteksts"/>
    <w:uiPriority w:val="99"/>
    <w:semiHidden/>
    <w:rsid w:val="00C4306B"/>
  </w:style>
  <w:style w:type="paragraph" w:styleId="Sarakstarindkopa">
    <w:name w:val="List Paragraph"/>
    <w:basedOn w:val="Parasts"/>
    <w:uiPriority w:val="34"/>
    <w:qFormat/>
    <w:rsid w:val="00C4306B"/>
    <w:pPr>
      <w:ind w:left="720"/>
    </w:pPr>
    <w:rPr>
      <w:rFonts w:ascii="Calibri" w:eastAsia="Calibri" w:hAnsi="Calibri" w:cs="Calibri"/>
      <w:sz w:val="22"/>
      <w:szCs w:val="22"/>
    </w:rPr>
  </w:style>
  <w:style w:type="character" w:customStyle="1" w:styleId="spelle">
    <w:name w:val="spelle"/>
    <w:rsid w:val="000E74EB"/>
  </w:style>
  <w:style w:type="paragraph" w:styleId="Prskatjums">
    <w:name w:val="Revision"/>
    <w:hidden/>
    <w:uiPriority w:val="99"/>
    <w:semiHidden/>
    <w:rsid w:val="00210839"/>
    <w:rPr>
      <w:sz w:val="24"/>
      <w:szCs w:val="24"/>
    </w:rPr>
  </w:style>
  <w:style w:type="paragraph" w:styleId="Pamatteksts">
    <w:name w:val="Body Text"/>
    <w:basedOn w:val="Parasts"/>
    <w:link w:val="PamattekstsRakstz"/>
    <w:rsid w:val="00210839"/>
    <w:pPr>
      <w:jc w:val="both"/>
    </w:pPr>
    <w:rPr>
      <w:sz w:val="28"/>
      <w:szCs w:val="20"/>
      <w:lang w:val="x-none" w:eastAsia="x-none"/>
    </w:rPr>
  </w:style>
  <w:style w:type="character" w:customStyle="1" w:styleId="PamattekstsRakstz">
    <w:name w:val="Pamatteksts Rakstz."/>
    <w:link w:val="Pamatteksts"/>
    <w:rsid w:val="00210839"/>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757951">
      <w:bodyDiv w:val="1"/>
      <w:marLeft w:val="0"/>
      <w:marRight w:val="0"/>
      <w:marTop w:val="0"/>
      <w:marBottom w:val="0"/>
      <w:divBdr>
        <w:top w:val="none" w:sz="0" w:space="0" w:color="auto"/>
        <w:left w:val="none" w:sz="0" w:space="0" w:color="auto"/>
        <w:bottom w:val="none" w:sz="0" w:space="0" w:color="auto"/>
        <w:right w:val="none" w:sz="0" w:space="0" w:color="auto"/>
      </w:divBdr>
    </w:div>
    <w:div w:id="101403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Ruta.Kalnaca@tm.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1FE99-F43A-444F-A13B-956AFA9E7963}">
  <ds:schemaRefs>
    <ds:schemaRef ds:uri="http://schemas.microsoft.com/sharepoint/v3/contenttype/forms"/>
  </ds:schemaRefs>
</ds:datastoreItem>
</file>

<file path=customXml/itemProps2.xml><?xml version="1.0" encoding="utf-8"?>
<ds:datastoreItem xmlns:ds="http://schemas.openxmlformats.org/officeDocument/2006/customXml" ds:itemID="{B4E53D83-21D8-4459-87E9-89C8B6F10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52A965B-19B1-443F-868F-E9D999F8BB90}">
  <ds:schemaRefs>
    <ds:schemaRef ds:uri="http://purl.org/dc/dcmitype/"/>
    <ds:schemaRef ds:uri="http://schemas.microsoft.com/office/2006/documentManagement/types"/>
    <ds:schemaRef ds:uri="http://purl.org/dc/elements/1.1/"/>
    <ds:schemaRef ds:uri="http://purl.org/dc/terms/"/>
    <ds:schemaRef ds:uri="http://www.w3.org/XML/1998/namespac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BF7A7995-1EBC-411F-84B8-2B5EFFB9E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5153</Words>
  <Characters>38536</Characters>
  <Application>Microsoft Office Word</Application>
  <DocSecurity>0</DocSecurity>
  <Lines>321</Lines>
  <Paragraphs>87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anotācija</vt:lpstr>
      <vt:lpstr>Ministru kabineta noteikumu projekta anotācija</vt:lpstr>
    </vt:vector>
  </TitlesOfParts>
  <Company>Valsts kanceleja, Politikas koordinācijas departaments</Company>
  <LinksUpToDate>false</LinksUpToDate>
  <CharactersWithSpaces>43602</CharactersWithSpaces>
  <SharedDoc>false</SharedDoc>
  <HLinks>
    <vt:vector size="6" baseType="variant">
      <vt:variant>
        <vt:i4>7733314</vt:i4>
      </vt:variant>
      <vt:variant>
        <vt:i4>0</vt:i4>
      </vt:variant>
      <vt:variant>
        <vt:i4>0</vt:i4>
      </vt:variant>
      <vt:variant>
        <vt:i4>5</vt:i4>
      </vt:variant>
      <vt:variant>
        <vt:lpwstr>mailto:Ruta.Kalnaca@tm.gov.lv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anotācija</dc:title>
  <dc:subject>Instrukcijas pielikums</dc:subject>
  <dc:creator>Ruta Kalnača</dc:creator>
  <cp:lastModifiedBy>Daina Baha</cp:lastModifiedBy>
  <cp:revision>2</cp:revision>
  <cp:lastPrinted>2012-11-07T15:26:00Z</cp:lastPrinted>
  <dcterms:created xsi:type="dcterms:W3CDTF">2012-12-04T10:33:00Z</dcterms:created>
  <dcterms:modified xsi:type="dcterms:W3CDTF">2012-12-04T10:33:00Z</dcterms:modified>
</cp:coreProperties>
</file>