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49" w:rsidRPr="008D212D" w:rsidRDefault="007E0449" w:rsidP="0054558D">
      <w:pPr>
        <w:pStyle w:val="Pamatteksts2"/>
        <w:spacing w:after="0" w:line="240" w:lineRule="auto"/>
        <w:jc w:val="center"/>
        <w:rPr>
          <w:b/>
          <w:sz w:val="28"/>
          <w:szCs w:val="28"/>
        </w:rPr>
      </w:pPr>
      <w:bookmarkStart w:id="0" w:name="OLE_LINK16"/>
      <w:bookmarkStart w:id="1" w:name="OLE_LINK17"/>
      <w:bookmarkStart w:id="2" w:name="OLE_LINK12"/>
      <w:bookmarkStart w:id="3" w:name="OLE_LINK13"/>
      <w:bookmarkStart w:id="4" w:name="OLE_LINK7"/>
      <w:bookmarkStart w:id="5" w:name="OLE_LINK8"/>
      <w:bookmarkStart w:id="6" w:name="OLE_LINK11"/>
      <w:bookmarkStart w:id="7" w:name="OLE_LINK3"/>
      <w:bookmarkStart w:id="8" w:name="OLE_LINK1"/>
      <w:bookmarkStart w:id="9" w:name="OLE_LINK2"/>
      <w:bookmarkStart w:id="10" w:name="OLE_LINK4"/>
      <w:r w:rsidRPr="008D212D">
        <w:rPr>
          <w:b/>
          <w:sz w:val="28"/>
          <w:szCs w:val="28"/>
        </w:rPr>
        <w:t xml:space="preserve">Ministru kabineta </w:t>
      </w:r>
      <w:r w:rsidR="003A31D5" w:rsidRPr="008D212D">
        <w:rPr>
          <w:b/>
          <w:sz w:val="28"/>
          <w:szCs w:val="28"/>
        </w:rPr>
        <w:t>protokollē</w:t>
      </w:r>
      <w:r w:rsidR="00524857" w:rsidRPr="008D212D">
        <w:rPr>
          <w:b/>
          <w:sz w:val="28"/>
          <w:szCs w:val="28"/>
        </w:rPr>
        <w:t>m</w:t>
      </w:r>
      <w:r w:rsidR="003A31D5" w:rsidRPr="008D212D">
        <w:rPr>
          <w:b/>
          <w:sz w:val="28"/>
          <w:szCs w:val="28"/>
        </w:rPr>
        <w:t>uma</w:t>
      </w:r>
      <w:r w:rsidRPr="008D212D">
        <w:rPr>
          <w:b/>
          <w:sz w:val="28"/>
          <w:szCs w:val="28"/>
        </w:rPr>
        <w:t xml:space="preserve"> projekta</w:t>
      </w:r>
      <w:bookmarkEnd w:id="0"/>
      <w:bookmarkEnd w:id="1"/>
    </w:p>
    <w:p w:rsidR="008B5985" w:rsidRPr="00822AC1" w:rsidRDefault="00822AC1" w:rsidP="007F4864">
      <w:pPr>
        <w:jc w:val="center"/>
        <w:rPr>
          <w:b/>
          <w:sz w:val="28"/>
          <w:szCs w:val="28"/>
          <w:lang w:val="lv-LV"/>
        </w:rPr>
      </w:pPr>
      <w:bookmarkStart w:id="11" w:name="OLE_LINK14"/>
      <w:bookmarkStart w:id="12" w:name="OLE_LINK15"/>
      <w:r w:rsidRPr="00822AC1">
        <w:rPr>
          <w:b/>
          <w:sz w:val="26"/>
          <w:szCs w:val="26"/>
          <w:lang w:val="lv-LV"/>
        </w:rPr>
        <w:t>„Par atļauju Tieslietu ministrijas padotības iestādēm (Ieslodzījuma vietu pārvalde, Valsts probācijas dienests, Valsts valodas centrs) uzņemties saistības un īstenot projektus Eiropas Komisijas īpašajās programmās: Krimināltiesības, Daphne III (2011. un 2012. gada programmas) ietvaros”</w:t>
      </w:r>
    </w:p>
    <w:p w:rsidR="007E0449" w:rsidRPr="007F4864" w:rsidRDefault="00FE759A" w:rsidP="007F4864">
      <w:pPr>
        <w:jc w:val="center"/>
        <w:rPr>
          <w:b/>
          <w:sz w:val="28"/>
          <w:szCs w:val="28"/>
          <w:lang w:val="lv-LV"/>
        </w:rPr>
      </w:pPr>
      <w:r>
        <w:rPr>
          <w:b/>
          <w:sz w:val="28"/>
          <w:szCs w:val="28"/>
          <w:lang w:val="lv-LV"/>
        </w:rPr>
        <w:t xml:space="preserve">sākotnējās ietekmes novērtējuma ziņojums </w:t>
      </w:r>
      <w:r w:rsidR="00E50BA0" w:rsidRPr="007F4864">
        <w:rPr>
          <w:b/>
          <w:sz w:val="28"/>
          <w:szCs w:val="28"/>
          <w:lang w:val="lv-LV"/>
        </w:rPr>
        <w:t>(</w:t>
      </w:r>
      <w:r w:rsidR="007E0449" w:rsidRPr="007F4864">
        <w:rPr>
          <w:b/>
          <w:sz w:val="28"/>
          <w:szCs w:val="28"/>
          <w:lang w:val="lv-LV"/>
        </w:rPr>
        <w:t>anotācija</w:t>
      </w:r>
      <w:r w:rsidR="00E50BA0" w:rsidRPr="007F4864">
        <w:rPr>
          <w:b/>
          <w:sz w:val="28"/>
          <w:szCs w:val="28"/>
          <w:lang w:val="lv-LV"/>
        </w:rPr>
        <w:t>)</w:t>
      </w:r>
      <w:bookmarkEnd w:id="2"/>
      <w:bookmarkEnd w:id="3"/>
      <w:bookmarkEnd w:id="11"/>
      <w:bookmarkEnd w:id="12"/>
    </w:p>
    <w:p w:rsidR="007F4864" w:rsidRDefault="007F4864" w:rsidP="007E0449">
      <w:pPr>
        <w:pStyle w:val="Pamatteksts2"/>
        <w:spacing w:after="0" w:line="240" w:lineRule="auto"/>
        <w:ind w:left="-57" w:right="-57"/>
        <w:jc w:val="center"/>
        <w:rPr>
          <w:b/>
          <w:sz w:val="28"/>
          <w:szCs w:val="28"/>
        </w:rPr>
      </w:pP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
        <w:gridCol w:w="232"/>
        <w:gridCol w:w="1570"/>
        <w:gridCol w:w="1234"/>
        <w:gridCol w:w="1149"/>
        <w:gridCol w:w="1473"/>
        <w:gridCol w:w="1477"/>
        <w:gridCol w:w="1486"/>
      </w:tblGrid>
      <w:tr w:rsidR="003A2BEA" w:rsidRPr="00680FE7" w:rsidTr="00DA755F">
        <w:trPr>
          <w:tblCellSpacing w:w="0" w:type="dxa"/>
        </w:trPr>
        <w:tc>
          <w:tcPr>
            <w:tcW w:w="9101" w:type="dxa"/>
            <w:gridSpan w:val="8"/>
            <w:tcBorders>
              <w:top w:val="outset" w:sz="6" w:space="0" w:color="auto"/>
              <w:left w:val="outset" w:sz="6" w:space="0" w:color="auto"/>
              <w:bottom w:val="outset" w:sz="6" w:space="0" w:color="auto"/>
              <w:right w:val="outset" w:sz="6" w:space="0" w:color="auto"/>
            </w:tcBorders>
            <w:vAlign w:val="center"/>
          </w:tcPr>
          <w:bookmarkEnd w:id="4"/>
          <w:bookmarkEnd w:id="5"/>
          <w:bookmarkEnd w:id="6"/>
          <w:p w:rsidR="003A2BEA" w:rsidRPr="003A31D5" w:rsidRDefault="003A2BEA" w:rsidP="003A2BEA">
            <w:pPr>
              <w:spacing w:before="100" w:beforeAutospacing="1" w:after="100" w:afterAutospacing="1"/>
              <w:jc w:val="center"/>
              <w:rPr>
                <w:rFonts w:eastAsia="Times New Roman"/>
                <w:sz w:val="28"/>
                <w:szCs w:val="28"/>
                <w:lang w:val="lv-LV" w:eastAsia="lv-LV"/>
              </w:rPr>
            </w:pPr>
            <w:r w:rsidRPr="003A31D5">
              <w:rPr>
                <w:rFonts w:eastAsia="Times New Roman"/>
                <w:b/>
                <w:bCs/>
                <w:sz w:val="28"/>
                <w:szCs w:val="28"/>
                <w:lang w:val="lv-LV" w:eastAsia="lv-LV"/>
              </w:rPr>
              <w:t>I. Tiesību akta projekta izstrādes nepieciešamība</w:t>
            </w:r>
          </w:p>
        </w:tc>
      </w:tr>
      <w:tr w:rsidR="003A2BEA" w:rsidRPr="00804300" w:rsidTr="00DA755F">
        <w:trPr>
          <w:trHeight w:val="630"/>
          <w:tblCellSpacing w:w="0" w:type="dxa"/>
        </w:trPr>
        <w:tc>
          <w:tcPr>
            <w:tcW w:w="712" w:type="dxa"/>
            <w:gridSpan w:val="2"/>
            <w:tcBorders>
              <w:top w:val="outset" w:sz="6" w:space="0" w:color="auto"/>
              <w:left w:val="outset" w:sz="6" w:space="0" w:color="auto"/>
              <w:bottom w:val="outset" w:sz="6" w:space="0" w:color="auto"/>
              <w:right w:val="outset" w:sz="6" w:space="0" w:color="auto"/>
            </w:tcBorders>
          </w:tcPr>
          <w:p w:rsidR="003A2BEA" w:rsidRPr="003A31D5" w:rsidRDefault="003A2BEA" w:rsidP="00FC31A7">
            <w:pPr>
              <w:spacing w:before="100" w:beforeAutospacing="1" w:after="100" w:afterAutospacing="1"/>
              <w:rPr>
                <w:rFonts w:eastAsia="Times New Roman"/>
                <w:sz w:val="28"/>
                <w:szCs w:val="28"/>
                <w:lang w:val="lv-LV" w:eastAsia="lv-LV"/>
              </w:rPr>
            </w:pPr>
            <w:r w:rsidRPr="003A31D5">
              <w:rPr>
                <w:rFonts w:eastAsia="Times New Roman"/>
                <w:sz w:val="28"/>
                <w:szCs w:val="28"/>
                <w:lang w:val="lv-LV" w:eastAsia="lv-LV"/>
              </w:rPr>
              <w:t> 1.</w:t>
            </w:r>
          </w:p>
        </w:tc>
        <w:tc>
          <w:tcPr>
            <w:tcW w:w="2804" w:type="dxa"/>
            <w:gridSpan w:val="2"/>
            <w:tcBorders>
              <w:top w:val="outset" w:sz="6" w:space="0" w:color="auto"/>
              <w:left w:val="outset" w:sz="6" w:space="0" w:color="auto"/>
              <w:bottom w:val="outset" w:sz="6" w:space="0" w:color="auto"/>
              <w:right w:val="outset" w:sz="6" w:space="0" w:color="auto"/>
            </w:tcBorders>
          </w:tcPr>
          <w:p w:rsidR="003A2BEA" w:rsidRPr="003A31D5" w:rsidRDefault="003A2BEA" w:rsidP="003A2BEA">
            <w:pPr>
              <w:spacing w:before="100" w:beforeAutospacing="1" w:after="100" w:afterAutospacing="1"/>
              <w:rPr>
                <w:rFonts w:eastAsia="Times New Roman"/>
                <w:sz w:val="28"/>
                <w:szCs w:val="28"/>
                <w:lang w:val="lv-LV" w:eastAsia="lv-LV"/>
              </w:rPr>
            </w:pPr>
            <w:r w:rsidRPr="003A31D5">
              <w:rPr>
                <w:rFonts w:eastAsia="Times New Roman"/>
                <w:sz w:val="28"/>
                <w:szCs w:val="28"/>
                <w:lang w:val="lv-LV" w:eastAsia="lv-LV"/>
              </w:rPr>
              <w:t> Pamatojums</w:t>
            </w:r>
          </w:p>
        </w:tc>
        <w:tc>
          <w:tcPr>
            <w:tcW w:w="5585" w:type="dxa"/>
            <w:gridSpan w:val="4"/>
            <w:tcBorders>
              <w:top w:val="outset" w:sz="6" w:space="0" w:color="auto"/>
              <w:left w:val="outset" w:sz="6" w:space="0" w:color="auto"/>
              <w:bottom w:val="outset" w:sz="6" w:space="0" w:color="auto"/>
              <w:right w:val="outset" w:sz="6" w:space="0" w:color="auto"/>
            </w:tcBorders>
          </w:tcPr>
          <w:p w:rsidR="00E36EFC" w:rsidRDefault="007E0449" w:rsidP="007F0D36">
            <w:pPr>
              <w:ind w:left="57" w:right="57"/>
              <w:jc w:val="both"/>
              <w:rPr>
                <w:iCs/>
                <w:sz w:val="28"/>
                <w:szCs w:val="28"/>
                <w:lang w:val="lv-LV"/>
              </w:rPr>
            </w:pPr>
            <w:r w:rsidRPr="00182048">
              <w:rPr>
                <w:iCs/>
                <w:sz w:val="28"/>
                <w:szCs w:val="28"/>
                <w:lang w:val="lv-LV"/>
              </w:rPr>
              <w:t xml:space="preserve">Ministru kabineta </w:t>
            </w:r>
            <w:r w:rsidR="003A31D5" w:rsidRPr="00182048">
              <w:rPr>
                <w:iCs/>
                <w:sz w:val="28"/>
                <w:szCs w:val="28"/>
                <w:lang w:val="lv-LV"/>
              </w:rPr>
              <w:t>protokollē</w:t>
            </w:r>
            <w:r w:rsidR="00524857" w:rsidRPr="00182048">
              <w:rPr>
                <w:iCs/>
                <w:sz w:val="28"/>
                <w:szCs w:val="28"/>
                <w:lang w:val="lv-LV"/>
              </w:rPr>
              <w:t>m</w:t>
            </w:r>
            <w:r w:rsidR="003A31D5" w:rsidRPr="00182048">
              <w:rPr>
                <w:iCs/>
                <w:sz w:val="28"/>
                <w:szCs w:val="28"/>
                <w:lang w:val="lv-LV"/>
              </w:rPr>
              <w:t>uma</w:t>
            </w:r>
            <w:r w:rsidRPr="00182048">
              <w:rPr>
                <w:iCs/>
                <w:sz w:val="28"/>
                <w:szCs w:val="28"/>
                <w:lang w:val="lv-LV"/>
              </w:rPr>
              <w:t xml:space="preserve"> projekts izstrādāts </w:t>
            </w:r>
            <w:r w:rsidRPr="00182048">
              <w:rPr>
                <w:bCs/>
                <w:sz w:val="28"/>
                <w:szCs w:val="28"/>
                <w:lang w:val="lv-LV"/>
              </w:rPr>
              <w:t xml:space="preserve">saskaņā ar Likuma par </w:t>
            </w:r>
            <w:r w:rsidRPr="00182048">
              <w:rPr>
                <w:iCs/>
                <w:sz w:val="28"/>
                <w:szCs w:val="28"/>
                <w:lang w:val="lv-LV"/>
              </w:rPr>
              <w:t>budžetu un finanšu vadību 24.</w:t>
            </w:r>
            <w:r w:rsidR="003A31D5" w:rsidRPr="00182048">
              <w:rPr>
                <w:iCs/>
                <w:sz w:val="28"/>
                <w:szCs w:val="28"/>
                <w:lang w:val="lv-LV"/>
              </w:rPr>
              <w:t> </w:t>
            </w:r>
            <w:r w:rsidRPr="00182048">
              <w:rPr>
                <w:iCs/>
                <w:sz w:val="28"/>
                <w:szCs w:val="28"/>
                <w:lang w:val="lv-LV"/>
              </w:rPr>
              <w:t>pant</w:t>
            </w:r>
            <w:r w:rsidR="003A31D5" w:rsidRPr="00182048">
              <w:rPr>
                <w:iCs/>
                <w:sz w:val="28"/>
                <w:szCs w:val="28"/>
                <w:lang w:val="lv-LV"/>
              </w:rPr>
              <w:t>a trešo daļu</w:t>
            </w:r>
            <w:r w:rsidR="009939E4" w:rsidRPr="00182048">
              <w:rPr>
                <w:iCs/>
                <w:sz w:val="28"/>
                <w:szCs w:val="28"/>
                <w:lang w:val="lv-LV"/>
              </w:rPr>
              <w:t>.</w:t>
            </w:r>
          </w:p>
          <w:p w:rsidR="003A1F3A" w:rsidRPr="003A31D5" w:rsidRDefault="003A1F3A" w:rsidP="007F0D36">
            <w:pPr>
              <w:ind w:left="57" w:right="57"/>
              <w:jc w:val="both"/>
              <w:rPr>
                <w:sz w:val="28"/>
                <w:szCs w:val="28"/>
                <w:lang w:val="lv-LV"/>
              </w:rPr>
            </w:pPr>
          </w:p>
        </w:tc>
      </w:tr>
      <w:tr w:rsidR="003A2BEA" w:rsidRPr="00804300" w:rsidTr="00DA755F">
        <w:trPr>
          <w:trHeight w:val="472"/>
          <w:tblCellSpacing w:w="0" w:type="dxa"/>
        </w:trPr>
        <w:tc>
          <w:tcPr>
            <w:tcW w:w="712" w:type="dxa"/>
            <w:gridSpan w:val="2"/>
            <w:tcBorders>
              <w:top w:val="outset" w:sz="6" w:space="0" w:color="auto"/>
              <w:left w:val="outset" w:sz="6" w:space="0" w:color="auto"/>
              <w:bottom w:val="outset" w:sz="6" w:space="0" w:color="auto"/>
              <w:right w:val="outset" w:sz="6" w:space="0" w:color="auto"/>
            </w:tcBorders>
          </w:tcPr>
          <w:p w:rsidR="003A2BEA" w:rsidRPr="003A31D5" w:rsidRDefault="003A2BEA" w:rsidP="003A2BEA">
            <w:pPr>
              <w:spacing w:before="100" w:beforeAutospacing="1" w:after="100" w:afterAutospacing="1"/>
              <w:rPr>
                <w:rFonts w:eastAsia="Times New Roman"/>
                <w:sz w:val="28"/>
                <w:szCs w:val="28"/>
                <w:lang w:val="lv-LV" w:eastAsia="lv-LV"/>
              </w:rPr>
            </w:pPr>
            <w:r w:rsidRPr="003A31D5">
              <w:rPr>
                <w:rFonts w:eastAsia="Times New Roman"/>
                <w:sz w:val="28"/>
                <w:szCs w:val="28"/>
                <w:lang w:val="lv-LV" w:eastAsia="lv-LV"/>
              </w:rPr>
              <w:t> 2.</w:t>
            </w:r>
          </w:p>
        </w:tc>
        <w:tc>
          <w:tcPr>
            <w:tcW w:w="2804" w:type="dxa"/>
            <w:gridSpan w:val="2"/>
            <w:tcBorders>
              <w:top w:val="outset" w:sz="6" w:space="0" w:color="auto"/>
              <w:left w:val="outset" w:sz="6" w:space="0" w:color="auto"/>
              <w:bottom w:val="outset" w:sz="6" w:space="0" w:color="auto"/>
              <w:right w:val="outset" w:sz="6" w:space="0" w:color="auto"/>
            </w:tcBorders>
          </w:tcPr>
          <w:p w:rsidR="003A2BEA" w:rsidRPr="00182048" w:rsidRDefault="003A2BEA" w:rsidP="003A2BEA">
            <w:pPr>
              <w:spacing w:before="100" w:beforeAutospacing="1" w:after="100" w:afterAutospacing="1"/>
              <w:rPr>
                <w:rFonts w:eastAsia="Times New Roman"/>
                <w:sz w:val="28"/>
                <w:szCs w:val="28"/>
                <w:lang w:val="lv-LV" w:eastAsia="lv-LV"/>
              </w:rPr>
            </w:pPr>
            <w:r w:rsidRPr="00182048">
              <w:rPr>
                <w:rFonts w:eastAsia="Times New Roman"/>
                <w:sz w:val="28"/>
                <w:szCs w:val="28"/>
                <w:lang w:val="lv-LV" w:eastAsia="lv-LV"/>
              </w:rPr>
              <w:t> Pašreizējā situācija un problēmas</w:t>
            </w:r>
          </w:p>
        </w:tc>
        <w:tc>
          <w:tcPr>
            <w:tcW w:w="5585" w:type="dxa"/>
            <w:gridSpan w:val="4"/>
            <w:tcBorders>
              <w:top w:val="outset" w:sz="6" w:space="0" w:color="auto"/>
              <w:left w:val="outset" w:sz="6" w:space="0" w:color="auto"/>
              <w:bottom w:val="outset" w:sz="6" w:space="0" w:color="auto"/>
              <w:right w:val="outset" w:sz="6" w:space="0" w:color="auto"/>
            </w:tcBorders>
          </w:tcPr>
          <w:p w:rsidR="00357DE2" w:rsidRPr="00357DE2" w:rsidRDefault="00524857" w:rsidP="00357DE2">
            <w:pPr>
              <w:jc w:val="both"/>
              <w:rPr>
                <w:sz w:val="28"/>
                <w:szCs w:val="28"/>
                <w:lang w:val="lv-LV"/>
              </w:rPr>
            </w:pPr>
            <w:r w:rsidRPr="00182048">
              <w:rPr>
                <w:sz w:val="28"/>
                <w:szCs w:val="28"/>
                <w:lang w:val="lv-LV"/>
              </w:rPr>
              <w:t xml:space="preserve">Saskaņā ar Tieslietu ministrijas nolikumu </w:t>
            </w:r>
            <w:r w:rsidR="003659CC" w:rsidRPr="00182048">
              <w:rPr>
                <w:sz w:val="28"/>
                <w:szCs w:val="28"/>
                <w:lang w:val="lv-LV"/>
              </w:rPr>
              <w:t>Tieslietu ministrija</w:t>
            </w:r>
            <w:r w:rsidRPr="00182048">
              <w:rPr>
                <w:sz w:val="28"/>
                <w:szCs w:val="28"/>
                <w:lang w:val="lv-LV"/>
              </w:rPr>
              <w:t>s</w:t>
            </w:r>
            <w:r w:rsidR="003659CC" w:rsidRPr="00182048">
              <w:rPr>
                <w:sz w:val="28"/>
                <w:szCs w:val="28"/>
                <w:lang w:val="lv-LV"/>
              </w:rPr>
              <w:t xml:space="preserve"> kā vadošā</w:t>
            </w:r>
            <w:r w:rsidR="00D251A2" w:rsidRPr="00182048">
              <w:rPr>
                <w:sz w:val="28"/>
                <w:szCs w:val="28"/>
                <w:lang w:val="lv-LV"/>
              </w:rPr>
              <w:t>s</w:t>
            </w:r>
            <w:r w:rsidR="003659CC" w:rsidRPr="00182048">
              <w:rPr>
                <w:sz w:val="28"/>
                <w:szCs w:val="28"/>
                <w:lang w:val="lv-LV"/>
              </w:rPr>
              <w:t xml:space="preserve"> valsts pārvaldes iestāde</w:t>
            </w:r>
            <w:r w:rsidR="006E3C08" w:rsidRPr="00182048">
              <w:rPr>
                <w:sz w:val="28"/>
                <w:szCs w:val="28"/>
                <w:lang w:val="lv-LV"/>
              </w:rPr>
              <w:t>s</w:t>
            </w:r>
            <w:r w:rsidR="003659CC" w:rsidRPr="00182048">
              <w:rPr>
                <w:sz w:val="28"/>
                <w:szCs w:val="28"/>
                <w:lang w:val="lv-LV"/>
              </w:rPr>
              <w:t xml:space="preserve"> tieslietu </w:t>
            </w:r>
            <w:r w:rsidR="00D251A2" w:rsidRPr="00182048">
              <w:rPr>
                <w:sz w:val="28"/>
                <w:szCs w:val="28"/>
                <w:lang w:val="lv-LV"/>
              </w:rPr>
              <w:t>jomā</w:t>
            </w:r>
            <w:r w:rsidR="006E3C08" w:rsidRPr="00182048">
              <w:rPr>
                <w:sz w:val="28"/>
                <w:szCs w:val="28"/>
                <w:lang w:val="lv-LV"/>
              </w:rPr>
              <w:t xml:space="preserve"> </w:t>
            </w:r>
            <w:r w:rsidRPr="00182048">
              <w:rPr>
                <w:sz w:val="28"/>
                <w:szCs w:val="28"/>
                <w:lang w:val="lv-LV"/>
              </w:rPr>
              <w:t xml:space="preserve">funkcijas ir </w:t>
            </w:r>
            <w:r w:rsidR="00357DE2" w:rsidRPr="00C92C8E">
              <w:rPr>
                <w:sz w:val="28"/>
                <w:szCs w:val="28"/>
                <w:lang w:val="lv-LV"/>
              </w:rPr>
              <w:t>personas datu aizsardzība</w:t>
            </w:r>
            <w:r w:rsidR="00357DE2" w:rsidRPr="00357DE2">
              <w:rPr>
                <w:sz w:val="28"/>
                <w:szCs w:val="28"/>
                <w:lang w:val="lv-LV"/>
              </w:rPr>
              <w:t xml:space="preserve">; </w:t>
            </w:r>
            <w:r w:rsidR="00357DE2" w:rsidRPr="00C92C8E">
              <w:rPr>
                <w:sz w:val="28"/>
                <w:szCs w:val="28"/>
                <w:lang w:val="lv-LV"/>
              </w:rPr>
              <w:t>valsts garantēto uzturlīdzekļu nodrošināšana</w:t>
            </w:r>
            <w:r w:rsidR="00357DE2" w:rsidRPr="00357DE2">
              <w:rPr>
                <w:sz w:val="28"/>
                <w:szCs w:val="28"/>
                <w:lang w:val="lv-LV"/>
              </w:rPr>
              <w:t xml:space="preserve">; </w:t>
            </w:r>
            <w:r w:rsidR="00357DE2" w:rsidRPr="00C92C8E">
              <w:rPr>
                <w:sz w:val="28"/>
                <w:szCs w:val="28"/>
                <w:lang w:val="lv-LV"/>
              </w:rPr>
              <w:t>nodrošināt Latvijas Republikas pārstāvību Eiropas Tiesiskās sadarbības tīklā civillietās un krimināllietās</w:t>
            </w:r>
            <w:r w:rsidR="00357DE2" w:rsidRPr="00357DE2">
              <w:rPr>
                <w:sz w:val="28"/>
                <w:szCs w:val="28"/>
                <w:lang w:val="lv-LV"/>
              </w:rPr>
              <w:t xml:space="preserve">; </w:t>
            </w:r>
            <w:r w:rsidR="00357DE2" w:rsidRPr="00C92C8E">
              <w:rPr>
                <w:sz w:val="28"/>
                <w:szCs w:val="28"/>
                <w:lang w:val="lv-LV"/>
              </w:rPr>
              <w:t>izstrādā</w:t>
            </w:r>
            <w:r w:rsidR="00357DE2" w:rsidRPr="00357DE2">
              <w:rPr>
                <w:sz w:val="28"/>
                <w:szCs w:val="28"/>
                <w:lang w:val="lv-LV"/>
              </w:rPr>
              <w:t>t</w:t>
            </w:r>
            <w:r w:rsidR="00357DE2" w:rsidRPr="00C92C8E">
              <w:rPr>
                <w:sz w:val="28"/>
                <w:szCs w:val="28"/>
                <w:lang w:val="lv-LV"/>
              </w:rPr>
              <w:t xml:space="preserve"> un īsteno</w:t>
            </w:r>
            <w:r w:rsidR="00357DE2" w:rsidRPr="00357DE2">
              <w:rPr>
                <w:sz w:val="28"/>
                <w:szCs w:val="28"/>
                <w:lang w:val="lv-LV"/>
              </w:rPr>
              <w:t>t</w:t>
            </w:r>
            <w:r w:rsidR="00357DE2" w:rsidRPr="00C92C8E">
              <w:rPr>
                <w:sz w:val="28"/>
                <w:szCs w:val="28"/>
                <w:lang w:val="lv-LV"/>
              </w:rPr>
              <w:t xml:space="preserve"> valsts politiku valsts tiesību, administratīvo tiesību, civiltiesību</w:t>
            </w:r>
            <w:r w:rsidR="00357DE2" w:rsidRPr="00357DE2">
              <w:rPr>
                <w:sz w:val="28"/>
                <w:szCs w:val="28"/>
                <w:lang w:val="lv-LV"/>
              </w:rPr>
              <w:t xml:space="preserve"> un</w:t>
            </w:r>
            <w:r w:rsidR="00357DE2" w:rsidRPr="00C92C8E">
              <w:rPr>
                <w:sz w:val="28"/>
                <w:szCs w:val="28"/>
                <w:lang w:val="lv-LV"/>
              </w:rPr>
              <w:t xml:space="preserve"> krimināltiesību,</w:t>
            </w:r>
            <w:r w:rsidR="00357DE2" w:rsidRPr="00357DE2">
              <w:rPr>
                <w:sz w:val="28"/>
                <w:szCs w:val="28"/>
                <w:lang w:val="lv-LV"/>
              </w:rPr>
              <w:t xml:space="preserve"> kā arī procesuālo tiesību jomā; </w:t>
            </w:r>
            <w:r w:rsidR="00357DE2" w:rsidRPr="00C92C8E">
              <w:rPr>
                <w:sz w:val="28"/>
                <w:szCs w:val="28"/>
                <w:lang w:val="lv-LV"/>
              </w:rPr>
              <w:t>koordinē</w:t>
            </w:r>
            <w:r w:rsidR="00357DE2" w:rsidRPr="00357DE2">
              <w:rPr>
                <w:sz w:val="28"/>
                <w:szCs w:val="28"/>
                <w:lang w:val="lv-LV"/>
              </w:rPr>
              <w:t>t</w:t>
            </w:r>
            <w:r w:rsidR="00357DE2" w:rsidRPr="00C92C8E">
              <w:rPr>
                <w:sz w:val="28"/>
                <w:szCs w:val="28"/>
                <w:lang w:val="lv-LV"/>
              </w:rPr>
              <w:t xml:space="preserve"> un kontrolē</w:t>
            </w:r>
            <w:r w:rsidR="00357DE2" w:rsidRPr="00357DE2">
              <w:rPr>
                <w:sz w:val="28"/>
                <w:szCs w:val="28"/>
                <w:lang w:val="lv-LV"/>
              </w:rPr>
              <w:t>t</w:t>
            </w:r>
            <w:r w:rsidR="00357DE2" w:rsidRPr="00C92C8E">
              <w:rPr>
                <w:sz w:val="28"/>
                <w:szCs w:val="28"/>
                <w:lang w:val="lv-LV"/>
              </w:rPr>
              <w:t xml:space="preserve"> Eiropas Savienības tiesību pārņemšanu</w:t>
            </w:r>
            <w:r w:rsidR="00357DE2" w:rsidRPr="00357DE2">
              <w:rPr>
                <w:sz w:val="28"/>
                <w:szCs w:val="28"/>
                <w:lang w:val="lv-LV"/>
              </w:rPr>
              <w:t xml:space="preserve">; </w:t>
            </w:r>
            <w:r w:rsidR="00357DE2" w:rsidRPr="00C92C8E">
              <w:rPr>
                <w:sz w:val="28"/>
                <w:szCs w:val="28"/>
                <w:lang w:val="lv-LV"/>
              </w:rPr>
              <w:t>nodrošin</w:t>
            </w:r>
            <w:r w:rsidR="00357DE2" w:rsidRPr="00357DE2">
              <w:rPr>
                <w:sz w:val="28"/>
                <w:szCs w:val="28"/>
                <w:lang w:val="lv-LV"/>
              </w:rPr>
              <w:t>āt</w:t>
            </w:r>
            <w:r w:rsidR="00357DE2" w:rsidRPr="00C92C8E">
              <w:rPr>
                <w:sz w:val="28"/>
                <w:szCs w:val="28"/>
                <w:lang w:val="lv-LV"/>
              </w:rPr>
              <w:t xml:space="preserve"> tiesnešu un tiesu darbinieku apmācību un kvalifikācijas celšanu</w:t>
            </w:r>
            <w:r w:rsidR="00357DE2" w:rsidRPr="00357DE2">
              <w:rPr>
                <w:sz w:val="28"/>
                <w:szCs w:val="28"/>
                <w:lang w:val="lv-LV"/>
              </w:rPr>
              <w:t xml:space="preserve">; </w:t>
            </w:r>
            <w:r w:rsidR="00357DE2" w:rsidRPr="00C92C8E">
              <w:rPr>
                <w:sz w:val="28"/>
                <w:szCs w:val="28"/>
                <w:lang w:val="lv-LV"/>
              </w:rPr>
              <w:t>finansiāli un materiāltehniski nodrošin</w:t>
            </w:r>
            <w:r w:rsidR="00357DE2" w:rsidRPr="00357DE2">
              <w:rPr>
                <w:sz w:val="28"/>
                <w:szCs w:val="28"/>
                <w:lang w:val="lv-LV"/>
              </w:rPr>
              <w:t>āt</w:t>
            </w:r>
            <w:r w:rsidR="00357DE2" w:rsidRPr="00C92C8E">
              <w:rPr>
                <w:sz w:val="28"/>
                <w:szCs w:val="28"/>
                <w:lang w:val="lv-LV"/>
              </w:rPr>
              <w:t xml:space="preserve"> tiesu darbu</w:t>
            </w:r>
            <w:r w:rsidR="00357DE2" w:rsidRPr="00357DE2">
              <w:rPr>
                <w:sz w:val="28"/>
                <w:szCs w:val="28"/>
                <w:lang w:val="lv-LV"/>
              </w:rPr>
              <w:t xml:space="preserve">; </w:t>
            </w:r>
            <w:r w:rsidR="00357DE2" w:rsidRPr="00C92C8E">
              <w:rPr>
                <w:sz w:val="28"/>
                <w:szCs w:val="28"/>
                <w:lang w:val="lv-LV"/>
              </w:rPr>
              <w:t>pārrau</w:t>
            </w:r>
            <w:r w:rsidR="00357DE2" w:rsidRPr="00357DE2">
              <w:rPr>
                <w:sz w:val="28"/>
                <w:szCs w:val="28"/>
                <w:lang w:val="lv-LV"/>
              </w:rPr>
              <w:t>dzīt</w:t>
            </w:r>
            <w:r w:rsidR="00357DE2" w:rsidRPr="00C92C8E">
              <w:rPr>
                <w:sz w:val="28"/>
                <w:szCs w:val="28"/>
                <w:lang w:val="lv-LV"/>
              </w:rPr>
              <w:t xml:space="preserve"> valsts garantēto uzturlīdzekļu nodrošināšanai paredzēto līdzekļu apsaimniekošanu</w:t>
            </w:r>
            <w:r w:rsidR="00357DE2" w:rsidRPr="00357DE2">
              <w:rPr>
                <w:sz w:val="28"/>
                <w:szCs w:val="28"/>
                <w:lang w:val="lv-LV"/>
              </w:rPr>
              <w:t xml:space="preserve">; </w:t>
            </w:r>
            <w:r w:rsidR="00357DE2" w:rsidRPr="00C92C8E">
              <w:rPr>
                <w:sz w:val="28"/>
                <w:szCs w:val="28"/>
                <w:lang w:val="lv-LV"/>
              </w:rPr>
              <w:t>organizē</w:t>
            </w:r>
            <w:r w:rsidR="00357DE2" w:rsidRPr="00357DE2">
              <w:rPr>
                <w:sz w:val="28"/>
                <w:szCs w:val="28"/>
                <w:lang w:val="lv-LV"/>
              </w:rPr>
              <w:t>t</w:t>
            </w:r>
            <w:r w:rsidR="00357DE2" w:rsidRPr="00C92C8E">
              <w:rPr>
                <w:sz w:val="28"/>
                <w:szCs w:val="28"/>
                <w:lang w:val="lv-LV"/>
              </w:rPr>
              <w:t xml:space="preserve"> kriminālsodu izpildi un probācijas sistēmas darbību</w:t>
            </w:r>
            <w:r w:rsidR="00357DE2" w:rsidRPr="00357DE2">
              <w:rPr>
                <w:sz w:val="28"/>
                <w:szCs w:val="28"/>
                <w:lang w:val="lv-LV"/>
              </w:rPr>
              <w:t xml:space="preserve">; </w:t>
            </w:r>
            <w:r w:rsidR="00357DE2" w:rsidRPr="00C92C8E">
              <w:rPr>
                <w:sz w:val="28"/>
                <w:szCs w:val="28"/>
                <w:lang w:val="lv-LV"/>
              </w:rPr>
              <w:t>organizē</w:t>
            </w:r>
            <w:r w:rsidR="00357DE2" w:rsidRPr="00357DE2">
              <w:rPr>
                <w:sz w:val="28"/>
                <w:szCs w:val="28"/>
                <w:lang w:val="lv-LV"/>
              </w:rPr>
              <w:t>t</w:t>
            </w:r>
            <w:r w:rsidR="00357DE2" w:rsidRPr="00C92C8E">
              <w:rPr>
                <w:sz w:val="28"/>
                <w:szCs w:val="28"/>
                <w:lang w:val="lv-LV"/>
              </w:rPr>
              <w:t xml:space="preserve"> Valsts valodas likuma ievērošanas pārraudzību</w:t>
            </w:r>
            <w:r w:rsidR="00357DE2">
              <w:rPr>
                <w:sz w:val="28"/>
                <w:szCs w:val="28"/>
                <w:lang w:val="lv-LV"/>
              </w:rPr>
              <w:t>.</w:t>
            </w:r>
          </w:p>
          <w:p w:rsidR="00E36EFC" w:rsidRPr="00182048" w:rsidRDefault="00E36EFC" w:rsidP="00862D35">
            <w:pPr>
              <w:pStyle w:val="Pamatteksts"/>
              <w:tabs>
                <w:tab w:val="left" w:pos="3600"/>
              </w:tabs>
              <w:spacing w:after="0"/>
              <w:jc w:val="both"/>
              <w:rPr>
                <w:sz w:val="28"/>
                <w:szCs w:val="28"/>
                <w:lang w:val="lv-LV"/>
              </w:rPr>
            </w:pPr>
          </w:p>
          <w:p w:rsidR="00FD3AB8" w:rsidRPr="00182048" w:rsidRDefault="003B68C3" w:rsidP="0068542C">
            <w:pPr>
              <w:tabs>
                <w:tab w:val="left" w:pos="1755"/>
              </w:tabs>
              <w:jc w:val="both"/>
              <w:rPr>
                <w:sz w:val="28"/>
                <w:szCs w:val="28"/>
                <w:lang w:val="lv-LV"/>
              </w:rPr>
            </w:pPr>
            <w:r w:rsidRPr="00182048">
              <w:rPr>
                <w:rFonts w:eastAsia="Times New Roman"/>
                <w:sz w:val="28"/>
                <w:szCs w:val="28"/>
                <w:lang w:val="lv-LV" w:eastAsia="lv-LV"/>
              </w:rPr>
              <w:t xml:space="preserve">Eiropas Komisijas </w:t>
            </w:r>
            <w:r w:rsidRPr="00182048">
              <w:rPr>
                <w:sz w:val="28"/>
                <w:szCs w:val="28"/>
                <w:lang w:val="lv-LV"/>
              </w:rPr>
              <w:t>ī</w:t>
            </w:r>
            <w:r w:rsidR="0068542C" w:rsidRPr="00182048">
              <w:rPr>
                <w:sz w:val="28"/>
                <w:szCs w:val="28"/>
                <w:lang w:val="lv-LV"/>
              </w:rPr>
              <w:t xml:space="preserve">pašās </w:t>
            </w:r>
            <w:r w:rsidR="006C69EA">
              <w:rPr>
                <w:sz w:val="28"/>
                <w:szCs w:val="28"/>
                <w:lang w:val="lv-LV"/>
              </w:rPr>
              <w:t>programmas „Krimināltiesības”</w:t>
            </w:r>
            <w:r w:rsidR="00FD3AB8" w:rsidRPr="00182048">
              <w:rPr>
                <w:sz w:val="28"/>
                <w:szCs w:val="28"/>
                <w:lang w:val="lv-LV"/>
              </w:rPr>
              <w:t xml:space="preserve"> un </w:t>
            </w:r>
            <w:r w:rsidR="0068542C" w:rsidRPr="00182048">
              <w:rPr>
                <w:sz w:val="28"/>
                <w:szCs w:val="28"/>
                <w:lang w:val="lv-LV"/>
              </w:rPr>
              <w:t>„Daphne III”</w:t>
            </w:r>
            <w:r w:rsidR="00E278FD">
              <w:rPr>
                <w:sz w:val="28"/>
                <w:szCs w:val="28"/>
                <w:lang w:val="lv-LV"/>
              </w:rPr>
              <w:t xml:space="preserve"> </w:t>
            </w:r>
            <w:r w:rsidR="00FD3AB8" w:rsidRPr="00182048">
              <w:rPr>
                <w:sz w:val="28"/>
                <w:szCs w:val="28"/>
                <w:lang w:val="lv-LV"/>
              </w:rPr>
              <w:t>(turpmāk – EK programmas)</w:t>
            </w:r>
            <w:r w:rsidR="0068542C" w:rsidRPr="00182048">
              <w:rPr>
                <w:sz w:val="28"/>
                <w:szCs w:val="28"/>
                <w:lang w:val="lv-LV"/>
              </w:rPr>
              <w:t xml:space="preserve"> izveidotas ar šādiem Eiropas Savienības tiesību aktiem</w:t>
            </w:r>
            <w:r w:rsidR="00FD3AB8" w:rsidRPr="00182048">
              <w:rPr>
                <w:sz w:val="28"/>
                <w:szCs w:val="28"/>
                <w:lang w:val="lv-LV"/>
              </w:rPr>
              <w:t>:</w:t>
            </w:r>
          </w:p>
          <w:p w:rsidR="00FD3AB8" w:rsidRPr="00182048" w:rsidRDefault="00FD3AB8" w:rsidP="0068542C">
            <w:pPr>
              <w:tabs>
                <w:tab w:val="left" w:pos="1755"/>
              </w:tabs>
              <w:jc w:val="both"/>
              <w:rPr>
                <w:sz w:val="28"/>
                <w:szCs w:val="28"/>
                <w:lang w:val="lv-LV"/>
              </w:rPr>
            </w:pPr>
            <w:r w:rsidRPr="00182048">
              <w:rPr>
                <w:sz w:val="28"/>
                <w:szCs w:val="28"/>
                <w:lang w:val="lv-LV"/>
              </w:rPr>
              <w:t>1)</w:t>
            </w:r>
            <w:r w:rsidR="008B2549">
              <w:rPr>
                <w:sz w:val="28"/>
                <w:szCs w:val="28"/>
                <w:lang w:val="lv-LV"/>
              </w:rPr>
              <w:t> </w:t>
            </w:r>
            <w:r w:rsidR="000E28EE" w:rsidRPr="00DA3F53">
              <w:rPr>
                <w:sz w:val="28"/>
                <w:szCs w:val="28"/>
                <w:lang w:val="lv-LV"/>
              </w:rPr>
              <w:t xml:space="preserve">Eiropas Padomes </w:t>
            </w:r>
            <w:r w:rsidR="0068542C" w:rsidRPr="00182048">
              <w:rPr>
                <w:sz w:val="28"/>
                <w:szCs w:val="28"/>
                <w:lang w:val="lv-LV"/>
              </w:rPr>
              <w:t xml:space="preserve">2007. gada 12. februāra </w:t>
            </w:r>
            <w:r w:rsidR="008B2549" w:rsidRPr="00182048">
              <w:rPr>
                <w:sz w:val="28"/>
                <w:szCs w:val="28"/>
                <w:lang w:val="lv-LV"/>
              </w:rPr>
              <w:t xml:space="preserve">lēmumu </w:t>
            </w:r>
            <w:r w:rsidR="0068542C" w:rsidRPr="00182048">
              <w:rPr>
                <w:sz w:val="28"/>
                <w:szCs w:val="28"/>
                <w:lang w:val="lv-LV"/>
              </w:rPr>
              <w:t>Nr. </w:t>
            </w:r>
            <w:r w:rsidR="006D5FBF" w:rsidRPr="00DA3F53">
              <w:rPr>
                <w:sz w:val="28"/>
                <w:szCs w:val="28"/>
                <w:lang w:val="lv-LV"/>
              </w:rPr>
              <w:t>2007/126/TI</w:t>
            </w:r>
            <w:r w:rsidR="0068542C" w:rsidRPr="00182048">
              <w:rPr>
                <w:sz w:val="28"/>
                <w:szCs w:val="28"/>
                <w:lang w:val="lv-LV"/>
              </w:rPr>
              <w:t xml:space="preserve">, </w:t>
            </w:r>
            <w:r w:rsidR="000E28EE" w:rsidRPr="00DA3F53">
              <w:rPr>
                <w:sz w:val="28"/>
                <w:szCs w:val="28"/>
                <w:lang w:val="lv-LV"/>
              </w:rPr>
              <w:t>ar ko izveido īpašu programmu</w:t>
            </w:r>
            <w:r w:rsidR="0068542C" w:rsidRPr="00182048">
              <w:rPr>
                <w:sz w:val="28"/>
                <w:szCs w:val="28"/>
                <w:lang w:val="lv-LV"/>
              </w:rPr>
              <w:t xml:space="preserve"> „Krimināltiesības” </w:t>
            </w:r>
            <w:r w:rsidR="000E28EE" w:rsidRPr="00DA3F53">
              <w:rPr>
                <w:sz w:val="28"/>
                <w:szCs w:val="28"/>
                <w:lang w:val="lv-LV"/>
              </w:rPr>
              <w:t>laikposmam no 2007. gada līdz 2013. gadam</w:t>
            </w:r>
            <w:r w:rsidR="008B2549">
              <w:rPr>
                <w:sz w:val="28"/>
                <w:szCs w:val="28"/>
                <w:lang w:val="lv-LV"/>
              </w:rPr>
              <w:t>;</w:t>
            </w:r>
          </w:p>
          <w:p w:rsidR="008B2549" w:rsidRDefault="00561CC5" w:rsidP="006C69EA">
            <w:pPr>
              <w:tabs>
                <w:tab w:val="left" w:pos="1755"/>
              </w:tabs>
              <w:jc w:val="both"/>
              <w:rPr>
                <w:sz w:val="28"/>
                <w:szCs w:val="28"/>
                <w:lang w:val="lv-LV"/>
              </w:rPr>
            </w:pPr>
            <w:r>
              <w:rPr>
                <w:sz w:val="28"/>
                <w:szCs w:val="28"/>
                <w:lang w:val="lv-LV"/>
              </w:rPr>
              <w:t>2</w:t>
            </w:r>
            <w:r w:rsidR="008B2549">
              <w:rPr>
                <w:sz w:val="28"/>
                <w:szCs w:val="28"/>
                <w:lang w:val="lv-LV"/>
              </w:rPr>
              <w:t>) </w:t>
            </w:r>
            <w:r w:rsidR="000E28EE" w:rsidRPr="00DA3F53">
              <w:rPr>
                <w:sz w:val="28"/>
                <w:szCs w:val="28"/>
                <w:lang w:val="lv-LV"/>
              </w:rPr>
              <w:t xml:space="preserve">Eiropas Parlamenta un Eiropas Padomes </w:t>
            </w:r>
            <w:r w:rsidR="0068542C" w:rsidRPr="00182048">
              <w:rPr>
                <w:sz w:val="28"/>
                <w:szCs w:val="28"/>
                <w:lang w:val="lv-LV"/>
              </w:rPr>
              <w:t xml:space="preserve">2007. gada 20. jūnija </w:t>
            </w:r>
            <w:r w:rsidR="008B2549" w:rsidRPr="00182048">
              <w:rPr>
                <w:sz w:val="28"/>
                <w:szCs w:val="28"/>
                <w:lang w:val="lv-LV"/>
              </w:rPr>
              <w:t xml:space="preserve">lēmumu </w:t>
            </w:r>
            <w:r w:rsidR="0068542C" w:rsidRPr="00182048">
              <w:rPr>
                <w:sz w:val="28"/>
                <w:szCs w:val="28"/>
                <w:lang w:val="lv-LV"/>
              </w:rPr>
              <w:t>Nr. </w:t>
            </w:r>
            <w:r w:rsidR="006D5FBF" w:rsidRPr="00DA3F53">
              <w:rPr>
                <w:sz w:val="28"/>
                <w:szCs w:val="28"/>
                <w:lang w:val="lv-LV"/>
              </w:rPr>
              <w:t>779/2007/EK</w:t>
            </w:r>
            <w:r w:rsidR="0068542C" w:rsidRPr="00182048">
              <w:rPr>
                <w:sz w:val="28"/>
                <w:szCs w:val="28"/>
                <w:lang w:val="lv-LV"/>
              </w:rPr>
              <w:t xml:space="preserve">, </w:t>
            </w:r>
            <w:r w:rsidR="000E28EE" w:rsidRPr="00DA3F53">
              <w:rPr>
                <w:sz w:val="28"/>
                <w:szCs w:val="28"/>
                <w:lang w:val="lv-LV"/>
              </w:rPr>
              <w:t>ar ko izveido īpašu programmu</w:t>
            </w:r>
            <w:r w:rsidR="000E28EE" w:rsidRPr="00182048">
              <w:rPr>
                <w:sz w:val="28"/>
                <w:szCs w:val="28"/>
                <w:lang w:val="lv-LV"/>
              </w:rPr>
              <w:t xml:space="preserve"> </w:t>
            </w:r>
            <w:r w:rsidR="0068542C" w:rsidRPr="00182048">
              <w:rPr>
                <w:sz w:val="28"/>
                <w:szCs w:val="28"/>
                <w:lang w:val="lv-LV"/>
              </w:rPr>
              <w:t>„</w:t>
            </w:r>
            <w:r w:rsidR="0068542C" w:rsidRPr="00182048">
              <w:rPr>
                <w:rFonts w:eastAsia="Times New Roman"/>
                <w:sz w:val="28"/>
                <w:szCs w:val="28"/>
                <w:lang w:val="lv-LV" w:eastAsia="lv-LV"/>
              </w:rPr>
              <w:t>Daphne III</w:t>
            </w:r>
            <w:r w:rsidR="0068542C" w:rsidRPr="00182048">
              <w:rPr>
                <w:sz w:val="28"/>
                <w:szCs w:val="28"/>
                <w:lang w:val="lv-LV"/>
              </w:rPr>
              <w:t xml:space="preserve">” </w:t>
            </w:r>
            <w:r w:rsidR="000E28EE" w:rsidRPr="00DA3F53">
              <w:rPr>
                <w:sz w:val="28"/>
                <w:szCs w:val="28"/>
                <w:lang w:val="lv-LV"/>
              </w:rPr>
              <w:lastRenderedPageBreak/>
              <w:t>laikposmam no 2007. gada līdz 2013. gadam</w:t>
            </w:r>
          </w:p>
          <w:p w:rsidR="0068542C" w:rsidRPr="00182048" w:rsidRDefault="0068542C" w:rsidP="0068542C">
            <w:pPr>
              <w:tabs>
                <w:tab w:val="left" w:pos="1755"/>
              </w:tabs>
              <w:jc w:val="both"/>
              <w:rPr>
                <w:sz w:val="28"/>
                <w:szCs w:val="28"/>
                <w:lang w:val="lv-LV"/>
              </w:rPr>
            </w:pPr>
            <w:r w:rsidRPr="00182048">
              <w:rPr>
                <w:sz w:val="28"/>
                <w:szCs w:val="28"/>
                <w:lang w:val="lv-LV"/>
              </w:rPr>
              <w:t>kā daļas no vispār</w:t>
            </w:r>
            <w:r w:rsidR="003319F6">
              <w:rPr>
                <w:sz w:val="28"/>
                <w:szCs w:val="28"/>
                <w:lang w:val="lv-LV"/>
              </w:rPr>
              <w:t>ējās</w:t>
            </w:r>
            <w:r w:rsidRPr="00182048">
              <w:rPr>
                <w:sz w:val="28"/>
                <w:szCs w:val="28"/>
                <w:lang w:val="lv-LV"/>
              </w:rPr>
              <w:t xml:space="preserve"> programmas „Pamattiesības un tiesiskums”</w:t>
            </w:r>
            <w:r w:rsidR="00FD3AB8" w:rsidRPr="00182048">
              <w:rPr>
                <w:sz w:val="28"/>
                <w:szCs w:val="28"/>
                <w:lang w:val="lv-LV"/>
              </w:rPr>
              <w:t>.</w:t>
            </w:r>
            <w:r w:rsidR="00B85C25" w:rsidRPr="00182048">
              <w:rPr>
                <w:sz w:val="28"/>
                <w:szCs w:val="28"/>
                <w:lang w:val="lv-LV"/>
              </w:rPr>
              <w:t xml:space="preserve"> </w:t>
            </w:r>
          </w:p>
          <w:p w:rsidR="0068542C" w:rsidRPr="00182048" w:rsidRDefault="0068542C" w:rsidP="00862D35">
            <w:pPr>
              <w:pStyle w:val="Pamatteksts"/>
              <w:tabs>
                <w:tab w:val="left" w:pos="3600"/>
              </w:tabs>
              <w:spacing w:after="0"/>
              <w:jc w:val="both"/>
              <w:rPr>
                <w:sz w:val="28"/>
                <w:szCs w:val="28"/>
                <w:lang w:val="lv-LV"/>
              </w:rPr>
            </w:pPr>
          </w:p>
          <w:p w:rsidR="00700FAE" w:rsidRPr="00182048" w:rsidRDefault="00700FAE" w:rsidP="00862D35">
            <w:pPr>
              <w:pStyle w:val="Pamatteksts"/>
              <w:tabs>
                <w:tab w:val="left" w:pos="3600"/>
              </w:tabs>
              <w:spacing w:after="0"/>
              <w:jc w:val="both"/>
              <w:rPr>
                <w:sz w:val="28"/>
                <w:szCs w:val="28"/>
                <w:lang w:val="lv-LV"/>
              </w:rPr>
            </w:pPr>
            <w:r w:rsidRPr="0002641B">
              <w:rPr>
                <w:sz w:val="28"/>
                <w:szCs w:val="28"/>
                <w:lang w:val="lv-LV"/>
              </w:rPr>
              <w:t>Īpašās programmas „Krimināltiesības” mērķis ir  veicināt tiesu iestāžu sadarbību, kura ir balstīta uz savstarpēju atzīšanu un uzticēšanos, dalībvalstīs piemērojamo noteikumu saderības veicināšan</w:t>
            </w:r>
            <w:r w:rsidR="000A651F" w:rsidRPr="0002641B">
              <w:rPr>
                <w:sz w:val="28"/>
                <w:szCs w:val="28"/>
                <w:lang w:val="lv-LV"/>
              </w:rPr>
              <w:t>u</w:t>
            </w:r>
            <w:r w:rsidRPr="0002641B">
              <w:rPr>
                <w:sz w:val="28"/>
                <w:szCs w:val="28"/>
                <w:lang w:val="lv-LV"/>
              </w:rPr>
              <w:t>,</w:t>
            </w:r>
            <w:r w:rsidRPr="00182048">
              <w:rPr>
                <w:sz w:val="28"/>
                <w:szCs w:val="28"/>
                <w:lang w:val="lv-LV"/>
              </w:rPr>
              <w:t xml:space="preserve"> kas varētu tikt izmantoti, lai uzlabotu tiesu iestāžu sadarbību, kontaktu veidošanu, informācijas apmaiņu, labās prakses pārņemšanu un savstarpējo uzticēšanos laika posmā no 2007.</w:t>
            </w:r>
            <w:r w:rsidR="0073528B">
              <w:rPr>
                <w:sz w:val="28"/>
                <w:szCs w:val="28"/>
                <w:lang w:val="lv-LV"/>
              </w:rPr>
              <w:t xml:space="preserve"> līdz </w:t>
            </w:r>
            <w:r w:rsidRPr="00182048">
              <w:rPr>
                <w:sz w:val="28"/>
                <w:szCs w:val="28"/>
                <w:lang w:val="lv-LV"/>
              </w:rPr>
              <w:t>2013. gadam.</w:t>
            </w:r>
          </w:p>
          <w:p w:rsidR="004520B8" w:rsidRPr="00182048" w:rsidRDefault="004520B8" w:rsidP="00862D35">
            <w:pPr>
              <w:pStyle w:val="Pamatteksts"/>
              <w:tabs>
                <w:tab w:val="left" w:pos="3600"/>
              </w:tabs>
              <w:spacing w:after="0"/>
              <w:jc w:val="both"/>
              <w:rPr>
                <w:sz w:val="28"/>
                <w:szCs w:val="28"/>
                <w:lang w:val="lv-LV"/>
              </w:rPr>
            </w:pPr>
            <w:r w:rsidRPr="00182048">
              <w:rPr>
                <w:sz w:val="28"/>
                <w:szCs w:val="28"/>
                <w:lang w:val="lv-LV"/>
              </w:rPr>
              <w:t>Īpašās programmas „</w:t>
            </w:r>
            <w:r w:rsidR="004654C4" w:rsidRPr="00182048">
              <w:rPr>
                <w:sz w:val="28"/>
                <w:szCs w:val="28"/>
                <w:lang w:val="lv-LV"/>
              </w:rPr>
              <w:t>Daphne III</w:t>
            </w:r>
            <w:r w:rsidRPr="00182048">
              <w:rPr>
                <w:sz w:val="28"/>
                <w:szCs w:val="28"/>
                <w:lang w:val="lv-LV"/>
              </w:rPr>
              <w:t xml:space="preserve">” mērķis ir veicināt </w:t>
            </w:r>
            <w:r w:rsidR="00A06D2F" w:rsidRPr="00182048">
              <w:rPr>
                <w:sz w:val="28"/>
                <w:szCs w:val="28"/>
                <w:lang w:val="lv-LV"/>
              </w:rPr>
              <w:t xml:space="preserve">profilaksi un vardarbības apkarošanu pret bērniem, pusaudžiem un sievietēm, kā arī aizsargāt nozieguma upurus un riska grupas </w:t>
            </w:r>
            <w:r w:rsidRPr="00182048">
              <w:rPr>
                <w:sz w:val="28"/>
                <w:szCs w:val="28"/>
                <w:lang w:val="lv-LV"/>
              </w:rPr>
              <w:t>laika posmā no 2007.-2013. gadam.</w:t>
            </w:r>
          </w:p>
          <w:p w:rsidR="00B85C25" w:rsidRPr="00182048" w:rsidRDefault="00B85C25" w:rsidP="00862D35">
            <w:pPr>
              <w:pStyle w:val="Pamatteksts"/>
              <w:tabs>
                <w:tab w:val="left" w:pos="3600"/>
              </w:tabs>
              <w:spacing w:after="0"/>
              <w:jc w:val="both"/>
              <w:rPr>
                <w:sz w:val="28"/>
                <w:szCs w:val="28"/>
                <w:lang w:val="lv-LV"/>
              </w:rPr>
            </w:pPr>
          </w:p>
          <w:p w:rsidR="00B85C25" w:rsidRPr="00AF0666" w:rsidRDefault="00B85C25" w:rsidP="00B85C25">
            <w:pPr>
              <w:tabs>
                <w:tab w:val="left" w:pos="1755"/>
              </w:tabs>
              <w:jc w:val="both"/>
              <w:rPr>
                <w:sz w:val="28"/>
                <w:szCs w:val="28"/>
                <w:lang w:val="lv-LV"/>
              </w:rPr>
            </w:pPr>
            <w:r w:rsidRPr="00182048">
              <w:rPr>
                <w:sz w:val="28"/>
                <w:szCs w:val="28"/>
                <w:lang w:val="lv-LV"/>
              </w:rPr>
              <w:t>Īpašās programma „Krimināltiesības” ir vienīgais būtiskais Eiropas Savienības finanšu instruments krimināltiesību politikas jomā. T</w:t>
            </w:r>
            <w:r w:rsidR="00C71085">
              <w:rPr>
                <w:sz w:val="28"/>
                <w:szCs w:val="28"/>
                <w:lang w:val="lv-LV"/>
              </w:rPr>
              <w:t>o</w:t>
            </w:r>
            <w:r w:rsidRPr="00182048">
              <w:rPr>
                <w:sz w:val="28"/>
                <w:szCs w:val="28"/>
                <w:lang w:val="lv-LV"/>
              </w:rPr>
              <w:t xml:space="preserve">, atšķirībā no </w:t>
            </w:r>
            <w:r w:rsidRPr="00AF0666">
              <w:rPr>
                <w:sz w:val="28"/>
                <w:szCs w:val="28"/>
                <w:lang w:val="lv-LV"/>
              </w:rPr>
              <w:t>struktūrfondiem, Eiropas Komisija administrē tieši – izsludina konkursus, izvērtē un uzrauga projektus.</w:t>
            </w:r>
          </w:p>
          <w:p w:rsidR="0068542C" w:rsidRPr="00AF0666" w:rsidRDefault="0068542C" w:rsidP="00862D35">
            <w:pPr>
              <w:pStyle w:val="Pamatteksts"/>
              <w:tabs>
                <w:tab w:val="left" w:pos="3600"/>
              </w:tabs>
              <w:spacing w:after="0"/>
              <w:jc w:val="both"/>
              <w:rPr>
                <w:sz w:val="28"/>
                <w:szCs w:val="28"/>
                <w:lang w:val="lv-LV"/>
              </w:rPr>
            </w:pPr>
          </w:p>
          <w:p w:rsidR="00AF0666" w:rsidRPr="00AF0666" w:rsidRDefault="00AF0666" w:rsidP="00AF0666">
            <w:pPr>
              <w:jc w:val="both"/>
              <w:rPr>
                <w:sz w:val="28"/>
                <w:szCs w:val="28"/>
                <w:lang w:val="lv-LV"/>
              </w:rPr>
            </w:pPr>
            <w:r w:rsidRPr="00AF0666">
              <w:rPr>
                <w:b/>
                <w:sz w:val="28"/>
                <w:szCs w:val="28"/>
                <w:lang w:val="lv-LV"/>
              </w:rPr>
              <w:t>Projektu finansēšana</w:t>
            </w:r>
            <w:r w:rsidRPr="00AF0666">
              <w:rPr>
                <w:sz w:val="28"/>
                <w:szCs w:val="28"/>
                <w:lang w:val="lv-LV"/>
              </w:rPr>
              <w:t xml:space="preserve"> ir balstīta uz līdzfinansēšanas principu – EK programmu ietvaros piešķirtie granti nedrīkst nosegt visas projekta izmaksas.</w:t>
            </w:r>
          </w:p>
          <w:p w:rsidR="00AF0666" w:rsidRPr="00AF0666" w:rsidRDefault="00AF0666" w:rsidP="00AF0666">
            <w:pPr>
              <w:jc w:val="both"/>
              <w:rPr>
                <w:sz w:val="28"/>
                <w:szCs w:val="28"/>
                <w:lang w:val="lv-LV"/>
              </w:rPr>
            </w:pPr>
            <w:r w:rsidRPr="00AF0666">
              <w:rPr>
                <w:sz w:val="28"/>
                <w:szCs w:val="28"/>
                <w:u w:val="single"/>
                <w:lang w:val="lv-LV"/>
              </w:rPr>
              <w:t>EK piešķirtais finansējums nedrīkst pārsniegt 80%</w:t>
            </w:r>
            <w:r w:rsidRPr="00AF0666">
              <w:rPr>
                <w:sz w:val="28"/>
                <w:szCs w:val="28"/>
                <w:lang w:val="lv-LV"/>
              </w:rPr>
              <w:t xml:space="preserve"> no kopējām projekta attiecināmajām izmaksām, līdz ar to vismaz </w:t>
            </w:r>
            <w:r w:rsidRPr="00AF0666">
              <w:rPr>
                <w:sz w:val="28"/>
                <w:szCs w:val="28"/>
                <w:u w:val="single"/>
                <w:lang w:val="lv-LV"/>
              </w:rPr>
              <w:t>20% no attiecināmajām izmaksām ir jālīdzfinansē projekta iesniegumu iesniedzējiem</w:t>
            </w:r>
            <w:r w:rsidRPr="00AF0666">
              <w:rPr>
                <w:sz w:val="28"/>
                <w:szCs w:val="28"/>
                <w:lang w:val="lv-LV"/>
              </w:rPr>
              <w:t xml:space="preserve"> un/vai to partneriem, asociētajiem partneriem vai no jebkuriem citiem līdzekļiem, ar nosacījumu, ka tie nav Eiropas Savienības budžeta līdzekļi.</w:t>
            </w:r>
          </w:p>
          <w:p w:rsidR="00AF0666" w:rsidRPr="00AF0666" w:rsidRDefault="00AF0666" w:rsidP="00AF0666">
            <w:pPr>
              <w:jc w:val="both"/>
              <w:rPr>
                <w:sz w:val="28"/>
                <w:szCs w:val="28"/>
                <w:lang w:val="lv-LV"/>
              </w:rPr>
            </w:pPr>
            <w:r w:rsidRPr="00AF0666">
              <w:rPr>
                <w:sz w:val="28"/>
                <w:szCs w:val="28"/>
                <w:lang w:val="lv-LV"/>
              </w:rPr>
              <w:t xml:space="preserve">Saskaņā ar EK programmas atklātā projektu iesniegumu konkursa noteikumiem avansā tiek izmaksāti 80% no Eiropas Komisijas piešķirtā finansējuma (granta), tādēļ projekta īstenotājiem </w:t>
            </w:r>
            <w:r w:rsidRPr="00AF0666">
              <w:rPr>
                <w:sz w:val="28"/>
                <w:szCs w:val="28"/>
                <w:u w:val="single"/>
                <w:lang w:val="lv-LV"/>
              </w:rPr>
              <w:t>papildus minētajam</w:t>
            </w:r>
            <w:r w:rsidRPr="00AF0666">
              <w:rPr>
                <w:sz w:val="28"/>
                <w:szCs w:val="28"/>
                <w:lang w:val="lv-LV"/>
              </w:rPr>
              <w:t xml:space="preserve"> 20% līdzfinansējumam ir </w:t>
            </w:r>
            <w:r w:rsidRPr="00AF0666">
              <w:rPr>
                <w:sz w:val="28"/>
                <w:szCs w:val="28"/>
                <w:lang w:val="lv-LV"/>
              </w:rPr>
              <w:lastRenderedPageBreak/>
              <w:t xml:space="preserve">jānodrošina </w:t>
            </w:r>
            <w:r w:rsidRPr="00AF0666">
              <w:rPr>
                <w:sz w:val="28"/>
                <w:szCs w:val="28"/>
                <w:u w:val="single"/>
                <w:lang w:val="lv-LV"/>
              </w:rPr>
              <w:t>priekšfinansējums 20% apjomā no Eiropas Komisijas piešķirtā finansējuma</w:t>
            </w:r>
            <w:r w:rsidRPr="00AF0666">
              <w:rPr>
                <w:sz w:val="28"/>
                <w:szCs w:val="28"/>
                <w:lang w:val="lv-LV"/>
              </w:rPr>
              <w:t>.</w:t>
            </w:r>
          </w:p>
          <w:p w:rsidR="00AF0666" w:rsidRPr="00AF0666" w:rsidRDefault="00AF0666" w:rsidP="00AF0666">
            <w:pPr>
              <w:jc w:val="both"/>
              <w:rPr>
                <w:sz w:val="28"/>
                <w:szCs w:val="28"/>
                <w:lang w:val="lv-LV"/>
              </w:rPr>
            </w:pPr>
            <w:r w:rsidRPr="00AF0666">
              <w:rPr>
                <w:sz w:val="28"/>
                <w:szCs w:val="28"/>
                <w:lang w:val="lv-LV"/>
              </w:rPr>
              <w:t>Priekšfinansējums kā gala maksājums tiks atmaksāts pēc noslēguma ziņojuma un finanšu pārskata saņemšanas un apstiprināšanas Eiropas Komisijā.</w:t>
            </w:r>
          </w:p>
          <w:p w:rsidR="00AF0666" w:rsidRPr="00AF0666" w:rsidRDefault="00AF0666" w:rsidP="00AF0666">
            <w:pPr>
              <w:jc w:val="both"/>
              <w:rPr>
                <w:sz w:val="28"/>
                <w:szCs w:val="28"/>
                <w:lang w:val="lv-LV"/>
              </w:rPr>
            </w:pPr>
            <w:r w:rsidRPr="00AF0666">
              <w:rPr>
                <w:sz w:val="28"/>
                <w:szCs w:val="28"/>
                <w:lang w:val="lv-LV"/>
              </w:rPr>
              <w:t xml:space="preserve">Saskaņā ar EK programmas atklātā projektu iesniegumu konkursa noteikumiem </w:t>
            </w:r>
            <w:r w:rsidRPr="00AF0666">
              <w:rPr>
                <w:sz w:val="28"/>
                <w:szCs w:val="28"/>
                <w:u w:val="single"/>
                <w:lang w:val="lv-LV"/>
              </w:rPr>
              <w:t>pievienotās vērtības nodokļa izmaksas tiek atzītas par neattiecināmām izmaksām, tādēļ projekta īstenotājam šīs izmaksas ir nepieciešams finansēt no saviem līdzekļiem.</w:t>
            </w:r>
          </w:p>
          <w:p w:rsidR="0056055F" w:rsidRPr="00AF0666" w:rsidRDefault="0056055F" w:rsidP="00862D35">
            <w:pPr>
              <w:pStyle w:val="Pamatteksts"/>
              <w:tabs>
                <w:tab w:val="left" w:pos="3600"/>
              </w:tabs>
              <w:spacing w:after="0"/>
              <w:jc w:val="both"/>
              <w:rPr>
                <w:sz w:val="28"/>
                <w:szCs w:val="28"/>
                <w:lang w:val="lv-LV"/>
              </w:rPr>
            </w:pPr>
          </w:p>
          <w:p w:rsidR="00FF3A57" w:rsidRPr="00F47538" w:rsidRDefault="00FF3A57" w:rsidP="00FF3A57">
            <w:pPr>
              <w:tabs>
                <w:tab w:val="left" w:pos="1755"/>
              </w:tabs>
              <w:jc w:val="both"/>
              <w:rPr>
                <w:sz w:val="28"/>
                <w:szCs w:val="28"/>
                <w:lang w:val="lv-LV"/>
              </w:rPr>
            </w:pPr>
            <w:r w:rsidRPr="00AF0666">
              <w:rPr>
                <w:sz w:val="28"/>
                <w:szCs w:val="28"/>
                <w:lang w:val="lv-LV" w:eastAsia="lv-LV"/>
              </w:rPr>
              <w:t>Ieslodzījuma vietu pārvalde</w:t>
            </w:r>
            <w:r w:rsidRPr="00182048">
              <w:rPr>
                <w:sz w:val="28"/>
                <w:szCs w:val="28"/>
                <w:lang w:val="lv-LV" w:eastAsia="lv-LV"/>
              </w:rPr>
              <w:t>, Valsts probācijas dienests</w:t>
            </w:r>
            <w:r w:rsidR="009133A6">
              <w:rPr>
                <w:sz w:val="28"/>
                <w:szCs w:val="28"/>
                <w:lang w:val="lv-LV" w:eastAsia="lv-LV"/>
              </w:rPr>
              <w:t xml:space="preserve"> un</w:t>
            </w:r>
            <w:r w:rsidRPr="00182048">
              <w:rPr>
                <w:sz w:val="28"/>
                <w:szCs w:val="28"/>
                <w:lang w:val="lv-LV" w:eastAsia="lv-LV"/>
              </w:rPr>
              <w:t xml:space="preserve"> Valsts valodas centrs</w:t>
            </w:r>
            <w:r w:rsidR="00F30B33" w:rsidRPr="00182048">
              <w:rPr>
                <w:sz w:val="28"/>
                <w:szCs w:val="28"/>
                <w:lang w:val="lv-LV" w:eastAsia="lv-LV"/>
              </w:rPr>
              <w:t xml:space="preserve"> </w:t>
            </w:r>
            <w:r w:rsidRPr="00182048">
              <w:rPr>
                <w:sz w:val="28"/>
                <w:szCs w:val="28"/>
                <w:lang w:val="lv-LV"/>
              </w:rPr>
              <w:t>EK programmas atklāt</w:t>
            </w:r>
            <w:r w:rsidR="00F30B33" w:rsidRPr="00182048">
              <w:rPr>
                <w:sz w:val="28"/>
                <w:szCs w:val="28"/>
                <w:lang w:val="lv-LV"/>
              </w:rPr>
              <w:t>ajā projektu</w:t>
            </w:r>
            <w:r w:rsidRPr="00182048">
              <w:rPr>
                <w:sz w:val="28"/>
                <w:szCs w:val="28"/>
                <w:lang w:val="lv-LV"/>
              </w:rPr>
              <w:t xml:space="preserve"> iesniegumu konkursa ietvaros kā vadoši</w:t>
            </w:r>
            <w:r w:rsidR="007219CB">
              <w:rPr>
                <w:sz w:val="28"/>
                <w:szCs w:val="28"/>
                <w:lang w:val="lv-LV"/>
              </w:rPr>
              <w:t>e</w:t>
            </w:r>
            <w:r w:rsidRPr="00182048">
              <w:rPr>
                <w:sz w:val="28"/>
                <w:szCs w:val="28"/>
                <w:lang w:val="lv-LV"/>
              </w:rPr>
              <w:t xml:space="preserve"> partneri </w:t>
            </w:r>
            <w:r w:rsidRPr="00182048">
              <w:rPr>
                <w:sz w:val="28"/>
                <w:szCs w:val="28"/>
                <w:lang w:val="lv-LV" w:eastAsia="lv-LV"/>
              </w:rPr>
              <w:t>ir iesn</w:t>
            </w:r>
            <w:r w:rsidRPr="00F47538">
              <w:rPr>
                <w:sz w:val="28"/>
                <w:szCs w:val="28"/>
                <w:lang w:val="lv-LV" w:eastAsia="lv-LV"/>
              </w:rPr>
              <w:t xml:space="preserve">ieguši vai kā partneri plāno piedalīties šādos </w:t>
            </w:r>
            <w:r w:rsidR="00332469">
              <w:rPr>
                <w:sz w:val="28"/>
                <w:szCs w:val="28"/>
                <w:lang w:val="lv-LV" w:eastAsia="lv-LV"/>
              </w:rPr>
              <w:t>projektos</w:t>
            </w:r>
            <w:r w:rsidR="00332469" w:rsidRPr="00F47538">
              <w:rPr>
                <w:sz w:val="28"/>
                <w:szCs w:val="28"/>
                <w:lang w:val="lv-LV" w:eastAsia="lv-LV"/>
              </w:rPr>
              <w:t xml:space="preserve"> </w:t>
            </w:r>
            <w:r w:rsidR="00FD3AB8" w:rsidRPr="00F47538">
              <w:rPr>
                <w:sz w:val="28"/>
                <w:szCs w:val="28"/>
                <w:lang w:val="lv-LV" w:eastAsia="lv-LV"/>
              </w:rPr>
              <w:t>(tos plānojam īstenot, ja Eiropas Komisija tos apstiprinās projektu iesniegumu konkursu ietvaros)</w:t>
            </w:r>
            <w:r w:rsidRPr="00F47538">
              <w:rPr>
                <w:sz w:val="28"/>
                <w:szCs w:val="28"/>
                <w:lang w:val="lv-LV" w:eastAsia="lv-LV"/>
              </w:rPr>
              <w:t xml:space="preserve">: </w:t>
            </w:r>
          </w:p>
          <w:p w:rsidR="00471DD2" w:rsidRPr="002D38B3" w:rsidRDefault="00471DD2" w:rsidP="00DA6737">
            <w:pPr>
              <w:tabs>
                <w:tab w:val="left" w:pos="1755"/>
              </w:tabs>
              <w:jc w:val="both"/>
              <w:rPr>
                <w:sz w:val="28"/>
                <w:szCs w:val="28"/>
                <w:lang w:val="lv-LV"/>
              </w:rPr>
            </w:pPr>
          </w:p>
          <w:p w:rsidR="003763D5" w:rsidRPr="002D38B3" w:rsidRDefault="00AD2014" w:rsidP="003763D5">
            <w:pPr>
              <w:tabs>
                <w:tab w:val="left" w:pos="1755"/>
              </w:tabs>
              <w:jc w:val="both"/>
              <w:rPr>
                <w:sz w:val="28"/>
                <w:szCs w:val="28"/>
                <w:lang w:val="lv-LV"/>
              </w:rPr>
            </w:pPr>
            <w:r>
              <w:rPr>
                <w:b/>
                <w:sz w:val="28"/>
                <w:szCs w:val="28"/>
                <w:lang w:val="lv-LV"/>
              </w:rPr>
              <w:t>1</w:t>
            </w:r>
            <w:r w:rsidR="003763D5" w:rsidRPr="002D38B3">
              <w:rPr>
                <w:b/>
                <w:sz w:val="28"/>
                <w:szCs w:val="28"/>
                <w:lang w:val="lv-LV"/>
              </w:rPr>
              <w:t>. Projekts</w:t>
            </w:r>
            <w:r w:rsidR="003763D5" w:rsidRPr="002D38B3">
              <w:rPr>
                <w:sz w:val="28"/>
                <w:szCs w:val="28"/>
                <w:lang w:val="lv-LV"/>
              </w:rPr>
              <w:t xml:space="preserve"> „Kriminālprocesā iesaistīto tiesu tulku kapacitātes </w:t>
            </w:r>
            <w:r w:rsidR="002E525C" w:rsidRPr="002D38B3">
              <w:rPr>
                <w:sz w:val="28"/>
                <w:szCs w:val="28"/>
                <w:lang w:val="lv-LV"/>
              </w:rPr>
              <w:t>celšana</w:t>
            </w:r>
            <w:r w:rsidR="003763D5" w:rsidRPr="002D38B3">
              <w:rPr>
                <w:sz w:val="28"/>
                <w:szCs w:val="28"/>
                <w:lang w:val="lv-LV"/>
              </w:rPr>
              <w:t xml:space="preserve"> un to aktivitāšu nodrošināšana”.</w:t>
            </w:r>
          </w:p>
          <w:p w:rsidR="003763D5" w:rsidRPr="002D38B3" w:rsidRDefault="003763D5" w:rsidP="003763D5">
            <w:pPr>
              <w:tabs>
                <w:tab w:val="left" w:pos="1755"/>
              </w:tabs>
              <w:jc w:val="both"/>
              <w:rPr>
                <w:sz w:val="28"/>
                <w:szCs w:val="28"/>
                <w:lang w:val="lv-LV"/>
              </w:rPr>
            </w:pPr>
            <w:r w:rsidRPr="002D38B3">
              <w:rPr>
                <w:sz w:val="28"/>
                <w:szCs w:val="28"/>
                <w:u w:val="single"/>
                <w:lang w:val="lv-LV"/>
              </w:rPr>
              <w:t>Mērķis</w:t>
            </w:r>
            <w:r w:rsidR="00F315A9" w:rsidRPr="002D38B3">
              <w:rPr>
                <w:sz w:val="28"/>
                <w:szCs w:val="28"/>
                <w:lang w:val="lv-LV"/>
              </w:rPr>
              <w:t> – </w:t>
            </w:r>
            <w:r w:rsidR="00CF19B8" w:rsidRPr="00F6462D">
              <w:rPr>
                <w:sz w:val="28"/>
                <w:szCs w:val="28"/>
                <w:lang w:val="lv-LV"/>
              </w:rPr>
              <w:t>nodrošināt procesuāl</w:t>
            </w:r>
            <w:r w:rsidR="00F6462D" w:rsidRPr="00F6462D">
              <w:rPr>
                <w:sz w:val="28"/>
                <w:szCs w:val="28"/>
                <w:lang w:val="lv-LV"/>
              </w:rPr>
              <w:t>ā</w:t>
            </w:r>
            <w:r w:rsidR="00CF19B8" w:rsidRPr="00F6462D">
              <w:rPr>
                <w:sz w:val="28"/>
                <w:szCs w:val="28"/>
                <w:lang w:val="lv-LV"/>
              </w:rPr>
              <w:t>s un aizsardzības tiesības kriminālprocesos</w:t>
            </w:r>
            <w:r w:rsidR="00CF19B8" w:rsidRPr="002D38B3">
              <w:rPr>
                <w:sz w:val="28"/>
                <w:szCs w:val="28"/>
                <w:lang w:val="lv-LV"/>
              </w:rPr>
              <w:t>, pilnveidojot rakstiskās un mutiskās tulkošanas pakalpojuma kvalitāti tiesās.</w:t>
            </w:r>
            <w:r w:rsidR="00B45C8E" w:rsidRPr="002D38B3">
              <w:rPr>
                <w:sz w:val="28"/>
                <w:szCs w:val="28"/>
                <w:lang w:val="lv-LV"/>
              </w:rPr>
              <w:t xml:space="preserve"> Mērķis tiks panākts: ieviešot tiesās tulkiem atbalsta programmatūru; ceļot tiesu tulku kvalifikāciju; </w:t>
            </w:r>
            <w:r w:rsidR="000A651F" w:rsidRPr="000A651F">
              <w:rPr>
                <w:sz w:val="28"/>
                <w:szCs w:val="28"/>
                <w:lang w:val="lv-LV"/>
              </w:rPr>
              <w:t xml:space="preserve">apzinot </w:t>
            </w:r>
            <w:r w:rsidR="00B45C8E" w:rsidRPr="000A651F">
              <w:rPr>
                <w:sz w:val="28"/>
                <w:szCs w:val="28"/>
                <w:lang w:val="lv-LV"/>
              </w:rPr>
              <w:t>tiesu tulku reģistra izveidošanai nepieciešam</w:t>
            </w:r>
            <w:r w:rsidR="000A651F" w:rsidRPr="000A651F">
              <w:rPr>
                <w:sz w:val="28"/>
                <w:szCs w:val="28"/>
                <w:lang w:val="lv-LV"/>
              </w:rPr>
              <w:t>o</w:t>
            </w:r>
            <w:r w:rsidR="00B45C8E" w:rsidRPr="000A651F">
              <w:rPr>
                <w:sz w:val="28"/>
                <w:szCs w:val="28"/>
                <w:lang w:val="lv-LV"/>
              </w:rPr>
              <w:t xml:space="preserve"> pieredz</w:t>
            </w:r>
            <w:r w:rsidR="000A651F" w:rsidRPr="000A651F">
              <w:rPr>
                <w:sz w:val="28"/>
                <w:szCs w:val="28"/>
                <w:lang w:val="lv-LV"/>
              </w:rPr>
              <w:t>i</w:t>
            </w:r>
            <w:r w:rsidR="00B45C8E" w:rsidRPr="000A651F">
              <w:rPr>
                <w:sz w:val="28"/>
                <w:szCs w:val="28"/>
                <w:lang w:val="lv-LV"/>
              </w:rPr>
              <w:t xml:space="preserve"> citās Eiropas Savienības valstīs.</w:t>
            </w:r>
          </w:p>
          <w:p w:rsidR="003763D5" w:rsidRPr="002D38B3" w:rsidRDefault="003763D5" w:rsidP="003763D5">
            <w:pPr>
              <w:tabs>
                <w:tab w:val="left" w:pos="1755"/>
              </w:tabs>
              <w:jc w:val="both"/>
              <w:rPr>
                <w:sz w:val="28"/>
                <w:szCs w:val="28"/>
                <w:u w:val="single"/>
                <w:lang w:val="lv-LV"/>
              </w:rPr>
            </w:pPr>
            <w:r w:rsidRPr="002D38B3">
              <w:rPr>
                <w:sz w:val="28"/>
                <w:szCs w:val="28"/>
                <w:u w:val="single"/>
                <w:lang w:val="lv-LV"/>
              </w:rPr>
              <w:t>Projekta iesniedzējs – Valsts valodas centrs.</w:t>
            </w:r>
          </w:p>
          <w:p w:rsidR="003763D5" w:rsidRPr="002D38B3" w:rsidRDefault="003763D5" w:rsidP="003763D5">
            <w:pPr>
              <w:tabs>
                <w:tab w:val="left" w:pos="1755"/>
              </w:tabs>
              <w:jc w:val="both"/>
              <w:rPr>
                <w:sz w:val="28"/>
                <w:szCs w:val="28"/>
                <w:lang w:val="lv-LV"/>
              </w:rPr>
            </w:pPr>
            <w:r w:rsidRPr="002D38B3">
              <w:rPr>
                <w:sz w:val="28"/>
                <w:szCs w:val="28"/>
                <w:u w:val="single"/>
                <w:lang w:val="lv-LV"/>
              </w:rPr>
              <w:t>Partneri</w:t>
            </w:r>
            <w:r w:rsidRPr="002D38B3">
              <w:rPr>
                <w:sz w:val="28"/>
                <w:szCs w:val="28"/>
                <w:lang w:val="lv-LV"/>
              </w:rPr>
              <w:t> – LR Tieslietu Ministrija; Tiesu administrācija (Latvija); Valsts policija (Latvija);</w:t>
            </w:r>
          </w:p>
          <w:p w:rsidR="003763D5" w:rsidRPr="002D38B3" w:rsidRDefault="003763D5" w:rsidP="003763D5">
            <w:pPr>
              <w:tabs>
                <w:tab w:val="left" w:pos="1755"/>
              </w:tabs>
              <w:jc w:val="both"/>
              <w:rPr>
                <w:sz w:val="28"/>
                <w:szCs w:val="28"/>
                <w:lang w:val="lv-LV"/>
              </w:rPr>
            </w:pPr>
            <w:r w:rsidRPr="002D38B3">
              <w:rPr>
                <w:sz w:val="28"/>
                <w:szCs w:val="28"/>
                <w:lang w:val="lv-LV"/>
              </w:rPr>
              <w:t>Izglītības ministrija (Latvija).</w:t>
            </w:r>
          </w:p>
          <w:p w:rsidR="00C6126E" w:rsidRPr="002D38B3" w:rsidRDefault="000009EC" w:rsidP="00C6126E">
            <w:pPr>
              <w:tabs>
                <w:tab w:val="left" w:pos="1755"/>
              </w:tabs>
              <w:jc w:val="both"/>
              <w:rPr>
                <w:sz w:val="28"/>
                <w:szCs w:val="28"/>
                <w:u w:val="single"/>
                <w:lang w:val="lv-LV"/>
              </w:rPr>
            </w:pPr>
            <w:r w:rsidRPr="002D38B3">
              <w:rPr>
                <w:sz w:val="28"/>
                <w:szCs w:val="28"/>
                <w:u w:val="single"/>
                <w:lang w:val="lv-LV"/>
              </w:rPr>
              <w:t>Kopējais projekta budžets</w:t>
            </w:r>
            <w:r w:rsidRPr="002D38B3">
              <w:rPr>
                <w:sz w:val="28"/>
                <w:szCs w:val="28"/>
                <w:lang w:val="lv-LV"/>
              </w:rPr>
              <w:t> – </w:t>
            </w:r>
            <w:r w:rsidR="00C6126E" w:rsidRPr="002D38B3">
              <w:rPr>
                <w:sz w:val="28"/>
                <w:szCs w:val="28"/>
                <w:lang w:val="lv-LV"/>
              </w:rPr>
              <w:t>EUR </w:t>
            </w:r>
            <w:r w:rsidR="007C78CA" w:rsidRPr="002D38B3">
              <w:rPr>
                <w:sz w:val="28"/>
                <w:szCs w:val="28"/>
                <w:lang w:val="lv-LV"/>
              </w:rPr>
              <w:t>533</w:t>
            </w:r>
            <w:r w:rsidR="00C6126E" w:rsidRPr="002D38B3">
              <w:rPr>
                <w:sz w:val="28"/>
                <w:szCs w:val="28"/>
                <w:lang w:val="lv-LV"/>
              </w:rPr>
              <w:t> </w:t>
            </w:r>
            <w:r w:rsidR="007C78CA" w:rsidRPr="002D38B3">
              <w:rPr>
                <w:sz w:val="28"/>
                <w:szCs w:val="28"/>
                <w:lang w:val="lv-LV"/>
              </w:rPr>
              <w:t>742</w:t>
            </w:r>
            <w:r w:rsidR="00C6126E" w:rsidRPr="002D38B3">
              <w:rPr>
                <w:sz w:val="28"/>
                <w:szCs w:val="28"/>
                <w:lang w:val="lv-LV"/>
              </w:rPr>
              <w:t>,</w:t>
            </w:r>
            <w:r w:rsidR="007C78CA" w:rsidRPr="002D38B3">
              <w:rPr>
                <w:sz w:val="28"/>
                <w:szCs w:val="28"/>
                <w:lang w:val="lv-LV"/>
              </w:rPr>
              <w:t>40</w:t>
            </w:r>
            <w:r w:rsidR="00C6126E" w:rsidRPr="002D38B3">
              <w:rPr>
                <w:sz w:val="28"/>
                <w:szCs w:val="28"/>
                <w:lang w:val="lv-LV"/>
              </w:rPr>
              <w:t xml:space="preserve"> (LVL </w:t>
            </w:r>
            <w:r w:rsidR="007C78CA" w:rsidRPr="002D38B3">
              <w:rPr>
                <w:sz w:val="28"/>
                <w:szCs w:val="28"/>
                <w:lang w:val="lv-LV"/>
              </w:rPr>
              <w:t>375</w:t>
            </w:r>
            <w:r w:rsidR="00C6126E" w:rsidRPr="002D38B3">
              <w:rPr>
                <w:sz w:val="28"/>
                <w:szCs w:val="28"/>
                <w:lang w:val="lv-LV"/>
              </w:rPr>
              <w:t> </w:t>
            </w:r>
            <w:r w:rsidR="007C78CA" w:rsidRPr="002D38B3">
              <w:rPr>
                <w:sz w:val="28"/>
                <w:szCs w:val="28"/>
                <w:lang w:val="lv-LV"/>
              </w:rPr>
              <w:t>116</w:t>
            </w:r>
            <w:r w:rsidR="00C6126E" w:rsidRPr="002D38B3">
              <w:rPr>
                <w:sz w:val="28"/>
                <w:szCs w:val="28"/>
                <w:lang w:val="lv-LV"/>
              </w:rPr>
              <w:t>,</w:t>
            </w:r>
            <w:r w:rsidR="007C78CA" w:rsidRPr="002D38B3">
              <w:rPr>
                <w:sz w:val="28"/>
                <w:szCs w:val="28"/>
                <w:lang w:val="lv-LV"/>
              </w:rPr>
              <w:t>29</w:t>
            </w:r>
            <w:r w:rsidR="00C6126E" w:rsidRPr="002D38B3">
              <w:rPr>
                <w:sz w:val="28"/>
                <w:szCs w:val="28"/>
                <w:lang w:val="lv-LV"/>
              </w:rPr>
              <w:t>).</w:t>
            </w:r>
          </w:p>
          <w:p w:rsidR="003763D5" w:rsidRPr="002D38B3" w:rsidRDefault="00430FFD" w:rsidP="00C6126E">
            <w:pPr>
              <w:tabs>
                <w:tab w:val="left" w:pos="1755"/>
              </w:tabs>
              <w:jc w:val="both"/>
              <w:rPr>
                <w:sz w:val="28"/>
                <w:szCs w:val="28"/>
                <w:lang w:val="lv-LV"/>
              </w:rPr>
            </w:pPr>
            <w:r w:rsidRPr="002D38B3">
              <w:rPr>
                <w:sz w:val="28"/>
                <w:szCs w:val="28"/>
                <w:u w:val="single"/>
                <w:lang w:val="lv-LV"/>
              </w:rPr>
              <w:t>F</w:t>
            </w:r>
            <w:r w:rsidR="00C6126E" w:rsidRPr="002D38B3">
              <w:rPr>
                <w:sz w:val="28"/>
                <w:szCs w:val="28"/>
                <w:u w:val="single"/>
                <w:lang w:val="lv-LV"/>
              </w:rPr>
              <w:t>inansējums</w:t>
            </w:r>
            <w:r w:rsidR="00C6126E" w:rsidRPr="002D38B3">
              <w:rPr>
                <w:sz w:val="28"/>
                <w:szCs w:val="28"/>
                <w:lang w:val="lv-LV"/>
              </w:rPr>
              <w:t> – </w:t>
            </w:r>
            <w:r w:rsidR="003763D5" w:rsidRPr="002D38B3">
              <w:rPr>
                <w:sz w:val="28"/>
                <w:szCs w:val="28"/>
                <w:lang w:val="lv-LV"/>
              </w:rPr>
              <w:t>EUR </w:t>
            </w:r>
            <w:r w:rsidR="00F15CF2" w:rsidRPr="002D38B3">
              <w:rPr>
                <w:sz w:val="28"/>
                <w:szCs w:val="28"/>
                <w:lang w:val="lv-LV"/>
              </w:rPr>
              <w:t>624</w:t>
            </w:r>
            <w:r w:rsidR="003763D5" w:rsidRPr="002D38B3">
              <w:rPr>
                <w:sz w:val="28"/>
                <w:szCs w:val="28"/>
                <w:lang w:val="lv-LV"/>
              </w:rPr>
              <w:t> </w:t>
            </w:r>
            <w:r w:rsidR="00F15CF2" w:rsidRPr="002D38B3">
              <w:rPr>
                <w:sz w:val="28"/>
                <w:szCs w:val="28"/>
                <w:lang w:val="lv-LV"/>
              </w:rPr>
              <w:t>801</w:t>
            </w:r>
            <w:r w:rsidR="003763D5" w:rsidRPr="002D38B3">
              <w:rPr>
                <w:sz w:val="28"/>
                <w:szCs w:val="28"/>
                <w:lang w:val="lv-LV"/>
              </w:rPr>
              <w:t>,</w:t>
            </w:r>
            <w:r w:rsidR="00F15CF2" w:rsidRPr="002D38B3">
              <w:rPr>
                <w:sz w:val="28"/>
                <w:szCs w:val="28"/>
                <w:lang w:val="lv-LV"/>
              </w:rPr>
              <w:t>68</w:t>
            </w:r>
            <w:r w:rsidR="003763D5" w:rsidRPr="002D38B3">
              <w:rPr>
                <w:sz w:val="28"/>
                <w:szCs w:val="28"/>
                <w:lang w:val="lv-LV"/>
              </w:rPr>
              <w:t xml:space="preserve"> (LVL </w:t>
            </w:r>
            <w:r w:rsidR="00F15CF2" w:rsidRPr="002D38B3">
              <w:rPr>
                <w:sz w:val="28"/>
                <w:szCs w:val="28"/>
                <w:lang w:val="lv-LV"/>
              </w:rPr>
              <w:t>439</w:t>
            </w:r>
            <w:r w:rsidR="003763D5" w:rsidRPr="002D38B3">
              <w:rPr>
                <w:sz w:val="28"/>
                <w:szCs w:val="28"/>
                <w:lang w:val="lv-LV"/>
              </w:rPr>
              <w:t> </w:t>
            </w:r>
            <w:r w:rsidR="00F15CF2" w:rsidRPr="002D38B3">
              <w:rPr>
                <w:sz w:val="28"/>
                <w:szCs w:val="28"/>
                <w:lang w:val="lv-LV"/>
              </w:rPr>
              <w:t>113</w:t>
            </w:r>
            <w:r w:rsidR="003763D5" w:rsidRPr="002D38B3">
              <w:rPr>
                <w:sz w:val="28"/>
                <w:szCs w:val="28"/>
                <w:lang w:val="lv-LV"/>
              </w:rPr>
              <w:t>,</w:t>
            </w:r>
            <w:r w:rsidR="00F15CF2" w:rsidRPr="002D38B3">
              <w:rPr>
                <w:sz w:val="28"/>
                <w:szCs w:val="28"/>
                <w:lang w:val="lv-LV"/>
              </w:rPr>
              <w:t>11</w:t>
            </w:r>
            <w:r w:rsidR="003763D5" w:rsidRPr="002D38B3">
              <w:rPr>
                <w:sz w:val="28"/>
                <w:szCs w:val="28"/>
                <w:lang w:val="lv-LV"/>
              </w:rPr>
              <w:t>), no tā valsts budžeta finansējums  līdzfinansējumam – EUR</w:t>
            </w:r>
            <w:r w:rsidR="007C78CA" w:rsidRPr="002D38B3">
              <w:rPr>
                <w:sz w:val="28"/>
                <w:szCs w:val="28"/>
                <w:lang w:val="lv-LV"/>
              </w:rPr>
              <w:t> </w:t>
            </w:r>
            <w:r w:rsidR="00F15CF2" w:rsidRPr="002D38B3">
              <w:rPr>
                <w:sz w:val="28"/>
                <w:szCs w:val="28"/>
                <w:lang w:val="lv-LV"/>
              </w:rPr>
              <w:t>106</w:t>
            </w:r>
            <w:r w:rsidR="003763D5" w:rsidRPr="002D38B3">
              <w:rPr>
                <w:sz w:val="28"/>
                <w:szCs w:val="28"/>
                <w:lang w:val="lv-LV"/>
              </w:rPr>
              <w:t> </w:t>
            </w:r>
            <w:r w:rsidR="00F15CF2" w:rsidRPr="002D38B3">
              <w:rPr>
                <w:sz w:val="28"/>
                <w:szCs w:val="28"/>
                <w:lang w:val="lv-LV"/>
              </w:rPr>
              <w:t>748</w:t>
            </w:r>
            <w:r w:rsidR="003763D5" w:rsidRPr="002D38B3">
              <w:rPr>
                <w:sz w:val="28"/>
                <w:szCs w:val="28"/>
                <w:lang w:val="lv-LV"/>
              </w:rPr>
              <w:t>,</w:t>
            </w:r>
            <w:r w:rsidR="00F15CF2" w:rsidRPr="002D38B3">
              <w:rPr>
                <w:sz w:val="28"/>
                <w:szCs w:val="28"/>
                <w:lang w:val="lv-LV"/>
              </w:rPr>
              <w:t>40</w:t>
            </w:r>
            <w:r w:rsidR="003763D5" w:rsidRPr="002D38B3">
              <w:rPr>
                <w:sz w:val="28"/>
                <w:szCs w:val="28"/>
                <w:lang w:val="lv-LV"/>
              </w:rPr>
              <w:t xml:space="preserve"> (LVL </w:t>
            </w:r>
            <w:r w:rsidR="00F15CF2" w:rsidRPr="002D38B3">
              <w:rPr>
                <w:sz w:val="28"/>
                <w:szCs w:val="28"/>
                <w:lang w:val="lv-LV"/>
              </w:rPr>
              <w:t>75</w:t>
            </w:r>
            <w:r w:rsidR="003763D5" w:rsidRPr="002D38B3">
              <w:rPr>
                <w:sz w:val="28"/>
                <w:szCs w:val="28"/>
                <w:lang w:val="lv-LV"/>
              </w:rPr>
              <w:t> 0</w:t>
            </w:r>
            <w:r w:rsidR="00F15CF2" w:rsidRPr="002D38B3">
              <w:rPr>
                <w:sz w:val="28"/>
                <w:szCs w:val="28"/>
                <w:lang w:val="lv-LV"/>
              </w:rPr>
              <w:t>2</w:t>
            </w:r>
            <w:r w:rsidR="003763D5" w:rsidRPr="002D38B3">
              <w:rPr>
                <w:sz w:val="28"/>
                <w:szCs w:val="28"/>
                <w:lang w:val="lv-LV"/>
              </w:rPr>
              <w:t>3,</w:t>
            </w:r>
            <w:r w:rsidR="00F15CF2" w:rsidRPr="002D38B3">
              <w:rPr>
                <w:sz w:val="28"/>
                <w:szCs w:val="28"/>
                <w:lang w:val="lv-LV"/>
              </w:rPr>
              <w:t>20</w:t>
            </w:r>
            <w:r w:rsidR="003763D5" w:rsidRPr="002D38B3">
              <w:rPr>
                <w:sz w:val="28"/>
                <w:szCs w:val="28"/>
                <w:lang w:val="lv-LV"/>
              </w:rPr>
              <w:t>) un neattiecināmo izmaksu (PVN</w:t>
            </w:r>
            <w:r w:rsidR="00FD3AB8" w:rsidRPr="002D38B3">
              <w:rPr>
                <w:sz w:val="28"/>
                <w:szCs w:val="28"/>
                <w:lang w:val="lv-LV"/>
              </w:rPr>
              <w:t xml:space="preserve"> </w:t>
            </w:r>
            <w:r w:rsidR="00FD3AB8" w:rsidRPr="002D38B3">
              <w:rPr>
                <w:sz w:val="28"/>
                <w:szCs w:val="28"/>
                <w:lang w:val="lv-LV"/>
              </w:rPr>
              <w:lastRenderedPageBreak/>
              <w:t>valsts iestādēm nav attiecināmas izmaksas</w:t>
            </w:r>
            <w:r w:rsidR="003763D5" w:rsidRPr="002D38B3">
              <w:rPr>
                <w:sz w:val="28"/>
                <w:szCs w:val="28"/>
                <w:lang w:val="lv-LV"/>
              </w:rPr>
              <w:t>) segšanai</w:t>
            </w:r>
            <w:r w:rsidR="002E1A32" w:rsidRPr="002D38B3">
              <w:rPr>
                <w:sz w:val="28"/>
                <w:szCs w:val="28"/>
                <w:lang w:val="lv-LV"/>
              </w:rPr>
              <w:t> </w:t>
            </w:r>
            <w:r w:rsidR="003763D5" w:rsidRPr="002D38B3">
              <w:rPr>
                <w:sz w:val="28"/>
                <w:szCs w:val="28"/>
                <w:lang w:val="lv-LV"/>
              </w:rPr>
              <w:t>–</w:t>
            </w:r>
            <w:r w:rsidR="002E1A32" w:rsidRPr="002D38B3">
              <w:rPr>
                <w:sz w:val="28"/>
                <w:szCs w:val="28"/>
                <w:lang w:val="lv-LV"/>
              </w:rPr>
              <w:t> </w:t>
            </w:r>
            <w:r w:rsidR="003763D5" w:rsidRPr="002D38B3">
              <w:rPr>
                <w:sz w:val="28"/>
                <w:szCs w:val="28"/>
                <w:lang w:val="lv-LV"/>
              </w:rPr>
              <w:t>EUR</w:t>
            </w:r>
            <w:r w:rsidR="002E1A32" w:rsidRPr="002D38B3">
              <w:rPr>
                <w:sz w:val="28"/>
                <w:szCs w:val="28"/>
                <w:lang w:val="lv-LV"/>
              </w:rPr>
              <w:t> </w:t>
            </w:r>
            <w:r w:rsidR="003763D5" w:rsidRPr="002D38B3">
              <w:rPr>
                <w:sz w:val="28"/>
                <w:szCs w:val="28"/>
                <w:lang w:val="lv-LV"/>
              </w:rPr>
              <w:t>9</w:t>
            </w:r>
            <w:r w:rsidR="00F15CF2" w:rsidRPr="002D38B3">
              <w:rPr>
                <w:sz w:val="28"/>
                <w:szCs w:val="28"/>
                <w:lang w:val="lv-LV"/>
              </w:rPr>
              <w:t>1</w:t>
            </w:r>
            <w:r w:rsidR="003763D5" w:rsidRPr="002D38B3">
              <w:rPr>
                <w:sz w:val="28"/>
                <w:szCs w:val="28"/>
                <w:lang w:val="lv-LV"/>
              </w:rPr>
              <w:t> </w:t>
            </w:r>
            <w:r w:rsidR="00F15CF2" w:rsidRPr="002D38B3">
              <w:rPr>
                <w:sz w:val="28"/>
                <w:szCs w:val="28"/>
                <w:lang w:val="lv-LV"/>
              </w:rPr>
              <w:t>059</w:t>
            </w:r>
            <w:r w:rsidR="003763D5" w:rsidRPr="002D38B3">
              <w:rPr>
                <w:sz w:val="28"/>
                <w:szCs w:val="28"/>
                <w:lang w:val="lv-LV"/>
              </w:rPr>
              <w:t>,</w:t>
            </w:r>
            <w:r w:rsidR="00F15CF2" w:rsidRPr="002D38B3">
              <w:rPr>
                <w:sz w:val="28"/>
                <w:szCs w:val="28"/>
                <w:lang w:val="lv-LV"/>
              </w:rPr>
              <w:t>36</w:t>
            </w:r>
            <w:r w:rsidR="003763D5" w:rsidRPr="002D38B3">
              <w:rPr>
                <w:sz w:val="28"/>
                <w:szCs w:val="28"/>
                <w:lang w:val="lv-LV"/>
              </w:rPr>
              <w:t xml:space="preserve"> (LVL</w:t>
            </w:r>
            <w:r w:rsidR="002E1A32" w:rsidRPr="002D38B3">
              <w:rPr>
                <w:sz w:val="28"/>
                <w:szCs w:val="28"/>
                <w:lang w:val="lv-LV"/>
              </w:rPr>
              <w:t> </w:t>
            </w:r>
            <w:r w:rsidR="00F15CF2" w:rsidRPr="002D38B3">
              <w:rPr>
                <w:sz w:val="28"/>
                <w:szCs w:val="28"/>
                <w:lang w:val="lv-LV"/>
              </w:rPr>
              <w:t>63</w:t>
            </w:r>
            <w:r w:rsidR="003763D5" w:rsidRPr="002D38B3">
              <w:rPr>
                <w:sz w:val="28"/>
                <w:szCs w:val="28"/>
                <w:lang w:val="lv-LV"/>
              </w:rPr>
              <w:t> </w:t>
            </w:r>
            <w:r w:rsidR="00F15CF2" w:rsidRPr="002D38B3">
              <w:rPr>
                <w:sz w:val="28"/>
                <w:szCs w:val="28"/>
                <w:lang w:val="lv-LV"/>
              </w:rPr>
              <w:t>996</w:t>
            </w:r>
            <w:r w:rsidR="003763D5" w:rsidRPr="002D38B3">
              <w:rPr>
                <w:sz w:val="28"/>
                <w:szCs w:val="28"/>
                <w:lang w:val="lv-LV"/>
              </w:rPr>
              <w:t>,</w:t>
            </w:r>
            <w:r w:rsidR="00F15CF2" w:rsidRPr="002D38B3">
              <w:rPr>
                <w:sz w:val="28"/>
                <w:szCs w:val="28"/>
                <w:lang w:val="lv-LV"/>
              </w:rPr>
              <w:t>88</w:t>
            </w:r>
            <w:r w:rsidR="003763D5" w:rsidRPr="002D38B3">
              <w:rPr>
                <w:sz w:val="28"/>
                <w:szCs w:val="28"/>
                <w:lang w:val="lv-LV"/>
              </w:rPr>
              <w:t>).</w:t>
            </w:r>
            <w:r w:rsidR="004B25AF" w:rsidRPr="002D38B3">
              <w:rPr>
                <w:sz w:val="28"/>
                <w:szCs w:val="28"/>
                <w:lang w:val="lv-LV"/>
              </w:rPr>
              <w:t xml:space="preserve"> Papildus nepieciešams finansējums no valsts budžeta priekšfinansējuma nodrošināšanai – EUR 85 398,78 (LVL 60 018,61). </w:t>
            </w:r>
            <w:r w:rsidR="00F25870" w:rsidRPr="002D38B3">
              <w:rPr>
                <w:sz w:val="28"/>
                <w:szCs w:val="28"/>
                <w:lang w:val="lv-LV"/>
              </w:rPr>
              <w:t xml:space="preserve">Līdz ar to, noapaļojot, no valsta budžeta līdzfinansējumam ir nepieciešami – LVL 75 024, neattiecināmo izmaksu segšanai – LVL 63 997 un priekšfinansējumam – LVL 60 019. Kopā ir nepieciešami – LVL </w:t>
            </w:r>
            <w:r w:rsidR="004B25AF" w:rsidRPr="002D38B3">
              <w:rPr>
                <w:sz w:val="28"/>
                <w:szCs w:val="28"/>
                <w:lang w:val="lv-LV"/>
              </w:rPr>
              <w:t>199 040.</w:t>
            </w:r>
          </w:p>
          <w:p w:rsidR="003763D5" w:rsidRPr="002D38B3" w:rsidRDefault="003763D5" w:rsidP="003763D5">
            <w:pPr>
              <w:tabs>
                <w:tab w:val="left" w:pos="1755"/>
              </w:tabs>
              <w:jc w:val="both"/>
              <w:rPr>
                <w:sz w:val="28"/>
                <w:szCs w:val="28"/>
                <w:lang w:val="lv-LV"/>
              </w:rPr>
            </w:pPr>
            <w:r w:rsidRPr="002D38B3">
              <w:rPr>
                <w:sz w:val="28"/>
                <w:szCs w:val="28"/>
                <w:u w:val="single"/>
                <w:lang w:val="lv-LV"/>
              </w:rPr>
              <w:t>Projekta īstenošanas laiks</w:t>
            </w:r>
            <w:r w:rsidRPr="002D38B3">
              <w:rPr>
                <w:sz w:val="28"/>
                <w:szCs w:val="28"/>
                <w:lang w:val="lv-LV"/>
              </w:rPr>
              <w:t> – 24 mēneši; projekta īstenošanu plānots uzsākt 201</w:t>
            </w:r>
            <w:r w:rsidR="00F15CF2" w:rsidRPr="002D38B3">
              <w:rPr>
                <w:sz w:val="28"/>
                <w:szCs w:val="28"/>
                <w:lang w:val="lv-LV"/>
              </w:rPr>
              <w:t>3</w:t>
            </w:r>
            <w:r w:rsidRPr="002D38B3">
              <w:rPr>
                <w:sz w:val="28"/>
                <w:szCs w:val="28"/>
                <w:lang w:val="lv-LV"/>
              </w:rPr>
              <w:t xml:space="preserve">. gada </w:t>
            </w:r>
            <w:r w:rsidR="00F15CF2" w:rsidRPr="002D38B3">
              <w:rPr>
                <w:sz w:val="28"/>
                <w:szCs w:val="28"/>
                <w:lang w:val="lv-LV"/>
              </w:rPr>
              <w:t>1</w:t>
            </w:r>
            <w:r w:rsidRPr="002D38B3">
              <w:rPr>
                <w:sz w:val="28"/>
                <w:szCs w:val="28"/>
                <w:lang w:val="lv-LV"/>
              </w:rPr>
              <w:t>. </w:t>
            </w:r>
            <w:r w:rsidR="00F15CF2" w:rsidRPr="002D38B3">
              <w:rPr>
                <w:sz w:val="28"/>
                <w:szCs w:val="28"/>
                <w:lang w:val="lv-LV"/>
              </w:rPr>
              <w:t>martā</w:t>
            </w:r>
            <w:r w:rsidRPr="002D38B3">
              <w:rPr>
                <w:sz w:val="28"/>
                <w:szCs w:val="28"/>
                <w:lang w:val="lv-LV"/>
              </w:rPr>
              <w:t>.</w:t>
            </w:r>
          </w:p>
          <w:p w:rsidR="00471DD2" w:rsidRPr="002D38B3" w:rsidRDefault="00471DD2" w:rsidP="006F08BD">
            <w:pPr>
              <w:tabs>
                <w:tab w:val="left" w:pos="1755"/>
              </w:tabs>
              <w:jc w:val="both"/>
              <w:rPr>
                <w:sz w:val="28"/>
                <w:szCs w:val="28"/>
                <w:lang w:val="lv-LV"/>
              </w:rPr>
            </w:pPr>
          </w:p>
          <w:p w:rsidR="006F08BD" w:rsidRPr="002D38B3" w:rsidRDefault="00AD2014" w:rsidP="006F08BD">
            <w:pPr>
              <w:tabs>
                <w:tab w:val="left" w:pos="1755"/>
              </w:tabs>
              <w:jc w:val="both"/>
              <w:rPr>
                <w:sz w:val="28"/>
                <w:szCs w:val="28"/>
                <w:lang w:val="lv-LV"/>
              </w:rPr>
            </w:pPr>
            <w:r>
              <w:rPr>
                <w:b/>
                <w:sz w:val="28"/>
                <w:szCs w:val="28"/>
                <w:lang w:val="lv-LV"/>
              </w:rPr>
              <w:t>2</w:t>
            </w:r>
            <w:r w:rsidR="006F08BD" w:rsidRPr="002D38B3">
              <w:rPr>
                <w:b/>
                <w:sz w:val="28"/>
                <w:szCs w:val="28"/>
                <w:lang w:val="lv-LV"/>
              </w:rPr>
              <w:t>. Projekts</w:t>
            </w:r>
            <w:r w:rsidR="006F08BD" w:rsidRPr="002D38B3">
              <w:rPr>
                <w:sz w:val="28"/>
                <w:szCs w:val="28"/>
                <w:lang w:val="lv-LV"/>
              </w:rPr>
              <w:t xml:space="preserve"> „Apļi Eiropas Savienībai”.</w:t>
            </w:r>
          </w:p>
          <w:p w:rsidR="00BD26AE" w:rsidRPr="002D38B3" w:rsidRDefault="006F08BD" w:rsidP="006F08BD">
            <w:pPr>
              <w:tabs>
                <w:tab w:val="left" w:pos="1755"/>
              </w:tabs>
              <w:jc w:val="both"/>
              <w:rPr>
                <w:sz w:val="28"/>
                <w:szCs w:val="28"/>
                <w:lang w:val="lv-LV"/>
              </w:rPr>
            </w:pPr>
            <w:r w:rsidRPr="002D38B3">
              <w:rPr>
                <w:sz w:val="28"/>
                <w:szCs w:val="28"/>
                <w:u w:val="single"/>
                <w:lang w:val="lv-LV"/>
              </w:rPr>
              <w:t>Mērķis</w:t>
            </w:r>
            <w:r w:rsidR="00BD26AE" w:rsidRPr="002D38B3">
              <w:rPr>
                <w:sz w:val="28"/>
                <w:szCs w:val="28"/>
                <w:lang w:val="lv-LV"/>
              </w:rPr>
              <w:t xml:space="preserve"> – veicināt un atvieglot </w:t>
            </w:r>
            <w:r w:rsidR="00A86906" w:rsidRPr="002D38B3">
              <w:rPr>
                <w:sz w:val="28"/>
                <w:szCs w:val="28"/>
                <w:lang w:val="lv-LV"/>
              </w:rPr>
              <w:t xml:space="preserve">Apļa atbalstu un atbildību (Apļa) </w:t>
            </w:r>
            <w:r w:rsidR="00BD26AE" w:rsidRPr="002D38B3">
              <w:rPr>
                <w:sz w:val="28"/>
                <w:szCs w:val="28"/>
                <w:lang w:val="lv-LV"/>
              </w:rPr>
              <w:t>attīstību visā Eiropā kā humānu, taisnīgu, efektīvu un neaizstājamu līdzekli atkārtotas seksuālās vardarbības mazināšanā.</w:t>
            </w:r>
            <w:r w:rsidR="00A86906" w:rsidRPr="002D38B3">
              <w:rPr>
                <w:sz w:val="28"/>
                <w:szCs w:val="28"/>
                <w:lang w:val="lv-LV"/>
              </w:rPr>
              <w:t xml:space="preserve"> Apļi nodrošinās uzraudzību un atbalstu atbrīvotajiem dzimumnoziedzniekiem, apvienojot brīvprātīgo un profesionāļu centienus.</w:t>
            </w:r>
          </w:p>
          <w:p w:rsidR="006F08BD" w:rsidRPr="002D38B3" w:rsidRDefault="000A651F" w:rsidP="006F08BD">
            <w:pPr>
              <w:tabs>
                <w:tab w:val="left" w:pos="1755"/>
              </w:tabs>
              <w:jc w:val="both"/>
              <w:rPr>
                <w:sz w:val="28"/>
                <w:szCs w:val="28"/>
                <w:lang w:val="lv-LV"/>
              </w:rPr>
            </w:pPr>
            <w:r>
              <w:rPr>
                <w:sz w:val="28"/>
                <w:szCs w:val="28"/>
                <w:lang w:val="lv-LV"/>
              </w:rPr>
              <w:t>M</w:t>
            </w:r>
            <w:r w:rsidR="00A86906" w:rsidRPr="002D38B3">
              <w:rPr>
                <w:sz w:val="28"/>
                <w:szCs w:val="28"/>
                <w:lang w:val="lv-LV"/>
              </w:rPr>
              <w:t>ērķ</w:t>
            </w:r>
            <w:r>
              <w:rPr>
                <w:sz w:val="28"/>
                <w:szCs w:val="28"/>
                <w:lang w:val="lv-LV"/>
              </w:rPr>
              <w:t>a sasniegšanai</w:t>
            </w:r>
            <w:r w:rsidR="00A86906" w:rsidRPr="002D38B3">
              <w:rPr>
                <w:sz w:val="28"/>
                <w:szCs w:val="28"/>
                <w:lang w:val="lv-LV"/>
              </w:rPr>
              <w:t xml:space="preserve"> </w:t>
            </w:r>
            <w:r w:rsidR="00BD26AE" w:rsidRPr="002D38B3">
              <w:rPr>
                <w:sz w:val="28"/>
                <w:szCs w:val="28"/>
                <w:lang w:val="lv-LV"/>
              </w:rPr>
              <w:t xml:space="preserve">tiks izveidots un </w:t>
            </w:r>
            <w:r w:rsidR="00C55C5F" w:rsidRPr="002D38B3">
              <w:rPr>
                <w:sz w:val="28"/>
                <w:szCs w:val="28"/>
                <w:lang w:val="lv-LV"/>
              </w:rPr>
              <w:t xml:space="preserve">Eiropas dalībvalstīs </w:t>
            </w:r>
            <w:r w:rsidR="00BD26AE" w:rsidRPr="002D38B3">
              <w:rPr>
                <w:sz w:val="28"/>
                <w:szCs w:val="28"/>
                <w:lang w:val="lv-LV"/>
              </w:rPr>
              <w:t xml:space="preserve">koplietots saskaņots Apļa apraksts, principi, vērtības un process. Tiks </w:t>
            </w:r>
            <w:r w:rsidR="00C55C5F" w:rsidRPr="002D38B3">
              <w:rPr>
                <w:sz w:val="28"/>
                <w:szCs w:val="28"/>
                <w:lang w:val="lv-LV"/>
              </w:rPr>
              <w:t xml:space="preserve">izveidots </w:t>
            </w:r>
            <w:r w:rsidR="00BD26AE" w:rsidRPr="002D38B3">
              <w:rPr>
                <w:sz w:val="28"/>
                <w:szCs w:val="28"/>
                <w:lang w:val="lv-LV"/>
              </w:rPr>
              <w:t xml:space="preserve"> apmācību dalībnieku sadarbības tīkls, </w:t>
            </w:r>
            <w:r w:rsidR="00C55C5F" w:rsidRPr="002D38B3">
              <w:rPr>
                <w:sz w:val="28"/>
                <w:szCs w:val="28"/>
                <w:lang w:val="lv-LV"/>
              </w:rPr>
              <w:t xml:space="preserve">tiks sniegtas </w:t>
            </w:r>
            <w:r w:rsidR="00BD26AE" w:rsidRPr="002D38B3">
              <w:rPr>
                <w:sz w:val="28"/>
                <w:szCs w:val="28"/>
                <w:lang w:val="lv-LV"/>
              </w:rPr>
              <w:t xml:space="preserve">konsultācijas un atbalsts, kā arī </w:t>
            </w:r>
            <w:r w:rsidR="00C55C5F" w:rsidRPr="002D38B3">
              <w:rPr>
                <w:sz w:val="28"/>
                <w:szCs w:val="28"/>
                <w:lang w:val="lv-LV"/>
              </w:rPr>
              <w:t xml:space="preserve">piedāvāts </w:t>
            </w:r>
            <w:r w:rsidR="00BD26AE" w:rsidRPr="002D38B3">
              <w:rPr>
                <w:sz w:val="28"/>
                <w:szCs w:val="28"/>
                <w:lang w:val="lv-LV"/>
              </w:rPr>
              <w:t xml:space="preserve">atbalsts </w:t>
            </w:r>
            <w:r w:rsidR="00C55C5F" w:rsidRPr="002D38B3">
              <w:rPr>
                <w:sz w:val="28"/>
                <w:szCs w:val="28"/>
                <w:lang w:val="lv-LV"/>
              </w:rPr>
              <w:t>jaunajām</w:t>
            </w:r>
            <w:r w:rsidR="00BD26AE" w:rsidRPr="002D38B3">
              <w:rPr>
                <w:sz w:val="28"/>
                <w:szCs w:val="28"/>
                <w:lang w:val="lv-LV"/>
              </w:rPr>
              <w:t xml:space="preserve"> un attīstības stadijā </w:t>
            </w:r>
            <w:r w:rsidR="00C55C5F" w:rsidRPr="002D38B3">
              <w:rPr>
                <w:sz w:val="28"/>
                <w:szCs w:val="28"/>
                <w:lang w:val="lv-LV"/>
              </w:rPr>
              <w:t>esošajām</w:t>
            </w:r>
            <w:r w:rsidR="00BD26AE" w:rsidRPr="002D38B3">
              <w:rPr>
                <w:sz w:val="28"/>
                <w:szCs w:val="28"/>
                <w:lang w:val="lv-LV"/>
              </w:rPr>
              <w:t xml:space="preserve"> nacionālajām programmām. Tiks piemēroti saskaņoti standarti un kritēriji kvalitātes nodrošināšanai dalībvalstīs un programmu atbilstības nodrošināšana valstu programmās.</w:t>
            </w:r>
          </w:p>
          <w:p w:rsidR="006F08BD" w:rsidRPr="002D38B3" w:rsidRDefault="006F08BD" w:rsidP="006F08BD">
            <w:pPr>
              <w:tabs>
                <w:tab w:val="left" w:pos="1755"/>
              </w:tabs>
              <w:jc w:val="both"/>
              <w:rPr>
                <w:sz w:val="28"/>
                <w:szCs w:val="28"/>
                <w:u w:val="single"/>
                <w:lang w:val="lv-LV"/>
              </w:rPr>
            </w:pPr>
            <w:r w:rsidRPr="002D38B3">
              <w:rPr>
                <w:sz w:val="28"/>
                <w:szCs w:val="28"/>
                <w:u w:val="single"/>
                <w:lang w:val="lv-LV"/>
              </w:rPr>
              <w:t>Projekta iesniedzējs – Avansas Universitāte (Nīderlande).</w:t>
            </w:r>
          </w:p>
          <w:p w:rsidR="00205A99" w:rsidRPr="002D38B3" w:rsidRDefault="006F08BD" w:rsidP="00205A99">
            <w:pPr>
              <w:tabs>
                <w:tab w:val="left" w:pos="1755"/>
              </w:tabs>
              <w:jc w:val="both"/>
              <w:rPr>
                <w:sz w:val="28"/>
                <w:szCs w:val="28"/>
                <w:lang w:val="lv-LV"/>
              </w:rPr>
            </w:pPr>
            <w:r w:rsidRPr="002D38B3">
              <w:rPr>
                <w:sz w:val="28"/>
                <w:szCs w:val="28"/>
                <w:u w:val="single"/>
                <w:lang w:val="lv-LV"/>
              </w:rPr>
              <w:t>Partneri</w:t>
            </w:r>
            <w:r w:rsidRPr="002D38B3">
              <w:rPr>
                <w:sz w:val="28"/>
                <w:szCs w:val="28"/>
                <w:lang w:val="lv-LV"/>
              </w:rPr>
              <w:t> – </w:t>
            </w:r>
            <w:r w:rsidR="00205A99" w:rsidRPr="002D38B3">
              <w:rPr>
                <w:sz w:val="28"/>
                <w:szCs w:val="28"/>
                <w:lang w:val="lv-LV"/>
              </w:rPr>
              <w:t>Tilburgas Universitāte (Nīderlande); Probācijas dienests (Nīderlande); Eiropas Probācijas organizācija (Nīderlande); Antverpen</w:t>
            </w:r>
            <w:r w:rsidR="004F3A87">
              <w:rPr>
                <w:sz w:val="28"/>
                <w:szCs w:val="28"/>
                <w:lang w:val="lv-LV"/>
              </w:rPr>
              <w:t>e</w:t>
            </w:r>
            <w:r w:rsidR="00205A99" w:rsidRPr="002D38B3">
              <w:rPr>
                <w:sz w:val="28"/>
                <w:szCs w:val="28"/>
                <w:lang w:val="lv-LV"/>
              </w:rPr>
              <w:t>s Tieslietu nams (Beļģija); Atbalsta un atbildības apļi (Apvienotā Karaliste); Notingemas Universitāte (Apvienotā Karaliste);</w:t>
            </w:r>
          </w:p>
          <w:p w:rsidR="006F08BD" w:rsidRPr="002D38B3" w:rsidRDefault="00205A99" w:rsidP="00205A99">
            <w:pPr>
              <w:tabs>
                <w:tab w:val="left" w:pos="1755"/>
              </w:tabs>
              <w:jc w:val="both"/>
              <w:rPr>
                <w:sz w:val="28"/>
                <w:szCs w:val="28"/>
                <w:lang w:val="lv-LV"/>
              </w:rPr>
            </w:pPr>
            <w:r w:rsidRPr="002D38B3">
              <w:rPr>
                <w:sz w:val="28"/>
                <w:szCs w:val="28"/>
                <w:lang w:val="lv-LV"/>
              </w:rPr>
              <w:t>Katalonijas Ģenerāldirektorāta Tieslietu Departaments (Spānija); Barselon</w:t>
            </w:r>
            <w:r w:rsidR="004F3A87">
              <w:rPr>
                <w:sz w:val="28"/>
                <w:szCs w:val="28"/>
                <w:lang w:val="lv-LV"/>
              </w:rPr>
              <w:t>a</w:t>
            </w:r>
            <w:r w:rsidRPr="002D38B3">
              <w:rPr>
                <w:sz w:val="28"/>
                <w:szCs w:val="28"/>
                <w:lang w:val="lv-LV"/>
              </w:rPr>
              <w:t xml:space="preserve">s Universitāte (Spānija); Noziedzības novēršanas fonds-IGA </w:t>
            </w:r>
            <w:r w:rsidRPr="002D38B3">
              <w:rPr>
                <w:sz w:val="28"/>
                <w:szCs w:val="28"/>
                <w:lang w:val="lv-LV"/>
              </w:rPr>
              <w:lastRenderedPageBreak/>
              <w:t xml:space="preserve">(Bulgārija); Ieslodzījuma vietu pārvaldes (Latvija); </w:t>
            </w:r>
            <w:r w:rsidR="00BE5E5F" w:rsidRPr="002D38B3">
              <w:rPr>
                <w:sz w:val="28"/>
                <w:szCs w:val="28"/>
                <w:lang w:val="lv-LV"/>
              </w:rPr>
              <w:t xml:space="preserve">Valsts probācijas dienests (Latvija); </w:t>
            </w:r>
            <w:r w:rsidRPr="002D38B3">
              <w:rPr>
                <w:sz w:val="28"/>
                <w:szCs w:val="28"/>
                <w:lang w:val="lv-LV"/>
              </w:rPr>
              <w:t>Latvijas Universitāte (Latvija); Budapeštas Sociālo resursu centrs (Ungārija); Probācijas dienests (Īrija); Šarla Perrena centrs (Francija).</w:t>
            </w:r>
          </w:p>
          <w:p w:rsidR="00C6126E" w:rsidRPr="002D38B3" w:rsidRDefault="000009EC" w:rsidP="00C6126E">
            <w:pPr>
              <w:tabs>
                <w:tab w:val="left" w:pos="1755"/>
              </w:tabs>
              <w:jc w:val="both"/>
              <w:rPr>
                <w:sz w:val="28"/>
                <w:szCs w:val="28"/>
                <w:u w:val="single"/>
                <w:lang w:val="lv-LV"/>
              </w:rPr>
            </w:pPr>
            <w:r w:rsidRPr="002D38B3">
              <w:rPr>
                <w:sz w:val="28"/>
                <w:szCs w:val="28"/>
                <w:u w:val="single"/>
                <w:lang w:val="lv-LV"/>
              </w:rPr>
              <w:t>Kopējais projekta budžets</w:t>
            </w:r>
            <w:r w:rsidRPr="002D38B3">
              <w:rPr>
                <w:sz w:val="28"/>
                <w:szCs w:val="28"/>
                <w:lang w:val="lv-LV"/>
              </w:rPr>
              <w:t> – </w:t>
            </w:r>
            <w:r w:rsidR="00C6126E" w:rsidRPr="002D38B3">
              <w:rPr>
                <w:sz w:val="28"/>
                <w:szCs w:val="28"/>
                <w:lang w:val="lv-LV"/>
              </w:rPr>
              <w:t>EUR </w:t>
            </w:r>
            <w:r w:rsidR="00B87DBA" w:rsidRPr="002D38B3">
              <w:rPr>
                <w:sz w:val="28"/>
                <w:szCs w:val="28"/>
                <w:lang w:val="lv-LV"/>
              </w:rPr>
              <w:t>923</w:t>
            </w:r>
            <w:r w:rsidR="00C6126E" w:rsidRPr="002D38B3">
              <w:rPr>
                <w:sz w:val="28"/>
                <w:szCs w:val="28"/>
                <w:lang w:val="lv-LV"/>
              </w:rPr>
              <w:t> </w:t>
            </w:r>
            <w:r w:rsidR="00B87DBA" w:rsidRPr="002D38B3">
              <w:rPr>
                <w:sz w:val="28"/>
                <w:szCs w:val="28"/>
                <w:lang w:val="lv-LV"/>
              </w:rPr>
              <w:t>021</w:t>
            </w:r>
            <w:r w:rsidR="00C6126E" w:rsidRPr="002D38B3">
              <w:rPr>
                <w:sz w:val="28"/>
                <w:szCs w:val="28"/>
                <w:lang w:val="lv-LV"/>
              </w:rPr>
              <w:t>,</w:t>
            </w:r>
            <w:r w:rsidR="00B87DBA" w:rsidRPr="002D38B3">
              <w:rPr>
                <w:sz w:val="28"/>
                <w:szCs w:val="28"/>
                <w:lang w:val="lv-LV"/>
              </w:rPr>
              <w:t>00</w:t>
            </w:r>
            <w:r w:rsidR="00C6126E" w:rsidRPr="002D38B3">
              <w:rPr>
                <w:sz w:val="28"/>
                <w:szCs w:val="28"/>
                <w:lang w:val="lv-LV"/>
              </w:rPr>
              <w:t xml:space="preserve"> (LVL </w:t>
            </w:r>
            <w:r w:rsidR="00B87DBA" w:rsidRPr="002D38B3">
              <w:rPr>
                <w:sz w:val="28"/>
                <w:szCs w:val="28"/>
                <w:lang w:val="lv-LV"/>
              </w:rPr>
              <w:t>648</w:t>
            </w:r>
            <w:r w:rsidR="00C6126E" w:rsidRPr="002D38B3">
              <w:rPr>
                <w:sz w:val="28"/>
                <w:szCs w:val="28"/>
                <w:lang w:val="lv-LV"/>
              </w:rPr>
              <w:t> </w:t>
            </w:r>
            <w:r w:rsidR="00B87DBA" w:rsidRPr="002D38B3">
              <w:rPr>
                <w:sz w:val="28"/>
                <w:szCs w:val="28"/>
                <w:lang w:val="lv-LV"/>
              </w:rPr>
              <w:t>702</w:t>
            </w:r>
            <w:r w:rsidR="00C6126E" w:rsidRPr="002D38B3">
              <w:rPr>
                <w:sz w:val="28"/>
                <w:szCs w:val="28"/>
                <w:lang w:val="lv-LV"/>
              </w:rPr>
              <w:t>,</w:t>
            </w:r>
            <w:r w:rsidR="00B87DBA" w:rsidRPr="002D38B3">
              <w:rPr>
                <w:sz w:val="28"/>
                <w:szCs w:val="28"/>
                <w:lang w:val="lv-LV"/>
              </w:rPr>
              <w:t>85</w:t>
            </w:r>
            <w:r w:rsidR="00C6126E" w:rsidRPr="002D38B3">
              <w:rPr>
                <w:sz w:val="28"/>
                <w:szCs w:val="28"/>
                <w:lang w:val="lv-LV"/>
              </w:rPr>
              <w:t>).</w:t>
            </w:r>
          </w:p>
          <w:p w:rsidR="006F08BD" w:rsidRPr="002D38B3" w:rsidRDefault="00B87DBA" w:rsidP="00C6126E">
            <w:pPr>
              <w:tabs>
                <w:tab w:val="left" w:pos="1755"/>
              </w:tabs>
              <w:jc w:val="both"/>
              <w:rPr>
                <w:sz w:val="28"/>
                <w:szCs w:val="28"/>
                <w:lang w:val="lv-LV"/>
              </w:rPr>
            </w:pPr>
            <w:r w:rsidRPr="002D38B3">
              <w:rPr>
                <w:sz w:val="28"/>
                <w:szCs w:val="28"/>
                <w:u w:val="single"/>
                <w:lang w:val="lv-LV"/>
              </w:rPr>
              <w:t>F</w:t>
            </w:r>
            <w:r w:rsidR="00C6126E" w:rsidRPr="002D38B3">
              <w:rPr>
                <w:sz w:val="28"/>
                <w:szCs w:val="28"/>
                <w:u w:val="single"/>
                <w:lang w:val="lv-LV"/>
              </w:rPr>
              <w:t>inansējums</w:t>
            </w:r>
            <w:r w:rsidR="00C6126E" w:rsidRPr="002D38B3">
              <w:rPr>
                <w:sz w:val="28"/>
                <w:szCs w:val="28"/>
                <w:lang w:val="lv-LV"/>
              </w:rPr>
              <w:t> </w:t>
            </w:r>
            <w:r w:rsidR="00131A7F" w:rsidRPr="002D38B3">
              <w:rPr>
                <w:sz w:val="28"/>
                <w:szCs w:val="28"/>
                <w:lang w:val="lv-LV"/>
              </w:rPr>
              <w:t>Ieslodzījuma vietu pārvaldes un Valsts probācijas dienest</w:t>
            </w:r>
            <w:r w:rsidR="008B238C" w:rsidRPr="002D38B3">
              <w:rPr>
                <w:sz w:val="28"/>
                <w:szCs w:val="28"/>
                <w:lang w:val="lv-LV"/>
              </w:rPr>
              <w:t>a</w:t>
            </w:r>
            <w:r w:rsidR="00131A7F" w:rsidRPr="002D38B3">
              <w:rPr>
                <w:sz w:val="28"/>
                <w:szCs w:val="28"/>
                <w:lang w:val="lv-LV"/>
              </w:rPr>
              <w:t xml:space="preserve"> dalībai projektā</w:t>
            </w:r>
            <w:r w:rsidR="00146AC6" w:rsidRPr="002D38B3">
              <w:rPr>
                <w:sz w:val="28"/>
                <w:szCs w:val="28"/>
                <w:lang w:val="lv-LV"/>
              </w:rPr>
              <w:t> – </w:t>
            </w:r>
            <w:r w:rsidR="006F08BD" w:rsidRPr="002D38B3">
              <w:rPr>
                <w:sz w:val="28"/>
                <w:szCs w:val="28"/>
                <w:lang w:val="lv-LV"/>
              </w:rPr>
              <w:t>EUR </w:t>
            </w:r>
            <w:r w:rsidR="00A97E8C" w:rsidRPr="002D38B3">
              <w:rPr>
                <w:sz w:val="28"/>
                <w:szCs w:val="28"/>
                <w:lang w:val="lv-LV"/>
              </w:rPr>
              <w:t>78</w:t>
            </w:r>
            <w:r w:rsidR="006F08BD" w:rsidRPr="002D38B3">
              <w:rPr>
                <w:sz w:val="28"/>
                <w:szCs w:val="28"/>
                <w:lang w:val="lv-LV"/>
              </w:rPr>
              <w:t> </w:t>
            </w:r>
            <w:r w:rsidR="00A97E8C" w:rsidRPr="002D38B3">
              <w:rPr>
                <w:sz w:val="28"/>
                <w:szCs w:val="28"/>
                <w:lang w:val="lv-LV"/>
              </w:rPr>
              <w:t>306</w:t>
            </w:r>
            <w:r w:rsidR="006F08BD" w:rsidRPr="002D38B3">
              <w:rPr>
                <w:sz w:val="28"/>
                <w:szCs w:val="28"/>
                <w:lang w:val="lv-LV"/>
              </w:rPr>
              <w:t>,</w:t>
            </w:r>
            <w:r w:rsidR="00A97E8C" w:rsidRPr="002D38B3">
              <w:rPr>
                <w:sz w:val="28"/>
                <w:szCs w:val="28"/>
                <w:lang w:val="lv-LV"/>
              </w:rPr>
              <w:t>16</w:t>
            </w:r>
            <w:r w:rsidR="006F08BD" w:rsidRPr="002D38B3">
              <w:rPr>
                <w:sz w:val="28"/>
                <w:szCs w:val="28"/>
                <w:lang w:val="lv-LV"/>
              </w:rPr>
              <w:t xml:space="preserve"> (LVL </w:t>
            </w:r>
            <w:r w:rsidR="00A97E8C" w:rsidRPr="002D38B3">
              <w:rPr>
                <w:sz w:val="28"/>
                <w:szCs w:val="28"/>
                <w:lang w:val="lv-LV"/>
              </w:rPr>
              <w:t>55</w:t>
            </w:r>
            <w:r w:rsidR="006F08BD" w:rsidRPr="002D38B3">
              <w:rPr>
                <w:sz w:val="28"/>
                <w:szCs w:val="28"/>
                <w:lang w:val="lv-LV"/>
              </w:rPr>
              <w:t> </w:t>
            </w:r>
            <w:r w:rsidR="00A97E8C" w:rsidRPr="002D38B3">
              <w:rPr>
                <w:sz w:val="28"/>
                <w:szCs w:val="28"/>
                <w:lang w:val="lv-LV"/>
              </w:rPr>
              <w:t>033</w:t>
            </w:r>
            <w:r w:rsidR="006F08BD" w:rsidRPr="002D38B3">
              <w:rPr>
                <w:sz w:val="28"/>
                <w:szCs w:val="28"/>
                <w:lang w:val="lv-LV"/>
              </w:rPr>
              <w:t>,</w:t>
            </w:r>
            <w:r w:rsidR="00A97E8C" w:rsidRPr="002D38B3">
              <w:rPr>
                <w:sz w:val="28"/>
                <w:szCs w:val="28"/>
                <w:lang w:val="lv-LV"/>
              </w:rPr>
              <w:t>89</w:t>
            </w:r>
            <w:r w:rsidR="006F08BD" w:rsidRPr="002D38B3">
              <w:rPr>
                <w:sz w:val="28"/>
                <w:szCs w:val="28"/>
                <w:lang w:val="lv-LV"/>
              </w:rPr>
              <w:t xml:space="preserve">), no tā valsts budžeta finansējums līdzfinansējumam – EUR </w:t>
            </w:r>
            <w:r w:rsidR="00A97E8C" w:rsidRPr="002D38B3">
              <w:rPr>
                <w:sz w:val="28"/>
                <w:szCs w:val="28"/>
                <w:lang w:val="lv-LV"/>
              </w:rPr>
              <w:t>13</w:t>
            </w:r>
            <w:r w:rsidR="006F08BD" w:rsidRPr="002D38B3">
              <w:rPr>
                <w:sz w:val="28"/>
                <w:szCs w:val="28"/>
                <w:lang w:val="lv-LV"/>
              </w:rPr>
              <w:t> </w:t>
            </w:r>
            <w:r w:rsidR="00A97E8C" w:rsidRPr="002D38B3">
              <w:rPr>
                <w:sz w:val="28"/>
                <w:szCs w:val="28"/>
                <w:lang w:val="lv-LV"/>
              </w:rPr>
              <w:t>715</w:t>
            </w:r>
            <w:r w:rsidR="006F08BD" w:rsidRPr="002D38B3">
              <w:rPr>
                <w:sz w:val="28"/>
                <w:szCs w:val="28"/>
                <w:lang w:val="lv-LV"/>
              </w:rPr>
              <w:t>,</w:t>
            </w:r>
            <w:r w:rsidR="00A97E8C" w:rsidRPr="002D38B3">
              <w:rPr>
                <w:sz w:val="28"/>
                <w:szCs w:val="28"/>
                <w:lang w:val="lv-LV"/>
              </w:rPr>
              <w:t>00</w:t>
            </w:r>
            <w:r w:rsidR="006F08BD" w:rsidRPr="002D38B3">
              <w:rPr>
                <w:sz w:val="28"/>
                <w:szCs w:val="28"/>
                <w:lang w:val="lv-LV"/>
              </w:rPr>
              <w:t xml:space="preserve"> (LVL</w:t>
            </w:r>
            <w:r w:rsidR="00D16EE5" w:rsidRPr="002D38B3">
              <w:rPr>
                <w:sz w:val="28"/>
                <w:szCs w:val="28"/>
                <w:lang w:val="lv-LV"/>
              </w:rPr>
              <w:t> </w:t>
            </w:r>
            <w:r w:rsidR="00A97E8C" w:rsidRPr="002D38B3">
              <w:rPr>
                <w:sz w:val="28"/>
                <w:szCs w:val="28"/>
                <w:lang w:val="lv-LV"/>
              </w:rPr>
              <w:t>9</w:t>
            </w:r>
            <w:r w:rsidR="006F08BD" w:rsidRPr="002D38B3">
              <w:rPr>
                <w:sz w:val="28"/>
                <w:szCs w:val="28"/>
                <w:lang w:val="lv-LV"/>
              </w:rPr>
              <w:t> </w:t>
            </w:r>
            <w:r w:rsidR="00A97E8C" w:rsidRPr="002D38B3">
              <w:rPr>
                <w:sz w:val="28"/>
                <w:szCs w:val="28"/>
                <w:lang w:val="lv-LV"/>
              </w:rPr>
              <w:t>638</w:t>
            </w:r>
            <w:r w:rsidR="006F08BD" w:rsidRPr="002D38B3">
              <w:rPr>
                <w:sz w:val="28"/>
                <w:szCs w:val="28"/>
                <w:lang w:val="lv-LV"/>
              </w:rPr>
              <w:t>,</w:t>
            </w:r>
            <w:r w:rsidR="00A97E8C" w:rsidRPr="002D38B3">
              <w:rPr>
                <w:sz w:val="28"/>
                <w:szCs w:val="28"/>
                <w:lang w:val="lv-LV"/>
              </w:rPr>
              <w:t>96</w:t>
            </w:r>
            <w:r w:rsidR="006F08BD" w:rsidRPr="002D38B3">
              <w:rPr>
                <w:sz w:val="28"/>
                <w:szCs w:val="28"/>
                <w:lang w:val="lv-LV"/>
              </w:rPr>
              <w:t>) un neattiecināmo izmaksu (PVN</w:t>
            </w:r>
            <w:r w:rsidR="00FD3AB8" w:rsidRPr="002D38B3">
              <w:rPr>
                <w:sz w:val="28"/>
                <w:szCs w:val="28"/>
                <w:lang w:val="lv-LV"/>
              </w:rPr>
              <w:t xml:space="preserve"> valsts iestādēm nav attiecināmas izmaksas</w:t>
            </w:r>
            <w:r w:rsidR="006F08BD" w:rsidRPr="002D38B3">
              <w:rPr>
                <w:sz w:val="28"/>
                <w:szCs w:val="28"/>
                <w:lang w:val="lv-LV"/>
              </w:rPr>
              <w:t>) segšanai – EUR</w:t>
            </w:r>
            <w:r w:rsidR="00D16EE5" w:rsidRPr="002D38B3">
              <w:rPr>
                <w:sz w:val="28"/>
                <w:szCs w:val="28"/>
                <w:lang w:val="lv-LV"/>
              </w:rPr>
              <w:t> </w:t>
            </w:r>
            <w:r w:rsidR="00A97E8C" w:rsidRPr="002D38B3">
              <w:rPr>
                <w:sz w:val="28"/>
                <w:szCs w:val="28"/>
                <w:lang w:val="lv-LV"/>
              </w:rPr>
              <w:t>9</w:t>
            </w:r>
            <w:r w:rsidR="006F08BD" w:rsidRPr="002D38B3">
              <w:rPr>
                <w:sz w:val="28"/>
                <w:szCs w:val="28"/>
                <w:lang w:val="lv-LV"/>
              </w:rPr>
              <w:t> </w:t>
            </w:r>
            <w:r w:rsidR="00A97E8C" w:rsidRPr="002D38B3">
              <w:rPr>
                <w:sz w:val="28"/>
                <w:szCs w:val="28"/>
                <w:lang w:val="lv-LV"/>
              </w:rPr>
              <w:t>730</w:t>
            </w:r>
            <w:r w:rsidR="006F08BD" w:rsidRPr="002D38B3">
              <w:rPr>
                <w:sz w:val="28"/>
                <w:szCs w:val="28"/>
                <w:lang w:val="lv-LV"/>
              </w:rPr>
              <w:t>,</w:t>
            </w:r>
            <w:r w:rsidR="00A97E8C" w:rsidRPr="002D38B3">
              <w:rPr>
                <w:sz w:val="28"/>
                <w:szCs w:val="28"/>
                <w:lang w:val="lv-LV"/>
              </w:rPr>
              <w:t>56</w:t>
            </w:r>
            <w:r w:rsidR="006F08BD" w:rsidRPr="002D38B3">
              <w:rPr>
                <w:sz w:val="28"/>
                <w:szCs w:val="28"/>
                <w:lang w:val="lv-LV"/>
              </w:rPr>
              <w:t xml:space="preserve"> (LVL 6 </w:t>
            </w:r>
            <w:r w:rsidR="00A97E8C" w:rsidRPr="002D38B3">
              <w:rPr>
                <w:sz w:val="28"/>
                <w:szCs w:val="28"/>
                <w:lang w:val="lv-LV"/>
              </w:rPr>
              <w:t>838</w:t>
            </w:r>
            <w:r w:rsidR="006F08BD" w:rsidRPr="002D38B3">
              <w:rPr>
                <w:sz w:val="28"/>
                <w:szCs w:val="28"/>
                <w:lang w:val="lv-LV"/>
              </w:rPr>
              <w:t>,</w:t>
            </w:r>
            <w:r w:rsidR="00A97E8C" w:rsidRPr="002D38B3">
              <w:rPr>
                <w:sz w:val="28"/>
                <w:szCs w:val="28"/>
                <w:lang w:val="lv-LV"/>
              </w:rPr>
              <w:t>6</w:t>
            </w:r>
            <w:r w:rsidR="006F08BD" w:rsidRPr="002D38B3">
              <w:rPr>
                <w:sz w:val="28"/>
                <w:szCs w:val="28"/>
                <w:lang w:val="lv-LV"/>
              </w:rPr>
              <w:t>8).</w:t>
            </w:r>
            <w:r w:rsidR="000D14A4" w:rsidRPr="002D38B3">
              <w:rPr>
                <w:sz w:val="28"/>
                <w:szCs w:val="28"/>
                <w:lang w:val="lv-LV"/>
              </w:rPr>
              <w:t xml:space="preserve"> Papildus nepieciešams finansējums no valsts budžeta priekšfinansējuma nodrošināšanai – EUR 10 972,12 (LVL 7 711,25). </w:t>
            </w:r>
            <w:r w:rsidR="00F25870" w:rsidRPr="002D38B3">
              <w:rPr>
                <w:sz w:val="28"/>
                <w:szCs w:val="28"/>
                <w:lang w:val="lv-LV"/>
              </w:rPr>
              <w:t xml:space="preserve">Līdz ar to, noapaļojot, no valsta budžeta līdzfinansējumam ir nepieciešami – LVL 9 639, neattiecināmo izmaksu segšanai – LVL 6 839 un priekšfinansējumam – LVL 7 712. Kopā ir nepieciešami – LVL </w:t>
            </w:r>
            <w:r w:rsidR="000D14A4" w:rsidRPr="002D38B3">
              <w:rPr>
                <w:sz w:val="28"/>
                <w:szCs w:val="28"/>
                <w:lang w:val="lv-LV"/>
              </w:rPr>
              <w:t>24 190.</w:t>
            </w:r>
          </w:p>
          <w:p w:rsidR="006F08BD" w:rsidRPr="002D38B3" w:rsidRDefault="006F08BD" w:rsidP="006F08BD">
            <w:pPr>
              <w:tabs>
                <w:tab w:val="left" w:pos="1755"/>
              </w:tabs>
              <w:jc w:val="both"/>
              <w:rPr>
                <w:sz w:val="28"/>
                <w:szCs w:val="28"/>
                <w:lang w:val="lv-LV"/>
              </w:rPr>
            </w:pPr>
            <w:r w:rsidRPr="002D38B3">
              <w:rPr>
                <w:sz w:val="28"/>
                <w:szCs w:val="28"/>
                <w:u w:val="single"/>
                <w:lang w:val="lv-LV"/>
              </w:rPr>
              <w:t>Projekta īstenošanas laiks</w:t>
            </w:r>
            <w:r w:rsidRPr="002D38B3">
              <w:rPr>
                <w:sz w:val="28"/>
                <w:szCs w:val="28"/>
                <w:lang w:val="lv-LV"/>
              </w:rPr>
              <w:t> – 24 mēneši; projekta īstenošanu plānots uzsākt 201</w:t>
            </w:r>
            <w:r w:rsidR="00A97E8C" w:rsidRPr="002D38B3">
              <w:rPr>
                <w:sz w:val="28"/>
                <w:szCs w:val="28"/>
                <w:lang w:val="lv-LV"/>
              </w:rPr>
              <w:t>2</w:t>
            </w:r>
            <w:r w:rsidRPr="002D38B3">
              <w:rPr>
                <w:sz w:val="28"/>
                <w:szCs w:val="28"/>
                <w:lang w:val="lv-LV"/>
              </w:rPr>
              <w:t>. gada 1. </w:t>
            </w:r>
            <w:r w:rsidR="00A97E8C" w:rsidRPr="002D38B3">
              <w:rPr>
                <w:sz w:val="28"/>
                <w:szCs w:val="28"/>
                <w:lang w:val="lv-LV"/>
              </w:rPr>
              <w:t>decembrī</w:t>
            </w:r>
            <w:r w:rsidRPr="002D38B3">
              <w:rPr>
                <w:sz w:val="28"/>
                <w:szCs w:val="28"/>
                <w:lang w:val="lv-LV"/>
              </w:rPr>
              <w:t>.</w:t>
            </w:r>
          </w:p>
          <w:p w:rsidR="009133A6" w:rsidRDefault="009133A6" w:rsidP="00862D35">
            <w:pPr>
              <w:jc w:val="both"/>
              <w:rPr>
                <w:sz w:val="28"/>
                <w:szCs w:val="28"/>
                <w:lang w:val="lv-LV"/>
              </w:rPr>
            </w:pPr>
          </w:p>
          <w:p w:rsidR="00096E04" w:rsidRDefault="005C254F" w:rsidP="00862D35">
            <w:pPr>
              <w:jc w:val="both"/>
              <w:rPr>
                <w:sz w:val="28"/>
                <w:szCs w:val="28"/>
                <w:lang w:val="lv-LV"/>
              </w:rPr>
            </w:pPr>
            <w:r>
              <w:rPr>
                <w:sz w:val="28"/>
                <w:szCs w:val="28"/>
                <w:lang w:val="lv-LV"/>
              </w:rPr>
              <w:t xml:space="preserve">Kopējais maksimālais projektu īstenošanai </w:t>
            </w:r>
            <w:r w:rsidR="00096E04" w:rsidRPr="00017B48">
              <w:rPr>
                <w:sz w:val="28"/>
                <w:szCs w:val="28"/>
                <w:u w:val="single"/>
                <w:lang w:val="lv-LV"/>
              </w:rPr>
              <w:t>Eiropas Komisijas</w:t>
            </w:r>
            <w:r w:rsidR="00096E04" w:rsidRPr="005C254F">
              <w:rPr>
                <w:sz w:val="28"/>
                <w:szCs w:val="28"/>
                <w:lang w:val="lv-LV"/>
              </w:rPr>
              <w:t xml:space="preserve"> </w:t>
            </w:r>
            <w:r w:rsidRPr="003A1F3A">
              <w:rPr>
                <w:sz w:val="28"/>
                <w:szCs w:val="28"/>
                <w:lang w:val="lv-LV"/>
              </w:rPr>
              <w:t xml:space="preserve">piešķirtais </w:t>
            </w:r>
            <w:r w:rsidR="00096E04" w:rsidRPr="003A1F3A">
              <w:rPr>
                <w:sz w:val="28"/>
                <w:szCs w:val="28"/>
                <w:u w:val="single"/>
                <w:lang w:val="lv-LV"/>
              </w:rPr>
              <w:t>finansējums</w:t>
            </w:r>
            <w:r w:rsidRPr="003A1F3A">
              <w:rPr>
                <w:sz w:val="28"/>
                <w:szCs w:val="28"/>
                <w:lang w:val="lv-LV"/>
              </w:rPr>
              <w:t>, ja Eiropas Komisija apstiprinātās visus iesniegtos projektu iesniegumus</w:t>
            </w:r>
            <w:r w:rsidR="000A651F" w:rsidRPr="003A1F3A">
              <w:rPr>
                <w:sz w:val="28"/>
                <w:szCs w:val="28"/>
                <w:lang w:val="lv-LV"/>
              </w:rPr>
              <w:t>,</w:t>
            </w:r>
            <w:r w:rsidRPr="003A1F3A">
              <w:rPr>
                <w:sz w:val="28"/>
                <w:szCs w:val="28"/>
                <w:lang w:val="lv-LV"/>
              </w:rPr>
              <w:t> būs</w:t>
            </w:r>
            <w:r w:rsidR="00096E04" w:rsidRPr="003A1F3A">
              <w:rPr>
                <w:sz w:val="28"/>
                <w:szCs w:val="28"/>
                <w:lang w:val="lv-LV"/>
              </w:rPr>
              <w:t xml:space="preserve"> EUR </w:t>
            </w:r>
            <w:r w:rsidR="00C4136E" w:rsidRPr="003A1F3A">
              <w:rPr>
                <w:sz w:val="28"/>
                <w:szCs w:val="28"/>
                <w:lang w:val="lv-LV"/>
              </w:rPr>
              <w:t>481</w:t>
            </w:r>
            <w:r w:rsidR="00B9085E" w:rsidRPr="003A1F3A">
              <w:rPr>
                <w:sz w:val="28"/>
                <w:szCs w:val="28"/>
                <w:lang w:val="lv-LV"/>
              </w:rPr>
              <w:t> </w:t>
            </w:r>
            <w:r w:rsidR="00C4136E" w:rsidRPr="003A1F3A">
              <w:rPr>
                <w:sz w:val="28"/>
                <w:szCs w:val="28"/>
                <w:lang w:val="lv-LV"/>
              </w:rPr>
              <w:t>855</w:t>
            </w:r>
            <w:r w:rsidR="00096E04" w:rsidRPr="003A1F3A">
              <w:rPr>
                <w:sz w:val="28"/>
                <w:szCs w:val="28"/>
                <w:lang w:val="lv-LV"/>
              </w:rPr>
              <w:t xml:space="preserve"> jeb LVL </w:t>
            </w:r>
            <w:r w:rsidR="00C4136E" w:rsidRPr="003A1F3A">
              <w:rPr>
                <w:sz w:val="28"/>
                <w:szCs w:val="28"/>
                <w:lang w:val="lv-LV"/>
              </w:rPr>
              <w:t>338</w:t>
            </w:r>
            <w:r w:rsidR="00B9085E" w:rsidRPr="003A1F3A">
              <w:rPr>
                <w:sz w:val="28"/>
                <w:szCs w:val="28"/>
                <w:lang w:val="lv-LV"/>
              </w:rPr>
              <w:t> </w:t>
            </w:r>
            <w:r w:rsidR="00C4136E" w:rsidRPr="003A1F3A">
              <w:rPr>
                <w:sz w:val="28"/>
                <w:szCs w:val="28"/>
                <w:lang w:val="lv-LV"/>
              </w:rPr>
              <w:t>651</w:t>
            </w:r>
            <w:r w:rsidR="00096E04" w:rsidRPr="003A1F3A">
              <w:rPr>
                <w:sz w:val="28"/>
                <w:szCs w:val="28"/>
                <w:lang w:val="lv-LV"/>
              </w:rPr>
              <w:t>.</w:t>
            </w:r>
            <w:r w:rsidRPr="003A1F3A">
              <w:rPr>
                <w:sz w:val="28"/>
                <w:szCs w:val="28"/>
                <w:lang w:val="lv-LV"/>
              </w:rPr>
              <w:t xml:space="preserve"> </w:t>
            </w:r>
            <w:r w:rsidR="00096E04" w:rsidRPr="003A1F3A">
              <w:rPr>
                <w:sz w:val="28"/>
                <w:szCs w:val="28"/>
                <w:lang w:val="lv-LV"/>
              </w:rPr>
              <w:t xml:space="preserve">Tā kā saskaņā ar </w:t>
            </w:r>
            <w:r w:rsidRPr="003A1F3A">
              <w:rPr>
                <w:sz w:val="28"/>
                <w:szCs w:val="28"/>
                <w:lang w:val="lv-LV"/>
              </w:rPr>
              <w:t xml:space="preserve">EK programmas atklātā projektu iesniegumu konkursa </w:t>
            </w:r>
            <w:r w:rsidR="00096E04" w:rsidRPr="003A1F3A">
              <w:rPr>
                <w:sz w:val="28"/>
                <w:szCs w:val="28"/>
                <w:lang w:val="lv-LV"/>
              </w:rPr>
              <w:t xml:space="preserve">noteikumiem tikai 80% no Eiropas Komisijas </w:t>
            </w:r>
            <w:r w:rsidRPr="003A1F3A">
              <w:rPr>
                <w:sz w:val="28"/>
                <w:szCs w:val="28"/>
                <w:lang w:val="lv-LV"/>
              </w:rPr>
              <w:t xml:space="preserve">piešķirtā </w:t>
            </w:r>
            <w:r w:rsidR="00096E04" w:rsidRPr="003A1F3A">
              <w:rPr>
                <w:sz w:val="28"/>
                <w:szCs w:val="28"/>
                <w:lang w:val="lv-LV"/>
              </w:rPr>
              <w:t xml:space="preserve">finansējuma (granta) tiek izmaksāti avansā, tad projekta īstenotājiem ir jānodrošina </w:t>
            </w:r>
            <w:r w:rsidR="00096E04" w:rsidRPr="003A1F3A">
              <w:rPr>
                <w:sz w:val="28"/>
                <w:szCs w:val="28"/>
                <w:u w:val="single"/>
                <w:lang w:val="lv-LV"/>
              </w:rPr>
              <w:t>priekšfinansējums</w:t>
            </w:r>
            <w:r w:rsidRPr="003A1F3A">
              <w:rPr>
                <w:sz w:val="28"/>
                <w:szCs w:val="28"/>
                <w:lang w:val="lv-LV"/>
              </w:rPr>
              <w:t> </w:t>
            </w:r>
            <w:r w:rsidR="00096E04" w:rsidRPr="003A1F3A">
              <w:rPr>
                <w:sz w:val="28"/>
                <w:szCs w:val="28"/>
                <w:lang w:val="lv-LV"/>
              </w:rPr>
              <w:t>–</w:t>
            </w:r>
            <w:r w:rsidRPr="003A1F3A">
              <w:rPr>
                <w:sz w:val="28"/>
                <w:szCs w:val="28"/>
                <w:lang w:val="lv-LV"/>
              </w:rPr>
              <w:t> </w:t>
            </w:r>
            <w:r w:rsidR="00096E04" w:rsidRPr="003A1F3A">
              <w:rPr>
                <w:sz w:val="28"/>
                <w:szCs w:val="28"/>
                <w:lang w:val="lv-LV"/>
              </w:rPr>
              <w:t xml:space="preserve">20% apjomā jeb </w:t>
            </w:r>
            <w:r w:rsidR="00096E04" w:rsidRPr="003A1F3A">
              <w:rPr>
                <w:b/>
                <w:sz w:val="28"/>
                <w:szCs w:val="28"/>
                <w:u w:val="single"/>
                <w:lang w:val="lv-LV"/>
              </w:rPr>
              <w:t>EUR </w:t>
            </w:r>
            <w:r w:rsidR="00C4136E" w:rsidRPr="003A1F3A">
              <w:rPr>
                <w:b/>
                <w:sz w:val="28"/>
                <w:szCs w:val="28"/>
                <w:u w:val="single"/>
                <w:lang w:val="lv-LV"/>
              </w:rPr>
              <w:t>96</w:t>
            </w:r>
            <w:r w:rsidR="00096E04" w:rsidRPr="003A1F3A">
              <w:rPr>
                <w:b/>
                <w:sz w:val="28"/>
                <w:szCs w:val="28"/>
                <w:u w:val="single"/>
                <w:lang w:val="lv-LV"/>
              </w:rPr>
              <w:t> </w:t>
            </w:r>
            <w:r w:rsidR="003D0AFC" w:rsidRPr="003A1F3A">
              <w:rPr>
                <w:b/>
                <w:sz w:val="28"/>
                <w:szCs w:val="28"/>
                <w:u w:val="single"/>
                <w:lang w:val="lv-LV"/>
              </w:rPr>
              <w:t>3</w:t>
            </w:r>
            <w:r w:rsidR="00C4136E" w:rsidRPr="003A1F3A">
              <w:rPr>
                <w:b/>
                <w:sz w:val="28"/>
                <w:szCs w:val="28"/>
                <w:u w:val="single"/>
                <w:lang w:val="lv-LV"/>
              </w:rPr>
              <w:t>72</w:t>
            </w:r>
            <w:r w:rsidR="00096E04" w:rsidRPr="003A1F3A">
              <w:rPr>
                <w:b/>
                <w:sz w:val="28"/>
                <w:szCs w:val="28"/>
                <w:u w:val="single"/>
                <w:lang w:val="lv-LV"/>
              </w:rPr>
              <w:t xml:space="preserve"> jeb LVL </w:t>
            </w:r>
            <w:r w:rsidR="00C4136E" w:rsidRPr="003A1F3A">
              <w:rPr>
                <w:b/>
                <w:sz w:val="28"/>
                <w:szCs w:val="28"/>
                <w:u w:val="single"/>
                <w:lang w:val="lv-LV"/>
              </w:rPr>
              <w:t>67</w:t>
            </w:r>
            <w:r w:rsidR="00096E04" w:rsidRPr="003A1F3A">
              <w:rPr>
                <w:b/>
                <w:sz w:val="28"/>
                <w:szCs w:val="28"/>
                <w:u w:val="single"/>
                <w:lang w:val="lv-LV"/>
              </w:rPr>
              <w:t> </w:t>
            </w:r>
            <w:r w:rsidR="00C4136E" w:rsidRPr="003A1F3A">
              <w:rPr>
                <w:b/>
                <w:sz w:val="28"/>
                <w:szCs w:val="28"/>
                <w:u w:val="single"/>
                <w:lang w:val="lv-LV"/>
              </w:rPr>
              <w:t>731</w:t>
            </w:r>
            <w:r w:rsidR="00096E04" w:rsidRPr="003A1F3A">
              <w:rPr>
                <w:sz w:val="28"/>
                <w:szCs w:val="28"/>
                <w:lang w:val="lv-LV"/>
              </w:rPr>
              <w:t xml:space="preserve">. Pēc projekta </w:t>
            </w:r>
            <w:r w:rsidR="00096E04" w:rsidRPr="003A1F3A">
              <w:rPr>
                <w:color w:val="000000"/>
                <w:sz w:val="28"/>
                <w:szCs w:val="28"/>
                <w:lang w:val="lv-LV"/>
              </w:rPr>
              <w:t>ieviešanas un attiecināmo izmaksu apstiprināšanas</w:t>
            </w:r>
            <w:r w:rsidR="00096E04" w:rsidRPr="003A1F3A">
              <w:rPr>
                <w:sz w:val="28"/>
                <w:szCs w:val="28"/>
                <w:lang w:val="lv-LV"/>
              </w:rPr>
              <w:t>, Eiropas Komisijas</w:t>
            </w:r>
            <w:r w:rsidR="00096E04" w:rsidRPr="0056055F">
              <w:rPr>
                <w:sz w:val="28"/>
                <w:szCs w:val="28"/>
                <w:lang w:val="lv-LV"/>
              </w:rPr>
              <w:t xml:space="preserve"> veiks gala maksājumu priekšfinansējuma apjomā, kurš tiks ieskaitīts atpakaļ valsts budžetā</w:t>
            </w:r>
            <w:r w:rsidRPr="0056055F">
              <w:rPr>
                <w:sz w:val="28"/>
                <w:szCs w:val="28"/>
                <w:lang w:val="lv-LV"/>
              </w:rPr>
              <w:t> </w:t>
            </w:r>
            <w:r w:rsidR="00096E04" w:rsidRPr="0056055F">
              <w:rPr>
                <w:sz w:val="28"/>
                <w:szCs w:val="28"/>
                <w:lang w:val="lv-LV"/>
              </w:rPr>
              <w:t>–</w:t>
            </w:r>
            <w:r w:rsidRPr="0056055F">
              <w:rPr>
                <w:sz w:val="28"/>
                <w:szCs w:val="28"/>
                <w:lang w:val="lv-LV"/>
              </w:rPr>
              <w:t> </w:t>
            </w:r>
            <w:r w:rsidR="00096E04" w:rsidRPr="0056055F">
              <w:rPr>
                <w:sz w:val="28"/>
                <w:szCs w:val="28"/>
                <w:lang w:val="lv-LV"/>
              </w:rPr>
              <w:t xml:space="preserve">74. resora „Gadskārtējā valsts budžeta izpildes procesā pārdalāmais finansējums” 80.00.00 programmā </w:t>
            </w:r>
            <w:r w:rsidR="00096E04" w:rsidRPr="0056055F">
              <w:rPr>
                <w:sz w:val="28"/>
                <w:szCs w:val="28"/>
                <w:lang w:val="lv-LV"/>
              </w:rPr>
              <w:lastRenderedPageBreak/>
              <w:t>„Nesadalītais finansējums Eiropas Savienības politiku instrumentu un pārējās ārvalstu finanšu palīdzības projektu un pasākumu īstenošanai”.</w:t>
            </w:r>
          </w:p>
          <w:p w:rsidR="005C254F" w:rsidRDefault="005C254F" w:rsidP="00862D35">
            <w:pPr>
              <w:jc w:val="both"/>
              <w:rPr>
                <w:sz w:val="28"/>
                <w:szCs w:val="28"/>
                <w:lang w:val="lv-LV"/>
              </w:rPr>
            </w:pPr>
          </w:p>
          <w:p w:rsidR="00096E04" w:rsidRPr="003A1F3A" w:rsidRDefault="005C254F" w:rsidP="00862D35">
            <w:pPr>
              <w:jc w:val="both"/>
              <w:rPr>
                <w:sz w:val="28"/>
                <w:szCs w:val="28"/>
                <w:lang w:val="lv-LV"/>
              </w:rPr>
            </w:pPr>
            <w:r>
              <w:rPr>
                <w:sz w:val="28"/>
                <w:szCs w:val="28"/>
                <w:lang w:val="lv-LV"/>
              </w:rPr>
              <w:t xml:space="preserve">Kopējais maksimālais projektu īstenošanai no </w:t>
            </w:r>
            <w:r w:rsidRPr="005C254F">
              <w:rPr>
                <w:sz w:val="28"/>
                <w:szCs w:val="28"/>
                <w:u w:val="single"/>
                <w:lang w:val="lv-LV"/>
              </w:rPr>
              <w:t>Latvijas budžeta</w:t>
            </w:r>
            <w:r w:rsidRPr="00182048">
              <w:rPr>
                <w:sz w:val="28"/>
                <w:szCs w:val="28"/>
                <w:lang w:val="lv-LV"/>
              </w:rPr>
              <w:t xml:space="preserve"> </w:t>
            </w:r>
            <w:r>
              <w:rPr>
                <w:sz w:val="28"/>
                <w:szCs w:val="28"/>
                <w:lang w:val="lv-LV"/>
              </w:rPr>
              <w:t xml:space="preserve">nepieciešamais </w:t>
            </w:r>
            <w:r w:rsidRPr="005C254F">
              <w:rPr>
                <w:sz w:val="28"/>
                <w:szCs w:val="28"/>
                <w:u w:val="single"/>
                <w:lang w:val="lv-LV"/>
              </w:rPr>
              <w:t>līdzfinansējums</w:t>
            </w:r>
            <w:r w:rsidRPr="00182048">
              <w:rPr>
                <w:sz w:val="28"/>
                <w:szCs w:val="28"/>
                <w:lang w:val="lv-LV"/>
              </w:rPr>
              <w:t xml:space="preserve">, kas </w:t>
            </w:r>
            <w:r w:rsidRPr="003A1F3A">
              <w:rPr>
                <w:sz w:val="28"/>
                <w:szCs w:val="28"/>
                <w:lang w:val="lv-LV"/>
              </w:rPr>
              <w:t>varētu būt nepieciešams, ja Eiropas Komisija apstiprinātu visus iesniegtos projektu iesniegumus</w:t>
            </w:r>
            <w:r w:rsidR="00F6462D" w:rsidRPr="003A1F3A">
              <w:rPr>
                <w:sz w:val="28"/>
                <w:szCs w:val="28"/>
                <w:lang w:val="lv-LV"/>
              </w:rPr>
              <w:t>,</w:t>
            </w:r>
            <w:r w:rsidRPr="003A1F3A">
              <w:rPr>
                <w:sz w:val="28"/>
                <w:szCs w:val="28"/>
                <w:lang w:val="lv-LV"/>
              </w:rPr>
              <w:t xml:space="preserve"> būs </w:t>
            </w:r>
            <w:r w:rsidR="0022189C" w:rsidRPr="003A1F3A">
              <w:rPr>
                <w:b/>
                <w:sz w:val="28"/>
                <w:szCs w:val="28"/>
                <w:u w:val="single"/>
                <w:lang w:val="lv-LV"/>
              </w:rPr>
              <w:t>EUR </w:t>
            </w:r>
            <w:r w:rsidR="00BA4A9E" w:rsidRPr="003A1F3A">
              <w:rPr>
                <w:b/>
                <w:sz w:val="28"/>
                <w:szCs w:val="28"/>
                <w:u w:val="single"/>
                <w:lang w:val="lv-LV"/>
              </w:rPr>
              <w:t>1</w:t>
            </w:r>
            <w:r w:rsidR="003D0AFC" w:rsidRPr="003A1F3A">
              <w:rPr>
                <w:b/>
                <w:sz w:val="28"/>
                <w:szCs w:val="28"/>
                <w:u w:val="single"/>
                <w:lang w:val="lv-LV"/>
              </w:rPr>
              <w:t>2</w:t>
            </w:r>
            <w:r w:rsidR="00BA4A9E" w:rsidRPr="003A1F3A">
              <w:rPr>
                <w:b/>
                <w:sz w:val="28"/>
                <w:szCs w:val="28"/>
                <w:u w:val="single"/>
                <w:lang w:val="lv-LV"/>
              </w:rPr>
              <w:t>0</w:t>
            </w:r>
            <w:r w:rsidR="0022189C" w:rsidRPr="003A1F3A">
              <w:rPr>
                <w:b/>
                <w:sz w:val="28"/>
                <w:szCs w:val="28"/>
                <w:u w:val="single"/>
                <w:lang w:val="lv-LV"/>
              </w:rPr>
              <w:t> </w:t>
            </w:r>
            <w:r w:rsidR="00BA4A9E" w:rsidRPr="003A1F3A">
              <w:rPr>
                <w:b/>
                <w:sz w:val="28"/>
                <w:szCs w:val="28"/>
                <w:u w:val="single"/>
                <w:lang w:val="lv-LV"/>
              </w:rPr>
              <w:t>464</w:t>
            </w:r>
            <w:r w:rsidR="0022189C" w:rsidRPr="003A1F3A">
              <w:rPr>
                <w:b/>
                <w:sz w:val="28"/>
                <w:szCs w:val="28"/>
                <w:u w:val="single"/>
                <w:lang w:val="lv-LV"/>
              </w:rPr>
              <w:t xml:space="preserve"> jeb LVL </w:t>
            </w:r>
            <w:r w:rsidR="003D0AFC" w:rsidRPr="003A1F3A">
              <w:rPr>
                <w:b/>
                <w:sz w:val="28"/>
                <w:szCs w:val="28"/>
                <w:u w:val="single"/>
                <w:lang w:val="lv-LV"/>
              </w:rPr>
              <w:t>8</w:t>
            </w:r>
            <w:r w:rsidR="00BA4A9E" w:rsidRPr="003A1F3A">
              <w:rPr>
                <w:b/>
                <w:sz w:val="28"/>
                <w:szCs w:val="28"/>
                <w:u w:val="single"/>
                <w:lang w:val="lv-LV"/>
              </w:rPr>
              <w:t>4</w:t>
            </w:r>
            <w:r w:rsidR="0022189C" w:rsidRPr="003A1F3A">
              <w:rPr>
                <w:b/>
                <w:sz w:val="28"/>
                <w:szCs w:val="28"/>
                <w:u w:val="single"/>
                <w:lang w:val="lv-LV"/>
              </w:rPr>
              <w:t> </w:t>
            </w:r>
            <w:r w:rsidR="00BA4A9E" w:rsidRPr="003A1F3A">
              <w:rPr>
                <w:b/>
                <w:sz w:val="28"/>
                <w:szCs w:val="28"/>
                <w:u w:val="single"/>
                <w:lang w:val="lv-LV"/>
              </w:rPr>
              <w:t>663</w:t>
            </w:r>
            <w:r w:rsidRPr="003A1F3A">
              <w:rPr>
                <w:sz w:val="28"/>
                <w:szCs w:val="28"/>
                <w:lang w:val="lv-LV"/>
              </w:rPr>
              <w:t>.</w:t>
            </w:r>
          </w:p>
          <w:p w:rsidR="005C254F" w:rsidRPr="003A1F3A" w:rsidRDefault="005C254F" w:rsidP="00862D35">
            <w:pPr>
              <w:jc w:val="both"/>
              <w:rPr>
                <w:sz w:val="28"/>
                <w:szCs w:val="28"/>
                <w:lang w:val="lv-LV"/>
              </w:rPr>
            </w:pPr>
          </w:p>
          <w:p w:rsidR="00525DC0" w:rsidRPr="003A1F3A" w:rsidRDefault="00525DC0" w:rsidP="00525DC0">
            <w:pPr>
              <w:jc w:val="both"/>
              <w:rPr>
                <w:sz w:val="28"/>
                <w:szCs w:val="28"/>
                <w:lang w:val="lv-LV"/>
              </w:rPr>
            </w:pPr>
            <w:r w:rsidRPr="003A1F3A">
              <w:rPr>
                <w:sz w:val="28"/>
                <w:szCs w:val="28"/>
                <w:lang w:val="lv-LV"/>
              </w:rPr>
              <w:t xml:space="preserve">Saskaņā ar </w:t>
            </w:r>
            <w:r w:rsidR="00017B48" w:rsidRPr="003A1F3A">
              <w:rPr>
                <w:sz w:val="28"/>
                <w:szCs w:val="28"/>
                <w:lang w:val="lv-LV"/>
              </w:rPr>
              <w:t xml:space="preserve">EK programmas atklātā projektu iesniegumu konkursa </w:t>
            </w:r>
            <w:r w:rsidRPr="003A1F3A">
              <w:rPr>
                <w:sz w:val="28"/>
                <w:szCs w:val="28"/>
                <w:lang w:val="lv-LV"/>
              </w:rPr>
              <w:t>noteikumiem pievienotās vērtības nodokļa izmaksas tiek atzītas par neattiecināmām izmaksām</w:t>
            </w:r>
            <w:r w:rsidRPr="00182048">
              <w:rPr>
                <w:sz w:val="28"/>
                <w:szCs w:val="28"/>
                <w:lang w:val="lv-LV"/>
              </w:rPr>
              <w:t xml:space="preserve">, līdz ar to projekta īstenotajam šīs izmaksas ir nepieciešams finansēt no saviem līdzekļiem. Kopā </w:t>
            </w:r>
            <w:r w:rsidRPr="00017B48">
              <w:rPr>
                <w:sz w:val="28"/>
                <w:szCs w:val="28"/>
                <w:u w:val="single"/>
                <w:lang w:val="lv-LV"/>
              </w:rPr>
              <w:t>neattiecināmo</w:t>
            </w:r>
            <w:r w:rsidRPr="00182048">
              <w:rPr>
                <w:sz w:val="28"/>
                <w:szCs w:val="28"/>
                <w:lang w:val="lv-LV"/>
              </w:rPr>
              <w:t xml:space="preserve"> </w:t>
            </w:r>
            <w:r w:rsidRPr="003A1F3A">
              <w:rPr>
                <w:sz w:val="28"/>
                <w:szCs w:val="28"/>
                <w:u w:val="single"/>
                <w:lang w:val="lv-LV"/>
              </w:rPr>
              <w:t>izmaksu</w:t>
            </w:r>
            <w:r w:rsidRPr="003A1F3A">
              <w:rPr>
                <w:sz w:val="28"/>
                <w:szCs w:val="28"/>
                <w:lang w:val="lv-LV"/>
              </w:rPr>
              <w:t xml:space="preserve"> segšanai būs nepieciešami </w:t>
            </w:r>
            <w:r w:rsidRPr="003A1F3A">
              <w:rPr>
                <w:b/>
                <w:sz w:val="28"/>
                <w:szCs w:val="28"/>
                <w:u w:val="single"/>
                <w:lang w:val="lv-LV"/>
              </w:rPr>
              <w:t>EUR </w:t>
            </w:r>
            <w:r w:rsidR="003D0AFC" w:rsidRPr="003A1F3A">
              <w:rPr>
                <w:b/>
                <w:sz w:val="28"/>
                <w:szCs w:val="28"/>
                <w:u w:val="single"/>
                <w:lang w:val="lv-LV"/>
              </w:rPr>
              <w:t>1</w:t>
            </w:r>
            <w:r w:rsidR="00BA4A9E" w:rsidRPr="003A1F3A">
              <w:rPr>
                <w:b/>
                <w:sz w:val="28"/>
                <w:szCs w:val="28"/>
                <w:u w:val="single"/>
                <w:lang w:val="lv-LV"/>
              </w:rPr>
              <w:t>00</w:t>
            </w:r>
            <w:r w:rsidRPr="003A1F3A">
              <w:rPr>
                <w:b/>
                <w:sz w:val="28"/>
                <w:szCs w:val="28"/>
                <w:u w:val="single"/>
                <w:lang w:val="lv-LV"/>
              </w:rPr>
              <w:t> </w:t>
            </w:r>
            <w:r w:rsidR="00BA4A9E" w:rsidRPr="003A1F3A">
              <w:rPr>
                <w:b/>
                <w:sz w:val="28"/>
                <w:szCs w:val="28"/>
                <w:u w:val="single"/>
                <w:lang w:val="lv-LV"/>
              </w:rPr>
              <w:t>791</w:t>
            </w:r>
            <w:r w:rsidRPr="003A1F3A">
              <w:rPr>
                <w:b/>
                <w:sz w:val="28"/>
                <w:szCs w:val="28"/>
                <w:u w:val="single"/>
                <w:lang w:val="lv-LV"/>
              </w:rPr>
              <w:t xml:space="preserve"> jeb LVL </w:t>
            </w:r>
            <w:r w:rsidR="00BA4A9E" w:rsidRPr="003A1F3A">
              <w:rPr>
                <w:b/>
                <w:sz w:val="28"/>
                <w:szCs w:val="28"/>
                <w:u w:val="single"/>
                <w:lang w:val="lv-LV"/>
              </w:rPr>
              <w:t>70</w:t>
            </w:r>
            <w:r w:rsidRPr="003A1F3A">
              <w:rPr>
                <w:b/>
                <w:sz w:val="28"/>
                <w:szCs w:val="28"/>
                <w:u w:val="single"/>
                <w:lang w:val="lv-LV"/>
              </w:rPr>
              <w:t> </w:t>
            </w:r>
            <w:r w:rsidR="00BA4A9E" w:rsidRPr="003A1F3A">
              <w:rPr>
                <w:b/>
                <w:sz w:val="28"/>
                <w:szCs w:val="28"/>
                <w:u w:val="single"/>
                <w:lang w:val="lv-LV"/>
              </w:rPr>
              <w:t>836</w:t>
            </w:r>
            <w:r w:rsidRPr="003A1F3A">
              <w:rPr>
                <w:sz w:val="28"/>
                <w:szCs w:val="28"/>
                <w:lang w:val="lv-LV"/>
              </w:rPr>
              <w:t>.</w:t>
            </w:r>
          </w:p>
          <w:p w:rsidR="00525DC0" w:rsidRPr="003A1F3A" w:rsidRDefault="00525DC0" w:rsidP="00862D35">
            <w:pPr>
              <w:jc w:val="both"/>
              <w:rPr>
                <w:sz w:val="28"/>
                <w:szCs w:val="28"/>
                <w:lang w:val="lv-LV"/>
              </w:rPr>
            </w:pPr>
          </w:p>
          <w:p w:rsidR="004F2581" w:rsidRPr="003A1F3A" w:rsidRDefault="0083551B" w:rsidP="004F2581">
            <w:pPr>
              <w:jc w:val="both"/>
              <w:rPr>
                <w:b/>
                <w:sz w:val="28"/>
                <w:szCs w:val="28"/>
                <w:u w:val="single"/>
                <w:lang w:val="lv-LV"/>
              </w:rPr>
            </w:pPr>
            <w:r w:rsidRPr="003A1F3A">
              <w:rPr>
                <w:sz w:val="28"/>
                <w:szCs w:val="28"/>
                <w:u w:val="single"/>
                <w:lang w:val="lv-LV"/>
              </w:rPr>
              <w:t>Kop</w:t>
            </w:r>
            <w:r w:rsidR="00772AFC" w:rsidRPr="003A1F3A">
              <w:rPr>
                <w:sz w:val="28"/>
                <w:szCs w:val="28"/>
                <w:u w:val="single"/>
                <w:lang w:val="lv-LV"/>
              </w:rPr>
              <w:t>ējais</w:t>
            </w:r>
            <w:r w:rsidRPr="003A1F3A">
              <w:rPr>
                <w:sz w:val="28"/>
                <w:szCs w:val="28"/>
                <w:u w:val="single"/>
                <w:lang w:val="lv-LV"/>
              </w:rPr>
              <w:t xml:space="preserve"> </w:t>
            </w:r>
            <w:r w:rsidR="00F01BCE" w:rsidRPr="003A1F3A">
              <w:rPr>
                <w:sz w:val="28"/>
                <w:szCs w:val="28"/>
                <w:u w:val="single"/>
                <w:lang w:val="lv-LV"/>
              </w:rPr>
              <w:t>maksimālais projekt</w:t>
            </w:r>
            <w:r w:rsidR="00525DC0" w:rsidRPr="003A1F3A">
              <w:rPr>
                <w:sz w:val="28"/>
                <w:szCs w:val="28"/>
                <w:u w:val="single"/>
                <w:lang w:val="lv-LV"/>
              </w:rPr>
              <w:t>u</w:t>
            </w:r>
            <w:r w:rsidRPr="003A1F3A">
              <w:rPr>
                <w:sz w:val="28"/>
                <w:szCs w:val="28"/>
                <w:u w:val="single"/>
                <w:lang w:val="lv-LV"/>
              </w:rPr>
              <w:t xml:space="preserve"> īstenošanai nepieciešamais </w:t>
            </w:r>
            <w:r w:rsidR="00D251A2" w:rsidRPr="003A1F3A">
              <w:rPr>
                <w:sz w:val="28"/>
                <w:szCs w:val="28"/>
                <w:u w:val="single"/>
                <w:lang w:val="lv-LV"/>
              </w:rPr>
              <w:t>līdz</w:t>
            </w:r>
            <w:r w:rsidRPr="003A1F3A">
              <w:rPr>
                <w:sz w:val="28"/>
                <w:szCs w:val="28"/>
                <w:u w:val="single"/>
                <w:lang w:val="lv-LV"/>
              </w:rPr>
              <w:t>finansējuma</w:t>
            </w:r>
            <w:r w:rsidR="00525DC0" w:rsidRPr="003A1F3A">
              <w:rPr>
                <w:sz w:val="28"/>
                <w:szCs w:val="28"/>
                <w:u w:val="single"/>
                <w:lang w:val="lv-LV"/>
              </w:rPr>
              <w:t>, neattiecināmo izmaksu finansējuma</w:t>
            </w:r>
            <w:r w:rsidRPr="003A1F3A">
              <w:rPr>
                <w:sz w:val="28"/>
                <w:szCs w:val="28"/>
                <w:u w:val="single"/>
                <w:lang w:val="lv-LV"/>
              </w:rPr>
              <w:t xml:space="preserve"> </w:t>
            </w:r>
            <w:r w:rsidR="00D251A2" w:rsidRPr="003A1F3A">
              <w:rPr>
                <w:sz w:val="28"/>
                <w:szCs w:val="28"/>
                <w:u w:val="single"/>
                <w:lang w:val="lv-LV"/>
              </w:rPr>
              <w:t xml:space="preserve">un priekšfinansējuma </w:t>
            </w:r>
            <w:r w:rsidRPr="003A1F3A">
              <w:rPr>
                <w:sz w:val="28"/>
                <w:szCs w:val="28"/>
                <w:u w:val="single"/>
                <w:lang w:val="lv-LV"/>
              </w:rPr>
              <w:t>apjoms</w:t>
            </w:r>
            <w:r w:rsidR="00D251A2" w:rsidRPr="003A1F3A">
              <w:rPr>
                <w:sz w:val="28"/>
                <w:szCs w:val="28"/>
                <w:u w:val="single"/>
                <w:lang w:val="lv-LV"/>
              </w:rPr>
              <w:t xml:space="preserve"> no valsts budžeta</w:t>
            </w:r>
            <w:r w:rsidRPr="003A1F3A">
              <w:rPr>
                <w:sz w:val="28"/>
                <w:szCs w:val="28"/>
                <w:u w:val="single"/>
                <w:lang w:val="lv-LV"/>
              </w:rPr>
              <w:t xml:space="preserve"> ir </w:t>
            </w:r>
            <w:r w:rsidR="00525DC0" w:rsidRPr="003A1F3A">
              <w:rPr>
                <w:b/>
                <w:sz w:val="28"/>
                <w:szCs w:val="28"/>
                <w:u w:val="single"/>
                <w:lang w:val="lv-LV"/>
              </w:rPr>
              <w:t>EUR</w:t>
            </w:r>
            <w:r w:rsidR="00525DC0" w:rsidRPr="003A1F3A">
              <w:rPr>
                <w:sz w:val="28"/>
                <w:szCs w:val="28"/>
                <w:u w:val="single"/>
                <w:lang w:val="lv-LV"/>
              </w:rPr>
              <w:t> </w:t>
            </w:r>
            <w:r w:rsidR="003D0AFC" w:rsidRPr="003A1F3A">
              <w:rPr>
                <w:b/>
                <w:sz w:val="28"/>
                <w:szCs w:val="28"/>
                <w:u w:val="single"/>
                <w:lang w:val="lv-LV"/>
              </w:rPr>
              <w:t>3</w:t>
            </w:r>
            <w:r w:rsidR="00BA4A9E" w:rsidRPr="003A1F3A">
              <w:rPr>
                <w:b/>
                <w:sz w:val="28"/>
                <w:szCs w:val="28"/>
                <w:u w:val="single"/>
                <w:lang w:val="lv-LV"/>
              </w:rPr>
              <w:t>17</w:t>
            </w:r>
            <w:r w:rsidR="00525DC0" w:rsidRPr="003A1F3A">
              <w:rPr>
                <w:b/>
                <w:sz w:val="28"/>
                <w:szCs w:val="28"/>
                <w:u w:val="single"/>
                <w:lang w:val="lv-LV"/>
              </w:rPr>
              <w:t> </w:t>
            </w:r>
            <w:r w:rsidR="00BA4A9E" w:rsidRPr="003A1F3A">
              <w:rPr>
                <w:b/>
                <w:sz w:val="28"/>
                <w:szCs w:val="28"/>
                <w:u w:val="single"/>
                <w:lang w:val="lv-LV"/>
              </w:rPr>
              <w:t>627</w:t>
            </w:r>
            <w:r w:rsidR="00C66481" w:rsidRPr="003A1F3A">
              <w:rPr>
                <w:b/>
                <w:sz w:val="28"/>
                <w:szCs w:val="28"/>
                <w:u w:val="single"/>
                <w:lang w:val="lv-LV"/>
              </w:rPr>
              <w:t xml:space="preserve"> </w:t>
            </w:r>
            <w:r w:rsidR="00525DC0" w:rsidRPr="003A1F3A">
              <w:rPr>
                <w:sz w:val="28"/>
                <w:szCs w:val="28"/>
                <w:u w:val="single"/>
                <w:lang w:val="lv-LV"/>
              </w:rPr>
              <w:t xml:space="preserve">jeb </w:t>
            </w:r>
            <w:r w:rsidR="00525DC0" w:rsidRPr="003A1F3A">
              <w:rPr>
                <w:b/>
                <w:sz w:val="28"/>
                <w:szCs w:val="28"/>
                <w:u w:val="single"/>
                <w:lang w:val="lv-LV"/>
              </w:rPr>
              <w:t>LVL </w:t>
            </w:r>
            <w:r w:rsidR="00BA4A9E" w:rsidRPr="003A1F3A">
              <w:rPr>
                <w:b/>
                <w:sz w:val="28"/>
                <w:szCs w:val="28"/>
                <w:u w:val="single"/>
                <w:lang w:val="lv-LV"/>
              </w:rPr>
              <w:t>223</w:t>
            </w:r>
            <w:r w:rsidR="00525DC0" w:rsidRPr="003A1F3A">
              <w:rPr>
                <w:b/>
                <w:sz w:val="28"/>
                <w:szCs w:val="28"/>
                <w:u w:val="single"/>
                <w:lang w:val="lv-LV"/>
              </w:rPr>
              <w:t> </w:t>
            </w:r>
            <w:r w:rsidR="00BA4A9E" w:rsidRPr="003A1F3A">
              <w:rPr>
                <w:b/>
                <w:sz w:val="28"/>
                <w:szCs w:val="28"/>
                <w:u w:val="single"/>
                <w:lang w:val="lv-LV"/>
              </w:rPr>
              <w:t>2</w:t>
            </w:r>
            <w:r w:rsidR="00903082" w:rsidRPr="003A1F3A">
              <w:rPr>
                <w:b/>
                <w:sz w:val="28"/>
                <w:szCs w:val="28"/>
                <w:u w:val="single"/>
                <w:lang w:val="lv-LV"/>
              </w:rPr>
              <w:t>3</w:t>
            </w:r>
            <w:r w:rsidR="00BA4A9E" w:rsidRPr="003A1F3A">
              <w:rPr>
                <w:b/>
                <w:sz w:val="28"/>
                <w:szCs w:val="28"/>
                <w:u w:val="single"/>
                <w:lang w:val="lv-LV"/>
              </w:rPr>
              <w:t>0</w:t>
            </w:r>
            <w:r w:rsidR="00CA250B" w:rsidRPr="003A1F3A">
              <w:rPr>
                <w:b/>
                <w:sz w:val="28"/>
                <w:szCs w:val="28"/>
                <w:u w:val="single"/>
                <w:lang w:val="lv-LV"/>
              </w:rPr>
              <w:t>.</w:t>
            </w:r>
          </w:p>
          <w:p w:rsidR="00A777B4" w:rsidRPr="008B2C59" w:rsidRDefault="004F2581" w:rsidP="008C7BBD">
            <w:pPr>
              <w:jc w:val="both"/>
              <w:rPr>
                <w:sz w:val="28"/>
                <w:szCs w:val="28"/>
                <w:lang w:val="lv-LV"/>
              </w:rPr>
            </w:pPr>
            <w:r w:rsidRPr="003A1F3A">
              <w:rPr>
                <w:sz w:val="28"/>
                <w:szCs w:val="28"/>
                <w:lang w:val="lv-LV"/>
              </w:rPr>
              <w:t>Finansējums būtu nepieciešams laikā no 2012. gada līdz 201</w:t>
            </w:r>
            <w:r w:rsidR="009866AA" w:rsidRPr="003A1F3A">
              <w:rPr>
                <w:sz w:val="28"/>
                <w:szCs w:val="28"/>
                <w:lang w:val="lv-LV"/>
              </w:rPr>
              <w:t>4</w:t>
            </w:r>
            <w:r w:rsidRPr="003A1F3A">
              <w:rPr>
                <w:sz w:val="28"/>
                <w:szCs w:val="28"/>
                <w:lang w:val="lv-LV"/>
              </w:rPr>
              <w:t xml:space="preserve">. gadam. </w:t>
            </w:r>
            <w:r w:rsidR="00F01BCE" w:rsidRPr="003A1F3A">
              <w:rPr>
                <w:sz w:val="28"/>
                <w:szCs w:val="28"/>
                <w:lang w:val="lv-LV"/>
              </w:rPr>
              <w:t xml:space="preserve">Projekta </w:t>
            </w:r>
            <w:r w:rsidR="00CC6FCF" w:rsidRPr="003A1F3A">
              <w:rPr>
                <w:sz w:val="28"/>
                <w:szCs w:val="28"/>
                <w:lang w:val="lv-LV"/>
              </w:rPr>
              <w:t>apstiprināšanas</w:t>
            </w:r>
            <w:r w:rsidR="00CC6FCF" w:rsidRPr="004F2581">
              <w:rPr>
                <w:sz w:val="28"/>
                <w:szCs w:val="28"/>
                <w:lang w:val="lv-LV"/>
              </w:rPr>
              <w:t xml:space="preserve"> gaitas ietvaros</w:t>
            </w:r>
            <w:r w:rsidR="00CC6FCF" w:rsidRPr="00182048">
              <w:rPr>
                <w:sz w:val="28"/>
                <w:szCs w:val="28"/>
                <w:lang w:val="lv-LV"/>
              </w:rPr>
              <w:t xml:space="preserve"> un </w:t>
            </w:r>
            <w:r w:rsidR="00F01BCE" w:rsidRPr="00182048">
              <w:rPr>
                <w:sz w:val="28"/>
                <w:szCs w:val="28"/>
                <w:lang w:val="lv-LV"/>
              </w:rPr>
              <w:t>īstenošanas laikā līdzfinansējuma</w:t>
            </w:r>
            <w:r>
              <w:rPr>
                <w:sz w:val="28"/>
                <w:szCs w:val="28"/>
                <w:lang w:val="lv-LV"/>
              </w:rPr>
              <w:t>,</w:t>
            </w:r>
            <w:r w:rsidR="00F01BCE" w:rsidRPr="00182048">
              <w:rPr>
                <w:sz w:val="28"/>
                <w:szCs w:val="28"/>
                <w:lang w:val="lv-LV"/>
              </w:rPr>
              <w:t xml:space="preserve"> priekšfinansējuma </w:t>
            </w:r>
            <w:r>
              <w:rPr>
                <w:sz w:val="28"/>
                <w:szCs w:val="28"/>
                <w:lang w:val="lv-LV"/>
              </w:rPr>
              <w:t xml:space="preserve">un </w:t>
            </w:r>
            <w:r w:rsidRPr="008B2C59">
              <w:rPr>
                <w:sz w:val="28"/>
                <w:szCs w:val="28"/>
                <w:lang w:val="lv-LV"/>
              </w:rPr>
              <w:t xml:space="preserve">neattiecināmajām izmaksām nepieciešamais </w:t>
            </w:r>
            <w:r w:rsidR="00F01BCE" w:rsidRPr="008B2C59">
              <w:rPr>
                <w:sz w:val="28"/>
                <w:szCs w:val="28"/>
                <w:lang w:val="lv-LV"/>
              </w:rPr>
              <w:t>apjoms var samazināties.</w:t>
            </w:r>
          </w:p>
          <w:p w:rsidR="0056055F" w:rsidRPr="008B2C59" w:rsidRDefault="0056055F" w:rsidP="008C7BBD">
            <w:pPr>
              <w:jc w:val="both"/>
              <w:rPr>
                <w:sz w:val="28"/>
                <w:szCs w:val="28"/>
                <w:lang w:val="lv-LV"/>
              </w:rPr>
            </w:pPr>
          </w:p>
          <w:p w:rsidR="0056055F" w:rsidRPr="008B2C59" w:rsidRDefault="0056055F" w:rsidP="0056055F">
            <w:pPr>
              <w:jc w:val="both"/>
              <w:rPr>
                <w:sz w:val="28"/>
                <w:szCs w:val="28"/>
                <w:lang w:val="lv-LV"/>
              </w:rPr>
            </w:pPr>
            <w:r w:rsidRPr="008B2C59">
              <w:rPr>
                <w:sz w:val="28"/>
                <w:szCs w:val="28"/>
                <w:lang w:val="lv-LV"/>
              </w:rPr>
              <w:t xml:space="preserve">Informējam, ka Tieslietu ministrijas un tās padotības iestādēs </w:t>
            </w:r>
            <w:r w:rsidRPr="008B2C59">
              <w:rPr>
                <w:sz w:val="28"/>
                <w:szCs w:val="28"/>
                <w:u w:val="single"/>
                <w:lang w:val="lv-LV"/>
              </w:rPr>
              <w:t xml:space="preserve">dubultfinansējuma risks un nākotnē plānoto EK programmas ietvaros īstenojamo </w:t>
            </w:r>
            <w:r w:rsidRPr="008B2C59">
              <w:rPr>
                <w:sz w:val="28"/>
                <w:szCs w:val="28"/>
                <w:u w:val="single"/>
                <w:lang w:val="lv-LV" w:eastAsia="lv-LV"/>
              </w:rPr>
              <w:t xml:space="preserve">projektu </w:t>
            </w:r>
            <w:r w:rsidRPr="008B2C59">
              <w:rPr>
                <w:sz w:val="28"/>
                <w:szCs w:val="28"/>
                <w:u w:val="single"/>
                <w:lang w:val="lv-LV"/>
              </w:rPr>
              <w:t>mērķu un rezultātu pārklāšanās</w:t>
            </w:r>
            <w:r w:rsidRPr="008B2C59">
              <w:rPr>
                <w:sz w:val="28"/>
                <w:szCs w:val="28"/>
                <w:lang w:val="lv-LV"/>
              </w:rPr>
              <w:t xml:space="preserve"> ar Eiropas Sociālā fonda ietvaros īstenotajiem projektiem tiks novērsta, izmantojot Tieslietu ministrijā izstrādātos iekšējos noteikumus.</w:t>
            </w:r>
          </w:p>
          <w:p w:rsidR="0070008C" w:rsidRPr="0070008C" w:rsidRDefault="0070008C" w:rsidP="0070008C">
            <w:pPr>
              <w:jc w:val="both"/>
              <w:rPr>
                <w:sz w:val="28"/>
                <w:szCs w:val="28"/>
                <w:lang w:val="lv-LV"/>
              </w:rPr>
            </w:pPr>
            <w:r w:rsidRPr="0070008C">
              <w:rPr>
                <w:sz w:val="28"/>
                <w:szCs w:val="28"/>
                <w:lang w:val="lv-LV"/>
              </w:rPr>
              <w:t>Saskaņā ar iekšējiem noteikumiem:</w:t>
            </w:r>
          </w:p>
          <w:p w:rsidR="0070008C" w:rsidRPr="0070008C" w:rsidRDefault="0070008C" w:rsidP="0070008C">
            <w:pPr>
              <w:pStyle w:val="Sarakstarindkopa"/>
              <w:numPr>
                <w:ilvl w:val="0"/>
                <w:numId w:val="10"/>
              </w:numPr>
              <w:spacing w:after="0" w:line="240" w:lineRule="auto"/>
              <w:ind w:left="317" w:hanging="215"/>
              <w:jc w:val="both"/>
              <w:rPr>
                <w:rFonts w:ascii="Times New Roman" w:hAnsi="Times New Roman"/>
                <w:sz w:val="28"/>
                <w:szCs w:val="28"/>
                <w:lang w:val="lv-LV"/>
              </w:rPr>
            </w:pPr>
            <w:r w:rsidRPr="0070008C">
              <w:rPr>
                <w:rFonts w:ascii="Times New Roman" w:hAnsi="Times New Roman"/>
                <w:sz w:val="28"/>
                <w:szCs w:val="28"/>
                <w:lang w:val="lv-LV"/>
              </w:rPr>
              <w:t xml:space="preserve">TM struktūrvienību vai padotības iestāžu sagatavotos pieprasījumus par nepieciešamību </w:t>
            </w:r>
            <w:r w:rsidRPr="0070008C">
              <w:rPr>
                <w:rFonts w:ascii="Times New Roman" w:hAnsi="Times New Roman"/>
                <w:sz w:val="28"/>
                <w:szCs w:val="28"/>
                <w:lang w:val="lv-LV"/>
              </w:rPr>
              <w:lastRenderedPageBreak/>
              <w:t>piesaistīt starptautiskos finanšu instrumentu līdzekļus un valsts budžeta līdzfinansējumu pārbauda TM Projektu departaments un, ja iesniegtā informācija atbilst starptautiskā finanšu instrumenta pamatnosacījumiem (tai skaitā – dubultfinansējuma aizliegumam), iesniedz to lēmuma pieņemšanai TM Valsts sekretāram.</w:t>
            </w:r>
          </w:p>
          <w:p w:rsidR="0070008C" w:rsidRPr="0070008C" w:rsidRDefault="0070008C" w:rsidP="0070008C">
            <w:pPr>
              <w:pStyle w:val="Sarakstarindkopa"/>
              <w:numPr>
                <w:ilvl w:val="0"/>
                <w:numId w:val="10"/>
              </w:numPr>
              <w:spacing w:after="0" w:line="240" w:lineRule="auto"/>
              <w:ind w:left="317" w:hanging="215"/>
              <w:jc w:val="both"/>
              <w:rPr>
                <w:rFonts w:ascii="Times New Roman" w:hAnsi="Times New Roman"/>
                <w:sz w:val="28"/>
                <w:szCs w:val="28"/>
                <w:lang w:val="lv-LV"/>
              </w:rPr>
            </w:pPr>
            <w:r w:rsidRPr="0070008C">
              <w:rPr>
                <w:rFonts w:ascii="Times New Roman" w:hAnsi="Times New Roman"/>
                <w:sz w:val="28"/>
                <w:szCs w:val="28"/>
                <w:lang w:val="lv-LV"/>
              </w:rPr>
              <w:t>TM un tās padotības iestāžu sagatavotos projektu iesniegumus izskata un saskaņo par projekta iesnieguma sagatavošanu noteiktais atbildīgais TM valsts sekretāra vietnieks un informāciju apkopo Projektu departaments.</w:t>
            </w:r>
          </w:p>
          <w:p w:rsidR="0070008C" w:rsidRPr="0070008C" w:rsidRDefault="0070008C" w:rsidP="0070008C">
            <w:pPr>
              <w:pStyle w:val="Sarakstarindkopa"/>
              <w:numPr>
                <w:ilvl w:val="0"/>
                <w:numId w:val="10"/>
              </w:numPr>
              <w:spacing w:after="0" w:line="240" w:lineRule="auto"/>
              <w:ind w:left="317" w:hanging="215"/>
              <w:jc w:val="both"/>
              <w:rPr>
                <w:sz w:val="28"/>
                <w:szCs w:val="28"/>
                <w:lang w:val="lv-LV"/>
              </w:rPr>
            </w:pPr>
            <w:r w:rsidRPr="0070008C">
              <w:rPr>
                <w:rFonts w:ascii="Times New Roman" w:hAnsi="Times New Roman"/>
                <w:sz w:val="28"/>
                <w:szCs w:val="28"/>
                <w:lang w:val="lv-LV"/>
              </w:rPr>
              <w:t>gan TM, gan to padotības iestāžu projektu īstenošanas vispārējai uzraudzībai tiek izveidota projekta vadības komiteja, kurā tiek iekļauti TM pārstāvji.</w:t>
            </w:r>
          </w:p>
          <w:p w:rsidR="0056055F" w:rsidRPr="003A1F3A" w:rsidRDefault="0070008C" w:rsidP="0070008C">
            <w:pPr>
              <w:pStyle w:val="Sarakstarindkopa"/>
              <w:numPr>
                <w:ilvl w:val="0"/>
                <w:numId w:val="10"/>
              </w:numPr>
              <w:spacing w:after="0" w:line="240" w:lineRule="auto"/>
              <w:ind w:left="317" w:hanging="215"/>
              <w:jc w:val="both"/>
              <w:rPr>
                <w:sz w:val="28"/>
                <w:szCs w:val="28"/>
                <w:lang w:val="lv-LV"/>
              </w:rPr>
            </w:pPr>
            <w:r w:rsidRPr="0070008C">
              <w:rPr>
                <w:rFonts w:ascii="Times New Roman" w:hAnsi="Times New Roman"/>
                <w:sz w:val="28"/>
                <w:szCs w:val="28"/>
                <w:lang w:val="lv-LV"/>
              </w:rPr>
              <w:t>Padotības iestādes reizi ceturksnī iesniedz TM rakstisku ziņojumu par projektu īstenošanas statusu.</w:t>
            </w:r>
          </w:p>
          <w:p w:rsidR="003A1F3A" w:rsidRPr="00465E34" w:rsidRDefault="003A1F3A" w:rsidP="003A1F3A">
            <w:pPr>
              <w:pStyle w:val="Sarakstarindkopa"/>
              <w:spacing w:after="0" w:line="240" w:lineRule="auto"/>
              <w:ind w:left="317"/>
              <w:jc w:val="both"/>
              <w:rPr>
                <w:sz w:val="28"/>
                <w:szCs w:val="28"/>
                <w:lang w:val="lv-LV"/>
              </w:rPr>
            </w:pPr>
          </w:p>
        </w:tc>
      </w:tr>
      <w:tr w:rsidR="003A2BEA" w:rsidRPr="003A31D5" w:rsidTr="00DA755F">
        <w:trPr>
          <w:trHeight w:val="688"/>
          <w:tblCellSpacing w:w="0" w:type="dxa"/>
        </w:trPr>
        <w:tc>
          <w:tcPr>
            <w:tcW w:w="712" w:type="dxa"/>
            <w:gridSpan w:val="2"/>
            <w:tcBorders>
              <w:top w:val="outset" w:sz="6" w:space="0" w:color="auto"/>
              <w:left w:val="outset" w:sz="6" w:space="0" w:color="auto"/>
              <w:bottom w:val="outset" w:sz="6" w:space="0" w:color="auto"/>
              <w:right w:val="outset" w:sz="6" w:space="0" w:color="auto"/>
            </w:tcBorders>
          </w:tcPr>
          <w:p w:rsidR="003A2BEA" w:rsidRPr="003A31D5" w:rsidRDefault="003A2BEA" w:rsidP="003A2BEA">
            <w:pPr>
              <w:spacing w:before="100" w:beforeAutospacing="1" w:after="100" w:afterAutospacing="1"/>
              <w:rPr>
                <w:rFonts w:eastAsia="Times New Roman"/>
                <w:sz w:val="28"/>
                <w:szCs w:val="28"/>
                <w:lang w:val="lv-LV" w:eastAsia="lv-LV"/>
              </w:rPr>
            </w:pPr>
            <w:r w:rsidRPr="003A31D5">
              <w:rPr>
                <w:rFonts w:eastAsia="Times New Roman"/>
                <w:sz w:val="28"/>
                <w:szCs w:val="28"/>
                <w:lang w:val="lv-LV" w:eastAsia="lv-LV"/>
              </w:rPr>
              <w:lastRenderedPageBreak/>
              <w:t> 3.</w:t>
            </w:r>
          </w:p>
        </w:tc>
        <w:tc>
          <w:tcPr>
            <w:tcW w:w="2804" w:type="dxa"/>
            <w:gridSpan w:val="2"/>
            <w:tcBorders>
              <w:top w:val="outset" w:sz="6" w:space="0" w:color="auto"/>
              <w:left w:val="outset" w:sz="6" w:space="0" w:color="auto"/>
              <w:bottom w:val="outset" w:sz="6" w:space="0" w:color="auto"/>
              <w:right w:val="outset" w:sz="6" w:space="0" w:color="auto"/>
            </w:tcBorders>
          </w:tcPr>
          <w:p w:rsidR="003A2BEA" w:rsidRPr="00182048" w:rsidRDefault="003A2BEA" w:rsidP="003A2BEA">
            <w:pPr>
              <w:spacing w:before="100" w:beforeAutospacing="1" w:after="100" w:afterAutospacing="1"/>
              <w:rPr>
                <w:rFonts w:eastAsia="Times New Roman"/>
                <w:sz w:val="28"/>
                <w:szCs w:val="28"/>
                <w:lang w:val="lv-LV" w:eastAsia="lv-LV"/>
              </w:rPr>
            </w:pPr>
            <w:r w:rsidRPr="00182048">
              <w:rPr>
                <w:rFonts w:eastAsia="Times New Roman"/>
                <w:sz w:val="28"/>
                <w:szCs w:val="28"/>
                <w:lang w:val="lv-LV" w:eastAsia="lv-LV"/>
              </w:rPr>
              <w:t> Saistītie politikas ietekmes novērtējumi un pētījumi</w:t>
            </w:r>
          </w:p>
        </w:tc>
        <w:tc>
          <w:tcPr>
            <w:tcW w:w="5585" w:type="dxa"/>
            <w:gridSpan w:val="4"/>
            <w:tcBorders>
              <w:top w:val="outset" w:sz="6" w:space="0" w:color="auto"/>
              <w:left w:val="outset" w:sz="6" w:space="0" w:color="auto"/>
              <w:bottom w:val="outset" w:sz="6" w:space="0" w:color="auto"/>
              <w:right w:val="outset" w:sz="6" w:space="0" w:color="auto"/>
            </w:tcBorders>
          </w:tcPr>
          <w:p w:rsidR="003A2BEA" w:rsidRPr="00182048" w:rsidRDefault="001A7766" w:rsidP="009E6046">
            <w:pPr>
              <w:ind w:left="57" w:right="57" w:firstLine="284"/>
              <w:rPr>
                <w:rFonts w:eastAsia="Times New Roman"/>
                <w:sz w:val="28"/>
                <w:szCs w:val="28"/>
                <w:lang w:val="lv-LV" w:eastAsia="lv-LV"/>
              </w:rPr>
            </w:pPr>
            <w:r w:rsidRPr="00182048">
              <w:rPr>
                <w:sz w:val="28"/>
                <w:szCs w:val="28"/>
                <w:lang w:val="lv-LV" w:eastAsia="lv-LV"/>
              </w:rPr>
              <w:t>Projekts šo jomu neskar</w:t>
            </w:r>
            <w:r w:rsidR="00FA03C6" w:rsidRPr="00182048">
              <w:rPr>
                <w:sz w:val="28"/>
                <w:szCs w:val="28"/>
                <w:lang w:val="lv-LV" w:eastAsia="lv-LV"/>
              </w:rPr>
              <w:t>.</w:t>
            </w:r>
          </w:p>
        </w:tc>
      </w:tr>
      <w:tr w:rsidR="003A2BEA" w:rsidRPr="00804300" w:rsidTr="00DA755F">
        <w:trPr>
          <w:trHeight w:val="384"/>
          <w:tblCellSpacing w:w="0" w:type="dxa"/>
        </w:trPr>
        <w:tc>
          <w:tcPr>
            <w:tcW w:w="712" w:type="dxa"/>
            <w:gridSpan w:val="2"/>
            <w:tcBorders>
              <w:top w:val="outset" w:sz="6" w:space="0" w:color="auto"/>
              <w:left w:val="outset" w:sz="6" w:space="0" w:color="auto"/>
              <w:bottom w:val="outset" w:sz="6" w:space="0" w:color="auto"/>
              <w:right w:val="outset" w:sz="6" w:space="0" w:color="auto"/>
            </w:tcBorders>
          </w:tcPr>
          <w:p w:rsidR="003A2BEA" w:rsidRPr="003A31D5" w:rsidRDefault="003A2BEA" w:rsidP="003A2BEA">
            <w:pPr>
              <w:spacing w:before="100" w:beforeAutospacing="1" w:after="100" w:afterAutospacing="1"/>
              <w:rPr>
                <w:rFonts w:eastAsia="Times New Roman"/>
                <w:sz w:val="28"/>
                <w:szCs w:val="28"/>
                <w:lang w:val="lv-LV" w:eastAsia="lv-LV"/>
              </w:rPr>
            </w:pPr>
            <w:r w:rsidRPr="003A31D5">
              <w:rPr>
                <w:rFonts w:eastAsia="Times New Roman"/>
                <w:sz w:val="28"/>
                <w:szCs w:val="28"/>
                <w:lang w:val="lv-LV" w:eastAsia="lv-LV"/>
              </w:rPr>
              <w:t> 4.</w:t>
            </w:r>
          </w:p>
        </w:tc>
        <w:tc>
          <w:tcPr>
            <w:tcW w:w="2804" w:type="dxa"/>
            <w:gridSpan w:val="2"/>
            <w:tcBorders>
              <w:top w:val="outset" w:sz="6" w:space="0" w:color="auto"/>
              <w:left w:val="outset" w:sz="6" w:space="0" w:color="auto"/>
              <w:bottom w:val="outset" w:sz="6" w:space="0" w:color="auto"/>
              <w:right w:val="outset" w:sz="6" w:space="0" w:color="auto"/>
            </w:tcBorders>
          </w:tcPr>
          <w:p w:rsidR="003A2BEA" w:rsidRPr="00182048" w:rsidRDefault="003A2BEA" w:rsidP="003A2BEA">
            <w:pPr>
              <w:spacing w:before="100" w:beforeAutospacing="1" w:after="100" w:afterAutospacing="1"/>
              <w:rPr>
                <w:rFonts w:eastAsia="Times New Roman"/>
                <w:sz w:val="28"/>
                <w:szCs w:val="28"/>
                <w:lang w:val="lv-LV" w:eastAsia="lv-LV"/>
              </w:rPr>
            </w:pPr>
            <w:r w:rsidRPr="00182048">
              <w:rPr>
                <w:rFonts w:eastAsia="Times New Roman"/>
                <w:sz w:val="28"/>
                <w:szCs w:val="28"/>
                <w:lang w:val="lv-LV" w:eastAsia="lv-LV"/>
              </w:rPr>
              <w:t> Tiesiskā regulējuma mērķis un būtība</w:t>
            </w:r>
          </w:p>
        </w:tc>
        <w:tc>
          <w:tcPr>
            <w:tcW w:w="5585" w:type="dxa"/>
            <w:gridSpan w:val="4"/>
            <w:tcBorders>
              <w:top w:val="outset" w:sz="6" w:space="0" w:color="auto"/>
              <w:left w:val="outset" w:sz="6" w:space="0" w:color="auto"/>
              <w:bottom w:val="outset" w:sz="6" w:space="0" w:color="auto"/>
              <w:right w:val="outset" w:sz="6" w:space="0" w:color="auto"/>
            </w:tcBorders>
          </w:tcPr>
          <w:p w:rsidR="00E36EFC" w:rsidRDefault="00D251A2" w:rsidP="00FD3AB8">
            <w:pPr>
              <w:ind w:left="57" w:right="57" w:firstLine="284"/>
              <w:jc w:val="both"/>
              <w:rPr>
                <w:iCs/>
                <w:sz w:val="28"/>
                <w:szCs w:val="28"/>
                <w:lang w:val="lv-LV"/>
              </w:rPr>
            </w:pPr>
            <w:r w:rsidRPr="00182048">
              <w:rPr>
                <w:bCs/>
                <w:sz w:val="28"/>
                <w:szCs w:val="28"/>
                <w:lang w:val="lv-LV"/>
              </w:rPr>
              <w:t>Ministru kabineta protokollēmuma</w:t>
            </w:r>
            <w:r w:rsidR="006E3C08" w:rsidRPr="00182048">
              <w:rPr>
                <w:bCs/>
                <w:sz w:val="28"/>
                <w:szCs w:val="28"/>
                <w:lang w:val="lv-LV"/>
              </w:rPr>
              <w:t xml:space="preserve"> mērķi un</w:t>
            </w:r>
            <w:r w:rsidRPr="00182048">
              <w:rPr>
                <w:bCs/>
                <w:sz w:val="28"/>
                <w:szCs w:val="28"/>
                <w:lang w:val="lv-LV"/>
              </w:rPr>
              <w:t xml:space="preserve"> būtība ir saskaņā </w:t>
            </w:r>
            <w:r w:rsidR="00293D30" w:rsidRPr="00182048">
              <w:rPr>
                <w:bCs/>
                <w:sz w:val="28"/>
                <w:szCs w:val="28"/>
                <w:lang w:val="lv-LV"/>
              </w:rPr>
              <w:t xml:space="preserve">ar likuma par </w:t>
            </w:r>
            <w:r w:rsidR="00293D30" w:rsidRPr="00182048">
              <w:rPr>
                <w:iCs/>
                <w:sz w:val="28"/>
                <w:szCs w:val="28"/>
                <w:lang w:val="lv-LV"/>
              </w:rPr>
              <w:t>budžetu un finanšu vadību 24. panta trešo daļu</w:t>
            </w:r>
            <w:r w:rsidR="007E0449" w:rsidRPr="00182048">
              <w:rPr>
                <w:sz w:val="28"/>
                <w:szCs w:val="28"/>
                <w:lang w:val="lv-LV"/>
              </w:rPr>
              <w:t xml:space="preserve"> </w:t>
            </w:r>
            <w:r w:rsidR="00293D30" w:rsidRPr="00182048">
              <w:rPr>
                <w:sz w:val="28"/>
                <w:szCs w:val="28"/>
                <w:lang w:val="lv-LV"/>
              </w:rPr>
              <w:t xml:space="preserve">Tieslietu ministrijai iegūt </w:t>
            </w:r>
            <w:r w:rsidR="00293D30" w:rsidRPr="00182048">
              <w:rPr>
                <w:iCs/>
                <w:sz w:val="28"/>
                <w:szCs w:val="28"/>
                <w:lang w:val="lv-LV"/>
              </w:rPr>
              <w:t xml:space="preserve">atļauju </w:t>
            </w:r>
            <w:r w:rsidR="006E3C08" w:rsidRPr="00182048">
              <w:rPr>
                <w:iCs/>
                <w:sz w:val="28"/>
                <w:szCs w:val="28"/>
                <w:lang w:val="lv-LV"/>
              </w:rPr>
              <w:t>uzņemties saistības</w:t>
            </w:r>
            <w:r w:rsidR="0084199F" w:rsidRPr="00182048">
              <w:rPr>
                <w:iCs/>
                <w:sz w:val="28"/>
                <w:szCs w:val="28"/>
                <w:lang w:val="lv-LV"/>
              </w:rPr>
              <w:t xml:space="preserve"> (parakstīt partnerības apliecinājums un slēgt līgumus)</w:t>
            </w:r>
            <w:r w:rsidR="006E3C08" w:rsidRPr="00182048">
              <w:rPr>
                <w:iCs/>
                <w:sz w:val="28"/>
                <w:szCs w:val="28"/>
                <w:lang w:val="lv-LV"/>
              </w:rPr>
              <w:t xml:space="preserve"> </w:t>
            </w:r>
            <w:r w:rsidR="00FD3AB8" w:rsidRPr="00182048">
              <w:rPr>
                <w:iCs/>
                <w:sz w:val="28"/>
                <w:szCs w:val="28"/>
                <w:lang w:val="lv-LV"/>
              </w:rPr>
              <w:t xml:space="preserve">projektu </w:t>
            </w:r>
            <w:r w:rsidR="006E3C08" w:rsidRPr="00182048">
              <w:rPr>
                <w:iCs/>
                <w:sz w:val="28"/>
                <w:szCs w:val="28"/>
                <w:lang w:val="lv-LV"/>
              </w:rPr>
              <w:t>īstenošanai, ja to</w:t>
            </w:r>
            <w:r w:rsidR="00FD3AB8" w:rsidRPr="00182048">
              <w:rPr>
                <w:iCs/>
                <w:sz w:val="28"/>
                <w:szCs w:val="28"/>
                <w:lang w:val="lv-LV"/>
              </w:rPr>
              <w:t>s</w:t>
            </w:r>
            <w:r w:rsidR="006E3C08" w:rsidRPr="00182048">
              <w:rPr>
                <w:iCs/>
                <w:sz w:val="28"/>
                <w:szCs w:val="28"/>
                <w:lang w:val="lv-LV"/>
              </w:rPr>
              <w:t xml:space="preserve"> apstiprinās </w:t>
            </w:r>
            <w:r w:rsidR="008E2984" w:rsidRPr="00182048">
              <w:rPr>
                <w:iCs/>
                <w:sz w:val="28"/>
                <w:szCs w:val="28"/>
                <w:lang w:val="lv-LV"/>
              </w:rPr>
              <w:t>Eiropas Komisija</w:t>
            </w:r>
            <w:r w:rsidR="006E3C08" w:rsidRPr="00182048">
              <w:rPr>
                <w:iCs/>
                <w:sz w:val="28"/>
                <w:szCs w:val="28"/>
                <w:lang w:val="lv-LV"/>
              </w:rPr>
              <w:t>.</w:t>
            </w:r>
          </w:p>
          <w:p w:rsidR="003A1F3A" w:rsidRPr="00182048" w:rsidRDefault="003A1F3A" w:rsidP="00FD3AB8">
            <w:pPr>
              <w:ind w:left="57" w:right="57" w:firstLine="284"/>
              <w:jc w:val="both"/>
              <w:rPr>
                <w:sz w:val="28"/>
                <w:szCs w:val="28"/>
                <w:lang w:val="lv-LV"/>
              </w:rPr>
            </w:pPr>
          </w:p>
        </w:tc>
      </w:tr>
      <w:tr w:rsidR="003A2BEA" w:rsidRPr="00142AC5" w:rsidTr="00DA755F">
        <w:trPr>
          <w:trHeight w:val="476"/>
          <w:tblCellSpacing w:w="0" w:type="dxa"/>
        </w:trPr>
        <w:tc>
          <w:tcPr>
            <w:tcW w:w="712" w:type="dxa"/>
            <w:gridSpan w:val="2"/>
            <w:tcBorders>
              <w:top w:val="outset" w:sz="6" w:space="0" w:color="auto"/>
              <w:left w:val="outset" w:sz="6" w:space="0" w:color="auto"/>
              <w:bottom w:val="outset" w:sz="6" w:space="0" w:color="auto"/>
              <w:right w:val="outset" w:sz="6" w:space="0" w:color="auto"/>
            </w:tcBorders>
          </w:tcPr>
          <w:p w:rsidR="003A2BEA" w:rsidRPr="003A31D5" w:rsidRDefault="003A2BEA" w:rsidP="003A2BEA">
            <w:pPr>
              <w:spacing w:before="100" w:beforeAutospacing="1" w:after="100" w:afterAutospacing="1"/>
              <w:rPr>
                <w:rFonts w:eastAsia="Times New Roman"/>
                <w:sz w:val="28"/>
                <w:szCs w:val="28"/>
                <w:lang w:val="lv-LV" w:eastAsia="lv-LV"/>
              </w:rPr>
            </w:pPr>
            <w:r w:rsidRPr="003A31D5">
              <w:rPr>
                <w:rFonts w:eastAsia="Times New Roman"/>
                <w:sz w:val="28"/>
                <w:szCs w:val="28"/>
                <w:lang w:val="lv-LV" w:eastAsia="lv-LV"/>
              </w:rPr>
              <w:t> 5.</w:t>
            </w:r>
          </w:p>
        </w:tc>
        <w:tc>
          <w:tcPr>
            <w:tcW w:w="2804" w:type="dxa"/>
            <w:gridSpan w:val="2"/>
            <w:tcBorders>
              <w:top w:val="outset" w:sz="6" w:space="0" w:color="auto"/>
              <w:left w:val="outset" w:sz="6" w:space="0" w:color="auto"/>
              <w:bottom w:val="outset" w:sz="6" w:space="0" w:color="auto"/>
              <w:right w:val="outset" w:sz="6" w:space="0" w:color="auto"/>
            </w:tcBorders>
          </w:tcPr>
          <w:p w:rsidR="003A2BEA" w:rsidRPr="00182048" w:rsidRDefault="003A2BEA" w:rsidP="003A2BEA">
            <w:pPr>
              <w:spacing w:before="100" w:beforeAutospacing="1" w:after="100" w:afterAutospacing="1"/>
              <w:rPr>
                <w:rFonts w:eastAsia="Times New Roman"/>
                <w:sz w:val="28"/>
                <w:szCs w:val="28"/>
                <w:lang w:val="lv-LV" w:eastAsia="lv-LV"/>
              </w:rPr>
            </w:pPr>
            <w:r w:rsidRPr="00182048">
              <w:rPr>
                <w:rFonts w:eastAsia="Times New Roman"/>
                <w:sz w:val="28"/>
                <w:szCs w:val="28"/>
                <w:lang w:val="lv-LV" w:eastAsia="lv-LV"/>
              </w:rPr>
              <w:t> Projekta izstrādē iesaistītās institūcijas</w:t>
            </w:r>
          </w:p>
        </w:tc>
        <w:tc>
          <w:tcPr>
            <w:tcW w:w="5585" w:type="dxa"/>
            <w:gridSpan w:val="4"/>
            <w:tcBorders>
              <w:top w:val="outset" w:sz="6" w:space="0" w:color="auto"/>
              <w:left w:val="outset" w:sz="6" w:space="0" w:color="auto"/>
              <w:bottom w:val="outset" w:sz="6" w:space="0" w:color="auto"/>
              <w:right w:val="outset" w:sz="6" w:space="0" w:color="auto"/>
            </w:tcBorders>
          </w:tcPr>
          <w:p w:rsidR="00E36EFC" w:rsidRPr="00182048" w:rsidRDefault="0083551B" w:rsidP="003A1F3A">
            <w:pPr>
              <w:ind w:left="57" w:right="57" w:firstLine="284"/>
              <w:jc w:val="both"/>
              <w:rPr>
                <w:b/>
                <w:sz w:val="28"/>
                <w:szCs w:val="28"/>
                <w:lang w:val="lv-LV" w:eastAsia="lv-LV"/>
              </w:rPr>
            </w:pPr>
            <w:r w:rsidRPr="00182048">
              <w:rPr>
                <w:sz w:val="28"/>
                <w:szCs w:val="28"/>
                <w:lang w:val="lv-LV" w:eastAsia="lv-LV"/>
              </w:rPr>
              <w:t>Tieslietu ministrija</w:t>
            </w:r>
            <w:r w:rsidR="005C742E" w:rsidRPr="00182048">
              <w:rPr>
                <w:sz w:val="28"/>
                <w:szCs w:val="28"/>
                <w:lang w:val="lv-LV" w:eastAsia="lv-LV"/>
              </w:rPr>
              <w:t xml:space="preserve">, </w:t>
            </w:r>
            <w:r w:rsidR="00197E6D" w:rsidRPr="00182048">
              <w:rPr>
                <w:sz w:val="28"/>
                <w:szCs w:val="28"/>
                <w:lang w:val="lv-LV" w:eastAsia="lv-LV"/>
              </w:rPr>
              <w:t>Ieslodzījuma vietu pārvalde, Valsts probācijas dienests, Valsts valodas centrs</w:t>
            </w:r>
            <w:r w:rsidR="007F4864" w:rsidRPr="00182048">
              <w:rPr>
                <w:sz w:val="28"/>
                <w:szCs w:val="28"/>
                <w:lang w:val="lv-LV" w:eastAsia="lv-LV"/>
              </w:rPr>
              <w:t>.</w:t>
            </w:r>
          </w:p>
        </w:tc>
      </w:tr>
      <w:tr w:rsidR="003A2BEA" w:rsidRPr="00680FE7" w:rsidTr="00DA755F">
        <w:trPr>
          <w:trHeight w:val="681"/>
          <w:tblCellSpacing w:w="0" w:type="dxa"/>
        </w:trPr>
        <w:tc>
          <w:tcPr>
            <w:tcW w:w="712" w:type="dxa"/>
            <w:gridSpan w:val="2"/>
            <w:tcBorders>
              <w:top w:val="outset" w:sz="6" w:space="0" w:color="auto"/>
              <w:left w:val="outset" w:sz="6" w:space="0" w:color="auto"/>
              <w:bottom w:val="outset" w:sz="6" w:space="0" w:color="auto"/>
              <w:right w:val="outset" w:sz="6" w:space="0" w:color="auto"/>
            </w:tcBorders>
          </w:tcPr>
          <w:p w:rsidR="003A2BEA" w:rsidRPr="003A31D5" w:rsidRDefault="003A2BEA" w:rsidP="003A2BEA">
            <w:pPr>
              <w:spacing w:before="100" w:beforeAutospacing="1" w:after="100" w:afterAutospacing="1"/>
              <w:rPr>
                <w:rFonts w:eastAsia="Times New Roman"/>
                <w:sz w:val="28"/>
                <w:szCs w:val="28"/>
                <w:lang w:val="lv-LV" w:eastAsia="lv-LV"/>
              </w:rPr>
            </w:pPr>
            <w:r w:rsidRPr="003A31D5">
              <w:rPr>
                <w:rFonts w:eastAsia="Times New Roman"/>
                <w:sz w:val="28"/>
                <w:szCs w:val="28"/>
                <w:lang w:val="lv-LV" w:eastAsia="lv-LV"/>
              </w:rPr>
              <w:t> 6.</w:t>
            </w:r>
          </w:p>
        </w:tc>
        <w:tc>
          <w:tcPr>
            <w:tcW w:w="2804" w:type="dxa"/>
            <w:gridSpan w:val="2"/>
            <w:tcBorders>
              <w:top w:val="outset" w:sz="6" w:space="0" w:color="auto"/>
              <w:left w:val="outset" w:sz="6" w:space="0" w:color="auto"/>
              <w:bottom w:val="outset" w:sz="6" w:space="0" w:color="auto"/>
              <w:right w:val="outset" w:sz="6" w:space="0" w:color="auto"/>
            </w:tcBorders>
          </w:tcPr>
          <w:p w:rsidR="003A2BEA" w:rsidRPr="00182048" w:rsidRDefault="003A2BEA" w:rsidP="003A2BEA">
            <w:pPr>
              <w:spacing w:before="100" w:beforeAutospacing="1" w:after="100" w:afterAutospacing="1"/>
              <w:rPr>
                <w:rFonts w:eastAsia="Times New Roman"/>
                <w:sz w:val="28"/>
                <w:szCs w:val="28"/>
                <w:lang w:val="lv-LV" w:eastAsia="lv-LV"/>
              </w:rPr>
            </w:pPr>
            <w:r w:rsidRPr="00182048">
              <w:rPr>
                <w:rFonts w:eastAsia="Times New Roman"/>
                <w:sz w:val="28"/>
                <w:szCs w:val="28"/>
                <w:lang w:val="lv-LV" w:eastAsia="lv-LV"/>
              </w:rPr>
              <w:t> Iemesli, kādēļ netika nodrošināta sabiedrības līdzdalība</w:t>
            </w:r>
          </w:p>
        </w:tc>
        <w:tc>
          <w:tcPr>
            <w:tcW w:w="5585" w:type="dxa"/>
            <w:gridSpan w:val="4"/>
            <w:tcBorders>
              <w:top w:val="outset" w:sz="6" w:space="0" w:color="auto"/>
              <w:left w:val="outset" w:sz="6" w:space="0" w:color="auto"/>
              <w:bottom w:val="outset" w:sz="6" w:space="0" w:color="auto"/>
              <w:right w:val="outset" w:sz="6" w:space="0" w:color="auto"/>
            </w:tcBorders>
          </w:tcPr>
          <w:p w:rsidR="003A2BEA" w:rsidRPr="00182048" w:rsidRDefault="000F0A48" w:rsidP="00F01BCE">
            <w:pPr>
              <w:ind w:left="57" w:right="57" w:firstLine="284"/>
              <w:jc w:val="both"/>
              <w:rPr>
                <w:rFonts w:eastAsia="Times New Roman"/>
                <w:sz w:val="28"/>
                <w:szCs w:val="28"/>
                <w:lang w:val="lv-LV" w:eastAsia="lv-LV"/>
              </w:rPr>
            </w:pPr>
            <w:r w:rsidRPr="00182048">
              <w:rPr>
                <w:sz w:val="28"/>
                <w:szCs w:val="28"/>
                <w:lang w:val="lv-LV"/>
              </w:rPr>
              <w:t>Protokollēmuma</w:t>
            </w:r>
            <w:r w:rsidR="0083551B" w:rsidRPr="00182048">
              <w:rPr>
                <w:sz w:val="28"/>
                <w:szCs w:val="28"/>
                <w:lang w:val="lv-LV"/>
              </w:rPr>
              <w:t xml:space="preserve"> </w:t>
            </w:r>
            <w:r w:rsidR="001A25DB" w:rsidRPr="00182048">
              <w:rPr>
                <w:sz w:val="28"/>
                <w:szCs w:val="28"/>
                <w:lang w:val="lv-LV"/>
              </w:rPr>
              <w:t xml:space="preserve">projektā iekļautais </w:t>
            </w:r>
            <w:r w:rsidR="0083551B" w:rsidRPr="00182048">
              <w:rPr>
                <w:sz w:val="28"/>
                <w:szCs w:val="28"/>
                <w:lang w:val="lv-LV"/>
              </w:rPr>
              <w:t>regulējums neietekmē citas sabiedrības grupas.</w:t>
            </w:r>
          </w:p>
        </w:tc>
      </w:tr>
      <w:tr w:rsidR="003A2BEA" w:rsidRPr="00804300" w:rsidTr="00DA755F">
        <w:trPr>
          <w:tblCellSpacing w:w="0" w:type="dxa"/>
        </w:trPr>
        <w:tc>
          <w:tcPr>
            <w:tcW w:w="712" w:type="dxa"/>
            <w:gridSpan w:val="2"/>
            <w:tcBorders>
              <w:top w:val="outset" w:sz="6" w:space="0" w:color="auto"/>
              <w:left w:val="outset" w:sz="6" w:space="0" w:color="auto"/>
              <w:bottom w:val="outset" w:sz="6" w:space="0" w:color="auto"/>
              <w:right w:val="outset" w:sz="6" w:space="0" w:color="auto"/>
            </w:tcBorders>
          </w:tcPr>
          <w:p w:rsidR="003A2BEA" w:rsidRPr="003A31D5" w:rsidRDefault="003A2BEA" w:rsidP="003A2BEA">
            <w:pPr>
              <w:spacing w:before="100" w:beforeAutospacing="1" w:after="100" w:afterAutospacing="1"/>
              <w:rPr>
                <w:rFonts w:eastAsia="Times New Roman"/>
                <w:sz w:val="28"/>
                <w:szCs w:val="28"/>
                <w:lang w:val="lv-LV" w:eastAsia="lv-LV"/>
              </w:rPr>
            </w:pPr>
            <w:r w:rsidRPr="003A31D5">
              <w:rPr>
                <w:rFonts w:eastAsia="Times New Roman"/>
                <w:sz w:val="28"/>
                <w:szCs w:val="28"/>
                <w:lang w:val="lv-LV" w:eastAsia="lv-LV"/>
              </w:rPr>
              <w:t> 7.</w:t>
            </w:r>
          </w:p>
        </w:tc>
        <w:tc>
          <w:tcPr>
            <w:tcW w:w="2804" w:type="dxa"/>
            <w:gridSpan w:val="2"/>
            <w:tcBorders>
              <w:top w:val="outset" w:sz="6" w:space="0" w:color="auto"/>
              <w:left w:val="outset" w:sz="6" w:space="0" w:color="auto"/>
              <w:bottom w:val="outset" w:sz="6" w:space="0" w:color="auto"/>
              <w:right w:val="outset" w:sz="6" w:space="0" w:color="auto"/>
            </w:tcBorders>
          </w:tcPr>
          <w:p w:rsidR="003A2BEA" w:rsidRPr="00182048" w:rsidRDefault="003A2BEA" w:rsidP="003A2BEA">
            <w:pPr>
              <w:spacing w:before="100" w:beforeAutospacing="1" w:after="100" w:afterAutospacing="1"/>
              <w:rPr>
                <w:rFonts w:eastAsia="Times New Roman"/>
                <w:sz w:val="28"/>
                <w:szCs w:val="28"/>
                <w:lang w:val="lv-LV" w:eastAsia="lv-LV"/>
              </w:rPr>
            </w:pPr>
            <w:r w:rsidRPr="00182048">
              <w:rPr>
                <w:rFonts w:eastAsia="Times New Roman"/>
                <w:sz w:val="28"/>
                <w:szCs w:val="28"/>
                <w:lang w:val="lv-LV" w:eastAsia="lv-LV"/>
              </w:rPr>
              <w:t> Cita informācija</w:t>
            </w:r>
          </w:p>
        </w:tc>
        <w:tc>
          <w:tcPr>
            <w:tcW w:w="5585" w:type="dxa"/>
            <w:gridSpan w:val="4"/>
            <w:tcBorders>
              <w:top w:val="outset" w:sz="6" w:space="0" w:color="auto"/>
              <w:left w:val="outset" w:sz="6" w:space="0" w:color="auto"/>
              <w:bottom w:val="outset" w:sz="6" w:space="0" w:color="auto"/>
              <w:right w:val="outset" w:sz="6" w:space="0" w:color="auto"/>
            </w:tcBorders>
          </w:tcPr>
          <w:p w:rsidR="003A1F3A" w:rsidRDefault="00BE4D00" w:rsidP="00E84A09">
            <w:pPr>
              <w:ind w:left="57" w:right="57" w:firstLine="284"/>
              <w:jc w:val="both"/>
              <w:rPr>
                <w:sz w:val="28"/>
                <w:szCs w:val="28"/>
                <w:lang w:val="lv-LV"/>
              </w:rPr>
            </w:pPr>
            <w:r w:rsidRPr="00182048">
              <w:rPr>
                <w:sz w:val="28"/>
                <w:szCs w:val="28"/>
                <w:lang w:val="lv-LV"/>
              </w:rPr>
              <w:t>Projekta apstiprināšanas gadījumā tiks lūgta pārdale</w:t>
            </w:r>
            <w:r w:rsidR="007E0449" w:rsidRPr="00182048">
              <w:rPr>
                <w:sz w:val="28"/>
                <w:szCs w:val="28"/>
                <w:lang w:val="lv-LV"/>
              </w:rPr>
              <w:t xml:space="preserve"> no 74.</w:t>
            </w:r>
            <w:r w:rsidRPr="00182048">
              <w:rPr>
                <w:sz w:val="28"/>
                <w:szCs w:val="28"/>
                <w:lang w:val="lv-LV"/>
              </w:rPr>
              <w:t> </w:t>
            </w:r>
            <w:r w:rsidR="007E0449" w:rsidRPr="00182048">
              <w:rPr>
                <w:sz w:val="28"/>
                <w:szCs w:val="28"/>
                <w:lang w:val="lv-LV"/>
              </w:rPr>
              <w:t xml:space="preserve">resora „Gadskārtējā valsts budžeta izpildes procesā pārdalāmais finansējums” 80.00.00 programmas </w:t>
            </w:r>
            <w:r w:rsidR="007E0449" w:rsidRPr="00182048">
              <w:rPr>
                <w:sz w:val="28"/>
                <w:szCs w:val="28"/>
                <w:lang w:val="lv-LV"/>
              </w:rPr>
              <w:lastRenderedPageBreak/>
              <w:t>„Nesadalītais finansējums Eiropas Savienības politiku instrumentu un pārējās ārvalstu finanšu palīdzības projektu un pasākumu īstenošanai”</w:t>
            </w:r>
            <w:r w:rsidRPr="00182048">
              <w:rPr>
                <w:sz w:val="28"/>
                <w:szCs w:val="28"/>
                <w:lang w:val="lv-LV"/>
              </w:rPr>
              <w:t xml:space="preserve"> projekta īstenošanai nepieciešamā līdzfinansējuma un priekšfinansējuma segšanai</w:t>
            </w:r>
            <w:r w:rsidR="007E0449" w:rsidRPr="00182048">
              <w:rPr>
                <w:sz w:val="28"/>
                <w:szCs w:val="28"/>
                <w:lang w:val="lv-LV"/>
              </w:rPr>
              <w:t>.</w:t>
            </w:r>
          </w:p>
          <w:p w:rsidR="003A2BEA" w:rsidRPr="00182048" w:rsidRDefault="007E0449" w:rsidP="00E84A09">
            <w:pPr>
              <w:ind w:left="57" w:right="57" w:firstLine="284"/>
              <w:jc w:val="both"/>
              <w:rPr>
                <w:sz w:val="28"/>
                <w:szCs w:val="28"/>
                <w:lang w:val="lv-LV"/>
              </w:rPr>
            </w:pPr>
            <w:r w:rsidRPr="00182048">
              <w:rPr>
                <w:sz w:val="28"/>
                <w:szCs w:val="28"/>
                <w:lang w:val="lv-LV"/>
              </w:rPr>
              <w:t xml:space="preserve"> </w:t>
            </w:r>
          </w:p>
        </w:tc>
      </w:tr>
      <w:bookmarkEnd w:id="7"/>
      <w:bookmarkEnd w:id="8"/>
      <w:bookmarkEnd w:id="9"/>
      <w:bookmarkEnd w:id="10"/>
      <w:tr w:rsidR="0083551B" w:rsidRPr="00804300"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9101" w:type="dxa"/>
            <w:gridSpan w:val="8"/>
            <w:tcBorders>
              <w:top w:val="outset" w:sz="6" w:space="0" w:color="000000"/>
              <w:bottom w:val="outset" w:sz="6" w:space="0" w:color="000000"/>
            </w:tcBorders>
          </w:tcPr>
          <w:p w:rsidR="0083551B" w:rsidRPr="00182048" w:rsidRDefault="0083551B" w:rsidP="00B913F6">
            <w:pPr>
              <w:spacing w:before="100" w:beforeAutospacing="1" w:after="100" w:afterAutospacing="1"/>
              <w:jc w:val="center"/>
              <w:rPr>
                <w:b/>
                <w:bCs/>
                <w:sz w:val="28"/>
                <w:szCs w:val="28"/>
                <w:lang w:val="lv-LV"/>
              </w:rPr>
            </w:pPr>
            <w:r w:rsidRPr="00182048">
              <w:rPr>
                <w:b/>
                <w:bCs/>
                <w:sz w:val="28"/>
                <w:szCs w:val="28"/>
                <w:lang w:val="lv-LV"/>
              </w:rPr>
              <w:lastRenderedPageBreak/>
              <w:t>III. Tiesību akta projekta ietekme uz valsts budžetu un pašvaldību budžetiem</w:t>
            </w:r>
          </w:p>
        </w:tc>
      </w:tr>
      <w:tr w:rsidR="0083551B" w:rsidRPr="00680FE7"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rPr>
          <w:trHeight w:val="379"/>
        </w:trPr>
        <w:tc>
          <w:tcPr>
            <w:tcW w:w="2282" w:type="dxa"/>
            <w:gridSpan w:val="3"/>
            <w:vMerge w:val="restart"/>
            <w:tcBorders>
              <w:top w:val="outset" w:sz="6" w:space="0" w:color="000000"/>
              <w:bottom w:val="outset" w:sz="6" w:space="0" w:color="000000"/>
              <w:right w:val="outset" w:sz="6" w:space="0" w:color="000000"/>
            </w:tcBorders>
            <w:vAlign w:val="center"/>
          </w:tcPr>
          <w:p w:rsidR="0083551B" w:rsidRPr="003A31D5" w:rsidRDefault="0083551B" w:rsidP="00B913F6">
            <w:pPr>
              <w:spacing w:before="100" w:beforeAutospacing="1" w:after="100" w:afterAutospacing="1"/>
              <w:jc w:val="center"/>
              <w:rPr>
                <w:b/>
                <w:bCs/>
                <w:sz w:val="28"/>
                <w:szCs w:val="28"/>
                <w:lang w:val="lv-LV"/>
              </w:rPr>
            </w:pPr>
            <w:r w:rsidRPr="003A31D5">
              <w:rPr>
                <w:b/>
                <w:bCs/>
                <w:sz w:val="28"/>
                <w:szCs w:val="28"/>
                <w:lang w:val="lv-LV"/>
              </w:rPr>
              <w:t>Rādītāji</w:t>
            </w:r>
          </w:p>
        </w:tc>
        <w:tc>
          <w:tcPr>
            <w:tcW w:w="2383" w:type="dxa"/>
            <w:gridSpan w:val="2"/>
            <w:vMerge w:val="restart"/>
            <w:tcBorders>
              <w:top w:val="outset" w:sz="6" w:space="0" w:color="000000"/>
              <w:left w:val="outset" w:sz="6" w:space="0" w:color="000000"/>
              <w:bottom w:val="outset" w:sz="6" w:space="0" w:color="000000"/>
              <w:right w:val="outset" w:sz="6" w:space="0" w:color="000000"/>
            </w:tcBorders>
            <w:vAlign w:val="center"/>
          </w:tcPr>
          <w:p w:rsidR="0083551B" w:rsidRPr="00182048" w:rsidRDefault="0083551B" w:rsidP="00511105">
            <w:pPr>
              <w:spacing w:before="100" w:beforeAutospacing="1" w:after="100" w:afterAutospacing="1"/>
              <w:jc w:val="center"/>
              <w:rPr>
                <w:b/>
                <w:bCs/>
                <w:sz w:val="28"/>
                <w:szCs w:val="28"/>
                <w:lang w:val="lv-LV"/>
              </w:rPr>
            </w:pPr>
            <w:r w:rsidRPr="00182048">
              <w:rPr>
                <w:b/>
                <w:bCs/>
                <w:sz w:val="28"/>
                <w:szCs w:val="28"/>
                <w:lang w:val="lv-LV"/>
              </w:rPr>
              <w:t>201</w:t>
            </w:r>
            <w:r w:rsidR="00511105" w:rsidRPr="00182048">
              <w:rPr>
                <w:b/>
                <w:bCs/>
                <w:sz w:val="28"/>
                <w:szCs w:val="28"/>
                <w:lang w:val="lv-LV"/>
              </w:rPr>
              <w:t>2</w:t>
            </w:r>
            <w:r w:rsidR="00A209C1" w:rsidRPr="00182048">
              <w:rPr>
                <w:b/>
                <w:bCs/>
                <w:sz w:val="28"/>
                <w:szCs w:val="28"/>
                <w:lang w:val="lv-LV"/>
              </w:rPr>
              <w:t>.</w:t>
            </w:r>
            <w:r w:rsidRPr="00182048">
              <w:rPr>
                <w:b/>
                <w:bCs/>
                <w:sz w:val="28"/>
                <w:szCs w:val="28"/>
                <w:lang w:val="lv-LV"/>
              </w:rPr>
              <w:t xml:space="preserve"> gads</w:t>
            </w:r>
          </w:p>
        </w:tc>
        <w:tc>
          <w:tcPr>
            <w:tcW w:w="4436" w:type="dxa"/>
            <w:gridSpan w:val="3"/>
            <w:tcBorders>
              <w:top w:val="outset" w:sz="6" w:space="0" w:color="000000"/>
              <w:left w:val="outset" w:sz="6" w:space="0" w:color="000000"/>
              <w:bottom w:val="outset" w:sz="6" w:space="0" w:color="000000"/>
            </w:tcBorders>
            <w:vAlign w:val="center"/>
          </w:tcPr>
          <w:p w:rsidR="0083551B" w:rsidRPr="00182048" w:rsidRDefault="0083551B" w:rsidP="00B913F6">
            <w:pPr>
              <w:spacing w:before="100" w:beforeAutospacing="1" w:after="100" w:afterAutospacing="1"/>
              <w:jc w:val="center"/>
              <w:rPr>
                <w:sz w:val="28"/>
                <w:szCs w:val="28"/>
                <w:lang w:val="lv-LV"/>
              </w:rPr>
            </w:pPr>
            <w:r w:rsidRPr="00182048">
              <w:rPr>
                <w:sz w:val="28"/>
                <w:szCs w:val="28"/>
                <w:lang w:val="lv-LV"/>
              </w:rPr>
              <w:t>Turpmākie trīs gadi (tūkst</w:t>
            </w:r>
            <w:smartTag w:uri="schemas-tilde-lv/tildestengine" w:element="currency2">
              <w:smartTagPr>
                <w:attr w:name="currency_text" w:val="latu"/>
                <w:attr w:name="currency_value" w:val="."/>
                <w:attr w:name="currency_key" w:val="LVL"/>
                <w:attr w:name="currency_id" w:val="48"/>
              </w:smartTagPr>
              <w:r w:rsidRPr="00182048">
                <w:rPr>
                  <w:sz w:val="28"/>
                  <w:szCs w:val="28"/>
                  <w:lang w:val="lv-LV"/>
                </w:rPr>
                <w:t>. latu</w:t>
              </w:r>
            </w:smartTag>
            <w:r w:rsidRPr="00182048">
              <w:rPr>
                <w:sz w:val="28"/>
                <w:szCs w:val="28"/>
                <w:lang w:val="lv-LV"/>
              </w:rPr>
              <w:t>)</w:t>
            </w:r>
          </w:p>
        </w:tc>
      </w:tr>
      <w:tr w:rsidR="0083551B"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2282" w:type="dxa"/>
            <w:gridSpan w:val="3"/>
            <w:vMerge/>
            <w:tcBorders>
              <w:top w:val="outset" w:sz="6" w:space="0" w:color="000000"/>
              <w:bottom w:val="outset" w:sz="6" w:space="0" w:color="000000"/>
              <w:right w:val="outset" w:sz="6" w:space="0" w:color="000000"/>
            </w:tcBorders>
            <w:vAlign w:val="center"/>
          </w:tcPr>
          <w:p w:rsidR="0083551B" w:rsidRPr="003A31D5" w:rsidRDefault="0083551B" w:rsidP="00B913F6">
            <w:pPr>
              <w:rPr>
                <w:b/>
                <w:bCs/>
                <w:sz w:val="28"/>
                <w:szCs w:val="28"/>
                <w:lang w:val="lv-LV"/>
              </w:rPr>
            </w:pPr>
          </w:p>
        </w:tc>
        <w:tc>
          <w:tcPr>
            <w:tcW w:w="2383" w:type="dxa"/>
            <w:gridSpan w:val="2"/>
            <w:vMerge/>
            <w:tcBorders>
              <w:top w:val="outset" w:sz="6" w:space="0" w:color="000000"/>
              <w:left w:val="outset" w:sz="6" w:space="0" w:color="000000"/>
              <w:bottom w:val="outset" w:sz="6" w:space="0" w:color="000000"/>
              <w:right w:val="outset" w:sz="6" w:space="0" w:color="000000"/>
            </w:tcBorders>
            <w:vAlign w:val="center"/>
          </w:tcPr>
          <w:p w:rsidR="0083551B" w:rsidRPr="00182048" w:rsidRDefault="0083551B" w:rsidP="00B913F6">
            <w:pPr>
              <w:rPr>
                <w:b/>
                <w:bCs/>
                <w:sz w:val="28"/>
                <w:szCs w:val="28"/>
                <w:lang w:val="lv-LV"/>
              </w:rPr>
            </w:pPr>
          </w:p>
        </w:tc>
        <w:tc>
          <w:tcPr>
            <w:tcW w:w="1473" w:type="dxa"/>
            <w:tcBorders>
              <w:top w:val="outset" w:sz="6" w:space="0" w:color="000000"/>
              <w:left w:val="outset" w:sz="6" w:space="0" w:color="000000"/>
              <w:bottom w:val="outset" w:sz="6" w:space="0" w:color="000000"/>
              <w:right w:val="outset" w:sz="6" w:space="0" w:color="000000"/>
            </w:tcBorders>
            <w:vAlign w:val="center"/>
          </w:tcPr>
          <w:p w:rsidR="0083551B" w:rsidRPr="00182048" w:rsidRDefault="0083551B" w:rsidP="00511105">
            <w:pPr>
              <w:spacing w:before="100" w:beforeAutospacing="1" w:after="100" w:afterAutospacing="1"/>
              <w:jc w:val="center"/>
              <w:rPr>
                <w:b/>
                <w:bCs/>
                <w:sz w:val="28"/>
                <w:szCs w:val="28"/>
                <w:lang w:val="lv-LV"/>
              </w:rPr>
            </w:pPr>
            <w:r w:rsidRPr="00182048">
              <w:rPr>
                <w:b/>
                <w:bCs/>
                <w:sz w:val="28"/>
                <w:szCs w:val="28"/>
                <w:lang w:val="lv-LV"/>
              </w:rPr>
              <w:t>201</w:t>
            </w:r>
            <w:r w:rsidR="00511105" w:rsidRPr="00182048">
              <w:rPr>
                <w:b/>
                <w:bCs/>
                <w:sz w:val="28"/>
                <w:szCs w:val="28"/>
                <w:lang w:val="lv-LV"/>
              </w:rPr>
              <w:t>3</w:t>
            </w:r>
          </w:p>
        </w:tc>
        <w:tc>
          <w:tcPr>
            <w:tcW w:w="1477" w:type="dxa"/>
            <w:tcBorders>
              <w:top w:val="outset" w:sz="6" w:space="0" w:color="000000"/>
              <w:left w:val="outset" w:sz="6" w:space="0" w:color="000000"/>
              <w:bottom w:val="outset" w:sz="6" w:space="0" w:color="000000"/>
              <w:right w:val="outset" w:sz="6" w:space="0" w:color="000000"/>
            </w:tcBorders>
            <w:vAlign w:val="center"/>
          </w:tcPr>
          <w:p w:rsidR="0083551B" w:rsidRPr="00182048" w:rsidRDefault="0083551B" w:rsidP="00511105">
            <w:pPr>
              <w:spacing w:before="100" w:beforeAutospacing="1" w:after="100" w:afterAutospacing="1"/>
              <w:jc w:val="center"/>
              <w:rPr>
                <w:b/>
                <w:bCs/>
                <w:sz w:val="28"/>
                <w:szCs w:val="28"/>
                <w:lang w:val="lv-LV"/>
              </w:rPr>
            </w:pPr>
            <w:r w:rsidRPr="00182048">
              <w:rPr>
                <w:b/>
                <w:bCs/>
                <w:sz w:val="28"/>
                <w:szCs w:val="28"/>
                <w:lang w:val="lv-LV"/>
              </w:rPr>
              <w:t>201</w:t>
            </w:r>
            <w:r w:rsidR="00511105" w:rsidRPr="00182048">
              <w:rPr>
                <w:b/>
                <w:bCs/>
                <w:sz w:val="28"/>
                <w:szCs w:val="28"/>
                <w:lang w:val="lv-LV"/>
              </w:rPr>
              <w:t>4</w:t>
            </w:r>
          </w:p>
        </w:tc>
        <w:tc>
          <w:tcPr>
            <w:tcW w:w="1486" w:type="dxa"/>
            <w:tcBorders>
              <w:top w:val="outset" w:sz="6" w:space="0" w:color="000000"/>
              <w:left w:val="outset" w:sz="6" w:space="0" w:color="000000"/>
              <w:bottom w:val="outset" w:sz="6" w:space="0" w:color="000000"/>
            </w:tcBorders>
            <w:vAlign w:val="center"/>
          </w:tcPr>
          <w:p w:rsidR="0083551B" w:rsidRPr="00182048" w:rsidRDefault="0083551B" w:rsidP="00511105">
            <w:pPr>
              <w:spacing w:before="100" w:beforeAutospacing="1" w:after="100" w:afterAutospacing="1"/>
              <w:jc w:val="center"/>
              <w:rPr>
                <w:b/>
                <w:bCs/>
                <w:sz w:val="28"/>
                <w:szCs w:val="28"/>
                <w:lang w:val="lv-LV"/>
              </w:rPr>
            </w:pPr>
            <w:r w:rsidRPr="00182048">
              <w:rPr>
                <w:b/>
                <w:bCs/>
                <w:sz w:val="28"/>
                <w:szCs w:val="28"/>
                <w:lang w:val="lv-LV"/>
              </w:rPr>
              <w:t>201</w:t>
            </w:r>
            <w:r w:rsidR="00511105" w:rsidRPr="00182048">
              <w:rPr>
                <w:b/>
                <w:bCs/>
                <w:sz w:val="28"/>
                <w:szCs w:val="28"/>
                <w:lang w:val="lv-LV"/>
              </w:rPr>
              <w:t>5</w:t>
            </w:r>
          </w:p>
        </w:tc>
      </w:tr>
      <w:tr w:rsidR="0083551B" w:rsidRPr="00680FE7"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2282" w:type="dxa"/>
            <w:gridSpan w:val="3"/>
            <w:vMerge/>
            <w:tcBorders>
              <w:top w:val="outset" w:sz="6" w:space="0" w:color="000000"/>
              <w:bottom w:val="outset" w:sz="6" w:space="0" w:color="000000"/>
              <w:right w:val="outset" w:sz="6" w:space="0" w:color="000000"/>
            </w:tcBorders>
            <w:vAlign w:val="center"/>
          </w:tcPr>
          <w:p w:rsidR="0083551B" w:rsidRPr="003A31D5" w:rsidRDefault="0083551B" w:rsidP="00B913F6">
            <w:pPr>
              <w:rPr>
                <w:b/>
                <w:bCs/>
                <w:sz w:val="28"/>
                <w:szCs w:val="28"/>
                <w:lang w:val="lv-LV"/>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3551B" w:rsidRPr="00182048" w:rsidRDefault="0083551B" w:rsidP="00B913F6">
            <w:pPr>
              <w:spacing w:before="100" w:beforeAutospacing="1" w:after="100" w:afterAutospacing="1"/>
              <w:jc w:val="center"/>
              <w:rPr>
                <w:sz w:val="28"/>
                <w:szCs w:val="28"/>
                <w:lang w:val="lv-LV"/>
              </w:rPr>
            </w:pPr>
            <w:r w:rsidRPr="00182048">
              <w:rPr>
                <w:sz w:val="28"/>
                <w:szCs w:val="28"/>
                <w:lang w:val="lv-LV"/>
              </w:rPr>
              <w:t>Saskaņā ar valsts budžetu kārtējam gadam</w:t>
            </w:r>
          </w:p>
        </w:tc>
        <w:tc>
          <w:tcPr>
            <w:tcW w:w="1149" w:type="dxa"/>
            <w:tcBorders>
              <w:top w:val="outset" w:sz="6" w:space="0" w:color="000000"/>
              <w:left w:val="outset" w:sz="6" w:space="0" w:color="000000"/>
              <w:bottom w:val="outset" w:sz="6" w:space="0" w:color="000000"/>
              <w:right w:val="outset" w:sz="6" w:space="0" w:color="000000"/>
            </w:tcBorders>
            <w:vAlign w:val="center"/>
          </w:tcPr>
          <w:p w:rsidR="0083551B" w:rsidRPr="00182048" w:rsidRDefault="0083551B" w:rsidP="00B913F6">
            <w:pPr>
              <w:spacing w:before="100" w:beforeAutospacing="1" w:after="100" w:afterAutospacing="1"/>
              <w:jc w:val="center"/>
              <w:rPr>
                <w:sz w:val="28"/>
                <w:szCs w:val="28"/>
                <w:lang w:val="lv-LV"/>
              </w:rPr>
            </w:pPr>
            <w:r w:rsidRPr="00182048">
              <w:rPr>
                <w:sz w:val="28"/>
                <w:szCs w:val="28"/>
                <w:lang w:val="lv-LV"/>
              </w:rPr>
              <w:t>Izmaiņas kārtējā gadā, salīdzinot ar budžetu kārtējam gadam</w:t>
            </w:r>
          </w:p>
        </w:tc>
        <w:tc>
          <w:tcPr>
            <w:tcW w:w="1473" w:type="dxa"/>
            <w:tcBorders>
              <w:top w:val="outset" w:sz="6" w:space="0" w:color="000000"/>
              <w:left w:val="outset" w:sz="6" w:space="0" w:color="000000"/>
              <w:bottom w:val="outset" w:sz="6" w:space="0" w:color="000000"/>
              <w:right w:val="outset" w:sz="6" w:space="0" w:color="000000"/>
            </w:tcBorders>
            <w:vAlign w:val="center"/>
          </w:tcPr>
          <w:p w:rsidR="0083551B" w:rsidRPr="00182048" w:rsidRDefault="0083551B" w:rsidP="00B913F6">
            <w:pPr>
              <w:spacing w:before="100" w:beforeAutospacing="1" w:after="100" w:afterAutospacing="1"/>
              <w:jc w:val="center"/>
              <w:rPr>
                <w:sz w:val="28"/>
                <w:szCs w:val="28"/>
                <w:lang w:val="lv-LV"/>
              </w:rPr>
            </w:pPr>
            <w:r w:rsidRPr="00182048">
              <w:rPr>
                <w:sz w:val="28"/>
                <w:szCs w:val="28"/>
                <w:lang w:val="lv-LV"/>
              </w:rPr>
              <w:t>Izmaiņas, salīdzinot ar kārtējo gadu</w:t>
            </w:r>
          </w:p>
        </w:tc>
        <w:tc>
          <w:tcPr>
            <w:tcW w:w="1477" w:type="dxa"/>
            <w:tcBorders>
              <w:top w:val="outset" w:sz="6" w:space="0" w:color="000000"/>
              <w:left w:val="outset" w:sz="6" w:space="0" w:color="000000"/>
              <w:bottom w:val="outset" w:sz="6" w:space="0" w:color="000000"/>
              <w:right w:val="outset" w:sz="6" w:space="0" w:color="000000"/>
            </w:tcBorders>
            <w:vAlign w:val="center"/>
          </w:tcPr>
          <w:p w:rsidR="0083551B" w:rsidRPr="00182048" w:rsidRDefault="0083551B" w:rsidP="00B913F6">
            <w:pPr>
              <w:spacing w:before="100" w:beforeAutospacing="1" w:after="100" w:afterAutospacing="1"/>
              <w:jc w:val="center"/>
              <w:rPr>
                <w:sz w:val="28"/>
                <w:szCs w:val="28"/>
                <w:lang w:val="lv-LV"/>
              </w:rPr>
            </w:pPr>
            <w:r w:rsidRPr="00182048">
              <w:rPr>
                <w:sz w:val="28"/>
                <w:szCs w:val="28"/>
                <w:lang w:val="lv-LV"/>
              </w:rPr>
              <w:t>Izmaiņas, salīdzinot ar kārtējo gadu</w:t>
            </w:r>
          </w:p>
        </w:tc>
        <w:tc>
          <w:tcPr>
            <w:tcW w:w="1486" w:type="dxa"/>
            <w:tcBorders>
              <w:top w:val="outset" w:sz="6" w:space="0" w:color="000000"/>
              <w:left w:val="outset" w:sz="6" w:space="0" w:color="000000"/>
              <w:bottom w:val="outset" w:sz="6" w:space="0" w:color="000000"/>
            </w:tcBorders>
            <w:vAlign w:val="center"/>
          </w:tcPr>
          <w:p w:rsidR="0083551B" w:rsidRPr="00182048" w:rsidRDefault="0083551B" w:rsidP="00B913F6">
            <w:pPr>
              <w:spacing w:before="100" w:beforeAutospacing="1" w:after="100" w:afterAutospacing="1"/>
              <w:jc w:val="center"/>
              <w:rPr>
                <w:sz w:val="28"/>
                <w:szCs w:val="28"/>
                <w:lang w:val="lv-LV"/>
              </w:rPr>
            </w:pPr>
            <w:r w:rsidRPr="00182048">
              <w:rPr>
                <w:sz w:val="28"/>
                <w:szCs w:val="28"/>
                <w:lang w:val="lv-LV"/>
              </w:rPr>
              <w:t>Izmaiņas, salīdzinot ar kārtējo gadu</w:t>
            </w:r>
          </w:p>
        </w:tc>
      </w:tr>
      <w:tr w:rsidR="0083551B"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2282" w:type="dxa"/>
            <w:gridSpan w:val="3"/>
            <w:tcBorders>
              <w:top w:val="outset" w:sz="6" w:space="0" w:color="000000"/>
              <w:bottom w:val="single" w:sz="4" w:space="0" w:color="auto"/>
              <w:right w:val="outset" w:sz="6" w:space="0" w:color="000000"/>
            </w:tcBorders>
            <w:vAlign w:val="center"/>
          </w:tcPr>
          <w:p w:rsidR="0083551B" w:rsidRPr="003A31D5" w:rsidRDefault="0083551B" w:rsidP="00B913F6">
            <w:pPr>
              <w:spacing w:before="100" w:beforeAutospacing="1" w:after="100" w:afterAutospacing="1"/>
              <w:jc w:val="center"/>
              <w:rPr>
                <w:sz w:val="28"/>
                <w:szCs w:val="28"/>
                <w:lang w:val="lv-LV"/>
              </w:rPr>
            </w:pPr>
            <w:r w:rsidRPr="003A31D5">
              <w:rPr>
                <w:sz w:val="28"/>
                <w:szCs w:val="28"/>
                <w:lang w:val="lv-LV"/>
              </w:rPr>
              <w:t>1</w:t>
            </w:r>
          </w:p>
        </w:tc>
        <w:tc>
          <w:tcPr>
            <w:tcW w:w="1234" w:type="dxa"/>
            <w:tcBorders>
              <w:top w:val="outset" w:sz="6" w:space="0" w:color="000000"/>
              <w:left w:val="outset" w:sz="6" w:space="0" w:color="000000"/>
              <w:bottom w:val="outset" w:sz="6" w:space="0" w:color="000000"/>
              <w:right w:val="outset" w:sz="6" w:space="0" w:color="000000"/>
            </w:tcBorders>
            <w:vAlign w:val="center"/>
          </w:tcPr>
          <w:p w:rsidR="0083551B" w:rsidRPr="00182048" w:rsidRDefault="0083551B" w:rsidP="00B913F6">
            <w:pPr>
              <w:spacing w:before="100" w:beforeAutospacing="1" w:after="100" w:afterAutospacing="1"/>
              <w:jc w:val="center"/>
              <w:rPr>
                <w:sz w:val="28"/>
                <w:szCs w:val="28"/>
                <w:lang w:val="lv-LV"/>
              </w:rPr>
            </w:pPr>
            <w:r w:rsidRPr="00182048">
              <w:rPr>
                <w:sz w:val="28"/>
                <w:szCs w:val="28"/>
                <w:lang w:val="lv-LV"/>
              </w:rPr>
              <w:t>2</w:t>
            </w:r>
          </w:p>
        </w:tc>
        <w:tc>
          <w:tcPr>
            <w:tcW w:w="1149" w:type="dxa"/>
            <w:tcBorders>
              <w:top w:val="outset" w:sz="6" w:space="0" w:color="000000"/>
              <w:left w:val="outset" w:sz="6" w:space="0" w:color="000000"/>
              <w:bottom w:val="outset" w:sz="6" w:space="0" w:color="000000"/>
              <w:right w:val="outset" w:sz="6" w:space="0" w:color="000000"/>
            </w:tcBorders>
            <w:vAlign w:val="center"/>
          </w:tcPr>
          <w:p w:rsidR="0083551B" w:rsidRPr="00182048" w:rsidRDefault="0083551B" w:rsidP="00B913F6">
            <w:pPr>
              <w:spacing w:before="100" w:beforeAutospacing="1" w:after="100" w:afterAutospacing="1"/>
              <w:jc w:val="center"/>
              <w:rPr>
                <w:sz w:val="28"/>
                <w:szCs w:val="28"/>
                <w:lang w:val="lv-LV"/>
              </w:rPr>
            </w:pPr>
            <w:r w:rsidRPr="00182048">
              <w:rPr>
                <w:sz w:val="28"/>
                <w:szCs w:val="28"/>
                <w:lang w:val="lv-LV"/>
              </w:rPr>
              <w:t>3</w:t>
            </w:r>
          </w:p>
        </w:tc>
        <w:tc>
          <w:tcPr>
            <w:tcW w:w="1473" w:type="dxa"/>
            <w:tcBorders>
              <w:top w:val="outset" w:sz="6" w:space="0" w:color="000000"/>
              <w:left w:val="outset" w:sz="6" w:space="0" w:color="000000"/>
              <w:bottom w:val="outset" w:sz="6" w:space="0" w:color="000000"/>
              <w:right w:val="outset" w:sz="6" w:space="0" w:color="000000"/>
            </w:tcBorders>
            <w:vAlign w:val="center"/>
          </w:tcPr>
          <w:p w:rsidR="0083551B" w:rsidRPr="00182048" w:rsidRDefault="0083551B" w:rsidP="00B913F6">
            <w:pPr>
              <w:spacing w:before="100" w:beforeAutospacing="1" w:after="100" w:afterAutospacing="1"/>
              <w:jc w:val="center"/>
              <w:rPr>
                <w:sz w:val="28"/>
                <w:szCs w:val="28"/>
                <w:lang w:val="lv-LV"/>
              </w:rPr>
            </w:pPr>
            <w:r w:rsidRPr="00182048">
              <w:rPr>
                <w:sz w:val="28"/>
                <w:szCs w:val="28"/>
                <w:lang w:val="lv-LV"/>
              </w:rPr>
              <w:t>4</w:t>
            </w:r>
          </w:p>
        </w:tc>
        <w:tc>
          <w:tcPr>
            <w:tcW w:w="1477" w:type="dxa"/>
            <w:tcBorders>
              <w:top w:val="outset" w:sz="6" w:space="0" w:color="000000"/>
              <w:left w:val="outset" w:sz="6" w:space="0" w:color="000000"/>
              <w:bottom w:val="outset" w:sz="6" w:space="0" w:color="000000"/>
              <w:right w:val="outset" w:sz="6" w:space="0" w:color="000000"/>
            </w:tcBorders>
            <w:vAlign w:val="center"/>
          </w:tcPr>
          <w:p w:rsidR="0083551B" w:rsidRPr="00182048" w:rsidRDefault="0083551B" w:rsidP="00B913F6">
            <w:pPr>
              <w:spacing w:before="100" w:beforeAutospacing="1" w:after="100" w:afterAutospacing="1"/>
              <w:jc w:val="center"/>
              <w:rPr>
                <w:sz w:val="28"/>
                <w:szCs w:val="28"/>
                <w:lang w:val="lv-LV"/>
              </w:rPr>
            </w:pPr>
            <w:r w:rsidRPr="00182048">
              <w:rPr>
                <w:sz w:val="28"/>
                <w:szCs w:val="28"/>
                <w:lang w:val="lv-LV"/>
              </w:rPr>
              <w:t>5</w:t>
            </w:r>
          </w:p>
        </w:tc>
        <w:tc>
          <w:tcPr>
            <w:tcW w:w="1486" w:type="dxa"/>
            <w:tcBorders>
              <w:top w:val="outset" w:sz="6" w:space="0" w:color="000000"/>
              <w:left w:val="outset" w:sz="6" w:space="0" w:color="000000"/>
              <w:bottom w:val="outset" w:sz="6" w:space="0" w:color="000000"/>
            </w:tcBorders>
            <w:vAlign w:val="center"/>
          </w:tcPr>
          <w:p w:rsidR="0083551B" w:rsidRPr="00182048" w:rsidRDefault="0083551B" w:rsidP="00B913F6">
            <w:pPr>
              <w:spacing w:before="100" w:beforeAutospacing="1" w:after="100" w:afterAutospacing="1"/>
              <w:jc w:val="center"/>
              <w:rPr>
                <w:sz w:val="28"/>
                <w:szCs w:val="28"/>
                <w:lang w:val="lv-LV"/>
              </w:rPr>
            </w:pPr>
            <w:r w:rsidRPr="00182048">
              <w:rPr>
                <w:sz w:val="28"/>
                <w:szCs w:val="28"/>
                <w:lang w:val="lv-LV"/>
              </w:rPr>
              <w:t>6</w:t>
            </w:r>
          </w:p>
        </w:tc>
      </w:tr>
      <w:tr w:rsidR="007123AD"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single" w:sz="4" w:space="0" w:color="auto"/>
              <w:bottom w:val="outset" w:sz="6" w:space="0" w:color="000000"/>
              <w:right w:val="single" w:sz="4" w:space="0" w:color="auto"/>
            </w:tcBorders>
          </w:tcPr>
          <w:p w:rsidR="007123AD" w:rsidRPr="003A31D5" w:rsidRDefault="007123AD" w:rsidP="00B913F6">
            <w:pPr>
              <w:spacing w:before="100" w:beforeAutospacing="1" w:after="100" w:afterAutospacing="1"/>
              <w:rPr>
                <w:sz w:val="28"/>
                <w:szCs w:val="28"/>
                <w:lang w:val="lv-LV"/>
              </w:rPr>
            </w:pPr>
            <w:r w:rsidRPr="003A31D5">
              <w:rPr>
                <w:sz w:val="28"/>
                <w:szCs w:val="28"/>
                <w:lang w:val="lv-LV"/>
              </w:rPr>
              <w:t xml:space="preserve"> 1. </w:t>
            </w:r>
          </w:p>
        </w:tc>
        <w:tc>
          <w:tcPr>
            <w:tcW w:w="1802" w:type="dxa"/>
            <w:gridSpan w:val="2"/>
            <w:tcBorders>
              <w:top w:val="single" w:sz="4" w:space="0" w:color="auto"/>
              <w:left w:val="single" w:sz="4" w:space="0" w:color="auto"/>
              <w:bottom w:val="outset" w:sz="6" w:space="0" w:color="000000"/>
              <w:right w:val="outset" w:sz="6" w:space="0" w:color="000000"/>
            </w:tcBorders>
          </w:tcPr>
          <w:p w:rsidR="007123AD" w:rsidRPr="003A31D5" w:rsidRDefault="007123AD" w:rsidP="00B913F6">
            <w:pPr>
              <w:spacing w:before="100" w:beforeAutospacing="1" w:after="100" w:afterAutospacing="1"/>
              <w:rPr>
                <w:sz w:val="28"/>
                <w:szCs w:val="28"/>
                <w:lang w:val="lv-LV"/>
              </w:rPr>
            </w:pPr>
            <w:r w:rsidRPr="003A31D5">
              <w:rPr>
                <w:sz w:val="28"/>
                <w:szCs w:val="28"/>
                <w:lang w:val="lv-LV"/>
              </w:rPr>
              <w:t>Budžeta ieņēmumi</w:t>
            </w:r>
          </w:p>
        </w:tc>
        <w:tc>
          <w:tcPr>
            <w:tcW w:w="1234" w:type="dxa"/>
            <w:tcBorders>
              <w:top w:val="outset" w:sz="6" w:space="0" w:color="000000"/>
              <w:left w:val="outset" w:sz="6" w:space="0" w:color="000000"/>
              <w:bottom w:val="outset" w:sz="6" w:space="0" w:color="000000"/>
              <w:right w:val="outset" w:sz="6" w:space="0" w:color="000000"/>
            </w:tcBorders>
          </w:tcPr>
          <w:p w:rsidR="007123AD" w:rsidRPr="00181A09" w:rsidRDefault="007123AD" w:rsidP="0008261F">
            <w:pPr>
              <w:spacing w:line="360" w:lineRule="auto"/>
              <w:jc w:val="center"/>
              <w:rPr>
                <w:sz w:val="28"/>
                <w:szCs w:val="28"/>
                <w:lang w:val="lv-LV"/>
              </w:rPr>
            </w:pPr>
            <w:r w:rsidRPr="00181A09">
              <w:rPr>
                <w:sz w:val="28"/>
                <w:szCs w:val="28"/>
                <w:lang w:val="lv-LV"/>
              </w:rPr>
              <w:t>0</w:t>
            </w:r>
          </w:p>
        </w:tc>
        <w:tc>
          <w:tcPr>
            <w:tcW w:w="1149" w:type="dxa"/>
            <w:tcBorders>
              <w:top w:val="outset" w:sz="6" w:space="0" w:color="000000"/>
              <w:left w:val="outset" w:sz="6" w:space="0" w:color="000000"/>
              <w:bottom w:val="outset" w:sz="6" w:space="0" w:color="000000"/>
              <w:right w:val="outset" w:sz="6" w:space="0" w:color="000000"/>
            </w:tcBorders>
          </w:tcPr>
          <w:p w:rsidR="007123AD" w:rsidRPr="003A1F3A" w:rsidRDefault="00A22295" w:rsidP="00A22295">
            <w:pPr>
              <w:spacing w:line="360" w:lineRule="auto"/>
              <w:jc w:val="center"/>
              <w:rPr>
                <w:sz w:val="28"/>
                <w:szCs w:val="28"/>
                <w:lang w:val="lv-LV"/>
              </w:rPr>
            </w:pPr>
            <w:r w:rsidRPr="003A1F3A">
              <w:rPr>
                <w:sz w:val="28"/>
                <w:szCs w:val="28"/>
                <w:lang w:val="lv-LV"/>
              </w:rPr>
              <w:t>29</w:t>
            </w:r>
            <w:r w:rsidR="007123AD" w:rsidRPr="003A1F3A">
              <w:rPr>
                <w:sz w:val="28"/>
                <w:szCs w:val="28"/>
                <w:lang w:val="lv-LV"/>
              </w:rPr>
              <w:t>,</w:t>
            </w:r>
            <w:r w:rsidRPr="003A1F3A">
              <w:rPr>
                <w:sz w:val="28"/>
                <w:szCs w:val="28"/>
                <w:lang w:val="lv-LV"/>
              </w:rPr>
              <w:t>6</w:t>
            </w:r>
          </w:p>
        </w:tc>
        <w:tc>
          <w:tcPr>
            <w:tcW w:w="1473" w:type="dxa"/>
            <w:tcBorders>
              <w:top w:val="outset" w:sz="6" w:space="0" w:color="000000"/>
              <w:left w:val="outset" w:sz="6" w:space="0" w:color="000000"/>
              <w:bottom w:val="outset" w:sz="6" w:space="0" w:color="000000"/>
              <w:right w:val="outset" w:sz="6" w:space="0" w:color="000000"/>
            </w:tcBorders>
          </w:tcPr>
          <w:p w:rsidR="007123AD" w:rsidRPr="003A1F3A" w:rsidRDefault="00A22295" w:rsidP="00A22295">
            <w:pPr>
              <w:spacing w:line="360" w:lineRule="auto"/>
              <w:jc w:val="center"/>
              <w:rPr>
                <w:sz w:val="28"/>
                <w:szCs w:val="28"/>
                <w:lang w:val="lv-LV"/>
              </w:rPr>
            </w:pPr>
            <w:r w:rsidRPr="003A1F3A">
              <w:rPr>
                <w:sz w:val="28"/>
                <w:szCs w:val="28"/>
                <w:lang w:val="lv-LV"/>
              </w:rPr>
              <w:t>241</w:t>
            </w:r>
            <w:r w:rsidR="007123AD" w:rsidRPr="003A1F3A">
              <w:rPr>
                <w:sz w:val="28"/>
                <w:szCs w:val="28"/>
                <w:lang w:val="lv-LV"/>
              </w:rPr>
              <w:t>,</w:t>
            </w:r>
            <w:r w:rsidRPr="003A1F3A">
              <w:rPr>
                <w:sz w:val="28"/>
                <w:szCs w:val="28"/>
                <w:lang w:val="lv-LV"/>
              </w:rPr>
              <w:t>3</w:t>
            </w:r>
          </w:p>
        </w:tc>
        <w:tc>
          <w:tcPr>
            <w:tcW w:w="1477" w:type="dxa"/>
            <w:tcBorders>
              <w:top w:val="outset" w:sz="6" w:space="0" w:color="000000"/>
              <w:left w:val="outset" w:sz="6" w:space="0" w:color="000000"/>
              <w:bottom w:val="outset" w:sz="6" w:space="0" w:color="000000"/>
              <w:right w:val="outset" w:sz="6" w:space="0" w:color="000000"/>
            </w:tcBorders>
          </w:tcPr>
          <w:p w:rsidR="007123AD" w:rsidRPr="003A1F3A" w:rsidRDefault="007123AD" w:rsidP="00CD15E8">
            <w:pPr>
              <w:spacing w:line="360" w:lineRule="auto"/>
              <w:jc w:val="center"/>
              <w:rPr>
                <w:sz w:val="28"/>
                <w:szCs w:val="28"/>
                <w:lang w:val="lv-LV"/>
              </w:rPr>
            </w:pPr>
            <w:r w:rsidRPr="003A1F3A">
              <w:rPr>
                <w:sz w:val="28"/>
                <w:szCs w:val="28"/>
                <w:lang w:val="lv-LV"/>
              </w:rPr>
              <w:t>0</w:t>
            </w:r>
          </w:p>
        </w:tc>
        <w:tc>
          <w:tcPr>
            <w:tcW w:w="1486" w:type="dxa"/>
            <w:tcBorders>
              <w:top w:val="outset" w:sz="6" w:space="0" w:color="000000"/>
              <w:left w:val="outset" w:sz="6" w:space="0" w:color="000000"/>
              <w:bottom w:val="outset" w:sz="6" w:space="0" w:color="000000"/>
            </w:tcBorders>
          </w:tcPr>
          <w:p w:rsidR="007123AD" w:rsidRPr="003A1F3A" w:rsidRDefault="00CC2304" w:rsidP="0008261F">
            <w:pPr>
              <w:spacing w:line="360" w:lineRule="auto"/>
              <w:jc w:val="center"/>
              <w:rPr>
                <w:sz w:val="28"/>
                <w:szCs w:val="28"/>
                <w:lang w:val="lv-LV"/>
              </w:rPr>
            </w:pPr>
            <w:r w:rsidRPr="003A1F3A">
              <w:rPr>
                <w:sz w:val="28"/>
                <w:szCs w:val="28"/>
                <w:lang w:val="lv-LV"/>
              </w:rPr>
              <w:t>0</w:t>
            </w:r>
          </w:p>
        </w:tc>
      </w:tr>
      <w:tr w:rsidR="00A22295"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A22295" w:rsidRPr="003A31D5" w:rsidRDefault="00A22295" w:rsidP="00B913F6">
            <w:pPr>
              <w:spacing w:before="100" w:beforeAutospacing="1" w:after="100" w:afterAutospacing="1"/>
              <w:rPr>
                <w:sz w:val="28"/>
                <w:szCs w:val="28"/>
                <w:lang w:val="lv-LV"/>
              </w:rPr>
            </w:pPr>
            <w:r w:rsidRPr="003A31D5">
              <w:rPr>
                <w:sz w:val="28"/>
                <w:szCs w:val="28"/>
                <w:lang w:val="lv-LV"/>
              </w:rPr>
              <w:t xml:space="preserve"> 1.1. </w:t>
            </w:r>
          </w:p>
        </w:tc>
        <w:tc>
          <w:tcPr>
            <w:tcW w:w="1802" w:type="dxa"/>
            <w:gridSpan w:val="2"/>
            <w:tcBorders>
              <w:top w:val="outset" w:sz="6" w:space="0" w:color="000000"/>
              <w:left w:val="single" w:sz="4" w:space="0" w:color="auto"/>
              <w:bottom w:val="outset" w:sz="6" w:space="0" w:color="000000"/>
              <w:right w:val="outset" w:sz="6" w:space="0" w:color="000000"/>
            </w:tcBorders>
          </w:tcPr>
          <w:p w:rsidR="00A22295" w:rsidRPr="003A31D5" w:rsidRDefault="00A22295" w:rsidP="00B913F6">
            <w:pPr>
              <w:spacing w:before="100" w:beforeAutospacing="1" w:after="100" w:afterAutospacing="1"/>
              <w:rPr>
                <w:sz w:val="28"/>
                <w:szCs w:val="28"/>
                <w:lang w:val="lv-LV"/>
              </w:rPr>
            </w:pPr>
            <w:r w:rsidRPr="003A31D5">
              <w:rPr>
                <w:sz w:val="28"/>
                <w:szCs w:val="28"/>
                <w:lang w:val="lv-LV"/>
              </w:rPr>
              <w:t>valsts pamatbudžets, tai skaitā ieņēmumi no maksas pakalpojumiem un citi pašu ieņēmumi</w:t>
            </w:r>
          </w:p>
        </w:tc>
        <w:tc>
          <w:tcPr>
            <w:tcW w:w="1234" w:type="dxa"/>
            <w:tcBorders>
              <w:top w:val="outset" w:sz="6" w:space="0" w:color="000000"/>
              <w:left w:val="outset" w:sz="6" w:space="0" w:color="000000"/>
              <w:bottom w:val="outset" w:sz="6" w:space="0" w:color="000000"/>
              <w:right w:val="outset" w:sz="6" w:space="0" w:color="000000"/>
            </w:tcBorders>
          </w:tcPr>
          <w:p w:rsidR="00A22295" w:rsidRPr="00181A09" w:rsidRDefault="00A22295" w:rsidP="0008261F">
            <w:pPr>
              <w:spacing w:line="360" w:lineRule="auto"/>
              <w:jc w:val="center"/>
              <w:rPr>
                <w:sz w:val="28"/>
                <w:szCs w:val="28"/>
                <w:lang w:val="lv-LV"/>
              </w:rPr>
            </w:pPr>
            <w:r w:rsidRPr="00181A09">
              <w:rPr>
                <w:sz w:val="28"/>
                <w:szCs w:val="28"/>
                <w:lang w:val="lv-LV"/>
              </w:rPr>
              <w:t>0</w:t>
            </w:r>
          </w:p>
        </w:tc>
        <w:tc>
          <w:tcPr>
            <w:tcW w:w="1149" w:type="dxa"/>
            <w:tcBorders>
              <w:top w:val="outset" w:sz="6" w:space="0" w:color="000000"/>
              <w:left w:val="outset" w:sz="6" w:space="0" w:color="000000"/>
              <w:bottom w:val="outset" w:sz="6" w:space="0" w:color="000000"/>
              <w:right w:val="outset" w:sz="6" w:space="0" w:color="000000"/>
            </w:tcBorders>
          </w:tcPr>
          <w:p w:rsidR="00A22295" w:rsidRPr="003A1F3A" w:rsidRDefault="00A22295" w:rsidP="007D3244">
            <w:pPr>
              <w:spacing w:line="360" w:lineRule="auto"/>
              <w:jc w:val="center"/>
              <w:rPr>
                <w:sz w:val="28"/>
                <w:szCs w:val="28"/>
                <w:lang w:val="lv-LV"/>
              </w:rPr>
            </w:pPr>
            <w:r w:rsidRPr="003A1F3A">
              <w:rPr>
                <w:sz w:val="28"/>
                <w:szCs w:val="28"/>
                <w:lang w:val="lv-LV"/>
              </w:rPr>
              <w:t>29,6</w:t>
            </w:r>
          </w:p>
        </w:tc>
        <w:tc>
          <w:tcPr>
            <w:tcW w:w="1473" w:type="dxa"/>
            <w:tcBorders>
              <w:top w:val="outset" w:sz="6" w:space="0" w:color="000000"/>
              <w:left w:val="outset" w:sz="6" w:space="0" w:color="000000"/>
              <w:bottom w:val="outset" w:sz="6" w:space="0" w:color="000000"/>
              <w:right w:val="outset" w:sz="6" w:space="0" w:color="000000"/>
            </w:tcBorders>
          </w:tcPr>
          <w:p w:rsidR="00A22295" w:rsidRPr="003A1F3A" w:rsidRDefault="00A22295" w:rsidP="007D3244">
            <w:pPr>
              <w:spacing w:line="360" w:lineRule="auto"/>
              <w:jc w:val="center"/>
              <w:rPr>
                <w:sz w:val="28"/>
                <w:szCs w:val="28"/>
                <w:lang w:val="lv-LV"/>
              </w:rPr>
            </w:pPr>
            <w:r w:rsidRPr="003A1F3A">
              <w:rPr>
                <w:sz w:val="28"/>
                <w:szCs w:val="28"/>
                <w:lang w:val="lv-LV"/>
              </w:rPr>
              <w:t>241,3</w:t>
            </w:r>
          </w:p>
        </w:tc>
        <w:tc>
          <w:tcPr>
            <w:tcW w:w="1477" w:type="dxa"/>
            <w:tcBorders>
              <w:top w:val="outset" w:sz="6" w:space="0" w:color="000000"/>
              <w:left w:val="outset" w:sz="6" w:space="0" w:color="000000"/>
              <w:bottom w:val="outset" w:sz="6" w:space="0" w:color="000000"/>
              <w:right w:val="outset" w:sz="6" w:space="0" w:color="000000"/>
            </w:tcBorders>
          </w:tcPr>
          <w:p w:rsidR="00A22295" w:rsidRPr="003A1F3A" w:rsidRDefault="00A22295" w:rsidP="00CF6AAB">
            <w:pPr>
              <w:spacing w:line="360" w:lineRule="auto"/>
              <w:jc w:val="center"/>
              <w:rPr>
                <w:sz w:val="28"/>
                <w:szCs w:val="28"/>
                <w:lang w:val="lv-LV"/>
              </w:rPr>
            </w:pPr>
            <w:r w:rsidRPr="003A1F3A">
              <w:rPr>
                <w:sz w:val="28"/>
                <w:szCs w:val="28"/>
                <w:lang w:val="lv-LV"/>
              </w:rPr>
              <w:t>0</w:t>
            </w:r>
          </w:p>
        </w:tc>
        <w:tc>
          <w:tcPr>
            <w:tcW w:w="1486" w:type="dxa"/>
            <w:tcBorders>
              <w:top w:val="outset" w:sz="6" w:space="0" w:color="000000"/>
              <w:left w:val="outset" w:sz="6" w:space="0" w:color="000000"/>
              <w:bottom w:val="outset" w:sz="6" w:space="0" w:color="000000"/>
            </w:tcBorders>
          </w:tcPr>
          <w:p w:rsidR="00A22295" w:rsidRPr="003A1F3A" w:rsidRDefault="00A22295" w:rsidP="00CF6AAB">
            <w:pPr>
              <w:spacing w:line="360" w:lineRule="auto"/>
              <w:jc w:val="center"/>
              <w:rPr>
                <w:sz w:val="28"/>
                <w:szCs w:val="28"/>
                <w:lang w:val="lv-LV"/>
              </w:rPr>
            </w:pPr>
            <w:r w:rsidRPr="003A1F3A">
              <w:rPr>
                <w:sz w:val="28"/>
                <w:szCs w:val="28"/>
                <w:lang w:val="lv-LV"/>
              </w:rPr>
              <w:t>0</w:t>
            </w:r>
          </w:p>
        </w:tc>
      </w:tr>
      <w:tr w:rsidR="00B469F5"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B469F5" w:rsidRPr="003A31D5" w:rsidRDefault="00B469F5" w:rsidP="00B913F6">
            <w:pPr>
              <w:spacing w:before="100" w:beforeAutospacing="1" w:after="100" w:afterAutospacing="1"/>
              <w:rPr>
                <w:sz w:val="28"/>
                <w:szCs w:val="28"/>
                <w:lang w:val="lv-LV"/>
              </w:rPr>
            </w:pPr>
            <w:r w:rsidRPr="003A31D5">
              <w:rPr>
                <w:sz w:val="28"/>
                <w:szCs w:val="28"/>
                <w:lang w:val="lv-LV"/>
              </w:rPr>
              <w:t xml:space="preserve"> 1.2. </w:t>
            </w:r>
          </w:p>
        </w:tc>
        <w:tc>
          <w:tcPr>
            <w:tcW w:w="1802" w:type="dxa"/>
            <w:gridSpan w:val="2"/>
            <w:tcBorders>
              <w:top w:val="outset" w:sz="6" w:space="0" w:color="000000"/>
              <w:left w:val="single" w:sz="4" w:space="0" w:color="auto"/>
              <w:bottom w:val="outset" w:sz="6" w:space="0" w:color="000000"/>
              <w:right w:val="outset" w:sz="6" w:space="0" w:color="000000"/>
            </w:tcBorders>
          </w:tcPr>
          <w:p w:rsidR="00B469F5" w:rsidRPr="003A31D5" w:rsidRDefault="00B469F5" w:rsidP="00B913F6">
            <w:pPr>
              <w:spacing w:before="100" w:beforeAutospacing="1" w:after="100" w:afterAutospacing="1"/>
              <w:rPr>
                <w:sz w:val="28"/>
                <w:szCs w:val="28"/>
                <w:lang w:val="lv-LV"/>
              </w:rPr>
            </w:pPr>
            <w:r w:rsidRPr="003A31D5">
              <w:rPr>
                <w:sz w:val="28"/>
                <w:szCs w:val="28"/>
                <w:lang w:val="lv-LV"/>
              </w:rPr>
              <w:t>valsts speciālais budžets</w:t>
            </w:r>
          </w:p>
        </w:tc>
        <w:tc>
          <w:tcPr>
            <w:tcW w:w="1234" w:type="dxa"/>
            <w:tcBorders>
              <w:top w:val="outset" w:sz="6" w:space="0" w:color="000000"/>
              <w:left w:val="outset" w:sz="6" w:space="0" w:color="000000"/>
              <w:bottom w:val="outset" w:sz="6" w:space="0" w:color="000000"/>
              <w:right w:val="outset" w:sz="6" w:space="0" w:color="000000"/>
            </w:tcBorders>
          </w:tcPr>
          <w:p w:rsidR="00B469F5" w:rsidRPr="00550968" w:rsidRDefault="00B469F5" w:rsidP="0008261F">
            <w:pPr>
              <w:spacing w:line="360" w:lineRule="auto"/>
              <w:jc w:val="center"/>
              <w:rPr>
                <w:sz w:val="28"/>
                <w:szCs w:val="28"/>
                <w:highlight w:val="yellow"/>
                <w:lang w:val="lv-LV"/>
              </w:rPr>
            </w:pPr>
          </w:p>
        </w:tc>
        <w:tc>
          <w:tcPr>
            <w:tcW w:w="1149" w:type="dxa"/>
            <w:tcBorders>
              <w:top w:val="outset" w:sz="6" w:space="0" w:color="000000"/>
              <w:left w:val="outset" w:sz="6" w:space="0" w:color="000000"/>
              <w:bottom w:val="outset" w:sz="6" w:space="0" w:color="000000"/>
              <w:right w:val="outset" w:sz="6" w:space="0" w:color="000000"/>
            </w:tcBorders>
          </w:tcPr>
          <w:p w:rsidR="00B469F5" w:rsidRPr="003A1F3A" w:rsidRDefault="00B469F5" w:rsidP="0008261F">
            <w:pPr>
              <w:spacing w:line="360" w:lineRule="auto"/>
              <w:jc w:val="center"/>
              <w:rPr>
                <w:sz w:val="28"/>
                <w:szCs w:val="28"/>
                <w:lang w:val="lv-LV"/>
              </w:rPr>
            </w:pPr>
          </w:p>
        </w:tc>
        <w:tc>
          <w:tcPr>
            <w:tcW w:w="1473" w:type="dxa"/>
            <w:tcBorders>
              <w:top w:val="outset" w:sz="6" w:space="0" w:color="000000"/>
              <w:left w:val="outset" w:sz="6" w:space="0" w:color="000000"/>
              <w:bottom w:val="outset" w:sz="6" w:space="0" w:color="000000"/>
              <w:right w:val="outset" w:sz="6" w:space="0" w:color="000000"/>
            </w:tcBorders>
          </w:tcPr>
          <w:p w:rsidR="00B469F5" w:rsidRPr="003A1F3A" w:rsidRDefault="00B469F5" w:rsidP="0008261F">
            <w:pPr>
              <w:spacing w:line="360" w:lineRule="auto"/>
              <w:jc w:val="center"/>
              <w:rPr>
                <w:sz w:val="28"/>
                <w:szCs w:val="28"/>
                <w:lang w:val="lv-LV"/>
              </w:rPr>
            </w:pPr>
          </w:p>
        </w:tc>
        <w:tc>
          <w:tcPr>
            <w:tcW w:w="1477" w:type="dxa"/>
            <w:tcBorders>
              <w:top w:val="outset" w:sz="6" w:space="0" w:color="000000"/>
              <w:left w:val="outset" w:sz="6" w:space="0" w:color="000000"/>
              <w:bottom w:val="outset" w:sz="6" w:space="0" w:color="000000"/>
              <w:right w:val="outset" w:sz="6" w:space="0" w:color="000000"/>
            </w:tcBorders>
          </w:tcPr>
          <w:p w:rsidR="00B469F5" w:rsidRPr="003A1F3A" w:rsidRDefault="00B469F5" w:rsidP="0008261F">
            <w:pPr>
              <w:spacing w:line="360" w:lineRule="auto"/>
              <w:jc w:val="center"/>
              <w:rPr>
                <w:sz w:val="28"/>
                <w:szCs w:val="28"/>
                <w:lang w:val="lv-LV"/>
              </w:rPr>
            </w:pPr>
          </w:p>
        </w:tc>
        <w:tc>
          <w:tcPr>
            <w:tcW w:w="1486" w:type="dxa"/>
            <w:tcBorders>
              <w:top w:val="outset" w:sz="6" w:space="0" w:color="000000"/>
              <w:left w:val="outset" w:sz="6" w:space="0" w:color="000000"/>
              <w:bottom w:val="outset" w:sz="6" w:space="0" w:color="000000"/>
            </w:tcBorders>
          </w:tcPr>
          <w:p w:rsidR="00B469F5" w:rsidRPr="003A1F3A" w:rsidRDefault="00B469F5" w:rsidP="0008261F">
            <w:pPr>
              <w:spacing w:line="360" w:lineRule="auto"/>
              <w:jc w:val="center"/>
              <w:rPr>
                <w:sz w:val="28"/>
                <w:szCs w:val="28"/>
                <w:lang w:val="lv-LV"/>
              </w:rPr>
            </w:pPr>
          </w:p>
        </w:tc>
      </w:tr>
      <w:tr w:rsidR="00B469F5"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B469F5" w:rsidRPr="003A31D5" w:rsidRDefault="00B469F5" w:rsidP="00B913F6">
            <w:pPr>
              <w:spacing w:before="100" w:beforeAutospacing="1" w:after="100" w:afterAutospacing="1"/>
              <w:rPr>
                <w:sz w:val="28"/>
                <w:szCs w:val="28"/>
                <w:lang w:val="lv-LV"/>
              </w:rPr>
            </w:pPr>
            <w:r w:rsidRPr="003A31D5">
              <w:rPr>
                <w:sz w:val="28"/>
                <w:szCs w:val="28"/>
                <w:lang w:val="lv-LV"/>
              </w:rPr>
              <w:t xml:space="preserve"> 1.3. </w:t>
            </w:r>
          </w:p>
        </w:tc>
        <w:tc>
          <w:tcPr>
            <w:tcW w:w="1802" w:type="dxa"/>
            <w:gridSpan w:val="2"/>
            <w:tcBorders>
              <w:top w:val="outset" w:sz="6" w:space="0" w:color="000000"/>
              <w:left w:val="single" w:sz="4" w:space="0" w:color="auto"/>
              <w:bottom w:val="outset" w:sz="6" w:space="0" w:color="000000"/>
              <w:right w:val="outset" w:sz="6" w:space="0" w:color="000000"/>
            </w:tcBorders>
          </w:tcPr>
          <w:p w:rsidR="00B469F5" w:rsidRPr="003A31D5" w:rsidRDefault="00B469F5" w:rsidP="00B913F6">
            <w:pPr>
              <w:spacing w:before="100" w:beforeAutospacing="1" w:after="100" w:afterAutospacing="1"/>
              <w:rPr>
                <w:sz w:val="28"/>
                <w:szCs w:val="28"/>
                <w:lang w:val="lv-LV"/>
              </w:rPr>
            </w:pPr>
            <w:r w:rsidRPr="003A31D5">
              <w:rPr>
                <w:sz w:val="28"/>
                <w:szCs w:val="28"/>
                <w:lang w:val="lv-LV"/>
              </w:rPr>
              <w:t>pašvaldību budžets</w:t>
            </w:r>
          </w:p>
        </w:tc>
        <w:tc>
          <w:tcPr>
            <w:tcW w:w="1234" w:type="dxa"/>
            <w:tcBorders>
              <w:top w:val="outset" w:sz="6" w:space="0" w:color="000000"/>
              <w:left w:val="outset" w:sz="6" w:space="0" w:color="000000"/>
              <w:bottom w:val="outset" w:sz="6" w:space="0" w:color="000000"/>
              <w:right w:val="outset" w:sz="6" w:space="0" w:color="000000"/>
            </w:tcBorders>
          </w:tcPr>
          <w:p w:rsidR="00B469F5" w:rsidRPr="00181A09" w:rsidRDefault="00B469F5" w:rsidP="0008261F">
            <w:pPr>
              <w:spacing w:line="360" w:lineRule="auto"/>
              <w:jc w:val="center"/>
              <w:rPr>
                <w:sz w:val="28"/>
                <w:szCs w:val="28"/>
                <w:lang w:val="lv-LV"/>
              </w:rPr>
            </w:pPr>
          </w:p>
        </w:tc>
        <w:tc>
          <w:tcPr>
            <w:tcW w:w="1149" w:type="dxa"/>
            <w:tcBorders>
              <w:top w:val="outset" w:sz="6" w:space="0" w:color="000000"/>
              <w:left w:val="outset" w:sz="6" w:space="0" w:color="000000"/>
              <w:bottom w:val="outset" w:sz="6" w:space="0" w:color="000000"/>
              <w:right w:val="outset" w:sz="6" w:space="0" w:color="000000"/>
            </w:tcBorders>
          </w:tcPr>
          <w:p w:rsidR="00B469F5" w:rsidRPr="003A1F3A" w:rsidRDefault="00B469F5" w:rsidP="0008261F">
            <w:pPr>
              <w:spacing w:line="360" w:lineRule="auto"/>
              <w:jc w:val="center"/>
              <w:rPr>
                <w:sz w:val="28"/>
                <w:szCs w:val="28"/>
                <w:lang w:val="lv-LV"/>
              </w:rPr>
            </w:pPr>
          </w:p>
        </w:tc>
        <w:tc>
          <w:tcPr>
            <w:tcW w:w="1473" w:type="dxa"/>
            <w:tcBorders>
              <w:top w:val="outset" w:sz="6" w:space="0" w:color="000000"/>
              <w:left w:val="outset" w:sz="6" w:space="0" w:color="000000"/>
              <w:bottom w:val="outset" w:sz="6" w:space="0" w:color="000000"/>
              <w:right w:val="outset" w:sz="6" w:space="0" w:color="000000"/>
            </w:tcBorders>
          </w:tcPr>
          <w:p w:rsidR="00B469F5" w:rsidRPr="003A1F3A" w:rsidRDefault="00B469F5" w:rsidP="0008261F">
            <w:pPr>
              <w:spacing w:line="360" w:lineRule="auto"/>
              <w:jc w:val="center"/>
              <w:rPr>
                <w:sz w:val="28"/>
                <w:szCs w:val="28"/>
                <w:lang w:val="lv-LV"/>
              </w:rPr>
            </w:pPr>
          </w:p>
        </w:tc>
        <w:tc>
          <w:tcPr>
            <w:tcW w:w="1477" w:type="dxa"/>
            <w:tcBorders>
              <w:top w:val="outset" w:sz="6" w:space="0" w:color="000000"/>
              <w:left w:val="outset" w:sz="6" w:space="0" w:color="000000"/>
              <w:bottom w:val="outset" w:sz="6" w:space="0" w:color="000000"/>
              <w:right w:val="outset" w:sz="6" w:space="0" w:color="000000"/>
            </w:tcBorders>
          </w:tcPr>
          <w:p w:rsidR="00B469F5" w:rsidRPr="003A1F3A" w:rsidRDefault="00B469F5" w:rsidP="0008261F">
            <w:pPr>
              <w:spacing w:line="360" w:lineRule="auto"/>
              <w:jc w:val="center"/>
              <w:rPr>
                <w:sz w:val="28"/>
                <w:szCs w:val="28"/>
                <w:lang w:val="lv-LV"/>
              </w:rPr>
            </w:pPr>
          </w:p>
        </w:tc>
        <w:tc>
          <w:tcPr>
            <w:tcW w:w="1486" w:type="dxa"/>
            <w:tcBorders>
              <w:top w:val="outset" w:sz="6" w:space="0" w:color="000000"/>
              <w:left w:val="outset" w:sz="6" w:space="0" w:color="000000"/>
              <w:bottom w:val="outset" w:sz="6" w:space="0" w:color="000000"/>
            </w:tcBorders>
          </w:tcPr>
          <w:p w:rsidR="00B469F5" w:rsidRPr="003A1F3A" w:rsidRDefault="00B469F5" w:rsidP="0008261F">
            <w:pPr>
              <w:spacing w:line="360" w:lineRule="auto"/>
              <w:jc w:val="center"/>
              <w:rPr>
                <w:sz w:val="28"/>
                <w:szCs w:val="28"/>
                <w:lang w:val="lv-LV"/>
              </w:rPr>
            </w:pPr>
          </w:p>
        </w:tc>
      </w:tr>
      <w:tr w:rsidR="00585A32"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585A32" w:rsidRPr="003A31D5" w:rsidRDefault="00585A32" w:rsidP="00B913F6">
            <w:pPr>
              <w:spacing w:before="100" w:beforeAutospacing="1" w:after="100" w:afterAutospacing="1"/>
              <w:rPr>
                <w:sz w:val="28"/>
                <w:szCs w:val="28"/>
                <w:lang w:val="lv-LV"/>
              </w:rPr>
            </w:pPr>
            <w:r w:rsidRPr="003A31D5">
              <w:rPr>
                <w:sz w:val="28"/>
                <w:szCs w:val="28"/>
                <w:lang w:val="lv-LV"/>
              </w:rPr>
              <w:t xml:space="preserve">2. </w:t>
            </w:r>
          </w:p>
        </w:tc>
        <w:tc>
          <w:tcPr>
            <w:tcW w:w="1802" w:type="dxa"/>
            <w:gridSpan w:val="2"/>
            <w:tcBorders>
              <w:top w:val="outset" w:sz="6" w:space="0" w:color="000000"/>
              <w:left w:val="single" w:sz="4" w:space="0" w:color="auto"/>
              <w:bottom w:val="outset" w:sz="6" w:space="0" w:color="000000"/>
              <w:right w:val="outset" w:sz="6" w:space="0" w:color="000000"/>
            </w:tcBorders>
          </w:tcPr>
          <w:p w:rsidR="00585A32" w:rsidRPr="003A31D5" w:rsidRDefault="00585A32" w:rsidP="00B913F6">
            <w:pPr>
              <w:spacing w:before="100" w:beforeAutospacing="1" w:after="100" w:afterAutospacing="1"/>
              <w:rPr>
                <w:sz w:val="28"/>
                <w:szCs w:val="28"/>
                <w:lang w:val="lv-LV"/>
              </w:rPr>
            </w:pPr>
            <w:r w:rsidRPr="003A31D5">
              <w:rPr>
                <w:sz w:val="28"/>
                <w:szCs w:val="28"/>
                <w:lang w:val="lv-LV"/>
              </w:rPr>
              <w:t>Budžeta izdevumi</w:t>
            </w:r>
          </w:p>
        </w:tc>
        <w:tc>
          <w:tcPr>
            <w:tcW w:w="1234" w:type="dxa"/>
            <w:tcBorders>
              <w:top w:val="outset" w:sz="6" w:space="0" w:color="000000"/>
              <w:left w:val="outset" w:sz="6" w:space="0" w:color="000000"/>
              <w:bottom w:val="outset" w:sz="6" w:space="0" w:color="000000"/>
              <w:right w:val="outset" w:sz="6" w:space="0" w:color="000000"/>
            </w:tcBorders>
          </w:tcPr>
          <w:p w:rsidR="00585A32" w:rsidRPr="00181A09" w:rsidRDefault="00585A32" w:rsidP="0008261F">
            <w:pPr>
              <w:spacing w:line="360" w:lineRule="auto"/>
              <w:jc w:val="center"/>
              <w:rPr>
                <w:sz w:val="28"/>
                <w:szCs w:val="28"/>
                <w:lang w:val="lv-LV"/>
              </w:rPr>
            </w:pPr>
            <w:r w:rsidRPr="00181A09">
              <w:rPr>
                <w:sz w:val="28"/>
                <w:szCs w:val="28"/>
                <w:lang w:val="lv-LV"/>
              </w:rPr>
              <w:t>0</w:t>
            </w:r>
          </w:p>
        </w:tc>
        <w:tc>
          <w:tcPr>
            <w:tcW w:w="1149" w:type="dxa"/>
            <w:tcBorders>
              <w:top w:val="outset" w:sz="6" w:space="0" w:color="000000"/>
              <w:left w:val="outset" w:sz="6" w:space="0" w:color="000000"/>
              <w:bottom w:val="outset" w:sz="6" w:space="0" w:color="000000"/>
              <w:right w:val="outset" w:sz="6" w:space="0" w:color="000000"/>
            </w:tcBorders>
          </w:tcPr>
          <w:p w:rsidR="00585A32" w:rsidRPr="003A1F3A" w:rsidRDefault="007123AD" w:rsidP="009D4905">
            <w:pPr>
              <w:spacing w:line="360" w:lineRule="auto"/>
              <w:jc w:val="center"/>
              <w:rPr>
                <w:sz w:val="28"/>
                <w:szCs w:val="28"/>
                <w:lang w:val="lv-LV"/>
              </w:rPr>
            </w:pPr>
            <w:r w:rsidRPr="003A1F3A">
              <w:rPr>
                <w:sz w:val="28"/>
                <w:szCs w:val="28"/>
                <w:lang w:val="lv-LV"/>
              </w:rPr>
              <w:t>3</w:t>
            </w:r>
            <w:r w:rsidR="009D4905" w:rsidRPr="003A1F3A">
              <w:rPr>
                <w:sz w:val="28"/>
                <w:szCs w:val="28"/>
                <w:lang w:val="lv-LV"/>
              </w:rPr>
              <w:t>0</w:t>
            </w:r>
            <w:r w:rsidR="004A5751" w:rsidRPr="003A1F3A">
              <w:rPr>
                <w:sz w:val="28"/>
                <w:szCs w:val="28"/>
                <w:lang w:val="lv-LV"/>
              </w:rPr>
              <w:t>,</w:t>
            </w:r>
            <w:r w:rsidR="009D4905" w:rsidRPr="003A1F3A">
              <w:rPr>
                <w:sz w:val="28"/>
                <w:szCs w:val="28"/>
                <w:lang w:val="lv-LV"/>
              </w:rPr>
              <w:t>5</w:t>
            </w:r>
          </w:p>
        </w:tc>
        <w:tc>
          <w:tcPr>
            <w:tcW w:w="1473" w:type="dxa"/>
            <w:tcBorders>
              <w:top w:val="outset" w:sz="6" w:space="0" w:color="000000"/>
              <w:left w:val="outset" w:sz="6" w:space="0" w:color="000000"/>
              <w:bottom w:val="outset" w:sz="6" w:space="0" w:color="000000"/>
              <w:right w:val="outset" w:sz="6" w:space="0" w:color="000000"/>
            </w:tcBorders>
          </w:tcPr>
          <w:p w:rsidR="00585A32" w:rsidRPr="003A1F3A" w:rsidRDefault="00A22295" w:rsidP="00A22295">
            <w:pPr>
              <w:spacing w:line="360" w:lineRule="auto"/>
              <w:jc w:val="center"/>
              <w:rPr>
                <w:sz w:val="28"/>
                <w:szCs w:val="28"/>
                <w:lang w:val="lv-LV"/>
              </w:rPr>
            </w:pPr>
            <w:r w:rsidRPr="003A1F3A">
              <w:rPr>
                <w:sz w:val="28"/>
                <w:szCs w:val="28"/>
                <w:lang w:val="lv-LV"/>
              </w:rPr>
              <w:t>401</w:t>
            </w:r>
            <w:r w:rsidR="004A5751" w:rsidRPr="003A1F3A">
              <w:rPr>
                <w:sz w:val="28"/>
                <w:szCs w:val="28"/>
                <w:lang w:val="lv-LV"/>
              </w:rPr>
              <w:t>,</w:t>
            </w:r>
            <w:r w:rsidRPr="003A1F3A">
              <w:rPr>
                <w:sz w:val="28"/>
                <w:szCs w:val="28"/>
                <w:lang w:val="lv-LV"/>
              </w:rPr>
              <w:t>0</w:t>
            </w:r>
          </w:p>
        </w:tc>
        <w:tc>
          <w:tcPr>
            <w:tcW w:w="1477" w:type="dxa"/>
            <w:tcBorders>
              <w:top w:val="outset" w:sz="6" w:space="0" w:color="000000"/>
              <w:left w:val="outset" w:sz="6" w:space="0" w:color="000000"/>
              <w:bottom w:val="outset" w:sz="6" w:space="0" w:color="000000"/>
              <w:right w:val="outset" w:sz="6" w:space="0" w:color="000000"/>
            </w:tcBorders>
          </w:tcPr>
          <w:p w:rsidR="00585A32" w:rsidRPr="003A1F3A" w:rsidRDefault="00A22295" w:rsidP="00A22295">
            <w:pPr>
              <w:spacing w:line="360" w:lineRule="auto"/>
              <w:jc w:val="center"/>
              <w:rPr>
                <w:sz w:val="28"/>
                <w:szCs w:val="28"/>
                <w:lang w:val="lv-LV"/>
              </w:rPr>
            </w:pPr>
            <w:r w:rsidRPr="003A1F3A">
              <w:rPr>
                <w:sz w:val="28"/>
                <w:szCs w:val="28"/>
                <w:lang w:val="lv-LV"/>
              </w:rPr>
              <w:t>62</w:t>
            </w:r>
            <w:r w:rsidR="004A5751" w:rsidRPr="003A1F3A">
              <w:rPr>
                <w:sz w:val="28"/>
                <w:szCs w:val="28"/>
                <w:lang w:val="lv-LV"/>
              </w:rPr>
              <w:t>,</w:t>
            </w:r>
            <w:r w:rsidRPr="003A1F3A">
              <w:rPr>
                <w:sz w:val="28"/>
                <w:szCs w:val="28"/>
                <w:lang w:val="lv-LV"/>
              </w:rPr>
              <w:t>7</w:t>
            </w:r>
          </w:p>
        </w:tc>
        <w:tc>
          <w:tcPr>
            <w:tcW w:w="1486" w:type="dxa"/>
            <w:tcBorders>
              <w:top w:val="outset" w:sz="6" w:space="0" w:color="000000"/>
              <w:left w:val="outset" w:sz="6" w:space="0" w:color="000000"/>
              <w:bottom w:val="outset" w:sz="6" w:space="0" w:color="000000"/>
            </w:tcBorders>
          </w:tcPr>
          <w:p w:rsidR="00585A32" w:rsidRPr="003A1F3A" w:rsidRDefault="000675E8" w:rsidP="0008261F">
            <w:pPr>
              <w:spacing w:line="360" w:lineRule="auto"/>
              <w:jc w:val="center"/>
              <w:rPr>
                <w:sz w:val="28"/>
                <w:szCs w:val="28"/>
                <w:lang w:val="lv-LV"/>
              </w:rPr>
            </w:pPr>
            <w:r w:rsidRPr="003A1F3A">
              <w:rPr>
                <w:sz w:val="28"/>
                <w:szCs w:val="28"/>
                <w:lang w:val="lv-LV"/>
              </w:rPr>
              <w:t>0</w:t>
            </w:r>
          </w:p>
        </w:tc>
      </w:tr>
      <w:tr w:rsidR="009D4905"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9D4905" w:rsidRPr="003A31D5" w:rsidRDefault="009D4905" w:rsidP="00B913F6">
            <w:pPr>
              <w:spacing w:before="100" w:beforeAutospacing="1" w:after="100" w:afterAutospacing="1"/>
              <w:rPr>
                <w:sz w:val="28"/>
                <w:szCs w:val="28"/>
                <w:lang w:val="lv-LV"/>
              </w:rPr>
            </w:pPr>
            <w:r w:rsidRPr="003A31D5">
              <w:rPr>
                <w:sz w:val="28"/>
                <w:szCs w:val="28"/>
                <w:lang w:val="lv-LV"/>
              </w:rPr>
              <w:t xml:space="preserve"> 2.1</w:t>
            </w:r>
          </w:p>
        </w:tc>
        <w:tc>
          <w:tcPr>
            <w:tcW w:w="1802" w:type="dxa"/>
            <w:gridSpan w:val="2"/>
            <w:tcBorders>
              <w:top w:val="outset" w:sz="6" w:space="0" w:color="000000"/>
              <w:left w:val="single" w:sz="4" w:space="0" w:color="auto"/>
              <w:bottom w:val="outset" w:sz="6" w:space="0" w:color="000000"/>
              <w:right w:val="outset" w:sz="6" w:space="0" w:color="000000"/>
            </w:tcBorders>
          </w:tcPr>
          <w:p w:rsidR="009D4905" w:rsidRPr="003A31D5" w:rsidRDefault="009D4905" w:rsidP="00B913F6">
            <w:pPr>
              <w:spacing w:before="100" w:beforeAutospacing="1" w:after="100" w:afterAutospacing="1"/>
              <w:rPr>
                <w:sz w:val="28"/>
                <w:szCs w:val="28"/>
                <w:lang w:val="lv-LV"/>
              </w:rPr>
            </w:pPr>
            <w:r w:rsidRPr="003A31D5">
              <w:rPr>
                <w:sz w:val="28"/>
                <w:szCs w:val="28"/>
                <w:lang w:val="lv-LV"/>
              </w:rPr>
              <w:t>valsts pamatbudžets</w:t>
            </w:r>
          </w:p>
        </w:tc>
        <w:tc>
          <w:tcPr>
            <w:tcW w:w="1234" w:type="dxa"/>
            <w:tcBorders>
              <w:top w:val="outset" w:sz="6" w:space="0" w:color="000000"/>
              <w:left w:val="outset" w:sz="6" w:space="0" w:color="000000"/>
              <w:bottom w:val="outset" w:sz="6" w:space="0" w:color="000000"/>
              <w:right w:val="outset" w:sz="6" w:space="0" w:color="000000"/>
            </w:tcBorders>
          </w:tcPr>
          <w:p w:rsidR="009D4905" w:rsidRPr="00181A09" w:rsidRDefault="009D4905" w:rsidP="0008261F">
            <w:pPr>
              <w:spacing w:line="360" w:lineRule="auto"/>
              <w:jc w:val="center"/>
              <w:rPr>
                <w:sz w:val="28"/>
                <w:szCs w:val="28"/>
                <w:lang w:val="lv-LV"/>
              </w:rPr>
            </w:pPr>
            <w:r w:rsidRPr="00181A09">
              <w:rPr>
                <w:sz w:val="28"/>
                <w:szCs w:val="28"/>
                <w:lang w:val="lv-LV"/>
              </w:rPr>
              <w:t>0</w:t>
            </w:r>
          </w:p>
        </w:tc>
        <w:tc>
          <w:tcPr>
            <w:tcW w:w="1149" w:type="dxa"/>
            <w:tcBorders>
              <w:top w:val="outset" w:sz="6" w:space="0" w:color="000000"/>
              <w:left w:val="outset" w:sz="6" w:space="0" w:color="000000"/>
              <w:bottom w:val="outset" w:sz="6" w:space="0" w:color="000000"/>
              <w:right w:val="outset" w:sz="6" w:space="0" w:color="000000"/>
            </w:tcBorders>
          </w:tcPr>
          <w:p w:rsidR="009D4905" w:rsidRPr="003A1F3A" w:rsidRDefault="009D4905" w:rsidP="00CF6AAB">
            <w:pPr>
              <w:spacing w:line="360" w:lineRule="auto"/>
              <w:jc w:val="center"/>
              <w:rPr>
                <w:sz w:val="28"/>
                <w:szCs w:val="28"/>
                <w:lang w:val="lv-LV"/>
              </w:rPr>
            </w:pPr>
            <w:r w:rsidRPr="003A1F3A">
              <w:rPr>
                <w:sz w:val="28"/>
                <w:szCs w:val="28"/>
                <w:lang w:val="lv-LV"/>
              </w:rPr>
              <w:t>30,5</w:t>
            </w:r>
          </w:p>
        </w:tc>
        <w:tc>
          <w:tcPr>
            <w:tcW w:w="1473" w:type="dxa"/>
            <w:tcBorders>
              <w:top w:val="outset" w:sz="6" w:space="0" w:color="000000"/>
              <w:left w:val="outset" w:sz="6" w:space="0" w:color="000000"/>
              <w:bottom w:val="outset" w:sz="6" w:space="0" w:color="000000"/>
              <w:right w:val="outset" w:sz="6" w:space="0" w:color="000000"/>
            </w:tcBorders>
          </w:tcPr>
          <w:p w:rsidR="009D4905" w:rsidRPr="003A1F3A" w:rsidRDefault="00A22295" w:rsidP="009D4905">
            <w:pPr>
              <w:spacing w:line="360" w:lineRule="auto"/>
              <w:jc w:val="center"/>
              <w:rPr>
                <w:sz w:val="28"/>
                <w:szCs w:val="28"/>
                <w:lang w:val="lv-LV"/>
              </w:rPr>
            </w:pPr>
            <w:r w:rsidRPr="003A1F3A">
              <w:rPr>
                <w:sz w:val="28"/>
                <w:szCs w:val="28"/>
                <w:lang w:val="lv-LV"/>
              </w:rPr>
              <w:t>401,0</w:t>
            </w:r>
          </w:p>
        </w:tc>
        <w:tc>
          <w:tcPr>
            <w:tcW w:w="1477" w:type="dxa"/>
            <w:tcBorders>
              <w:top w:val="outset" w:sz="6" w:space="0" w:color="000000"/>
              <w:left w:val="outset" w:sz="6" w:space="0" w:color="000000"/>
              <w:bottom w:val="outset" w:sz="6" w:space="0" w:color="000000"/>
              <w:right w:val="outset" w:sz="6" w:space="0" w:color="000000"/>
            </w:tcBorders>
          </w:tcPr>
          <w:p w:rsidR="009D4905" w:rsidRPr="003A1F3A" w:rsidRDefault="00A22295" w:rsidP="00CF6AAB">
            <w:pPr>
              <w:spacing w:line="360" w:lineRule="auto"/>
              <w:jc w:val="center"/>
              <w:rPr>
                <w:sz w:val="28"/>
                <w:szCs w:val="28"/>
                <w:lang w:val="lv-LV"/>
              </w:rPr>
            </w:pPr>
            <w:r w:rsidRPr="003A1F3A">
              <w:rPr>
                <w:sz w:val="28"/>
                <w:szCs w:val="28"/>
                <w:lang w:val="lv-LV"/>
              </w:rPr>
              <w:t>62,7</w:t>
            </w:r>
          </w:p>
        </w:tc>
        <w:tc>
          <w:tcPr>
            <w:tcW w:w="1486" w:type="dxa"/>
            <w:tcBorders>
              <w:top w:val="outset" w:sz="6" w:space="0" w:color="000000"/>
              <w:left w:val="outset" w:sz="6" w:space="0" w:color="000000"/>
              <w:bottom w:val="outset" w:sz="6" w:space="0" w:color="000000"/>
            </w:tcBorders>
          </w:tcPr>
          <w:p w:rsidR="009D4905" w:rsidRPr="003A1F3A" w:rsidRDefault="009D4905" w:rsidP="00CF6AAB">
            <w:pPr>
              <w:spacing w:line="360" w:lineRule="auto"/>
              <w:jc w:val="center"/>
              <w:rPr>
                <w:sz w:val="28"/>
                <w:szCs w:val="28"/>
                <w:lang w:val="lv-LV"/>
              </w:rPr>
            </w:pPr>
            <w:r w:rsidRPr="003A1F3A">
              <w:rPr>
                <w:sz w:val="28"/>
                <w:szCs w:val="28"/>
                <w:lang w:val="lv-LV"/>
              </w:rPr>
              <w:t>0</w:t>
            </w:r>
          </w:p>
        </w:tc>
      </w:tr>
      <w:tr w:rsidR="00B469F5"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B469F5" w:rsidRPr="003A31D5" w:rsidRDefault="00B469F5" w:rsidP="00B913F6">
            <w:pPr>
              <w:spacing w:before="100" w:beforeAutospacing="1" w:after="100" w:afterAutospacing="1"/>
              <w:rPr>
                <w:sz w:val="28"/>
                <w:szCs w:val="28"/>
                <w:lang w:val="lv-LV"/>
              </w:rPr>
            </w:pPr>
            <w:r w:rsidRPr="003A31D5">
              <w:rPr>
                <w:sz w:val="28"/>
                <w:szCs w:val="28"/>
                <w:lang w:val="lv-LV"/>
              </w:rPr>
              <w:t xml:space="preserve"> 2.2. </w:t>
            </w:r>
          </w:p>
        </w:tc>
        <w:tc>
          <w:tcPr>
            <w:tcW w:w="1802" w:type="dxa"/>
            <w:gridSpan w:val="2"/>
            <w:tcBorders>
              <w:top w:val="outset" w:sz="6" w:space="0" w:color="000000"/>
              <w:left w:val="single" w:sz="4" w:space="0" w:color="auto"/>
              <w:bottom w:val="outset" w:sz="6" w:space="0" w:color="000000"/>
              <w:right w:val="outset" w:sz="6" w:space="0" w:color="000000"/>
            </w:tcBorders>
          </w:tcPr>
          <w:p w:rsidR="00B469F5" w:rsidRPr="003A31D5" w:rsidRDefault="00B469F5" w:rsidP="00B913F6">
            <w:pPr>
              <w:spacing w:before="100" w:beforeAutospacing="1" w:after="100" w:afterAutospacing="1"/>
              <w:rPr>
                <w:sz w:val="28"/>
                <w:szCs w:val="28"/>
                <w:lang w:val="lv-LV"/>
              </w:rPr>
            </w:pPr>
            <w:r w:rsidRPr="003A31D5">
              <w:rPr>
                <w:sz w:val="28"/>
                <w:szCs w:val="28"/>
                <w:lang w:val="lv-LV"/>
              </w:rPr>
              <w:t xml:space="preserve">valsts speciālais </w:t>
            </w:r>
            <w:r w:rsidRPr="003A31D5">
              <w:rPr>
                <w:sz w:val="28"/>
                <w:szCs w:val="28"/>
                <w:lang w:val="lv-LV"/>
              </w:rPr>
              <w:lastRenderedPageBreak/>
              <w:t>budžets</w:t>
            </w:r>
          </w:p>
        </w:tc>
        <w:tc>
          <w:tcPr>
            <w:tcW w:w="1234" w:type="dxa"/>
            <w:tcBorders>
              <w:top w:val="outset" w:sz="6" w:space="0" w:color="000000"/>
              <w:left w:val="outset" w:sz="6" w:space="0" w:color="000000"/>
              <w:bottom w:val="outset" w:sz="6" w:space="0" w:color="000000"/>
              <w:right w:val="outset" w:sz="6" w:space="0" w:color="000000"/>
            </w:tcBorders>
          </w:tcPr>
          <w:p w:rsidR="00B469F5" w:rsidRPr="00181A09" w:rsidRDefault="00B469F5" w:rsidP="0008261F">
            <w:pPr>
              <w:spacing w:line="360" w:lineRule="auto"/>
              <w:jc w:val="center"/>
              <w:rPr>
                <w:sz w:val="28"/>
                <w:szCs w:val="28"/>
                <w:lang w:val="lv-LV"/>
              </w:rPr>
            </w:pPr>
          </w:p>
        </w:tc>
        <w:tc>
          <w:tcPr>
            <w:tcW w:w="1149" w:type="dxa"/>
            <w:tcBorders>
              <w:top w:val="outset" w:sz="6" w:space="0" w:color="000000"/>
              <w:left w:val="outset" w:sz="6" w:space="0" w:color="000000"/>
              <w:bottom w:val="outset" w:sz="6" w:space="0" w:color="000000"/>
              <w:right w:val="outset" w:sz="6" w:space="0" w:color="000000"/>
            </w:tcBorders>
          </w:tcPr>
          <w:p w:rsidR="00B469F5" w:rsidRPr="003A1F3A" w:rsidRDefault="00B469F5" w:rsidP="0008261F">
            <w:pPr>
              <w:spacing w:line="360" w:lineRule="auto"/>
              <w:jc w:val="center"/>
              <w:rPr>
                <w:sz w:val="28"/>
                <w:szCs w:val="28"/>
                <w:lang w:val="lv-LV"/>
              </w:rPr>
            </w:pPr>
          </w:p>
        </w:tc>
        <w:tc>
          <w:tcPr>
            <w:tcW w:w="1473" w:type="dxa"/>
            <w:tcBorders>
              <w:top w:val="outset" w:sz="6" w:space="0" w:color="000000"/>
              <w:left w:val="outset" w:sz="6" w:space="0" w:color="000000"/>
              <w:bottom w:val="outset" w:sz="6" w:space="0" w:color="000000"/>
              <w:right w:val="outset" w:sz="6" w:space="0" w:color="000000"/>
            </w:tcBorders>
          </w:tcPr>
          <w:p w:rsidR="00B469F5" w:rsidRPr="003A1F3A" w:rsidRDefault="00B469F5" w:rsidP="0008261F">
            <w:pPr>
              <w:spacing w:line="360" w:lineRule="auto"/>
              <w:jc w:val="center"/>
              <w:rPr>
                <w:sz w:val="28"/>
                <w:szCs w:val="28"/>
                <w:lang w:val="lv-LV"/>
              </w:rPr>
            </w:pPr>
          </w:p>
        </w:tc>
        <w:tc>
          <w:tcPr>
            <w:tcW w:w="1477" w:type="dxa"/>
            <w:tcBorders>
              <w:top w:val="outset" w:sz="6" w:space="0" w:color="000000"/>
              <w:left w:val="outset" w:sz="6" w:space="0" w:color="000000"/>
              <w:bottom w:val="outset" w:sz="6" w:space="0" w:color="000000"/>
              <w:right w:val="outset" w:sz="6" w:space="0" w:color="000000"/>
            </w:tcBorders>
          </w:tcPr>
          <w:p w:rsidR="00B469F5" w:rsidRPr="003A1F3A" w:rsidRDefault="00B469F5" w:rsidP="0008261F">
            <w:pPr>
              <w:spacing w:line="360" w:lineRule="auto"/>
              <w:jc w:val="center"/>
              <w:rPr>
                <w:sz w:val="28"/>
                <w:szCs w:val="28"/>
                <w:lang w:val="lv-LV"/>
              </w:rPr>
            </w:pPr>
          </w:p>
        </w:tc>
        <w:tc>
          <w:tcPr>
            <w:tcW w:w="1486" w:type="dxa"/>
            <w:tcBorders>
              <w:top w:val="outset" w:sz="6" w:space="0" w:color="000000"/>
              <w:left w:val="outset" w:sz="6" w:space="0" w:color="000000"/>
              <w:bottom w:val="outset" w:sz="6" w:space="0" w:color="000000"/>
            </w:tcBorders>
          </w:tcPr>
          <w:p w:rsidR="00B469F5" w:rsidRPr="003A1F3A" w:rsidRDefault="00B469F5" w:rsidP="0008261F">
            <w:pPr>
              <w:spacing w:line="360" w:lineRule="auto"/>
              <w:jc w:val="center"/>
              <w:rPr>
                <w:sz w:val="28"/>
                <w:szCs w:val="28"/>
                <w:lang w:val="lv-LV"/>
              </w:rPr>
            </w:pPr>
          </w:p>
        </w:tc>
      </w:tr>
      <w:tr w:rsidR="00B469F5"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B469F5" w:rsidRPr="003A31D5" w:rsidRDefault="00B469F5" w:rsidP="00B913F6">
            <w:pPr>
              <w:spacing w:before="100" w:beforeAutospacing="1" w:after="100" w:afterAutospacing="1"/>
              <w:rPr>
                <w:sz w:val="28"/>
                <w:szCs w:val="28"/>
                <w:lang w:val="lv-LV"/>
              </w:rPr>
            </w:pPr>
            <w:r w:rsidRPr="003A31D5">
              <w:rPr>
                <w:sz w:val="28"/>
                <w:szCs w:val="28"/>
                <w:lang w:val="lv-LV"/>
              </w:rPr>
              <w:lastRenderedPageBreak/>
              <w:t xml:space="preserve"> 2.3. </w:t>
            </w:r>
          </w:p>
        </w:tc>
        <w:tc>
          <w:tcPr>
            <w:tcW w:w="1802" w:type="dxa"/>
            <w:gridSpan w:val="2"/>
            <w:tcBorders>
              <w:top w:val="outset" w:sz="6" w:space="0" w:color="000000"/>
              <w:left w:val="single" w:sz="4" w:space="0" w:color="auto"/>
              <w:bottom w:val="outset" w:sz="6" w:space="0" w:color="000000"/>
              <w:right w:val="outset" w:sz="6" w:space="0" w:color="000000"/>
            </w:tcBorders>
          </w:tcPr>
          <w:p w:rsidR="00B469F5" w:rsidRPr="003A31D5" w:rsidRDefault="00B469F5" w:rsidP="00B913F6">
            <w:pPr>
              <w:spacing w:before="100" w:beforeAutospacing="1" w:after="100" w:afterAutospacing="1"/>
              <w:rPr>
                <w:sz w:val="28"/>
                <w:szCs w:val="28"/>
                <w:lang w:val="lv-LV"/>
              </w:rPr>
            </w:pPr>
            <w:r w:rsidRPr="003A31D5">
              <w:rPr>
                <w:sz w:val="28"/>
                <w:szCs w:val="28"/>
                <w:lang w:val="lv-LV"/>
              </w:rPr>
              <w:t>pašvaldību budžets</w:t>
            </w:r>
          </w:p>
        </w:tc>
        <w:tc>
          <w:tcPr>
            <w:tcW w:w="1234" w:type="dxa"/>
            <w:tcBorders>
              <w:top w:val="outset" w:sz="6" w:space="0" w:color="000000"/>
              <w:left w:val="outset" w:sz="6" w:space="0" w:color="000000"/>
              <w:bottom w:val="outset" w:sz="6" w:space="0" w:color="000000"/>
              <w:right w:val="outset" w:sz="6" w:space="0" w:color="000000"/>
            </w:tcBorders>
          </w:tcPr>
          <w:p w:rsidR="00B469F5" w:rsidRPr="00181A09" w:rsidRDefault="00B469F5" w:rsidP="0008261F">
            <w:pPr>
              <w:spacing w:line="360" w:lineRule="auto"/>
              <w:jc w:val="center"/>
              <w:rPr>
                <w:sz w:val="28"/>
                <w:szCs w:val="28"/>
                <w:lang w:val="lv-LV"/>
              </w:rPr>
            </w:pPr>
          </w:p>
        </w:tc>
        <w:tc>
          <w:tcPr>
            <w:tcW w:w="1149" w:type="dxa"/>
            <w:tcBorders>
              <w:top w:val="outset" w:sz="6" w:space="0" w:color="000000"/>
              <w:left w:val="outset" w:sz="6" w:space="0" w:color="000000"/>
              <w:bottom w:val="outset" w:sz="6" w:space="0" w:color="000000"/>
              <w:right w:val="outset" w:sz="6" w:space="0" w:color="000000"/>
            </w:tcBorders>
          </w:tcPr>
          <w:p w:rsidR="00B469F5" w:rsidRPr="003A1F3A" w:rsidRDefault="00B469F5" w:rsidP="0008261F">
            <w:pPr>
              <w:spacing w:line="360" w:lineRule="auto"/>
              <w:jc w:val="center"/>
              <w:rPr>
                <w:sz w:val="28"/>
                <w:szCs w:val="28"/>
                <w:lang w:val="lv-LV"/>
              </w:rPr>
            </w:pPr>
          </w:p>
        </w:tc>
        <w:tc>
          <w:tcPr>
            <w:tcW w:w="1473" w:type="dxa"/>
            <w:tcBorders>
              <w:top w:val="outset" w:sz="6" w:space="0" w:color="000000"/>
              <w:left w:val="outset" w:sz="6" w:space="0" w:color="000000"/>
              <w:bottom w:val="outset" w:sz="6" w:space="0" w:color="000000"/>
              <w:right w:val="outset" w:sz="6" w:space="0" w:color="000000"/>
            </w:tcBorders>
          </w:tcPr>
          <w:p w:rsidR="00B469F5" w:rsidRPr="003A1F3A" w:rsidRDefault="00B469F5" w:rsidP="0008261F">
            <w:pPr>
              <w:spacing w:line="360" w:lineRule="auto"/>
              <w:jc w:val="center"/>
              <w:rPr>
                <w:sz w:val="28"/>
                <w:szCs w:val="28"/>
                <w:lang w:val="lv-LV"/>
              </w:rPr>
            </w:pPr>
          </w:p>
        </w:tc>
        <w:tc>
          <w:tcPr>
            <w:tcW w:w="1477" w:type="dxa"/>
            <w:tcBorders>
              <w:top w:val="outset" w:sz="6" w:space="0" w:color="000000"/>
              <w:left w:val="outset" w:sz="6" w:space="0" w:color="000000"/>
              <w:bottom w:val="outset" w:sz="6" w:space="0" w:color="000000"/>
              <w:right w:val="outset" w:sz="6" w:space="0" w:color="000000"/>
            </w:tcBorders>
          </w:tcPr>
          <w:p w:rsidR="00B469F5" w:rsidRPr="003A1F3A" w:rsidRDefault="00B469F5" w:rsidP="0008261F">
            <w:pPr>
              <w:spacing w:line="360" w:lineRule="auto"/>
              <w:jc w:val="center"/>
              <w:rPr>
                <w:sz w:val="28"/>
                <w:szCs w:val="28"/>
                <w:lang w:val="lv-LV"/>
              </w:rPr>
            </w:pPr>
          </w:p>
        </w:tc>
        <w:tc>
          <w:tcPr>
            <w:tcW w:w="1486" w:type="dxa"/>
            <w:tcBorders>
              <w:top w:val="outset" w:sz="6" w:space="0" w:color="000000"/>
              <w:left w:val="outset" w:sz="6" w:space="0" w:color="000000"/>
              <w:bottom w:val="outset" w:sz="6" w:space="0" w:color="000000"/>
            </w:tcBorders>
          </w:tcPr>
          <w:p w:rsidR="00B469F5" w:rsidRPr="003A1F3A" w:rsidRDefault="00B469F5" w:rsidP="0008261F">
            <w:pPr>
              <w:spacing w:line="360" w:lineRule="auto"/>
              <w:jc w:val="center"/>
              <w:rPr>
                <w:sz w:val="28"/>
                <w:szCs w:val="28"/>
                <w:lang w:val="lv-LV"/>
              </w:rPr>
            </w:pPr>
          </w:p>
        </w:tc>
      </w:tr>
      <w:tr w:rsidR="008948F5"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rPr>
          <w:trHeight w:val="352"/>
        </w:trPr>
        <w:tc>
          <w:tcPr>
            <w:tcW w:w="480" w:type="dxa"/>
            <w:tcBorders>
              <w:top w:val="outset" w:sz="6" w:space="0" w:color="000000"/>
              <w:bottom w:val="outset" w:sz="6" w:space="0" w:color="000000"/>
              <w:right w:val="single" w:sz="4" w:space="0" w:color="auto"/>
            </w:tcBorders>
          </w:tcPr>
          <w:p w:rsidR="008948F5" w:rsidRPr="003A31D5" w:rsidRDefault="008948F5" w:rsidP="00B913F6">
            <w:pPr>
              <w:spacing w:before="100" w:beforeAutospacing="1" w:after="100" w:afterAutospacing="1"/>
              <w:rPr>
                <w:sz w:val="28"/>
                <w:szCs w:val="28"/>
                <w:lang w:val="lv-LV"/>
              </w:rPr>
            </w:pPr>
            <w:r w:rsidRPr="003A31D5">
              <w:rPr>
                <w:sz w:val="28"/>
                <w:szCs w:val="28"/>
                <w:lang w:val="lv-LV"/>
              </w:rPr>
              <w:t xml:space="preserve"> 3. </w:t>
            </w:r>
          </w:p>
        </w:tc>
        <w:tc>
          <w:tcPr>
            <w:tcW w:w="1802" w:type="dxa"/>
            <w:gridSpan w:val="2"/>
            <w:tcBorders>
              <w:top w:val="outset" w:sz="6" w:space="0" w:color="000000"/>
              <w:left w:val="single" w:sz="4" w:space="0" w:color="auto"/>
              <w:bottom w:val="outset" w:sz="6" w:space="0" w:color="000000"/>
              <w:right w:val="outset" w:sz="6" w:space="0" w:color="000000"/>
            </w:tcBorders>
          </w:tcPr>
          <w:p w:rsidR="008948F5" w:rsidRPr="003A31D5" w:rsidRDefault="008948F5" w:rsidP="00B913F6">
            <w:pPr>
              <w:spacing w:before="100" w:beforeAutospacing="1" w:after="100" w:afterAutospacing="1"/>
              <w:rPr>
                <w:sz w:val="28"/>
                <w:szCs w:val="28"/>
                <w:lang w:val="lv-LV"/>
              </w:rPr>
            </w:pPr>
            <w:r w:rsidRPr="003A31D5">
              <w:rPr>
                <w:sz w:val="28"/>
                <w:szCs w:val="28"/>
                <w:lang w:val="lv-LV"/>
              </w:rPr>
              <w:t>Finansiālā ietekme:</w:t>
            </w:r>
          </w:p>
        </w:tc>
        <w:tc>
          <w:tcPr>
            <w:tcW w:w="1234" w:type="dxa"/>
            <w:tcBorders>
              <w:top w:val="outset" w:sz="6" w:space="0" w:color="000000"/>
              <w:left w:val="outset" w:sz="6" w:space="0" w:color="000000"/>
              <w:bottom w:val="outset" w:sz="6" w:space="0" w:color="000000"/>
              <w:right w:val="outset" w:sz="6" w:space="0" w:color="000000"/>
            </w:tcBorders>
          </w:tcPr>
          <w:p w:rsidR="008948F5" w:rsidRPr="00181A09" w:rsidRDefault="008948F5" w:rsidP="00CD3550">
            <w:pPr>
              <w:spacing w:line="360" w:lineRule="auto"/>
              <w:jc w:val="center"/>
              <w:rPr>
                <w:sz w:val="28"/>
                <w:szCs w:val="28"/>
                <w:lang w:val="lv-LV"/>
              </w:rPr>
            </w:pPr>
            <w:r w:rsidRPr="00181A09">
              <w:rPr>
                <w:sz w:val="28"/>
                <w:szCs w:val="28"/>
                <w:lang w:val="lv-LV"/>
              </w:rPr>
              <w:t>0</w:t>
            </w:r>
          </w:p>
        </w:tc>
        <w:tc>
          <w:tcPr>
            <w:tcW w:w="1149" w:type="dxa"/>
            <w:tcBorders>
              <w:top w:val="outset" w:sz="6" w:space="0" w:color="000000"/>
              <w:left w:val="outset" w:sz="6" w:space="0" w:color="000000"/>
              <w:bottom w:val="outset" w:sz="6" w:space="0" w:color="000000"/>
              <w:right w:val="outset" w:sz="6" w:space="0" w:color="000000"/>
            </w:tcBorders>
          </w:tcPr>
          <w:p w:rsidR="008948F5" w:rsidRPr="003A1F3A" w:rsidRDefault="008948F5" w:rsidP="009D4905">
            <w:pPr>
              <w:spacing w:line="360" w:lineRule="auto"/>
              <w:jc w:val="center"/>
              <w:rPr>
                <w:sz w:val="28"/>
                <w:szCs w:val="28"/>
                <w:lang w:val="lv-LV"/>
              </w:rPr>
            </w:pPr>
            <w:r w:rsidRPr="003A1F3A">
              <w:rPr>
                <w:sz w:val="28"/>
                <w:szCs w:val="28"/>
                <w:lang w:val="lv-LV"/>
              </w:rPr>
              <w:t>-</w:t>
            </w:r>
            <w:r w:rsidR="009D4905" w:rsidRPr="003A1F3A">
              <w:rPr>
                <w:sz w:val="28"/>
                <w:szCs w:val="28"/>
                <w:lang w:val="lv-LV"/>
              </w:rPr>
              <w:t>0</w:t>
            </w:r>
            <w:r w:rsidRPr="003A1F3A">
              <w:rPr>
                <w:sz w:val="28"/>
                <w:szCs w:val="28"/>
                <w:lang w:val="lv-LV"/>
              </w:rPr>
              <w:t>,</w:t>
            </w:r>
            <w:r w:rsidR="009D4905" w:rsidRPr="003A1F3A">
              <w:rPr>
                <w:sz w:val="28"/>
                <w:szCs w:val="28"/>
                <w:lang w:val="lv-LV"/>
              </w:rPr>
              <w:t>9</w:t>
            </w:r>
          </w:p>
        </w:tc>
        <w:tc>
          <w:tcPr>
            <w:tcW w:w="1473" w:type="dxa"/>
            <w:tcBorders>
              <w:top w:val="outset" w:sz="6" w:space="0" w:color="000000"/>
              <w:left w:val="outset" w:sz="6" w:space="0" w:color="000000"/>
              <w:bottom w:val="outset" w:sz="6" w:space="0" w:color="000000"/>
              <w:right w:val="outset" w:sz="6" w:space="0" w:color="000000"/>
            </w:tcBorders>
          </w:tcPr>
          <w:p w:rsidR="008948F5" w:rsidRPr="003A1F3A" w:rsidRDefault="008948F5" w:rsidP="00586D67">
            <w:pPr>
              <w:spacing w:line="360" w:lineRule="auto"/>
              <w:jc w:val="center"/>
              <w:rPr>
                <w:sz w:val="28"/>
                <w:szCs w:val="28"/>
                <w:lang w:val="lv-LV"/>
              </w:rPr>
            </w:pPr>
            <w:r w:rsidRPr="003A1F3A">
              <w:rPr>
                <w:sz w:val="28"/>
                <w:szCs w:val="28"/>
                <w:lang w:val="lv-LV"/>
              </w:rPr>
              <w:t>-</w:t>
            </w:r>
            <w:r w:rsidR="00A22295" w:rsidRPr="003A1F3A">
              <w:rPr>
                <w:sz w:val="28"/>
                <w:szCs w:val="28"/>
                <w:lang w:val="lv-LV"/>
              </w:rPr>
              <w:t>159</w:t>
            </w:r>
            <w:r w:rsidRPr="003A1F3A">
              <w:rPr>
                <w:sz w:val="28"/>
                <w:szCs w:val="28"/>
                <w:lang w:val="lv-LV"/>
              </w:rPr>
              <w:t>,</w:t>
            </w:r>
            <w:r w:rsidR="00586D67" w:rsidRPr="003A1F3A">
              <w:rPr>
                <w:sz w:val="28"/>
                <w:szCs w:val="28"/>
                <w:lang w:val="lv-LV"/>
              </w:rPr>
              <w:t>7</w:t>
            </w:r>
          </w:p>
        </w:tc>
        <w:tc>
          <w:tcPr>
            <w:tcW w:w="1477" w:type="dxa"/>
            <w:tcBorders>
              <w:top w:val="outset" w:sz="6" w:space="0" w:color="000000"/>
              <w:left w:val="outset" w:sz="6" w:space="0" w:color="000000"/>
              <w:bottom w:val="outset" w:sz="6" w:space="0" w:color="000000"/>
              <w:right w:val="outset" w:sz="6" w:space="0" w:color="000000"/>
            </w:tcBorders>
          </w:tcPr>
          <w:p w:rsidR="008948F5" w:rsidRPr="003A1F3A" w:rsidRDefault="008948F5" w:rsidP="00A22295">
            <w:pPr>
              <w:spacing w:line="360" w:lineRule="auto"/>
              <w:jc w:val="center"/>
              <w:rPr>
                <w:sz w:val="28"/>
                <w:szCs w:val="28"/>
                <w:lang w:val="lv-LV"/>
              </w:rPr>
            </w:pPr>
            <w:r w:rsidRPr="003A1F3A">
              <w:rPr>
                <w:sz w:val="28"/>
                <w:szCs w:val="28"/>
                <w:lang w:val="lv-LV"/>
              </w:rPr>
              <w:t>-</w:t>
            </w:r>
            <w:r w:rsidR="00A22295" w:rsidRPr="003A1F3A">
              <w:rPr>
                <w:sz w:val="28"/>
                <w:szCs w:val="28"/>
                <w:lang w:val="lv-LV"/>
              </w:rPr>
              <w:t>62</w:t>
            </w:r>
            <w:r w:rsidRPr="003A1F3A">
              <w:rPr>
                <w:sz w:val="28"/>
                <w:szCs w:val="28"/>
                <w:lang w:val="lv-LV"/>
              </w:rPr>
              <w:t>,</w:t>
            </w:r>
            <w:r w:rsidR="00A22295" w:rsidRPr="003A1F3A">
              <w:rPr>
                <w:sz w:val="28"/>
                <w:szCs w:val="28"/>
                <w:lang w:val="lv-LV"/>
              </w:rPr>
              <w:t>7</w:t>
            </w:r>
          </w:p>
        </w:tc>
        <w:tc>
          <w:tcPr>
            <w:tcW w:w="1486" w:type="dxa"/>
            <w:tcBorders>
              <w:top w:val="outset" w:sz="6" w:space="0" w:color="000000"/>
              <w:left w:val="outset" w:sz="6" w:space="0" w:color="000000"/>
              <w:bottom w:val="outset" w:sz="6" w:space="0" w:color="000000"/>
            </w:tcBorders>
          </w:tcPr>
          <w:p w:rsidR="008948F5" w:rsidRPr="003A1F3A" w:rsidRDefault="00CC2304" w:rsidP="008948F5">
            <w:pPr>
              <w:jc w:val="center"/>
            </w:pPr>
            <w:r w:rsidRPr="003A1F3A">
              <w:rPr>
                <w:sz w:val="28"/>
                <w:szCs w:val="28"/>
                <w:lang w:val="lv-LV"/>
              </w:rPr>
              <w:t>0</w:t>
            </w:r>
          </w:p>
        </w:tc>
      </w:tr>
      <w:tr w:rsidR="009D4905"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9D4905" w:rsidRPr="003A31D5" w:rsidRDefault="009D4905" w:rsidP="00B913F6">
            <w:pPr>
              <w:spacing w:before="100" w:beforeAutospacing="1" w:after="100" w:afterAutospacing="1"/>
              <w:rPr>
                <w:sz w:val="28"/>
                <w:szCs w:val="28"/>
                <w:lang w:val="lv-LV"/>
              </w:rPr>
            </w:pPr>
            <w:r w:rsidRPr="003A31D5">
              <w:rPr>
                <w:sz w:val="28"/>
                <w:szCs w:val="28"/>
                <w:lang w:val="lv-LV"/>
              </w:rPr>
              <w:t xml:space="preserve"> 3.1. </w:t>
            </w:r>
          </w:p>
        </w:tc>
        <w:tc>
          <w:tcPr>
            <w:tcW w:w="1802" w:type="dxa"/>
            <w:gridSpan w:val="2"/>
            <w:tcBorders>
              <w:top w:val="outset" w:sz="6" w:space="0" w:color="000000"/>
              <w:left w:val="single" w:sz="4" w:space="0" w:color="auto"/>
              <w:bottom w:val="outset" w:sz="6" w:space="0" w:color="000000"/>
              <w:right w:val="outset" w:sz="6" w:space="0" w:color="000000"/>
            </w:tcBorders>
          </w:tcPr>
          <w:p w:rsidR="009D4905" w:rsidRPr="003A31D5" w:rsidRDefault="009D4905" w:rsidP="00B913F6">
            <w:pPr>
              <w:spacing w:before="100" w:beforeAutospacing="1" w:after="100" w:afterAutospacing="1"/>
              <w:rPr>
                <w:sz w:val="28"/>
                <w:szCs w:val="28"/>
                <w:lang w:val="lv-LV"/>
              </w:rPr>
            </w:pPr>
            <w:r w:rsidRPr="003A31D5">
              <w:rPr>
                <w:sz w:val="28"/>
                <w:szCs w:val="28"/>
                <w:lang w:val="lv-LV"/>
              </w:rPr>
              <w:t>valsts pamatbudžets</w:t>
            </w:r>
          </w:p>
        </w:tc>
        <w:tc>
          <w:tcPr>
            <w:tcW w:w="1234" w:type="dxa"/>
            <w:tcBorders>
              <w:top w:val="outset" w:sz="6" w:space="0" w:color="000000"/>
              <w:left w:val="outset" w:sz="6" w:space="0" w:color="000000"/>
              <w:bottom w:val="outset" w:sz="6" w:space="0" w:color="000000"/>
              <w:right w:val="outset" w:sz="6" w:space="0" w:color="000000"/>
            </w:tcBorders>
          </w:tcPr>
          <w:p w:rsidR="009D4905" w:rsidRPr="00181A09" w:rsidRDefault="009D4905" w:rsidP="00CD3550">
            <w:pPr>
              <w:spacing w:line="360" w:lineRule="auto"/>
              <w:jc w:val="center"/>
              <w:rPr>
                <w:sz w:val="28"/>
                <w:szCs w:val="28"/>
                <w:lang w:val="lv-LV"/>
              </w:rPr>
            </w:pPr>
            <w:r w:rsidRPr="00181A09">
              <w:rPr>
                <w:sz w:val="28"/>
                <w:szCs w:val="28"/>
                <w:lang w:val="lv-LV"/>
              </w:rPr>
              <w:t>0</w:t>
            </w:r>
          </w:p>
        </w:tc>
        <w:tc>
          <w:tcPr>
            <w:tcW w:w="1149" w:type="dxa"/>
            <w:tcBorders>
              <w:top w:val="outset" w:sz="6" w:space="0" w:color="000000"/>
              <w:left w:val="outset" w:sz="6" w:space="0" w:color="000000"/>
              <w:bottom w:val="outset" w:sz="6" w:space="0" w:color="000000"/>
              <w:right w:val="outset" w:sz="6" w:space="0" w:color="000000"/>
            </w:tcBorders>
          </w:tcPr>
          <w:p w:rsidR="009D4905" w:rsidRPr="003A1F3A" w:rsidRDefault="009D4905" w:rsidP="00CF6AAB">
            <w:pPr>
              <w:spacing w:line="360" w:lineRule="auto"/>
              <w:jc w:val="center"/>
              <w:rPr>
                <w:sz w:val="28"/>
                <w:szCs w:val="28"/>
                <w:lang w:val="lv-LV"/>
              </w:rPr>
            </w:pPr>
            <w:r w:rsidRPr="003A1F3A">
              <w:rPr>
                <w:sz w:val="28"/>
                <w:szCs w:val="28"/>
                <w:lang w:val="lv-LV"/>
              </w:rPr>
              <w:t>-0,9</w:t>
            </w:r>
          </w:p>
        </w:tc>
        <w:tc>
          <w:tcPr>
            <w:tcW w:w="1473" w:type="dxa"/>
            <w:tcBorders>
              <w:top w:val="outset" w:sz="6" w:space="0" w:color="000000"/>
              <w:left w:val="outset" w:sz="6" w:space="0" w:color="000000"/>
              <w:bottom w:val="outset" w:sz="6" w:space="0" w:color="000000"/>
              <w:right w:val="outset" w:sz="6" w:space="0" w:color="000000"/>
            </w:tcBorders>
          </w:tcPr>
          <w:p w:rsidR="009D4905" w:rsidRPr="003A1F3A" w:rsidRDefault="009D4905" w:rsidP="00586D67">
            <w:pPr>
              <w:spacing w:line="360" w:lineRule="auto"/>
              <w:jc w:val="center"/>
              <w:rPr>
                <w:sz w:val="28"/>
                <w:szCs w:val="28"/>
                <w:lang w:val="lv-LV"/>
              </w:rPr>
            </w:pPr>
            <w:r w:rsidRPr="003A1F3A">
              <w:rPr>
                <w:sz w:val="28"/>
                <w:szCs w:val="28"/>
                <w:lang w:val="lv-LV"/>
              </w:rPr>
              <w:t>-</w:t>
            </w:r>
            <w:r w:rsidR="00A22295" w:rsidRPr="003A1F3A">
              <w:rPr>
                <w:sz w:val="28"/>
                <w:szCs w:val="28"/>
                <w:lang w:val="lv-LV"/>
              </w:rPr>
              <w:t>159</w:t>
            </w:r>
            <w:r w:rsidRPr="003A1F3A">
              <w:rPr>
                <w:sz w:val="28"/>
                <w:szCs w:val="28"/>
                <w:lang w:val="lv-LV"/>
              </w:rPr>
              <w:t>,</w:t>
            </w:r>
            <w:r w:rsidR="00586D67" w:rsidRPr="003A1F3A">
              <w:rPr>
                <w:sz w:val="28"/>
                <w:szCs w:val="28"/>
                <w:lang w:val="lv-LV"/>
              </w:rPr>
              <w:t>7</w:t>
            </w:r>
          </w:p>
        </w:tc>
        <w:tc>
          <w:tcPr>
            <w:tcW w:w="1477" w:type="dxa"/>
            <w:tcBorders>
              <w:top w:val="outset" w:sz="6" w:space="0" w:color="000000"/>
              <w:left w:val="outset" w:sz="6" w:space="0" w:color="000000"/>
              <w:bottom w:val="outset" w:sz="6" w:space="0" w:color="000000"/>
              <w:right w:val="outset" w:sz="6" w:space="0" w:color="000000"/>
            </w:tcBorders>
          </w:tcPr>
          <w:p w:rsidR="009D4905" w:rsidRPr="003A1F3A" w:rsidRDefault="009D4905" w:rsidP="00CF6AAB">
            <w:pPr>
              <w:spacing w:line="360" w:lineRule="auto"/>
              <w:jc w:val="center"/>
              <w:rPr>
                <w:sz w:val="28"/>
                <w:szCs w:val="28"/>
                <w:lang w:val="lv-LV"/>
              </w:rPr>
            </w:pPr>
            <w:r w:rsidRPr="003A1F3A">
              <w:rPr>
                <w:sz w:val="28"/>
                <w:szCs w:val="28"/>
                <w:lang w:val="lv-LV"/>
              </w:rPr>
              <w:t>-</w:t>
            </w:r>
            <w:r w:rsidR="00A22295" w:rsidRPr="003A1F3A">
              <w:rPr>
                <w:sz w:val="28"/>
                <w:szCs w:val="28"/>
                <w:lang w:val="lv-LV"/>
              </w:rPr>
              <w:t>62,7</w:t>
            </w:r>
          </w:p>
        </w:tc>
        <w:tc>
          <w:tcPr>
            <w:tcW w:w="1486" w:type="dxa"/>
            <w:tcBorders>
              <w:top w:val="outset" w:sz="6" w:space="0" w:color="000000"/>
              <w:left w:val="outset" w:sz="6" w:space="0" w:color="000000"/>
              <w:bottom w:val="outset" w:sz="6" w:space="0" w:color="000000"/>
            </w:tcBorders>
          </w:tcPr>
          <w:p w:rsidR="009D4905" w:rsidRPr="003A1F3A" w:rsidRDefault="009D4905" w:rsidP="00CF6AAB">
            <w:pPr>
              <w:jc w:val="center"/>
            </w:pPr>
            <w:r w:rsidRPr="003A1F3A">
              <w:rPr>
                <w:sz w:val="28"/>
                <w:szCs w:val="28"/>
                <w:lang w:val="lv-LV"/>
              </w:rPr>
              <w:t>0</w:t>
            </w:r>
          </w:p>
        </w:tc>
      </w:tr>
      <w:tr w:rsidR="00F0229B"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 xml:space="preserve"> 3.2. </w:t>
            </w:r>
          </w:p>
        </w:tc>
        <w:tc>
          <w:tcPr>
            <w:tcW w:w="1802" w:type="dxa"/>
            <w:gridSpan w:val="2"/>
            <w:tcBorders>
              <w:top w:val="outset" w:sz="6" w:space="0" w:color="000000"/>
              <w:left w:val="single" w:sz="4" w:space="0" w:color="auto"/>
              <w:bottom w:val="outset" w:sz="6" w:space="0" w:color="000000"/>
              <w:right w:val="outset" w:sz="6" w:space="0" w:color="000000"/>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speciālais budžets</w:t>
            </w:r>
          </w:p>
        </w:tc>
        <w:tc>
          <w:tcPr>
            <w:tcW w:w="1234" w:type="dxa"/>
            <w:tcBorders>
              <w:top w:val="outset" w:sz="6" w:space="0" w:color="000000"/>
              <w:left w:val="outset" w:sz="6" w:space="0" w:color="000000"/>
              <w:bottom w:val="outset" w:sz="6" w:space="0" w:color="000000"/>
              <w:right w:val="outset" w:sz="6" w:space="0" w:color="000000"/>
            </w:tcBorders>
          </w:tcPr>
          <w:p w:rsidR="00F0229B" w:rsidRPr="00181A09" w:rsidRDefault="00F0229B" w:rsidP="0008261F">
            <w:pPr>
              <w:spacing w:line="360" w:lineRule="auto"/>
              <w:jc w:val="center"/>
              <w:rPr>
                <w:sz w:val="28"/>
                <w:szCs w:val="28"/>
                <w:lang w:val="lv-LV"/>
              </w:rPr>
            </w:pPr>
          </w:p>
        </w:tc>
        <w:tc>
          <w:tcPr>
            <w:tcW w:w="1149" w:type="dxa"/>
            <w:tcBorders>
              <w:top w:val="outset" w:sz="6" w:space="0" w:color="000000"/>
              <w:left w:val="outset" w:sz="6" w:space="0" w:color="000000"/>
              <w:bottom w:val="outset" w:sz="6" w:space="0" w:color="000000"/>
              <w:right w:val="outset" w:sz="6" w:space="0" w:color="000000"/>
            </w:tcBorders>
          </w:tcPr>
          <w:p w:rsidR="00F0229B" w:rsidRPr="003A1F3A" w:rsidRDefault="00F0229B" w:rsidP="0008261F">
            <w:pPr>
              <w:spacing w:line="360" w:lineRule="auto"/>
              <w:jc w:val="center"/>
              <w:rPr>
                <w:sz w:val="28"/>
                <w:szCs w:val="28"/>
                <w:lang w:val="lv-LV"/>
              </w:rPr>
            </w:pPr>
          </w:p>
        </w:tc>
        <w:tc>
          <w:tcPr>
            <w:tcW w:w="1473" w:type="dxa"/>
            <w:tcBorders>
              <w:top w:val="outset" w:sz="6" w:space="0" w:color="000000"/>
              <w:left w:val="outset" w:sz="6" w:space="0" w:color="000000"/>
              <w:bottom w:val="outset" w:sz="6" w:space="0" w:color="000000"/>
              <w:right w:val="outset" w:sz="6" w:space="0" w:color="000000"/>
            </w:tcBorders>
          </w:tcPr>
          <w:p w:rsidR="00F0229B" w:rsidRPr="003A1F3A" w:rsidRDefault="00F0229B" w:rsidP="0008261F">
            <w:pPr>
              <w:spacing w:line="360" w:lineRule="auto"/>
              <w:jc w:val="center"/>
              <w:rPr>
                <w:sz w:val="28"/>
                <w:szCs w:val="28"/>
                <w:lang w:val="lv-LV"/>
              </w:rPr>
            </w:pPr>
          </w:p>
        </w:tc>
        <w:tc>
          <w:tcPr>
            <w:tcW w:w="1477" w:type="dxa"/>
            <w:tcBorders>
              <w:top w:val="outset" w:sz="6" w:space="0" w:color="000000"/>
              <w:left w:val="outset" w:sz="6" w:space="0" w:color="000000"/>
              <w:bottom w:val="outset" w:sz="6" w:space="0" w:color="000000"/>
              <w:right w:val="outset" w:sz="6" w:space="0" w:color="000000"/>
            </w:tcBorders>
          </w:tcPr>
          <w:p w:rsidR="00F0229B" w:rsidRPr="003A1F3A" w:rsidRDefault="00F0229B" w:rsidP="00CD3550">
            <w:pPr>
              <w:spacing w:line="360" w:lineRule="auto"/>
              <w:jc w:val="center"/>
              <w:rPr>
                <w:sz w:val="28"/>
                <w:szCs w:val="28"/>
                <w:lang w:val="lv-LV"/>
              </w:rPr>
            </w:pPr>
          </w:p>
        </w:tc>
        <w:tc>
          <w:tcPr>
            <w:tcW w:w="1486" w:type="dxa"/>
            <w:tcBorders>
              <w:top w:val="outset" w:sz="6" w:space="0" w:color="000000"/>
              <w:left w:val="outset" w:sz="6" w:space="0" w:color="000000"/>
              <w:bottom w:val="outset" w:sz="6" w:space="0" w:color="000000"/>
            </w:tcBorders>
          </w:tcPr>
          <w:p w:rsidR="00F0229B" w:rsidRPr="003A1F3A" w:rsidRDefault="00F0229B" w:rsidP="0008261F">
            <w:pPr>
              <w:spacing w:line="360" w:lineRule="auto"/>
              <w:jc w:val="center"/>
              <w:rPr>
                <w:sz w:val="28"/>
                <w:szCs w:val="28"/>
                <w:lang w:val="lv-LV"/>
              </w:rPr>
            </w:pPr>
          </w:p>
        </w:tc>
      </w:tr>
      <w:tr w:rsidR="00F0229B"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 xml:space="preserve"> 3.3. </w:t>
            </w:r>
          </w:p>
        </w:tc>
        <w:tc>
          <w:tcPr>
            <w:tcW w:w="1802" w:type="dxa"/>
            <w:gridSpan w:val="2"/>
            <w:tcBorders>
              <w:top w:val="outset" w:sz="6" w:space="0" w:color="000000"/>
              <w:left w:val="single" w:sz="4" w:space="0" w:color="auto"/>
              <w:bottom w:val="outset" w:sz="6" w:space="0" w:color="000000"/>
              <w:right w:val="outset" w:sz="6" w:space="0" w:color="000000"/>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pašvaldību budžets</w:t>
            </w:r>
          </w:p>
        </w:tc>
        <w:tc>
          <w:tcPr>
            <w:tcW w:w="1234" w:type="dxa"/>
            <w:tcBorders>
              <w:top w:val="outset" w:sz="6" w:space="0" w:color="000000"/>
              <w:left w:val="outset" w:sz="6" w:space="0" w:color="000000"/>
              <w:bottom w:val="outset" w:sz="6" w:space="0" w:color="000000"/>
              <w:right w:val="outset" w:sz="6" w:space="0" w:color="000000"/>
            </w:tcBorders>
          </w:tcPr>
          <w:p w:rsidR="00F0229B" w:rsidRPr="00181A09" w:rsidRDefault="00F0229B" w:rsidP="0008261F">
            <w:pPr>
              <w:spacing w:line="360" w:lineRule="auto"/>
              <w:jc w:val="center"/>
              <w:rPr>
                <w:sz w:val="28"/>
                <w:szCs w:val="28"/>
                <w:lang w:val="lv-LV"/>
              </w:rPr>
            </w:pPr>
          </w:p>
        </w:tc>
        <w:tc>
          <w:tcPr>
            <w:tcW w:w="1149" w:type="dxa"/>
            <w:tcBorders>
              <w:top w:val="outset" w:sz="6" w:space="0" w:color="000000"/>
              <w:left w:val="outset" w:sz="6" w:space="0" w:color="000000"/>
              <w:bottom w:val="outset" w:sz="6" w:space="0" w:color="000000"/>
              <w:right w:val="outset" w:sz="6" w:space="0" w:color="000000"/>
            </w:tcBorders>
          </w:tcPr>
          <w:p w:rsidR="00F0229B" w:rsidRPr="003A1F3A" w:rsidRDefault="00F0229B" w:rsidP="0008261F">
            <w:pPr>
              <w:spacing w:line="360" w:lineRule="auto"/>
              <w:jc w:val="center"/>
              <w:rPr>
                <w:sz w:val="28"/>
                <w:szCs w:val="28"/>
                <w:lang w:val="lv-LV"/>
              </w:rPr>
            </w:pPr>
          </w:p>
        </w:tc>
        <w:tc>
          <w:tcPr>
            <w:tcW w:w="1473" w:type="dxa"/>
            <w:tcBorders>
              <w:top w:val="outset" w:sz="6" w:space="0" w:color="000000"/>
              <w:left w:val="outset" w:sz="6" w:space="0" w:color="000000"/>
              <w:bottom w:val="outset" w:sz="6" w:space="0" w:color="000000"/>
              <w:right w:val="outset" w:sz="6" w:space="0" w:color="000000"/>
            </w:tcBorders>
          </w:tcPr>
          <w:p w:rsidR="00F0229B" w:rsidRPr="003A1F3A" w:rsidRDefault="00F0229B" w:rsidP="0008261F">
            <w:pPr>
              <w:spacing w:line="360" w:lineRule="auto"/>
              <w:jc w:val="center"/>
              <w:rPr>
                <w:sz w:val="28"/>
                <w:szCs w:val="28"/>
                <w:lang w:val="lv-LV"/>
              </w:rPr>
            </w:pPr>
          </w:p>
        </w:tc>
        <w:tc>
          <w:tcPr>
            <w:tcW w:w="1477" w:type="dxa"/>
            <w:tcBorders>
              <w:top w:val="outset" w:sz="6" w:space="0" w:color="000000"/>
              <w:left w:val="outset" w:sz="6" w:space="0" w:color="000000"/>
              <w:bottom w:val="outset" w:sz="6" w:space="0" w:color="000000"/>
              <w:right w:val="outset" w:sz="6" w:space="0" w:color="000000"/>
            </w:tcBorders>
          </w:tcPr>
          <w:p w:rsidR="00F0229B" w:rsidRPr="003A1F3A" w:rsidRDefault="00F0229B" w:rsidP="0008261F">
            <w:pPr>
              <w:spacing w:line="360" w:lineRule="auto"/>
              <w:jc w:val="center"/>
              <w:rPr>
                <w:sz w:val="28"/>
                <w:szCs w:val="28"/>
                <w:lang w:val="lv-LV"/>
              </w:rPr>
            </w:pPr>
          </w:p>
        </w:tc>
        <w:tc>
          <w:tcPr>
            <w:tcW w:w="1486" w:type="dxa"/>
            <w:tcBorders>
              <w:top w:val="outset" w:sz="6" w:space="0" w:color="000000"/>
              <w:left w:val="outset" w:sz="6" w:space="0" w:color="000000"/>
              <w:bottom w:val="outset" w:sz="6" w:space="0" w:color="000000"/>
            </w:tcBorders>
          </w:tcPr>
          <w:p w:rsidR="00F0229B" w:rsidRPr="003A1F3A" w:rsidRDefault="00F0229B" w:rsidP="0008261F">
            <w:pPr>
              <w:spacing w:line="360" w:lineRule="auto"/>
              <w:jc w:val="center"/>
              <w:rPr>
                <w:sz w:val="28"/>
                <w:szCs w:val="28"/>
                <w:lang w:val="lv-LV"/>
              </w:rPr>
            </w:pPr>
          </w:p>
        </w:tc>
      </w:tr>
      <w:tr w:rsidR="00A22295"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rPr>
          <w:trHeight w:val="658"/>
        </w:trPr>
        <w:tc>
          <w:tcPr>
            <w:tcW w:w="480" w:type="dxa"/>
            <w:tcBorders>
              <w:top w:val="outset" w:sz="6" w:space="0" w:color="000000"/>
              <w:bottom w:val="outset" w:sz="6" w:space="0" w:color="000000"/>
              <w:right w:val="single" w:sz="4" w:space="0" w:color="auto"/>
            </w:tcBorders>
          </w:tcPr>
          <w:p w:rsidR="00A22295" w:rsidRPr="003A31D5" w:rsidRDefault="00A22295" w:rsidP="00B913F6">
            <w:pPr>
              <w:spacing w:before="100" w:beforeAutospacing="1" w:after="100" w:afterAutospacing="1"/>
              <w:rPr>
                <w:sz w:val="28"/>
                <w:szCs w:val="28"/>
                <w:lang w:val="lv-LV"/>
              </w:rPr>
            </w:pPr>
            <w:r w:rsidRPr="003A31D5">
              <w:rPr>
                <w:sz w:val="28"/>
                <w:szCs w:val="28"/>
                <w:lang w:val="lv-LV"/>
              </w:rPr>
              <w:t xml:space="preserve"> 4. </w:t>
            </w:r>
          </w:p>
        </w:tc>
        <w:tc>
          <w:tcPr>
            <w:tcW w:w="1802" w:type="dxa"/>
            <w:gridSpan w:val="2"/>
            <w:tcBorders>
              <w:top w:val="outset" w:sz="6" w:space="0" w:color="000000"/>
              <w:left w:val="single" w:sz="4" w:space="0" w:color="auto"/>
              <w:bottom w:val="outset" w:sz="6" w:space="0" w:color="000000"/>
              <w:right w:val="outset" w:sz="6" w:space="0" w:color="000000"/>
            </w:tcBorders>
          </w:tcPr>
          <w:p w:rsidR="00A22295" w:rsidRPr="003A31D5" w:rsidRDefault="00A22295" w:rsidP="0008261F">
            <w:pPr>
              <w:spacing w:before="100" w:beforeAutospacing="1" w:after="100" w:afterAutospacing="1"/>
              <w:rPr>
                <w:sz w:val="28"/>
                <w:szCs w:val="28"/>
                <w:lang w:val="lv-LV"/>
              </w:rPr>
            </w:pPr>
            <w:r w:rsidRPr="003A31D5">
              <w:rPr>
                <w:sz w:val="28"/>
                <w:szCs w:val="28"/>
                <w:lang w:val="lv-LV"/>
              </w:rPr>
              <w:t>Finanšu līdzekļi papildu izde</w:t>
            </w:r>
            <w:r w:rsidRPr="003A31D5">
              <w:rPr>
                <w:sz w:val="28"/>
                <w:szCs w:val="28"/>
                <w:lang w:val="lv-LV"/>
              </w:rPr>
              <w:softHyphen/>
              <w:t>vumu finansēšanai finanšu līdzekļu pārdale no 74.resora „Gadskārtējā valsts budžeta izpildes procesā pārdalāmais finansējums” 80.00.00 programmas</w:t>
            </w:r>
          </w:p>
        </w:tc>
        <w:tc>
          <w:tcPr>
            <w:tcW w:w="1234" w:type="dxa"/>
            <w:tcBorders>
              <w:top w:val="outset" w:sz="6" w:space="0" w:color="000000"/>
              <w:left w:val="outset" w:sz="6" w:space="0" w:color="000000"/>
              <w:bottom w:val="outset" w:sz="6" w:space="0" w:color="000000"/>
              <w:right w:val="outset" w:sz="6" w:space="0" w:color="000000"/>
            </w:tcBorders>
          </w:tcPr>
          <w:p w:rsidR="00A22295" w:rsidRPr="00181A09" w:rsidRDefault="00A22295" w:rsidP="0008261F">
            <w:pPr>
              <w:spacing w:before="100" w:beforeAutospacing="1" w:after="100" w:afterAutospacing="1"/>
              <w:jc w:val="center"/>
              <w:rPr>
                <w:sz w:val="28"/>
                <w:szCs w:val="28"/>
                <w:lang w:val="lv-LV"/>
              </w:rPr>
            </w:pPr>
            <w:r w:rsidRPr="00181A09">
              <w:rPr>
                <w:sz w:val="28"/>
                <w:szCs w:val="28"/>
                <w:lang w:val="lv-LV"/>
              </w:rPr>
              <w:t>X</w:t>
            </w:r>
          </w:p>
        </w:tc>
        <w:tc>
          <w:tcPr>
            <w:tcW w:w="1149" w:type="dxa"/>
            <w:tcBorders>
              <w:top w:val="outset" w:sz="6" w:space="0" w:color="000000"/>
              <w:left w:val="outset" w:sz="6" w:space="0" w:color="000000"/>
              <w:right w:val="outset" w:sz="6" w:space="0" w:color="000000"/>
            </w:tcBorders>
          </w:tcPr>
          <w:p w:rsidR="00A22295" w:rsidRPr="003A1F3A" w:rsidRDefault="00A22295" w:rsidP="00CF6AAB">
            <w:pPr>
              <w:spacing w:line="360" w:lineRule="auto"/>
              <w:jc w:val="center"/>
              <w:rPr>
                <w:sz w:val="28"/>
                <w:szCs w:val="28"/>
                <w:lang w:val="lv-LV"/>
              </w:rPr>
            </w:pPr>
            <w:r w:rsidRPr="003A1F3A">
              <w:rPr>
                <w:sz w:val="28"/>
                <w:szCs w:val="28"/>
                <w:lang w:val="lv-LV"/>
              </w:rPr>
              <w:t>0,9</w:t>
            </w:r>
          </w:p>
        </w:tc>
        <w:tc>
          <w:tcPr>
            <w:tcW w:w="1473" w:type="dxa"/>
            <w:tcBorders>
              <w:top w:val="outset" w:sz="6" w:space="0" w:color="000000"/>
              <w:left w:val="outset" w:sz="6" w:space="0" w:color="000000"/>
              <w:right w:val="outset" w:sz="6" w:space="0" w:color="000000"/>
            </w:tcBorders>
          </w:tcPr>
          <w:p w:rsidR="00A22295" w:rsidRPr="003A1F3A" w:rsidRDefault="00A22295" w:rsidP="00586D67">
            <w:pPr>
              <w:spacing w:line="360" w:lineRule="auto"/>
              <w:jc w:val="center"/>
              <w:rPr>
                <w:sz w:val="28"/>
                <w:szCs w:val="28"/>
                <w:lang w:val="lv-LV"/>
              </w:rPr>
            </w:pPr>
            <w:r w:rsidRPr="003A1F3A">
              <w:rPr>
                <w:sz w:val="28"/>
                <w:szCs w:val="28"/>
                <w:lang w:val="lv-LV"/>
              </w:rPr>
              <w:t>159,</w:t>
            </w:r>
            <w:r w:rsidR="00586D67" w:rsidRPr="003A1F3A">
              <w:rPr>
                <w:sz w:val="28"/>
                <w:szCs w:val="28"/>
                <w:lang w:val="lv-LV"/>
              </w:rPr>
              <w:t>7</w:t>
            </w:r>
          </w:p>
        </w:tc>
        <w:tc>
          <w:tcPr>
            <w:tcW w:w="1477" w:type="dxa"/>
            <w:tcBorders>
              <w:top w:val="outset" w:sz="6" w:space="0" w:color="000000"/>
              <w:left w:val="outset" w:sz="6" w:space="0" w:color="000000"/>
              <w:right w:val="outset" w:sz="6" w:space="0" w:color="000000"/>
            </w:tcBorders>
          </w:tcPr>
          <w:p w:rsidR="00A22295" w:rsidRPr="003A1F3A" w:rsidRDefault="00A22295" w:rsidP="007D3244">
            <w:pPr>
              <w:spacing w:line="360" w:lineRule="auto"/>
              <w:jc w:val="center"/>
              <w:rPr>
                <w:sz w:val="28"/>
                <w:szCs w:val="28"/>
                <w:lang w:val="lv-LV"/>
              </w:rPr>
            </w:pPr>
            <w:r w:rsidRPr="003A1F3A">
              <w:rPr>
                <w:sz w:val="28"/>
                <w:szCs w:val="28"/>
                <w:lang w:val="lv-LV"/>
              </w:rPr>
              <w:t>62,7</w:t>
            </w:r>
          </w:p>
        </w:tc>
        <w:tc>
          <w:tcPr>
            <w:tcW w:w="1486" w:type="dxa"/>
            <w:tcBorders>
              <w:top w:val="outset" w:sz="6" w:space="0" w:color="000000"/>
              <w:left w:val="outset" w:sz="6" w:space="0" w:color="000000"/>
            </w:tcBorders>
          </w:tcPr>
          <w:p w:rsidR="00A22295" w:rsidRPr="003A1F3A" w:rsidRDefault="00A22295" w:rsidP="00CF6AAB">
            <w:pPr>
              <w:jc w:val="center"/>
            </w:pPr>
            <w:r w:rsidRPr="003A1F3A">
              <w:rPr>
                <w:sz w:val="28"/>
                <w:szCs w:val="28"/>
                <w:lang w:val="lv-LV"/>
              </w:rPr>
              <w:t>0</w:t>
            </w:r>
          </w:p>
        </w:tc>
      </w:tr>
      <w:tr w:rsidR="00F0229B"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 xml:space="preserve"> 5. </w:t>
            </w:r>
          </w:p>
        </w:tc>
        <w:tc>
          <w:tcPr>
            <w:tcW w:w="1802" w:type="dxa"/>
            <w:gridSpan w:val="2"/>
            <w:tcBorders>
              <w:top w:val="outset" w:sz="6" w:space="0" w:color="000000"/>
              <w:left w:val="single" w:sz="4" w:space="0" w:color="auto"/>
              <w:bottom w:val="outset" w:sz="6" w:space="0" w:color="000000"/>
              <w:right w:val="outset" w:sz="6" w:space="0" w:color="000000"/>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Precizēta finansiālā ietekme</w:t>
            </w:r>
          </w:p>
        </w:tc>
        <w:tc>
          <w:tcPr>
            <w:tcW w:w="1234" w:type="dxa"/>
            <w:vMerge w:val="restart"/>
            <w:tcBorders>
              <w:top w:val="outset" w:sz="6" w:space="0" w:color="000000"/>
              <w:left w:val="outset" w:sz="6" w:space="0" w:color="000000"/>
              <w:bottom w:val="outset" w:sz="6" w:space="0" w:color="000000"/>
              <w:right w:val="outset" w:sz="6" w:space="0" w:color="000000"/>
            </w:tcBorders>
          </w:tcPr>
          <w:p w:rsidR="00F0229B" w:rsidRPr="00182048" w:rsidRDefault="00F0229B" w:rsidP="0008261F">
            <w:pPr>
              <w:spacing w:before="100" w:beforeAutospacing="1" w:after="100" w:afterAutospacing="1"/>
              <w:jc w:val="center"/>
              <w:rPr>
                <w:sz w:val="28"/>
                <w:szCs w:val="28"/>
                <w:lang w:val="lv-LV"/>
              </w:rPr>
            </w:pPr>
            <w:r w:rsidRPr="00182048">
              <w:rPr>
                <w:sz w:val="28"/>
                <w:szCs w:val="28"/>
                <w:lang w:val="lv-LV"/>
              </w:rPr>
              <w:t>X</w:t>
            </w:r>
          </w:p>
        </w:tc>
        <w:tc>
          <w:tcPr>
            <w:tcW w:w="1149" w:type="dxa"/>
            <w:vMerge w:val="restart"/>
            <w:tcBorders>
              <w:top w:val="outset" w:sz="6" w:space="0" w:color="000000"/>
              <w:left w:val="outset" w:sz="6" w:space="0" w:color="000000"/>
              <w:right w:val="outset" w:sz="6" w:space="0" w:color="000000"/>
            </w:tcBorders>
          </w:tcPr>
          <w:p w:rsidR="00F0229B" w:rsidRPr="00182048" w:rsidRDefault="00F0229B" w:rsidP="0008261F">
            <w:pPr>
              <w:spacing w:line="360" w:lineRule="auto"/>
              <w:jc w:val="center"/>
              <w:rPr>
                <w:sz w:val="28"/>
                <w:szCs w:val="28"/>
                <w:lang w:val="lv-LV"/>
              </w:rPr>
            </w:pPr>
            <w:r w:rsidRPr="00182048">
              <w:rPr>
                <w:sz w:val="28"/>
                <w:szCs w:val="28"/>
                <w:lang w:val="lv-LV"/>
              </w:rPr>
              <w:t>0</w:t>
            </w:r>
          </w:p>
          <w:p w:rsidR="00F0229B" w:rsidRPr="00182048" w:rsidRDefault="00F0229B" w:rsidP="0008261F">
            <w:pPr>
              <w:spacing w:line="360" w:lineRule="auto"/>
              <w:jc w:val="center"/>
              <w:rPr>
                <w:sz w:val="28"/>
                <w:szCs w:val="28"/>
                <w:lang w:val="lv-LV"/>
              </w:rPr>
            </w:pPr>
          </w:p>
        </w:tc>
        <w:tc>
          <w:tcPr>
            <w:tcW w:w="1473" w:type="dxa"/>
            <w:tcBorders>
              <w:top w:val="outset" w:sz="6" w:space="0" w:color="000000"/>
              <w:left w:val="outset" w:sz="6" w:space="0" w:color="000000"/>
              <w:bottom w:val="outset" w:sz="6" w:space="0" w:color="000000"/>
              <w:right w:val="outset" w:sz="6" w:space="0" w:color="000000"/>
            </w:tcBorders>
          </w:tcPr>
          <w:p w:rsidR="00F0229B" w:rsidRPr="00182048" w:rsidRDefault="00F0229B" w:rsidP="0008261F">
            <w:pPr>
              <w:spacing w:line="360" w:lineRule="auto"/>
              <w:jc w:val="center"/>
              <w:rPr>
                <w:sz w:val="28"/>
                <w:szCs w:val="28"/>
                <w:lang w:val="lv-LV"/>
              </w:rPr>
            </w:pPr>
            <w:r w:rsidRPr="00182048">
              <w:rPr>
                <w:sz w:val="28"/>
                <w:szCs w:val="28"/>
                <w:lang w:val="lv-LV"/>
              </w:rPr>
              <w:t>0</w:t>
            </w:r>
          </w:p>
        </w:tc>
        <w:tc>
          <w:tcPr>
            <w:tcW w:w="1477" w:type="dxa"/>
            <w:tcBorders>
              <w:top w:val="outset" w:sz="6" w:space="0" w:color="000000"/>
              <w:left w:val="outset" w:sz="6" w:space="0" w:color="000000"/>
              <w:bottom w:val="outset" w:sz="6" w:space="0" w:color="000000"/>
              <w:right w:val="outset" w:sz="6" w:space="0" w:color="000000"/>
            </w:tcBorders>
          </w:tcPr>
          <w:p w:rsidR="00F0229B" w:rsidRPr="00182048" w:rsidRDefault="00F0229B" w:rsidP="0008261F">
            <w:pPr>
              <w:spacing w:line="360" w:lineRule="auto"/>
              <w:jc w:val="center"/>
              <w:rPr>
                <w:sz w:val="28"/>
                <w:szCs w:val="28"/>
                <w:lang w:val="lv-LV"/>
              </w:rPr>
            </w:pPr>
            <w:r w:rsidRPr="00182048">
              <w:rPr>
                <w:sz w:val="28"/>
                <w:szCs w:val="28"/>
                <w:lang w:val="lv-LV"/>
              </w:rPr>
              <w:t>0</w:t>
            </w:r>
          </w:p>
        </w:tc>
        <w:tc>
          <w:tcPr>
            <w:tcW w:w="1486" w:type="dxa"/>
            <w:tcBorders>
              <w:top w:val="outset" w:sz="6" w:space="0" w:color="000000"/>
              <w:left w:val="outset" w:sz="6" w:space="0" w:color="000000"/>
              <w:bottom w:val="outset" w:sz="6" w:space="0" w:color="000000"/>
            </w:tcBorders>
          </w:tcPr>
          <w:p w:rsidR="00F0229B" w:rsidRPr="00CC2304" w:rsidRDefault="00CC2304" w:rsidP="0008261F">
            <w:pPr>
              <w:spacing w:line="360" w:lineRule="auto"/>
              <w:jc w:val="center"/>
              <w:rPr>
                <w:sz w:val="28"/>
                <w:szCs w:val="28"/>
                <w:lang w:val="lv-LV"/>
              </w:rPr>
            </w:pPr>
            <w:r w:rsidRPr="00CC2304">
              <w:rPr>
                <w:sz w:val="28"/>
                <w:szCs w:val="28"/>
                <w:lang w:val="lv-LV"/>
              </w:rPr>
              <w:t>0</w:t>
            </w:r>
          </w:p>
        </w:tc>
      </w:tr>
      <w:tr w:rsidR="00F0229B"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 xml:space="preserve"> 5.1. </w:t>
            </w:r>
          </w:p>
        </w:tc>
        <w:tc>
          <w:tcPr>
            <w:tcW w:w="1802" w:type="dxa"/>
            <w:gridSpan w:val="2"/>
            <w:tcBorders>
              <w:top w:val="outset" w:sz="6" w:space="0" w:color="000000"/>
              <w:left w:val="single" w:sz="4" w:space="0" w:color="auto"/>
              <w:bottom w:val="outset" w:sz="6" w:space="0" w:color="000000"/>
              <w:right w:val="outset" w:sz="6" w:space="0" w:color="000000"/>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valsts pamatbudžets</w:t>
            </w:r>
          </w:p>
        </w:tc>
        <w:tc>
          <w:tcPr>
            <w:tcW w:w="1234" w:type="dxa"/>
            <w:vMerge/>
            <w:tcBorders>
              <w:top w:val="outset" w:sz="6" w:space="0" w:color="000000"/>
              <w:left w:val="outset" w:sz="6" w:space="0" w:color="000000"/>
              <w:bottom w:val="outset" w:sz="6" w:space="0" w:color="000000"/>
              <w:right w:val="outset" w:sz="6" w:space="0" w:color="000000"/>
            </w:tcBorders>
            <w:vAlign w:val="center"/>
          </w:tcPr>
          <w:p w:rsidR="00F0229B" w:rsidRPr="00182048" w:rsidRDefault="00F0229B" w:rsidP="0008261F">
            <w:pPr>
              <w:jc w:val="center"/>
              <w:rPr>
                <w:sz w:val="28"/>
                <w:szCs w:val="28"/>
                <w:lang w:val="lv-LV"/>
              </w:rPr>
            </w:pPr>
          </w:p>
        </w:tc>
        <w:tc>
          <w:tcPr>
            <w:tcW w:w="1149" w:type="dxa"/>
            <w:vMerge/>
            <w:tcBorders>
              <w:left w:val="outset" w:sz="6" w:space="0" w:color="000000"/>
              <w:right w:val="outset" w:sz="6" w:space="0" w:color="000000"/>
            </w:tcBorders>
          </w:tcPr>
          <w:p w:rsidR="00F0229B" w:rsidRPr="00182048" w:rsidRDefault="00F0229B" w:rsidP="0008261F">
            <w:pPr>
              <w:spacing w:line="360" w:lineRule="auto"/>
              <w:jc w:val="center"/>
              <w:rPr>
                <w:sz w:val="28"/>
                <w:szCs w:val="28"/>
                <w:lang w:val="lv-LV"/>
              </w:rPr>
            </w:pPr>
          </w:p>
        </w:tc>
        <w:tc>
          <w:tcPr>
            <w:tcW w:w="1473" w:type="dxa"/>
            <w:tcBorders>
              <w:top w:val="outset" w:sz="6" w:space="0" w:color="000000"/>
              <w:left w:val="outset" w:sz="6" w:space="0" w:color="000000"/>
              <w:bottom w:val="outset" w:sz="6" w:space="0" w:color="000000"/>
              <w:right w:val="outset" w:sz="6" w:space="0" w:color="000000"/>
            </w:tcBorders>
          </w:tcPr>
          <w:p w:rsidR="00F0229B" w:rsidRPr="00182048" w:rsidRDefault="00F0229B" w:rsidP="0008261F">
            <w:pPr>
              <w:spacing w:line="360" w:lineRule="auto"/>
              <w:jc w:val="center"/>
              <w:rPr>
                <w:sz w:val="28"/>
                <w:szCs w:val="28"/>
                <w:lang w:val="lv-LV"/>
              </w:rPr>
            </w:pPr>
            <w:r w:rsidRPr="00182048">
              <w:rPr>
                <w:sz w:val="28"/>
                <w:szCs w:val="28"/>
                <w:lang w:val="lv-LV"/>
              </w:rPr>
              <w:t>0</w:t>
            </w:r>
          </w:p>
        </w:tc>
        <w:tc>
          <w:tcPr>
            <w:tcW w:w="1477" w:type="dxa"/>
            <w:tcBorders>
              <w:top w:val="outset" w:sz="6" w:space="0" w:color="000000"/>
              <w:left w:val="outset" w:sz="6" w:space="0" w:color="000000"/>
              <w:bottom w:val="outset" w:sz="6" w:space="0" w:color="000000"/>
              <w:right w:val="outset" w:sz="6" w:space="0" w:color="000000"/>
            </w:tcBorders>
          </w:tcPr>
          <w:p w:rsidR="00F0229B" w:rsidRPr="00182048" w:rsidRDefault="00F0229B" w:rsidP="0008261F">
            <w:pPr>
              <w:spacing w:line="360" w:lineRule="auto"/>
              <w:jc w:val="center"/>
              <w:rPr>
                <w:sz w:val="28"/>
                <w:szCs w:val="28"/>
                <w:lang w:val="lv-LV"/>
              </w:rPr>
            </w:pPr>
            <w:r w:rsidRPr="00182048">
              <w:rPr>
                <w:sz w:val="28"/>
                <w:szCs w:val="28"/>
                <w:lang w:val="lv-LV"/>
              </w:rPr>
              <w:t>0</w:t>
            </w:r>
          </w:p>
        </w:tc>
        <w:tc>
          <w:tcPr>
            <w:tcW w:w="1486" w:type="dxa"/>
            <w:tcBorders>
              <w:top w:val="outset" w:sz="6" w:space="0" w:color="000000"/>
              <w:left w:val="outset" w:sz="6" w:space="0" w:color="000000"/>
              <w:bottom w:val="outset" w:sz="6" w:space="0" w:color="000000"/>
            </w:tcBorders>
          </w:tcPr>
          <w:p w:rsidR="00F0229B" w:rsidRPr="00CC2304" w:rsidRDefault="00CC2304" w:rsidP="004678A6">
            <w:pPr>
              <w:spacing w:line="360" w:lineRule="auto"/>
              <w:jc w:val="center"/>
              <w:rPr>
                <w:sz w:val="28"/>
                <w:szCs w:val="28"/>
                <w:lang w:val="lv-LV"/>
              </w:rPr>
            </w:pPr>
            <w:r w:rsidRPr="00CC2304">
              <w:rPr>
                <w:sz w:val="28"/>
                <w:szCs w:val="28"/>
                <w:lang w:val="lv-LV"/>
              </w:rPr>
              <w:t>0</w:t>
            </w:r>
          </w:p>
        </w:tc>
      </w:tr>
      <w:tr w:rsidR="00F0229B"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 xml:space="preserve"> 5.2. </w:t>
            </w:r>
          </w:p>
        </w:tc>
        <w:tc>
          <w:tcPr>
            <w:tcW w:w="1802" w:type="dxa"/>
            <w:gridSpan w:val="2"/>
            <w:tcBorders>
              <w:top w:val="outset" w:sz="6" w:space="0" w:color="000000"/>
              <w:left w:val="single" w:sz="4" w:space="0" w:color="auto"/>
              <w:bottom w:val="outset" w:sz="6" w:space="0" w:color="000000"/>
              <w:right w:val="outset" w:sz="6" w:space="0" w:color="000000"/>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speciālais budžets</w:t>
            </w:r>
          </w:p>
        </w:tc>
        <w:tc>
          <w:tcPr>
            <w:tcW w:w="1234" w:type="dxa"/>
            <w:vMerge/>
            <w:tcBorders>
              <w:top w:val="outset" w:sz="6" w:space="0" w:color="000000"/>
              <w:left w:val="outset" w:sz="6" w:space="0" w:color="000000"/>
              <w:bottom w:val="outset" w:sz="6" w:space="0" w:color="000000"/>
              <w:right w:val="outset" w:sz="6" w:space="0" w:color="000000"/>
            </w:tcBorders>
            <w:vAlign w:val="center"/>
          </w:tcPr>
          <w:p w:rsidR="00F0229B" w:rsidRPr="00182048" w:rsidRDefault="00F0229B" w:rsidP="0008261F">
            <w:pPr>
              <w:jc w:val="center"/>
              <w:rPr>
                <w:sz w:val="28"/>
                <w:szCs w:val="28"/>
                <w:lang w:val="lv-LV"/>
              </w:rPr>
            </w:pPr>
          </w:p>
        </w:tc>
        <w:tc>
          <w:tcPr>
            <w:tcW w:w="1149" w:type="dxa"/>
            <w:vMerge/>
            <w:tcBorders>
              <w:left w:val="outset" w:sz="6" w:space="0" w:color="000000"/>
              <w:right w:val="outset" w:sz="6" w:space="0" w:color="000000"/>
            </w:tcBorders>
          </w:tcPr>
          <w:p w:rsidR="00F0229B" w:rsidRPr="00182048" w:rsidRDefault="00F0229B" w:rsidP="0008261F">
            <w:pPr>
              <w:spacing w:line="360" w:lineRule="auto"/>
              <w:jc w:val="center"/>
              <w:rPr>
                <w:sz w:val="28"/>
                <w:szCs w:val="28"/>
                <w:lang w:val="lv-LV"/>
              </w:rPr>
            </w:pPr>
          </w:p>
        </w:tc>
        <w:tc>
          <w:tcPr>
            <w:tcW w:w="1473" w:type="dxa"/>
            <w:tcBorders>
              <w:top w:val="outset" w:sz="6" w:space="0" w:color="000000"/>
              <w:left w:val="outset" w:sz="6" w:space="0" w:color="000000"/>
              <w:bottom w:val="outset" w:sz="6" w:space="0" w:color="000000"/>
              <w:right w:val="outset" w:sz="6" w:space="0" w:color="000000"/>
            </w:tcBorders>
          </w:tcPr>
          <w:p w:rsidR="00F0229B" w:rsidRPr="00182048" w:rsidRDefault="00F0229B" w:rsidP="0008261F">
            <w:pPr>
              <w:spacing w:line="360" w:lineRule="auto"/>
              <w:jc w:val="center"/>
              <w:rPr>
                <w:sz w:val="28"/>
                <w:szCs w:val="28"/>
                <w:lang w:val="lv-LV"/>
              </w:rPr>
            </w:pPr>
          </w:p>
        </w:tc>
        <w:tc>
          <w:tcPr>
            <w:tcW w:w="1477" w:type="dxa"/>
            <w:tcBorders>
              <w:top w:val="outset" w:sz="6" w:space="0" w:color="000000"/>
              <w:left w:val="outset" w:sz="6" w:space="0" w:color="000000"/>
              <w:bottom w:val="outset" w:sz="6" w:space="0" w:color="000000"/>
              <w:right w:val="outset" w:sz="6" w:space="0" w:color="000000"/>
            </w:tcBorders>
          </w:tcPr>
          <w:p w:rsidR="00F0229B" w:rsidRPr="00182048" w:rsidRDefault="00F0229B" w:rsidP="0008261F">
            <w:pPr>
              <w:spacing w:line="360" w:lineRule="auto"/>
              <w:jc w:val="center"/>
              <w:rPr>
                <w:sz w:val="28"/>
                <w:szCs w:val="28"/>
                <w:lang w:val="lv-LV"/>
              </w:rPr>
            </w:pPr>
          </w:p>
        </w:tc>
        <w:tc>
          <w:tcPr>
            <w:tcW w:w="1486" w:type="dxa"/>
            <w:tcBorders>
              <w:top w:val="outset" w:sz="6" w:space="0" w:color="000000"/>
              <w:left w:val="outset" w:sz="6" w:space="0" w:color="000000"/>
              <w:bottom w:val="outset" w:sz="6" w:space="0" w:color="000000"/>
            </w:tcBorders>
          </w:tcPr>
          <w:p w:rsidR="00F0229B" w:rsidRPr="00182048" w:rsidRDefault="00F0229B" w:rsidP="0008261F">
            <w:pPr>
              <w:spacing w:line="360" w:lineRule="auto"/>
              <w:jc w:val="center"/>
              <w:rPr>
                <w:sz w:val="28"/>
                <w:szCs w:val="28"/>
                <w:lang w:val="lv-LV"/>
              </w:rPr>
            </w:pPr>
          </w:p>
        </w:tc>
      </w:tr>
      <w:tr w:rsidR="00F0229B"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 xml:space="preserve"> 5.3. </w:t>
            </w:r>
          </w:p>
        </w:tc>
        <w:tc>
          <w:tcPr>
            <w:tcW w:w="1802" w:type="dxa"/>
            <w:gridSpan w:val="2"/>
            <w:tcBorders>
              <w:top w:val="outset" w:sz="6" w:space="0" w:color="000000"/>
              <w:left w:val="single" w:sz="4" w:space="0" w:color="auto"/>
              <w:bottom w:val="outset" w:sz="6" w:space="0" w:color="000000"/>
              <w:right w:val="outset" w:sz="6" w:space="0" w:color="000000"/>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pašvaldību budžets</w:t>
            </w:r>
          </w:p>
        </w:tc>
        <w:tc>
          <w:tcPr>
            <w:tcW w:w="1234" w:type="dxa"/>
            <w:vMerge/>
            <w:tcBorders>
              <w:top w:val="outset" w:sz="6" w:space="0" w:color="000000"/>
              <w:left w:val="outset" w:sz="6" w:space="0" w:color="000000"/>
              <w:bottom w:val="outset" w:sz="6" w:space="0" w:color="000000"/>
              <w:right w:val="outset" w:sz="6" w:space="0" w:color="000000"/>
            </w:tcBorders>
            <w:vAlign w:val="center"/>
          </w:tcPr>
          <w:p w:rsidR="00F0229B" w:rsidRPr="00182048" w:rsidRDefault="00F0229B" w:rsidP="0008261F">
            <w:pPr>
              <w:jc w:val="center"/>
              <w:rPr>
                <w:sz w:val="28"/>
                <w:szCs w:val="28"/>
                <w:lang w:val="lv-LV"/>
              </w:rPr>
            </w:pPr>
          </w:p>
        </w:tc>
        <w:tc>
          <w:tcPr>
            <w:tcW w:w="1149" w:type="dxa"/>
            <w:vMerge/>
            <w:tcBorders>
              <w:left w:val="outset" w:sz="6" w:space="0" w:color="000000"/>
              <w:bottom w:val="outset" w:sz="6" w:space="0" w:color="000000"/>
              <w:right w:val="outset" w:sz="6" w:space="0" w:color="000000"/>
            </w:tcBorders>
          </w:tcPr>
          <w:p w:rsidR="00F0229B" w:rsidRPr="00182048" w:rsidRDefault="00F0229B" w:rsidP="0008261F">
            <w:pPr>
              <w:spacing w:line="360" w:lineRule="auto"/>
              <w:jc w:val="center"/>
              <w:rPr>
                <w:sz w:val="28"/>
                <w:szCs w:val="28"/>
                <w:lang w:val="lv-LV"/>
              </w:rPr>
            </w:pPr>
          </w:p>
        </w:tc>
        <w:tc>
          <w:tcPr>
            <w:tcW w:w="1473" w:type="dxa"/>
            <w:tcBorders>
              <w:top w:val="outset" w:sz="6" w:space="0" w:color="000000"/>
              <w:left w:val="outset" w:sz="6" w:space="0" w:color="000000"/>
              <w:bottom w:val="outset" w:sz="6" w:space="0" w:color="000000"/>
              <w:right w:val="outset" w:sz="6" w:space="0" w:color="000000"/>
            </w:tcBorders>
          </w:tcPr>
          <w:p w:rsidR="00F0229B" w:rsidRPr="00182048" w:rsidRDefault="00F0229B" w:rsidP="0008261F">
            <w:pPr>
              <w:spacing w:line="360" w:lineRule="auto"/>
              <w:jc w:val="center"/>
              <w:rPr>
                <w:sz w:val="28"/>
                <w:szCs w:val="28"/>
                <w:lang w:val="lv-LV"/>
              </w:rPr>
            </w:pPr>
          </w:p>
        </w:tc>
        <w:tc>
          <w:tcPr>
            <w:tcW w:w="1477" w:type="dxa"/>
            <w:tcBorders>
              <w:top w:val="outset" w:sz="6" w:space="0" w:color="000000"/>
              <w:left w:val="outset" w:sz="6" w:space="0" w:color="000000"/>
              <w:bottom w:val="outset" w:sz="6" w:space="0" w:color="000000"/>
              <w:right w:val="outset" w:sz="6" w:space="0" w:color="000000"/>
            </w:tcBorders>
          </w:tcPr>
          <w:p w:rsidR="00F0229B" w:rsidRPr="00182048" w:rsidRDefault="00F0229B" w:rsidP="0008261F">
            <w:pPr>
              <w:spacing w:line="360" w:lineRule="auto"/>
              <w:jc w:val="center"/>
              <w:rPr>
                <w:sz w:val="28"/>
                <w:szCs w:val="28"/>
                <w:lang w:val="lv-LV"/>
              </w:rPr>
            </w:pPr>
          </w:p>
        </w:tc>
        <w:tc>
          <w:tcPr>
            <w:tcW w:w="1486" w:type="dxa"/>
            <w:tcBorders>
              <w:top w:val="outset" w:sz="6" w:space="0" w:color="000000"/>
              <w:left w:val="outset" w:sz="6" w:space="0" w:color="000000"/>
              <w:bottom w:val="outset" w:sz="6" w:space="0" w:color="000000"/>
            </w:tcBorders>
          </w:tcPr>
          <w:p w:rsidR="00F0229B" w:rsidRPr="00182048" w:rsidRDefault="00F0229B" w:rsidP="0008261F">
            <w:pPr>
              <w:spacing w:line="360" w:lineRule="auto"/>
              <w:jc w:val="center"/>
              <w:rPr>
                <w:sz w:val="28"/>
                <w:szCs w:val="28"/>
                <w:lang w:val="lv-LV"/>
              </w:rPr>
            </w:pPr>
          </w:p>
        </w:tc>
      </w:tr>
      <w:tr w:rsidR="00F0229B" w:rsidRPr="00804300"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 xml:space="preserve"> 6. </w:t>
            </w:r>
          </w:p>
        </w:tc>
        <w:tc>
          <w:tcPr>
            <w:tcW w:w="1802" w:type="dxa"/>
            <w:gridSpan w:val="2"/>
            <w:tcBorders>
              <w:top w:val="outset" w:sz="6" w:space="0" w:color="000000"/>
              <w:left w:val="single" w:sz="4" w:space="0" w:color="auto"/>
              <w:bottom w:val="outset" w:sz="6" w:space="0" w:color="000000"/>
              <w:right w:val="outset" w:sz="6" w:space="0" w:color="000000"/>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Detalizēts ieņēmumu un izdevu</w:t>
            </w:r>
            <w:r w:rsidRPr="003A31D5">
              <w:rPr>
                <w:sz w:val="28"/>
                <w:szCs w:val="28"/>
                <w:lang w:val="lv-LV"/>
              </w:rPr>
              <w:softHyphen/>
              <w:t xml:space="preserve">mu </w:t>
            </w:r>
            <w:r w:rsidRPr="003A31D5">
              <w:rPr>
                <w:sz w:val="28"/>
                <w:szCs w:val="28"/>
                <w:lang w:val="lv-LV"/>
              </w:rPr>
              <w:lastRenderedPageBreak/>
              <w:t>aprēķins (ja nepieciešams, detalizētu ieņēmumu un izdevumu aprēķinu var pievienot anotācijas pielikumā)</w:t>
            </w:r>
          </w:p>
        </w:tc>
        <w:tc>
          <w:tcPr>
            <w:tcW w:w="6819" w:type="dxa"/>
            <w:gridSpan w:val="5"/>
            <w:vMerge w:val="restart"/>
            <w:tcBorders>
              <w:top w:val="outset" w:sz="6" w:space="0" w:color="000000"/>
              <w:left w:val="outset" w:sz="6" w:space="0" w:color="000000"/>
              <w:bottom w:val="outset" w:sz="6" w:space="0" w:color="000000"/>
            </w:tcBorders>
          </w:tcPr>
          <w:p w:rsidR="00E34E90" w:rsidRPr="00181A09" w:rsidRDefault="00CD3550" w:rsidP="00E34E90">
            <w:pPr>
              <w:jc w:val="both"/>
              <w:rPr>
                <w:sz w:val="28"/>
                <w:szCs w:val="28"/>
                <w:lang w:val="lv-LV"/>
              </w:rPr>
            </w:pPr>
            <w:r w:rsidRPr="00182048">
              <w:rPr>
                <w:sz w:val="28"/>
                <w:szCs w:val="28"/>
                <w:lang w:val="lv-LV"/>
              </w:rPr>
              <w:lastRenderedPageBreak/>
              <w:t xml:space="preserve">Tieslietu ministrijas budžeta programmā </w:t>
            </w:r>
            <w:r w:rsidR="00E34E90" w:rsidRPr="00182048">
              <w:rPr>
                <w:sz w:val="28"/>
                <w:szCs w:val="28"/>
                <w:lang w:val="lv-LV"/>
              </w:rPr>
              <w:t xml:space="preserve">69.06.00 „3.mērķa „Eiropas teritoriālā sadarbība” pārrobežu sadarbības programmu, </w:t>
            </w:r>
            <w:r w:rsidR="00E34E90" w:rsidRPr="00181A09">
              <w:rPr>
                <w:sz w:val="28"/>
                <w:szCs w:val="28"/>
                <w:lang w:val="lv-LV"/>
              </w:rPr>
              <w:t>projektu un pasākumu īstenošana (2007-</w:t>
            </w:r>
            <w:r w:rsidR="00E34E90" w:rsidRPr="00181A09">
              <w:rPr>
                <w:sz w:val="28"/>
                <w:szCs w:val="28"/>
                <w:lang w:val="lv-LV"/>
              </w:rPr>
              <w:lastRenderedPageBreak/>
              <w:t>2013)”</w:t>
            </w:r>
            <w:r w:rsidR="00B77DBA" w:rsidRPr="00181A09">
              <w:rPr>
                <w:sz w:val="28"/>
                <w:szCs w:val="28"/>
                <w:lang w:val="lv-LV"/>
              </w:rPr>
              <w:t>.</w:t>
            </w:r>
          </w:p>
          <w:p w:rsidR="003D7D0B" w:rsidRPr="00181A09" w:rsidRDefault="003D7D0B" w:rsidP="003D7D0B">
            <w:pPr>
              <w:jc w:val="both"/>
              <w:rPr>
                <w:sz w:val="28"/>
                <w:szCs w:val="28"/>
                <w:lang w:val="lv-LV"/>
              </w:rPr>
            </w:pPr>
            <w:r w:rsidRPr="003A1F3A">
              <w:rPr>
                <w:sz w:val="28"/>
                <w:szCs w:val="28"/>
                <w:lang w:val="lv-LV"/>
              </w:rPr>
              <w:t>EK piešķirtais finansējums – </w:t>
            </w:r>
            <w:r w:rsidR="002976DB" w:rsidRPr="003A1F3A">
              <w:rPr>
                <w:b/>
                <w:sz w:val="28"/>
                <w:szCs w:val="28"/>
                <w:lang w:val="lv-LV"/>
              </w:rPr>
              <w:t>EUR </w:t>
            </w:r>
            <w:r w:rsidR="00C4136E" w:rsidRPr="003A1F3A">
              <w:rPr>
                <w:b/>
                <w:sz w:val="28"/>
                <w:szCs w:val="28"/>
                <w:lang w:val="lv-LV"/>
              </w:rPr>
              <w:t>481</w:t>
            </w:r>
            <w:r w:rsidR="002976DB" w:rsidRPr="003A1F3A">
              <w:rPr>
                <w:b/>
                <w:sz w:val="28"/>
                <w:szCs w:val="28"/>
                <w:lang w:val="lv-LV"/>
              </w:rPr>
              <w:t> </w:t>
            </w:r>
            <w:r w:rsidR="00C4136E" w:rsidRPr="003A1F3A">
              <w:rPr>
                <w:b/>
                <w:sz w:val="28"/>
                <w:szCs w:val="28"/>
                <w:lang w:val="lv-LV"/>
              </w:rPr>
              <w:t>855</w:t>
            </w:r>
            <w:r w:rsidR="002976DB" w:rsidRPr="003A1F3A">
              <w:rPr>
                <w:b/>
                <w:sz w:val="28"/>
                <w:szCs w:val="28"/>
                <w:lang w:val="lv-LV"/>
              </w:rPr>
              <w:t xml:space="preserve"> jeb LVL </w:t>
            </w:r>
            <w:r w:rsidR="00C4136E" w:rsidRPr="003A1F3A">
              <w:rPr>
                <w:b/>
                <w:sz w:val="28"/>
                <w:szCs w:val="28"/>
                <w:lang w:val="lv-LV"/>
              </w:rPr>
              <w:t>338</w:t>
            </w:r>
            <w:r w:rsidR="002976DB" w:rsidRPr="003A1F3A">
              <w:rPr>
                <w:b/>
                <w:sz w:val="28"/>
                <w:szCs w:val="28"/>
                <w:lang w:val="lv-LV"/>
              </w:rPr>
              <w:t> </w:t>
            </w:r>
            <w:r w:rsidR="00C4136E" w:rsidRPr="003A1F3A">
              <w:rPr>
                <w:b/>
                <w:sz w:val="28"/>
                <w:szCs w:val="28"/>
                <w:lang w:val="lv-LV"/>
              </w:rPr>
              <w:t>651</w:t>
            </w:r>
            <w:r w:rsidRPr="003A1F3A">
              <w:rPr>
                <w:sz w:val="28"/>
                <w:szCs w:val="28"/>
                <w:lang w:val="lv-LV"/>
              </w:rPr>
              <w:t>.</w:t>
            </w:r>
            <w:r w:rsidRPr="00181A09">
              <w:rPr>
                <w:sz w:val="28"/>
                <w:szCs w:val="28"/>
                <w:lang w:val="lv-LV"/>
              </w:rPr>
              <w:t xml:space="preserve"> </w:t>
            </w:r>
          </w:p>
          <w:p w:rsidR="00F0229B" w:rsidRPr="003A1F3A" w:rsidRDefault="009D77AD" w:rsidP="00B913F6">
            <w:pPr>
              <w:pStyle w:val="Pamatteksts"/>
              <w:tabs>
                <w:tab w:val="left" w:pos="3600"/>
              </w:tabs>
              <w:jc w:val="both"/>
              <w:rPr>
                <w:b/>
                <w:color w:val="000000"/>
                <w:sz w:val="28"/>
                <w:szCs w:val="28"/>
                <w:lang w:val="lv-LV"/>
              </w:rPr>
            </w:pPr>
            <w:r w:rsidRPr="00181A09">
              <w:rPr>
                <w:sz w:val="28"/>
                <w:szCs w:val="28"/>
                <w:lang w:val="lv-LV"/>
              </w:rPr>
              <w:t xml:space="preserve">EK programmas projektu atklātā iesniegumu konkursa </w:t>
            </w:r>
            <w:r w:rsidR="00F0229B" w:rsidRPr="00181A09">
              <w:rPr>
                <w:sz w:val="28"/>
                <w:szCs w:val="28"/>
                <w:lang w:val="lv-LV"/>
              </w:rPr>
              <w:t xml:space="preserve">ietvaros </w:t>
            </w:r>
            <w:r w:rsidR="00CF1AB7" w:rsidRPr="00182048">
              <w:rPr>
                <w:sz w:val="28"/>
                <w:szCs w:val="28"/>
                <w:lang w:val="lv-LV" w:eastAsia="lv-LV"/>
              </w:rPr>
              <w:t xml:space="preserve">Ieslodzījuma vietu pārvalde, Valsts probācijas dienests, Valsts </w:t>
            </w:r>
            <w:r w:rsidR="00CF1AB7" w:rsidRPr="003A1F3A">
              <w:rPr>
                <w:sz w:val="28"/>
                <w:szCs w:val="28"/>
                <w:lang w:val="lv-LV" w:eastAsia="lv-LV"/>
              </w:rPr>
              <w:t>valodas centrs</w:t>
            </w:r>
            <w:r w:rsidR="00CF1AB7" w:rsidRPr="003A1F3A">
              <w:rPr>
                <w:sz w:val="28"/>
                <w:szCs w:val="28"/>
                <w:lang w:val="lv-LV"/>
              </w:rPr>
              <w:t xml:space="preserve"> </w:t>
            </w:r>
            <w:r w:rsidR="00F0229B" w:rsidRPr="003A1F3A">
              <w:rPr>
                <w:sz w:val="28"/>
                <w:szCs w:val="28"/>
                <w:lang w:val="lv-LV"/>
              </w:rPr>
              <w:t>projekt</w:t>
            </w:r>
            <w:r w:rsidR="00B63A61" w:rsidRPr="003A1F3A">
              <w:rPr>
                <w:sz w:val="28"/>
                <w:szCs w:val="28"/>
                <w:lang w:val="lv-LV"/>
              </w:rPr>
              <w:t>ie</w:t>
            </w:r>
            <w:r w:rsidR="00F0229B" w:rsidRPr="003A1F3A">
              <w:rPr>
                <w:sz w:val="28"/>
                <w:szCs w:val="28"/>
                <w:lang w:val="lv-LV"/>
              </w:rPr>
              <w:t>m ir nepieciešam</w:t>
            </w:r>
            <w:r w:rsidR="00F6462D" w:rsidRPr="003A1F3A">
              <w:rPr>
                <w:sz w:val="28"/>
                <w:szCs w:val="28"/>
                <w:lang w:val="lv-LV"/>
              </w:rPr>
              <w:t>s</w:t>
            </w:r>
            <w:r w:rsidR="00F0229B" w:rsidRPr="003A1F3A">
              <w:rPr>
                <w:sz w:val="28"/>
                <w:szCs w:val="28"/>
                <w:lang w:val="lv-LV"/>
              </w:rPr>
              <w:t xml:space="preserve"> nodrošināt </w:t>
            </w:r>
            <w:r w:rsidR="00D251A2" w:rsidRPr="003A1F3A">
              <w:rPr>
                <w:sz w:val="28"/>
                <w:szCs w:val="28"/>
                <w:lang w:val="lv-LV"/>
              </w:rPr>
              <w:t xml:space="preserve">līdzfinansējumu </w:t>
            </w:r>
            <w:r w:rsidR="00BA4A9E" w:rsidRPr="003A1F3A">
              <w:rPr>
                <w:b/>
                <w:sz w:val="28"/>
                <w:szCs w:val="28"/>
                <w:u w:val="single"/>
                <w:lang w:val="lv-LV"/>
              </w:rPr>
              <w:t>EUR 120 464 jeb LVL 84 663</w:t>
            </w:r>
            <w:r w:rsidR="00F0229B" w:rsidRPr="003A1F3A">
              <w:rPr>
                <w:b/>
                <w:color w:val="000000"/>
                <w:sz w:val="28"/>
                <w:szCs w:val="28"/>
                <w:lang w:val="lv-LV"/>
              </w:rPr>
              <w:t>.</w:t>
            </w:r>
          </w:p>
          <w:p w:rsidR="00F0229B" w:rsidRPr="003A1F3A" w:rsidRDefault="00F0229B" w:rsidP="007A28D2">
            <w:pPr>
              <w:jc w:val="both"/>
              <w:rPr>
                <w:sz w:val="28"/>
                <w:szCs w:val="28"/>
                <w:lang w:val="lv-LV"/>
              </w:rPr>
            </w:pPr>
            <w:r w:rsidRPr="003A1F3A">
              <w:rPr>
                <w:color w:val="000000"/>
                <w:sz w:val="28"/>
                <w:szCs w:val="28"/>
                <w:lang w:val="lv-LV"/>
              </w:rPr>
              <w:t>Papildus s</w:t>
            </w:r>
            <w:r w:rsidRPr="003A1F3A">
              <w:rPr>
                <w:sz w:val="28"/>
                <w:szCs w:val="28"/>
                <w:lang w:val="lv-LV"/>
              </w:rPr>
              <w:t xml:space="preserve">askaņā ar </w:t>
            </w:r>
            <w:r w:rsidR="009D77AD" w:rsidRPr="003A1F3A">
              <w:rPr>
                <w:sz w:val="28"/>
                <w:szCs w:val="28"/>
                <w:lang w:val="lv-LV"/>
              </w:rPr>
              <w:t>EK programmu projektu atklāto iesniegumu konkursa noteikumiem</w:t>
            </w:r>
            <w:r w:rsidRPr="003A1F3A">
              <w:rPr>
                <w:sz w:val="28"/>
                <w:szCs w:val="28"/>
                <w:lang w:val="lv-LV"/>
              </w:rPr>
              <w:t xml:space="preserve"> projekta īstenotajam ir nepieciešams veikt priekšfinansēšanu, kas </w:t>
            </w:r>
            <w:r w:rsidR="00D251A2" w:rsidRPr="003A1F3A">
              <w:rPr>
                <w:sz w:val="28"/>
                <w:szCs w:val="28"/>
                <w:lang w:val="lv-LV"/>
              </w:rPr>
              <w:t xml:space="preserve">ir </w:t>
            </w:r>
            <w:r w:rsidR="00481CA5" w:rsidRPr="003A1F3A">
              <w:rPr>
                <w:sz w:val="28"/>
                <w:szCs w:val="28"/>
                <w:lang w:val="lv-LV"/>
              </w:rPr>
              <w:t>2</w:t>
            </w:r>
            <w:r w:rsidRPr="003A1F3A">
              <w:rPr>
                <w:sz w:val="28"/>
                <w:szCs w:val="28"/>
                <w:lang w:val="lv-LV"/>
              </w:rPr>
              <w:t xml:space="preserve">0% jeb </w:t>
            </w:r>
            <w:r w:rsidR="00C4136E" w:rsidRPr="003A1F3A">
              <w:rPr>
                <w:b/>
                <w:sz w:val="28"/>
                <w:szCs w:val="28"/>
                <w:u w:val="single"/>
                <w:lang w:val="lv-LV"/>
              </w:rPr>
              <w:t>EUR 96 372 jeb LVL 67 731</w:t>
            </w:r>
            <w:r w:rsidR="003D0AFC" w:rsidRPr="003A1F3A">
              <w:rPr>
                <w:b/>
                <w:sz w:val="28"/>
                <w:szCs w:val="28"/>
                <w:lang w:val="lv-LV"/>
              </w:rPr>
              <w:t xml:space="preserve"> </w:t>
            </w:r>
            <w:r w:rsidRPr="003A1F3A">
              <w:rPr>
                <w:sz w:val="28"/>
                <w:szCs w:val="28"/>
                <w:lang w:val="lv-LV"/>
              </w:rPr>
              <w:t xml:space="preserve">no </w:t>
            </w:r>
            <w:r w:rsidR="00A918BE" w:rsidRPr="003A1F3A">
              <w:rPr>
                <w:sz w:val="28"/>
                <w:szCs w:val="28"/>
                <w:lang w:val="lv-LV"/>
              </w:rPr>
              <w:t>piešķirtā granta</w:t>
            </w:r>
            <w:r w:rsidRPr="003A1F3A">
              <w:rPr>
                <w:sz w:val="28"/>
                <w:szCs w:val="28"/>
                <w:lang w:val="lv-LV"/>
              </w:rPr>
              <w:t xml:space="preserve">. </w:t>
            </w:r>
          </w:p>
          <w:p w:rsidR="00481CA5" w:rsidRPr="00181A09" w:rsidRDefault="00245133" w:rsidP="007A28D2">
            <w:pPr>
              <w:jc w:val="both"/>
              <w:rPr>
                <w:sz w:val="28"/>
                <w:szCs w:val="28"/>
                <w:lang w:val="lv-LV"/>
              </w:rPr>
            </w:pPr>
            <w:r w:rsidRPr="003A1F3A">
              <w:rPr>
                <w:sz w:val="28"/>
                <w:szCs w:val="28"/>
                <w:lang w:val="lv-LV"/>
              </w:rPr>
              <w:t xml:space="preserve">Šī protokollēmuma projekta anotācijas </w:t>
            </w:r>
            <w:r w:rsidRPr="003A1F3A">
              <w:rPr>
                <w:sz w:val="28"/>
                <w:szCs w:val="28"/>
                <w:u w:val="single"/>
                <w:lang w:val="lv-LV"/>
              </w:rPr>
              <w:t>III sadaļas 1. punktā</w:t>
            </w:r>
            <w:r w:rsidRPr="003A1F3A">
              <w:rPr>
                <w:sz w:val="28"/>
                <w:szCs w:val="28"/>
                <w:lang w:val="lv-LV"/>
              </w:rPr>
              <w:t xml:space="preserve"> ir iekļauts EK finansējums</w:t>
            </w:r>
            <w:r w:rsidR="00C14890" w:rsidRPr="003A1F3A">
              <w:rPr>
                <w:sz w:val="28"/>
                <w:szCs w:val="28"/>
                <w:lang w:val="lv-LV"/>
              </w:rPr>
              <w:t xml:space="preserve"> </w:t>
            </w:r>
            <w:r w:rsidR="00C14890" w:rsidRPr="003A1F3A">
              <w:rPr>
                <w:b/>
                <w:sz w:val="28"/>
                <w:szCs w:val="28"/>
                <w:lang w:val="lv-LV"/>
              </w:rPr>
              <w:t>EUR </w:t>
            </w:r>
            <w:r w:rsidR="002D2C27" w:rsidRPr="003A1F3A">
              <w:rPr>
                <w:b/>
                <w:sz w:val="28"/>
                <w:szCs w:val="28"/>
                <w:lang w:val="lv-LV"/>
              </w:rPr>
              <w:t>385</w:t>
            </w:r>
            <w:r w:rsidR="00C14890" w:rsidRPr="003A1F3A">
              <w:rPr>
                <w:b/>
                <w:sz w:val="28"/>
                <w:szCs w:val="28"/>
                <w:lang w:val="lv-LV"/>
              </w:rPr>
              <w:t> </w:t>
            </w:r>
            <w:r w:rsidR="002D2C27" w:rsidRPr="003A1F3A">
              <w:rPr>
                <w:b/>
                <w:sz w:val="28"/>
                <w:szCs w:val="28"/>
                <w:lang w:val="lv-LV"/>
              </w:rPr>
              <w:t>485</w:t>
            </w:r>
            <w:r w:rsidR="00C14890" w:rsidRPr="003A1F3A">
              <w:rPr>
                <w:b/>
                <w:sz w:val="28"/>
                <w:szCs w:val="28"/>
                <w:lang w:val="lv-LV"/>
              </w:rPr>
              <w:t xml:space="preserve"> jeb LVL </w:t>
            </w:r>
            <w:r w:rsidR="002D2C27" w:rsidRPr="003A1F3A">
              <w:rPr>
                <w:b/>
                <w:sz w:val="28"/>
                <w:szCs w:val="28"/>
                <w:lang w:val="lv-LV"/>
              </w:rPr>
              <w:t>270</w:t>
            </w:r>
            <w:r w:rsidR="00C14890" w:rsidRPr="003A1F3A">
              <w:rPr>
                <w:b/>
                <w:sz w:val="28"/>
                <w:szCs w:val="28"/>
                <w:lang w:val="lv-LV"/>
              </w:rPr>
              <w:t> </w:t>
            </w:r>
            <w:r w:rsidR="00E95BA5" w:rsidRPr="003A1F3A">
              <w:rPr>
                <w:b/>
                <w:sz w:val="28"/>
                <w:szCs w:val="28"/>
                <w:lang w:val="lv-LV"/>
              </w:rPr>
              <w:t>9</w:t>
            </w:r>
            <w:r w:rsidR="002D2C27" w:rsidRPr="003A1F3A">
              <w:rPr>
                <w:b/>
                <w:sz w:val="28"/>
                <w:szCs w:val="28"/>
                <w:lang w:val="lv-LV"/>
              </w:rPr>
              <w:t>20</w:t>
            </w:r>
            <w:r w:rsidR="00C14890" w:rsidRPr="003A1F3A">
              <w:rPr>
                <w:sz w:val="28"/>
                <w:szCs w:val="28"/>
                <w:lang w:val="lv-LV"/>
              </w:rPr>
              <w:t xml:space="preserve"> apjomā</w:t>
            </w:r>
            <w:r w:rsidRPr="003A1F3A">
              <w:rPr>
                <w:sz w:val="28"/>
                <w:szCs w:val="28"/>
                <w:lang w:val="lv-LV"/>
              </w:rPr>
              <w:t>, kurā nav iekļauts priekšfinansējuma atmaksas apmērs, jo nav iespējams precīzi noteikt, kad priekšfinansējuma atmaksa tiks veikta.</w:t>
            </w:r>
          </w:p>
          <w:p w:rsidR="00245133" w:rsidRPr="00181A09" w:rsidRDefault="00245133" w:rsidP="007A28D2">
            <w:pPr>
              <w:jc w:val="both"/>
              <w:rPr>
                <w:color w:val="000000"/>
                <w:sz w:val="28"/>
                <w:szCs w:val="28"/>
                <w:lang w:val="lv-LV"/>
              </w:rPr>
            </w:pPr>
          </w:p>
          <w:p w:rsidR="00481CA5" w:rsidRPr="003A1F3A" w:rsidRDefault="004E0675" w:rsidP="007A28D2">
            <w:pPr>
              <w:jc w:val="both"/>
              <w:rPr>
                <w:sz w:val="28"/>
                <w:szCs w:val="28"/>
                <w:lang w:val="lv-LV"/>
              </w:rPr>
            </w:pPr>
            <w:r w:rsidRPr="00181A09">
              <w:rPr>
                <w:color w:val="000000"/>
                <w:sz w:val="28"/>
                <w:szCs w:val="28"/>
                <w:lang w:val="lv-LV"/>
              </w:rPr>
              <w:t>S</w:t>
            </w:r>
            <w:r w:rsidR="00481CA5" w:rsidRPr="00181A09">
              <w:rPr>
                <w:sz w:val="28"/>
                <w:szCs w:val="28"/>
                <w:lang w:val="lv-LV"/>
              </w:rPr>
              <w:t xml:space="preserve">askaņā ar </w:t>
            </w:r>
            <w:r w:rsidR="009D77AD" w:rsidRPr="00181A09">
              <w:rPr>
                <w:sz w:val="28"/>
                <w:szCs w:val="28"/>
                <w:lang w:val="lv-LV"/>
              </w:rPr>
              <w:t>EK</w:t>
            </w:r>
            <w:r w:rsidR="00481CA5" w:rsidRPr="00181A09">
              <w:rPr>
                <w:sz w:val="28"/>
                <w:szCs w:val="28"/>
                <w:lang w:val="lv-LV"/>
              </w:rPr>
              <w:t xml:space="preserve"> programm</w:t>
            </w:r>
            <w:r w:rsidR="009D77AD" w:rsidRPr="00181A09">
              <w:rPr>
                <w:sz w:val="28"/>
                <w:szCs w:val="28"/>
                <w:lang w:val="lv-LV"/>
              </w:rPr>
              <w:t>u</w:t>
            </w:r>
            <w:r w:rsidR="00481CA5" w:rsidRPr="00182048">
              <w:rPr>
                <w:sz w:val="28"/>
                <w:szCs w:val="28"/>
                <w:lang w:val="lv-LV"/>
              </w:rPr>
              <w:t xml:space="preserve"> </w:t>
            </w:r>
            <w:r w:rsidR="009D77AD" w:rsidRPr="00182048">
              <w:rPr>
                <w:sz w:val="28"/>
                <w:szCs w:val="28"/>
                <w:lang w:val="lv-LV"/>
              </w:rPr>
              <w:t>projektu atklāto iesniegumu konkursa</w:t>
            </w:r>
            <w:r w:rsidR="00481CA5" w:rsidRPr="00182048">
              <w:rPr>
                <w:sz w:val="28"/>
                <w:szCs w:val="28"/>
                <w:lang w:val="lv-LV"/>
              </w:rPr>
              <w:t xml:space="preserve"> noteikumiem pievienotās vērtības nodokļa izmaksas tiek atzītas par neattiecināmām izmaksām </w:t>
            </w:r>
            <w:r w:rsidR="00525DC0" w:rsidRPr="00182048">
              <w:rPr>
                <w:sz w:val="28"/>
                <w:szCs w:val="28"/>
                <w:lang w:val="lv-LV"/>
              </w:rPr>
              <w:t xml:space="preserve">un </w:t>
            </w:r>
            <w:r w:rsidR="00481CA5" w:rsidRPr="00182048">
              <w:rPr>
                <w:sz w:val="28"/>
                <w:szCs w:val="28"/>
                <w:lang w:val="lv-LV"/>
              </w:rPr>
              <w:t xml:space="preserve">projekta īstenotajam šīs izmaksas ir </w:t>
            </w:r>
            <w:r w:rsidR="00525DC0" w:rsidRPr="00182048">
              <w:rPr>
                <w:sz w:val="28"/>
                <w:szCs w:val="28"/>
                <w:lang w:val="lv-LV"/>
              </w:rPr>
              <w:t xml:space="preserve">jāfinansē </w:t>
            </w:r>
            <w:r w:rsidR="00481CA5" w:rsidRPr="00182048">
              <w:rPr>
                <w:sz w:val="28"/>
                <w:szCs w:val="28"/>
                <w:lang w:val="lv-LV"/>
              </w:rPr>
              <w:t xml:space="preserve">no saviem </w:t>
            </w:r>
            <w:r w:rsidR="00481CA5" w:rsidRPr="008D371B">
              <w:rPr>
                <w:sz w:val="28"/>
                <w:szCs w:val="28"/>
                <w:lang w:val="lv-LV"/>
              </w:rPr>
              <w:t>līdzekļiem</w:t>
            </w:r>
            <w:r w:rsidR="00481CA5" w:rsidRPr="003A1F3A">
              <w:rPr>
                <w:sz w:val="28"/>
                <w:szCs w:val="28"/>
                <w:lang w:val="lv-LV"/>
              </w:rPr>
              <w:t xml:space="preserve">. Kopā neattiecināmo izmaksu segšanai būs nepieciešami </w:t>
            </w:r>
            <w:r w:rsidR="00BA4A9E" w:rsidRPr="003A1F3A">
              <w:rPr>
                <w:b/>
                <w:sz w:val="28"/>
                <w:szCs w:val="28"/>
                <w:u w:val="single"/>
                <w:lang w:val="lv-LV"/>
              </w:rPr>
              <w:t>EUR 100 791 jeb LVL 70 836</w:t>
            </w:r>
            <w:r w:rsidR="00481CA5" w:rsidRPr="003A1F3A">
              <w:rPr>
                <w:sz w:val="28"/>
                <w:szCs w:val="28"/>
                <w:lang w:val="lv-LV"/>
              </w:rPr>
              <w:t>.</w:t>
            </w:r>
          </w:p>
          <w:p w:rsidR="003D7D0B" w:rsidRPr="003A1F3A" w:rsidRDefault="003D7D0B" w:rsidP="007A28D2">
            <w:pPr>
              <w:jc w:val="both"/>
              <w:rPr>
                <w:sz w:val="28"/>
                <w:szCs w:val="28"/>
                <w:lang w:val="lv-LV"/>
              </w:rPr>
            </w:pPr>
          </w:p>
          <w:p w:rsidR="005D067E" w:rsidRPr="00181A09" w:rsidRDefault="005D067E" w:rsidP="007A28D2">
            <w:pPr>
              <w:jc w:val="both"/>
              <w:rPr>
                <w:color w:val="000000"/>
                <w:sz w:val="28"/>
                <w:szCs w:val="28"/>
                <w:lang w:val="lv-LV"/>
              </w:rPr>
            </w:pPr>
            <w:r w:rsidRPr="003A1F3A">
              <w:rPr>
                <w:sz w:val="28"/>
                <w:szCs w:val="28"/>
                <w:lang w:val="lv-LV"/>
              </w:rPr>
              <w:t xml:space="preserve">Šī protokollēmuma projekta anotācijas </w:t>
            </w:r>
            <w:r w:rsidRPr="003A1F3A">
              <w:rPr>
                <w:color w:val="000000"/>
                <w:sz w:val="28"/>
                <w:szCs w:val="28"/>
                <w:u w:val="single"/>
                <w:lang w:val="lv-LV"/>
              </w:rPr>
              <w:t>III sadaļas 2. punktā</w:t>
            </w:r>
            <w:r w:rsidRPr="003A1F3A">
              <w:rPr>
                <w:color w:val="000000"/>
                <w:sz w:val="28"/>
                <w:szCs w:val="28"/>
                <w:lang w:val="lv-LV"/>
              </w:rPr>
              <w:t xml:space="preserve"> </w:t>
            </w:r>
            <w:r w:rsidR="00E536F7" w:rsidRPr="003A1F3A">
              <w:rPr>
                <w:color w:val="000000"/>
                <w:sz w:val="28"/>
                <w:szCs w:val="28"/>
                <w:lang w:val="lv-LV"/>
              </w:rPr>
              <w:t xml:space="preserve">kopā </w:t>
            </w:r>
            <w:r w:rsidRPr="003A1F3A">
              <w:rPr>
                <w:color w:val="000000"/>
                <w:sz w:val="28"/>
                <w:szCs w:val="28"/>
                <w:lang w:val="lv-LV"/>
              </w:rPr>
              <w:t>ir iekļauti  ar projekta īstenošanu saistītie budžeta izdevum</w:t>
            </w:r>
            <w:r w:rsidR="00365312" w:rsidRPr="003A1F3A">
              <w:rPr>
                <w:sz w:val="28"/>
                <w:szCs w:val="28"/>
                <w:lang w:val="lv-LV"/>
              </w:rPr>
              <w:t>i</w:t>
            </w:r>
            <w:r w:rsidR="00E536F7" w:rsidRPr="003A1F3A">
              <w:rPr>
                <w:sz w:val="28"/>
                <w:szCs w:val="28"/>
                <w:lang w:val="lv-LV"/>
              </w:rPr>
              <w:t xml:space="preserve"> </w:t>
            </w:r>
            <w:r w:rsidR="00E536F7" w:rsidRPr="003A1F3A">
              <w:rPr>
                <w:b/>
                <w:sz w:val="28"/>
                <w:szCs w:val="28"/>
                <w:lang w:val="lv-LV"/>
              </w:rPr>
              <w:t>EUR </w:t>
            </w:r>
            <w:r w:rsidR="002D2C27" w:rsidRPr="003A1F3A">
              <w:rPr>
                <w:b/>
                <w:sz w:val="28"/>
                <w:szCs w:val="28"/>
                <w:lang w:val="lv-LV"/>
              </w:rPr>
              <w:t>703</w:t>
            </w:r>
            <w:r w:rsidR="00E536F7" w:rsidRPr="003A1F3A">
              <w:rPr>
                <w:b/>
                <w:sz w:val="28"/>
                <w:szCs w:val="28"/>
                <w:lang w:val="lv-LV"/>
              </w:rPr>
              <w:t> </w:t>
            </w:r>
            <w:r w:rsidR="002D2C27" w:rsidRPr="003A1F3A">
              <w:rPr>
                <w:b/>
                <w:sz w:val="28"/>
                <w:szCs w:val="28"/>
                <w:lang w:val="lv-LV"/>
              </w:rPr>
              <w:t>110</w:t>
            </w:r>
            <w:r w:rsidR="00E536F7" w:rsidRPr="003A1F3A">
              <w:rPr>
                <w:b/>
                <w:sz w:val="28"/>
                <w:szCs w:val="28"/>
                <w:lang w:val="lv-LV"/>
              </w:rPr>
              <w:t xml:space="preserve"> jeb LVL </w:t>
            </w:r>
            <w:r w:rsidR="002D2C27" w:rsidRPr="003A1F3A">
              <w:rPr>
                <w:b/>
                <w:sz w:val="28"/>
                <w:szCs w:val="28"/>
                <w:lang w:val="lv-LV"/>
              </w:rPr>
              <w:t>494</w:t>
            </w:r>
            <w:r w:rsidR="00E536F7" w:rsidRPr="003A1F3A">
              <w:rPr>
                <w:b/>
                <w:sz w:val="28"/>
                <w:szCs w:val="28"/>
                <w:lang w:val="lv-LV"/>
              </w:rPr>
              <w:t> </w:t>
            </w:r>
            <w:r w:rsidR="002D2C27" w:rsidRPr="003A1F3A">
              <w:rPr>
                <w:b/>
                <w:sz w:val="28"/>
                <w:szCs w:val="28"/>
                <w:lang w:val="lv-LV"/>
              </w:rPr>
              <w:t>1</w:t>
            </w:r>
            <w:r w:rsidR="003D0AFC" w:rsidRPr="003A1F3A">
              <w:rPr>
                <w:b/>
                <w:sz w:val="28"/>
                <w:szCs w:val="28"/>
                <w:lang w:val="lv-LV"/>
              </w:rPr>
              <w:t>5</w:t>
            </w:r>
            <w:r w:rsidR="002D2C27" w:rsidRPr="003A1F3A">
              <w:rPr>
                <w:b/>
                <w:sz w:val="28"/>
                <w:szCs w:val="28"/>
                <w:lang w:val="lv-LV"/>
              </w:rPr>
              <w:t>0</w:t>
            </w:r>
            <w:r w:rsidR="00E536F7" w:rsidRPr="003A1F3A">
              <w:rPr>
                <w:sz w:val="28"/>
                <w:szCs w:val="28"/>
                <w:lang w:val="lv-LV"/>
              </w:rPr>
              <w:t xml:space="preserve"> apjomā</w:t>
            </w:r>
            <w:r w:rsidRPr="003A1F3A">
              <w:rPr>
                <w:color w:val="000000"/>
                <w:sz w:val="28"/>
                <w:szCs w:val="28"/>
                <w:lang w:val="lv-LV"/>
              </w:rPr>
              <w:t>, proti, Eiropas Komisijas piešķirtais finansējums</w:t>
            </w:r>
            <w:r w:rsidR="00601949" w:rsidRPr="003A1F3A">
              <w:rPr>
                <w:color w:val="000000"/>
                <w:sz w:val="28"/>
                <w:szCs w:val="28"/>
                <w:lang w:val="lv-LV"/>
              </w:rPr>
              <w:t xml:space="preserve"> (2012. gadā – LVL</w:t>
            </w:r>
            <w:r w:rsidR="00CC760F" w:rsidRPr="003A1F3A">
              <w:rPr>
                <w:color w:val="000000"/>
                <w:sz w:val="28"/>
                <w:szCs w:val="28"/>
                <w:lang w:val="lv-LV"/>
              </w:rPr>
              <w:t xml:space="preserve"> 29 613</w:t>
            </w:r>
            <w:r w:rsidR="00601949" w:rsidRPr="003A1F3A">
              <w:rPr>
                <w:color w:val="000000"/>
                <w:sz w:val="28"/>
                <w:szCs w:val="28"/>
                <w:lang w:val="lv-LV"/>
              </w:rPr>
              <w:t>; 2013. gadā – LVL</w:t>
            </w:r>
            <w:r w:rsidR="00CC760F" w:rsidRPr="003A1F3A">
              <w:rPr>
                <w:color w:val="000000"/>
                <w:sz w:val="28"/>
                <w:szCs w:val="28"/>
                <w:lang w:val="lv-LV"/>
              </w:rPr>
              <w:t xml:space="preserve"> </w:t>
            </w:r>
            <w:r w:rsidR="005F7A7A" w:rsidRPr="003A1F3A">
              <w:rPr>
                <w:color w:val="000000"/>
                <w:sz w:val="28"/>
                <w:szCs w:val="28"/>
                <w:lang w:val="lv-LV"/>
              </w:rPr>
              <w:t>2</w:t>
            </w:r>
            <w:r w:rsidR="003D0AFC" w:rsidRPr="003A1F3A">
              <w:rPr>
                <w:color w:val="000000"/>
                <w:sz w:val="28"/>
                <w:szCs w:val="28"/>
                <w:lang w:val="lv-LV"/>
              </w:rPr>
              <w:t>4</w:t>
            </w:r>
            <w:r w:rsidR="005F7A7A" w:rsidRPr="003A1F3A">
              <w:rPr>
                <w:color w:val="000000"/>
                <w:sz w:val="28"/>
                <w:szCs w:val="28"/>
                <w:lang w:val="lv-LV"/>
              </w:rPr>
              <w:t>1</w:t>
            </w:r>
            <w:r w:rsidR="00CC760F" w:rsidRPr="003A1F3A">
              <w:rPr>
                <w:color w:val="000000"/>
                <w:sz w:val="28"/>
                <w:szCs w:val="28"/>
                <w:lang w:val="lv-LV"/>
              </w:rPr>
              <w:t> </w:t>
            </w:r>
            <w:r w:rsidR="005F7A7A" w:rsidRPr="003A1F3A">
              <w:rPr>
                <w:color w:val="000000"/>
                <w:sz w:val="28"/>
                <w:szCs w:val="28"/>
                <w:lang w:val="lv-LV"/>
              </w:rPr>
              <w:t>307</w:t>
            </w:r>
            <w:r w:rsidR="00601949" w:rsidRPr="003A1F3A">
              <w:rPr>
                <w:color w:val="000000"/>
                <w:sz w:val="28"/>
                <w:szCs w:val="28"/>
                <w:lang w:val="lv-LV"/>
              </w:rPr>
              <w:t>)</w:t>
            </w:r>
            <w:r w:rsidRPr="003A1F3A">
              <w:rPr>
                <w:color w:val="000000"/>
                <w:sz w:val="28"/>
                <w:szCs w:val="28"/>
                <w:lang w:val="lv-LV"/>
              </w:rPr>
              <w:t xml:space="preserve">, </w:t>
            </w:r>
            <w:r w:rsidR="00610708" w:rsidRPr="003A1F3A">
              <w:rPr>
                <w:color w:val="000000"/>
                <w:sz w:val="28"/>
                <w:szCs w:val="28"/>
                <w:lang w:val="lv-LV"/>
              </w:rPr>
              <w:t>priekšfinansējums (2013. gadā – LVL</w:t>
            </w:r>
            <w:r w:rsidR="00415C6D" w:rsidRPr="003A1F3A">
              <w:rPr>
                <w:color w:val="000000"/>
                <w:sz w:val="28"/>
                <w:szCs w:val="28"/>
                <w:lang w:val="lv-LV"/>
              </w:rPr>
              <w:t> </w:t>
            </w:r>
            <w:r w:rsidR="003D0AFC" w:rsidRPr="003A1F3A">
              <w:rPr>
                <w:color w:val="000000"/>
                <w:sz w:val="28"/>
                <w:szCs w:val="28"/>
                <w:lang w:val="lv-LV"/>
              </w:rPr>
              <w:t>2</w:t>
            </w:r>
            <w:r w:rsidR="005F7A7A" w:rsidRPr="003A1F3A">
              <w:rPr>
                <w:color w:val="000000"/>
                <w:sz w:val="28"/>
                <w:szCs w:val="28"/>
                <w:lang w:val="lv-LV"/>
              </w:rPr>
              <w:t>5</w:t>
            </w:r>
            <w:r w:rsidR="00610708" w:rsidRPr="003A1F3A">
              <w:rPr>
                <w:color w:val="000000"/>
                <w:sz w:val="28"/>
                <w:szCs w:val="28"/>
                <w:lang w:val="lv-LV"/>
              </w:rPr>
              <w:t> </w:t>
            </w:r>
            <w:r w:rsidR="005F7A7A" w:rsidRPr="003A1F3A">
              <w:rPr>
                <w:color w:val="000000"/>
                <w:sz w:val="28"/>
                <w:szCs w:val="28"/>
                <w:lang w:val="lv-LV"/>
              </w:rPr>
              <w:t>102</w:t>
            </w:r>
            <w:r w:rsidR="00610708" w:rsidRPr="003A1F3A">
              <w:rPr>
                <w:color w:val="000000"/>
                <w:sz w:val="28"/>
                <w:szCs w:val="28"/>
                <w:lang w:val="lv-LV"/>
              </w:rPr>
              <w:t>; 2014. gadā – LVL </w:t>
            </w:r>
            <w:r w:rsidR="005F7A7A" w:rsidRPr="003A1F3A">
              <w:rPr>
                <w:color w:val="000000"/>
                <w:sz w:val="28"/>
                <w:szCs w:val="28"/>
                <w:lang w:val="lv-LV"/>
              </w:rPr>
              <w:t>42</w:t>
            </w:r>
            <w:r w:rsidR="00610708" w:rsidRPr="003A1F3A">
              <w:rPr>
                <w:color w:val="000000"/>
                <w:sz w:val="28"/>
                <w:szCs w:val="28"/>
                <w:lang w:val="lv-LV"/>
              </w:rPr>
              <w:t> </w:t>
            </w:r>
            <w:r w:rsidR="005F7A7A" w:rsidRPr="003A1F3A">
              <w:rPr>
                <w:color w:val="000000"/>
                <w:sz w:val="28"/>
                <w:szCs w:val="28"/>
                <w:lang w:val="lv-LV"/>
              </w:rPr>
              <w:t>629</w:t>
            </w:r>
            <w:r w:rsidR="00610708" w:rsidRPr="003A1F3A">
              <w:rPr>
                <w:color w:val="000000"/>
                <w:sz w:val="28"/>
                <w:szCs w:val="28"/>
                <w:lang w:val="lv-LV"/>
              </w:rPr>
              <w:t xml:space="preserve">) </w:t>
            </w:r>
            <w:r w:rsidRPr="003A1F3A">
              <w:rPr>
                <w:color w:val="000000"/>
                <w:sz w:val="28"/>
                <w:szCs w:val="28"/>
                <w:lang w:val="lv-LV"/>
              </w:rPr>
              <w:t xml:space="preserve">projekta īstenotāja nodrošinātais līdzfinansējums </w:t>
            </w:r>
            <w:r w:rsidR="00CC760F" w:rsidRPr="003A1F3A">
              <w:rPr>
                <w:color w:val="000000"/>
                <w:sz w:val="28"/>
                <w:szCs w:val="28"/>
                <w:lang w:val="lv-LV"/>
              </w:rPr>
              <w:t>(2012. </w:t>
            </w:r>
            <w:r w:rsidR="005332CC" w:rsidRPr="003A1F3A">
              <w:rPr>
                <w:color w:val="000000"/>
                <w:sz w:val="28"/>
                <w:szCs w:val="28"/>
                <w:lang w:val="lv-LV"/>
              </w:rPr>
              <w:t>g</w:t>
            </w:r>
            <w:r w:rsidR="00CC760F" w:rsidRPr="003A1F3A">
              <w:rPr>
                <w:color w:val="000000"/>
                <w:sz w:val="28"/>
                <w:szCs w:val="28"/>
                <w:lang w:val="lv-LV"/>
              </w:rPr>
              <w:t>adā</w:t>
            </w:r>
            <w:r w:rsidR="005332CC" w:rsidRPr="003A1F3A">
              <w:rPr>
                <w:color w:val="000000"/>
                <w:sz w:val="28"/>
                <w:szCs w:val="28"/>
                <w:lang w:val="lv-LV"/>
              </w:rPr>
              <w:t> </w:t>
            </w:r>
            <w:r w:rsidR="00CC760F" w:rsidRPr="003A1F3A">
              <w:rPr>
                <w:color w:val="000000"/>
                <w:sz w:val="28"/>
                <w:szCs w:val="28"/>
                <w:lang w:val="lv-LV"/>
              </w:rPr>
              <w:t>–</w:t>
            </w:r>
            <w:r w:rsidR="005332CC" w:rsidRPr="003A1F3A">
              <w:rPr>
                <w:color w:val="000000"/>
                <w:sz w:val="28"/>
                <w:szCs w:val="28"/>
                <w:lang w:val="lv-LV"/>
              </w:rPr>
              <w:t> </w:t>
            </w:r>
            <w:r w:rsidR="00CC760F" w:rsidRPr="003A1F3A">
              <w:rPr>
                <w:color w:val="000000"/>
                <w:sz w:val="28"/>
                <w:szCs w:val="28"/>
                <w:lang w:val="lv-LV"/>
              </w:rPr>
              <w:t>LVL</w:t>
            </w:r>
            <w:r w:rsidR="005332CC" w:rsidRPr="003A1F3A">
              <w:rPr>
                <w:color w:val="000000"/>
                <w:sz w:val="28"/>
                <w:szCs w:val="28"/>
                <w:lang w:val="lv-LV"/>
              </w:rPr>
              <w:t> </w:t>
            </w:r>
            <w:r w:rsidR="006655B5" w:rsidRPr="003A1F3A">
              <w:rPr>
                <w:color w:val="000000"/>
                <w:sz w:val="28"/>
                <w:szCs w:val="28"/>
                <w:lang w:val="lv-LV"/>
              </w:rPr>
              <w:t>9</w:t>
            </w:r>
            <w:r w:rsidR="003D0AFC" w:rsidRPr="003A1F3A">
              <w:rPr>
                <w:color w:val="000000"/>
                <w:sz w:val="28"/>
                <w:szCs w:val="28"/>
                <w:lang w:val="lv-LV"/>
              </w:rPr>
              <w:t>0</w:t>
            </w:r>
            <w:r w:rsidR="005F7A7A" w:rsidRPr="003A1F3A">
              <w:rPr>
                <w:color w:val="000000"/>
                <w:sz w:val="28"/>
                <w:szCs w:val="28"/>
                <w:lang w:val="lv-LV"/>
              </w:rPr>
              <w:t>0</w:t>
            </w:r>
            <w:r w:rsidR="00CC760F" w:rsidRPr="003A1F3A">
              <w:rPr>
                <w:color w:val="000000"/>
                <w:sz w:val="28"/>
                <w:szCs w:val="28"/>
                <w:lang w:val="lv-LV"/>
              </w:rPr>
              <w:t>; 2013. </w:t>
            </w:r>
            <w:r w:rsidR="00BB6F5B" w:rsidRPr="003A1F3A">
              <w:rPr>
                <w:color w:val="000000"/>
                <w:sz w:val="28"/>
                <w:szCs w:val="28"/>
                <w:lang w:val="lv-LV"/>
              </w:rPr>
              <w:t>g</w:t>
            </w:r>
            <w:r w:rsidR="00CC760F" w:rsidRPr="003A1F3A">
              <w:rPr>
                <w:color w:val="000000"/>
                <w:sz w:val="28"/>
                <w:szCs w:val="28"/>
                <w:lang w:val="lv-LV"/>
              </w:rPr>
              <w:t>adā</w:t>
            </w:r>
            <w:r w:rsidR="00BB6F5B" w:rsidRPr="003A1F3A">
              <w:rPr>
                <w:color w:val="000000"/>
                <w:sz w:val="28"/>
                <w:szCs w:val="28"/>
                <w:lang w:val="lv-LV"/>
              </w:rPr>
              <w:t> </w:t>
            </w:r>
            <w:r w:rsidR="00CC760F" w:rsidRPr="003A1F3A">
              <w:rPr>
                <w:color w:val="000000"/>
                <w:sz w:val="28"/>
                <w:szCs w:val="28"/>
                <w:lang w:val="lv-LV"/>
              </w:rPr>
              <w:t>–</w:t>
            </w:r>
            <w:r w:rsidR="00BB6F5B" w:rsidRPr="003A1F3A">
              <w:rPr>
                <w:color w:val="000000"/>
                <w:sz w:val="28"/>
                <w:szCs w:val="28"/>
                <w:lang w:val="lv-LV"/>
              </w:rPr>
              <w:t> </w:t>
            </w:r>
            <w:r w:rsidR="00CC760F" w:rsidRPr="003A1F3A">
              <w:rPr>
                <w:color w:val="000000"/>
                <w:sz w:val="28"/>
                <w:szCs w:val="28"/>
                <w:lang w:val="lv-LV"/>
              </w:rPr>
              <w:t>LVL</w:t>
            </w:r>
            <w:r w:rsidR="00D04DCF" w:rsidRPr="003A1F3A">
              <w:rPr>
                <w:color w:val="000000"/>
                <w:sz w:val="28"/>
                <w:szCs w:val="28"/>
                <w:lang w:val="lv-LV"/>
              </w:rPr>
              <w:t> </w:t>
            </w:r>
            <w:r w:rsidR="005F7A7A" w:rsidRPr="003A1F3A">
              <w:rPr>
                <w:color w:val="000000"/>
                <w:sz w:val="28"/>
                <w:szCs w:val="28"/>
                <w:lang w:val="lv-LV"/>
              </w:rPr>
              <w:t>83</w:t>
            </w:r>
            <w:r w:rsidR="00CC760F" w:rsidRPr="003A1F3A">
              <w:rPr>
                <w:color w:val="000000"/>
                <w:sz w:val="28"/>
                <w:szCs w:val="28"/>
                <w:lang w:val="lv-LV"/>
              </w:rPr>
              <w:t> </w:t>
            </w:r>
            <w:r w:rsidR="005F7A7A" w:rsidRPr="003A1F3A">
              <w:rPr>
                <w:color w:val="000000"/>
                <w:sz w:val="28"/>
                <w:szCs w:val="28"/>
                <w:lang w:val="lv-LV"/>
              </w:rPr>
              <w:t>763</w:t>
            </w:r>
            <w:r w:rsidR="00CC760F" w:rsidRPr="003A1F3A">
              <w:rPr>
                <w:color w:val="000000"/>
                <w:sz w:val="28"/>
                <w:szCs w:val="28"/>
                <w:lang w:val="lv-LV"/>
              </w:rPr>
              <w:t xml:space="preserve">) </w:t>
            </w:r>
            <w:r w:rsidRPr="003A1F3A">
              <w:rPr>
                <w:color w:val="000000"/>
                <w:sz w:val="28"/>
                <w:szCs w:val="28"/>
                <w:lang w:val="lv-LV"/>
              </w:rPr>
              <w:t>un neattiecināmo izmaksu kopsumma</w:t>
            </w:r>
            <w:r w:rsidR="00CC760F" w:rsidRPr="003A1F3A">
              <w:rPr>
                <w:color w:val="000000"/>
                <w:sz w:val="28"/>
                <w:szCs w:val="28"/>
                <w:lang w:val="lv-LV"/>
              </w:rPr>
              <w:t xml:space="preserve"> (2013. </w:t>
            </w:r>
            <w:r w:rsidR="003B5156" w:rsidRPr="003A1F3A">
              <w:rPr>
                <w:color w:val="000000"/>
                <w:sz w:val="28"/>
                <w:szCs w:val="28"/>
                <w:lang w:val="lv-LV"/>
              </w:rPr>
              <w:t>g</w:t>
            </w:r>
            <w:r w:rsidR="00CC760F" w:rsidRPr="003A1F3A">
              <w:rPr>
                <w:color w:val="000000"/>
                <w:sz w:val="28"/>
                <w:szCs w:val="28"/>
                <w:lang w:val="lv-LV"/>
              </w:rPr>
              <w:t>adā</w:t>
            </w:r>
            <w:r w:rsidR="003B5156" w:rsidRPr="003A1F3A">
              <w:rPr>
                <w:color w:val="000000"/>
                <w:sz w:val="28"/>
                <w:szCs w:val="28"/>
                <w:lang w:val="lv-LV"/>
              </w:rPr>
              <w:t> </w:t>
            </w:r>
            <w:r w:rsidR="00CC760F" w:rsidRPr="003A1F3A">
              <w:rPr>
                <w:color w:val="000000"/>
                <w:sz w:val="28"/>
                <w:szCs w:val="28"/>
                <w:lang w:val="lv-LV"/>
              </w:rPr>
              <w:t>–</w:t>
            </w:r>
            <w:r w:rsidR="003B5156" w:rsidRPr="003A1F3A">
              <w:rPr>
                <w:color w:val="000000"/>
                <w:sz w:val="28"/>
                <w:szCs w:val="28"/>
                <w:lang w:val="lv-LV"/>
              </w:rPr>
              <w:t> </w:t>
            </w:r>
            <w:r w:rsidR="00CC760F" w:rsidRPr="003A1F3A">
              <w:rPr>
                <w:color w:val="000000"/>
                <w:sz w:val="28"/>
                <w:szCs w:val="28"/>
                <w:lang w:val="lv-LV"/>
              </w:rPr>
              <w:t xml:space="preserve">LVL </w:t>
            </w:r>
            <w:r w:rsidR="005F7A7A" w:rsidRPr="003A1F3A">
              <w:rPr>
                <w:color w:val="000000"/>
                <w:sz w:val="28"/>
                <w:szCs w:val="28"/>
                <w:lang w:val="lv-LV"/>
              </w:rPr>
              <w:t>50</w:t>
            </w:r>
            <w:r w:rsidR="00CC760F" w:rsidRPr="003A1F3A">
              <w:rPr>
                <w:color w:val="000000"/>
                <w:sz w:val="28"/>
                <w:szCs w:val="28"/>
                <w:lang w:val="lv-LV"/>
              </w:rPr>
              <w:t> </w:t>
            </w:r>
            <w:r w:rsidR="005F7A7A" w:rsidRPr="003A1F3A">
              <w:rPr>
                <w:color w:val="000000"/>
                <w:sz w:val="28"/>
                <w:szCs w:val="28"/>
                <w:lang w:val="lv-LV"/>
              </w:rPr>
              <w:t>7</w:t>
            </w:r>
            <w:r w:rsidR="00166D5C" w:rsidRPr="003A1F3A">
              <w:rPr>
                <w:color w:val="000000"/>
                <w:sz w:val="28"/>
                <w:szCs w:val="28"/>
                <w:lang w:val="lv-LV"/>
              </w:rPr>
              <w:t>8</w:t>
            </w:r>
            <w:r w:rsidR="005F7A7A" w:rsidRPr="003A1F3A">
              <w:rPr>
                <w:color w:val="000000"/>
                <w:sz w:val="28"/>
                <w:szCs w:val="28"/>
                <w:lang w:val="lv-LV"/>
              </w:rPr>
              <w:t>6</w:t>
            </w:r>
            <w:r w:rsidR="00CC760F" w:rsidRPr="003A1F3A">
              <w:rPr>
                <w:color w:val="000000"/>
                <w:sz w:val="28"/>
                <w:szCs w:val="28"/>
                <w:lang w:val="lv-LV"/>
              </w:rPr>
              <w:t>; 2014. gadā – LVL</w:t>
            </w:r>
            <w:r w:rsidR="003B5156" w:rsidRPr="003A1F3A">
              <w:rPr>
                <w:color w:val="000000"/>
                <w:sz w:val="28"/>
                <w:szCs w:val="28"/>
                <w:lang w:val="lv-LV"/>
              </w:rPr>
              <w:t> </w:t>
            </w:r>
            <w:r w:rsidR="005F7A7A" w:rsidRPr="003A1F3A">
              <w:rPr>
                <w:color w:val="000000"/>
                <w:sz w:val="28"/>
                <w:szCs w:val="28"/>
                <w:lang w:val="lv-LV"/>
              </w:rPr>
              <w:t>20</w:t>
            </w:r>
            <w:r w:rsidR="003B5156" w:rsidRPr="003A1F3A">
              <w:rPr>
                <w:color w:val="000000"/>
                <w:sz w:val="28"/>
                <w:szCs w:val="28"/>
                <w:lang w:val="lv-LV"/>
              </w:rPr>
              <w:t> </w:t>
            </w:r>
            <w:r w:rsidR="005F7A7A" w:rsidRPr="003A1F3A">
              <w:rPr>
                <w:color w:val="000000"/>
                <w:sz w:val="28"/>
                <w:szCs w:val="28"/>
                <w:lang w:val="lv-LV"/>
              </w:rPr>
              <w:t>050</w:t>
            </w:r>
            <w:r w:rsidR="00CC760F" w:rsidRPr="003A1F3A">
              <w:rPr>
                <w:color w:val="000000"/>
                <w:sz w:val="28"/>
                <w:szCs w:val="28"/>
                <w:lang w:val="lv-LV"/>
              </w:rPr>
              <w:t>)</w:t>
            </w:r>
            <w:r w:rsidRPr="003A1F3A">
              <w:rPr>
                <w:color w:val="000000"/>
                <w:sz w:val="28"/>
                <w:szCs w:val="28"/>
                <w:lang w:val="lv-LV"/>
              </w:rPr>
              <w:t>.</w:t>
            </w:r>
            <w:r w:rsidR="006655B5" w:rsidRPr="003A1F3A">
              <w:rPr>
                <w:color w:val="000000"/>
                <w:sz w:val="28"/>
                <w:szCs w:val="28"/>
                <w:lang w:val="lv-LV"/>
              </w:rPr>
              <w:t xml:space="preserve"> </w:t>
            </w:r>
            <w:r w:rsidR="00632ADF" w:rsidRPr="003A1F3A">
              <w:rPr>
                <w:color w:val="000000"/>
                <w:sz w:val="28"/>
                <w:szCs w:val="28"/>
                <w:lang w:val="lv-LV"/>
              </w:rPr>
              <w:t xml:space="preserve">Finanšu sadalījumā pa izmaksu veidiem gada griezumā </w:t>
            </w:r>
            <w:r w:rsidR="006655B5" w:rsidRPr="003A1F3A">
              <w:rPr>
                <w:color w:val="000000"/>
                <w:sz w:val="28"/>
                <w:szCs w:val="28"/>
                <w:lang w:val="lv-LV"/>
              </w:rPr>
              <w:t>ir indikatīvs un var mainīties atkarībā no</w:t>
            </w:r>
            <w:r w:rsidR="006655B5" w:rsidRPr="00181A09">
              <w:rPr>
                <w:color w:val="000000"/>
                <w:sz w:val="28"/>
                <w:szCs w:val="28"/>
                <w:lang w:val="lv-LV"/>
              </w:rPr>
              <w:t xml:space="preserve"> </w:t>
            </w:r>
            <w:r w:rsidR="00632ADF" w:rsidRPr="00181A09">
              <w:rPr>
                <w:color w:val="000000"/>
                <w:sz w:val="28"/>
                <w:szCs w:val="28"/>
                <w:lang w:val="lv-LV"/>
              </w:rPr>
              <w:t xml:space="preserve">tā, kad </w:t>
            </w:r>
            <w:r w:rsidR="006655B5" w:rsidRPr="00181A09">
              <w:rPr>
                <w:color w:val="000000"/>
                <w:sz w:val="28"/>
                <w:szCs w:val="28"/>
                <w:lang w:val="lv-LV"/>
              </w:rPr>
              <w:t>projekt</w:t>
            </w:r>
            <w:r w:rsidR="00632ADF" w:rsidRPr="00181A09">
              <w:rPr>
                <w:color w:val="000000"/>
                <w:sz w:val="28"/>
                <w:szCs w:val="28"/>
                <w:lang w:val="lv-LV"/>
              </w:rPr>
              <w:t>i</w:t>
            </w:r>
            <w:r w:rsidR="006655B5" w:rsidRPr="00181A09">
              <w:rPr>
                <w:color w:val="000000"/>
                <w:sz w:val="28"/>
                <w:szCs w:val="28"/>
                <w:lang w:val="lv-LV"/>
              </w:rPr>
              <w:t xml:space="preserve"> </w:t>
            </w:r>
            <w:r w:rsidR="00632ADF" w:rsidRPr="00181A09">
              <w:rPr>
                <w:color w:val="000000"/>
                <w:sz w:val="28"/>
                <w:szCs w:val="28"/>
                <w:lang w:val="lv-LV"/>
              </w:rPr>
              <w:t xml:space="preserve">tiks </w:t>
            </w:r>
            <w:r w:rsidR="006655B5" w:rsidRPr="00181A09">
              <w:rPr>
                <w:color w:val="000000"/>
                <w:sz w:val="28"/>
                <w:szCs w:val="28"/>
                <w:lang w:val="lv-LV"/>
              </w:rPr>
              <w:t>apstiprinā</w:t>
            </w:r>
            <w:r w:rsidR="00632ADF" w:rsidRPr="00181A09">
              <w:rPr>
                <w:color w:val="000000"/>
                <w:sz w:val="28"/>
                <w:szCs w:val="28"/>
                <w:lang w:val="lv-LV"/>
              </w:rPr>
              <w:t>ti Eiropas Komisijā un tiks uzsākta to īstenošana.</w:t>
            </w:r>
          </w:p>
          <w:p w:rsidR="003D7D0B" w:rsidRPr="00181A09" w:rsidRDefault="003D7D0B" w:rsidP="007A28D2">
            <w:pPr>
              <w:jc w:val="both"/>
              <w:rPr>
                <w:sz w:val="28"/>
                <w:szCs w:val="28"/>
                <w:lang w:val="lv-LV"/>
              </w:rPr>
            </w:pPr>
          </w:p>
          <w:p w:rsidR="0076513C" w:rsidRPr="003A1F3A" w:rsidRDefault="00F0229B" w:rsidP="00502B49">
            <w:pPr>
              <w:pStyle w:val="Pamatteksts"/>
              <w:tabs>
                <w:tab w:val="left" w:pos="3600"/>
              </w:tabs>
              <w:spacing w:after="0"/>
              <w:jc w:val="both"/>
              <w:rPr>
                <w:sz w:val="28"/>
                <w:szCs w:val="28"/>
                <w:lang w:val="lv-LV"/>
              </w:rPr>
            </w:pPr>
            <w:r w:rsidRPr="00181A09">
              <w:rPr>
                <w:color w:val="000000"/>
                <w:sz w:val="28"/>
                <w:szCs w:val="28"/>
                <w:lang w:val="lv-LV"/>
              </w:rPr>
              <w:t>Līdz ar to, kopā 201</w:t>
            </w:r>
            <w:r w:rsidR="00A06D2F" w:rsidRPr="00181A09">
              <w:rPr>
                <w:color w:val="000000"/>
                <w:sz w:val="28"/>
                <w:szCs w:val="28"/>
                <w:lang w:val="lv-LV"/>
              </w:rPr>
              <w:t>2</w:t>
            </w:r>
            <w:r w:rsidRPr="00181A09">
              <w:rPr>
                <w:color w:val="000000"/>
                <w:sz w:val="28"/>
                <w:szCs w:val="28"/>
                <w:lang w:val="lv-LV"/>
              </w:rPr>
              <w:t>.</w:t>
            </w:r>
            <w:r w:rsidR="00A06D2F" w:rsidRPr="00181A09">
              <w:rPr>
                <w:color w:val="000000"/>
                <w:sz w:val="28"/>
                <w:szCs w:val="28"/>
                <w:lang w:val="lv-LV"/>
              </w:rPr>
              <w:t>-201</w:t>
            </w:r>
            <w:r w:rsidR="00DB50C8" w:rsidRPr="00181A09">
              <w:rPr>
                <w:color w:val="000000"/>
                <w:sz w:val="28"/>
                <w:szCs w:val="28"/>
                <w:lang w:val="lv-LV"/>
              </w:rPr>
              <w:t>4</w:t>
            </w:r>
            <w:r w:rsidR="00A06D2F" w:rsidRPr="00181A09">
              <w:rPr>
                <w:color w:val="000000"/>
                <w:sz w:val="28"/>
                <w:szCs w:val="28"/>
                <w:lang w:val="lv-LV"/>
              </w:rPr>
              <w:t>. </w:t>
            </w:r>
            <w:r w:rsidRPr="00181A09">
              <w:rPr>
                <w:color w:val="000000"/>
                <w:sz w:val="28"/>
                <w:szCs w:val="28"/>
                <w:lang w:val="lv-LV"/>
              </w:rPr>
              <w:t>gadā</w:t>
            </w:r>
            <w:r w:rsidRPr="002518ED">
              <w:rPr>
                <w:color w:val="000000"/>
                <w:sz w:val="28"/>
                <w:szCs w:val="28"/>
                <w:lang w:val="lv-LV"/>
              </w:rPr>
              <w:t xml:space="preserve"> </w:t>
            </w:r>
            <w:r w:rsidR="00E71FCC" w:rsidRPr="002518ED">
              <w:rPr>
                <w:sz w:val="28"/>
                <w:szCs w:val="28"/>
                <w:u w:val="single"/>
                <w:lang w:val="lv-LV"/>
              </w:rPr>
              <w:t>projekt</w:t>
            </w:r>
            <w:r w:rsidR="00A06D2F" w:rsidRPr="002518ED">
              <w:rPr>
                <w:sz w:val="28"/>
                <w:szCs w:val="28"/>
                <w:u w:val="single"/>
                <w:lang w:val="lv-LV"/>
              </w:rPr>
              <w:t>u</w:t>
            </w:r>
            <w:r w:rsidR="00E71FCC" w:rsidRPr="002518ED">
              <w:rPr>
                <w:sz w:val="28"/>
                <w:szCs w:val="28"/>
                <w:u w:val="single"/>
                <w:lang w:val="lv-LV"/>
              </w:rPr>
              <w:t xml:space="preserve"> īstenošanai nepieciešamais </w:t>
            </w:r>
            <w:r w:rsidR="00F01BCE" w:rsidRPr="002518ED">
              <w:rPr>
                <w:sz w:val="28"/>
                <w:szCs w:val="28"/>
                <w:u w:val="single"/>
                <w:lang w:val="lv-LV"/>
              </w:rPr>
              <w:t xml:space="preserve">maksimālais </w:t>
            </w:r>
            <w:r w:rsidR="00E71FCC" w:rsidRPr="003A1F3A">
              <w:rPr>
                <w:sz w:val="28"/>
                <w:szCs w:val="28"/>
                <w:u w:val="single"/>
                <w:lang w:val="lv-LV"/>
              </w:rPr>
              <w:t>finansējuma apjoms</w:t>
            </w:r>
            <w:r w:rsidR="00D251A2" w:rsidRPr="003A1F3A">
              <w:rPr>
                <w:sz w:val="28"/>
                <w:szCs w:val="28"/>
                <w:u w:val="single"/>
                <w:lang w:val="lv-LV"/>
              </w:rPr>
              <w:t xml:space="preserve"> no valsts budžeta</w:t>
            </w:r>
            <w:r w:rsidR="00E71FCC" w:rsidRPr="003A1F3A">
              <w:rPr>
                <w:sz w:val="28"/>
                <w:szCs w:val="28"/>
                <w:u w:val="single"/>
                <w:lang w:val="lv-LV"/>
              </w:rPr>
              <w:t xml:space="preserve"> ir </w:t>
            </w:r>
            <w:r w:rsidR="00BA4A9E" w:rsidRPr="003A1F3A">
              <w:rPr>
                <w:b/>
                <w:sz w:val="28"/>
                <w:szCs w:val="28"/>
                <w:u w:val="single"/>
                <w:lang w:val="lv-LV"/>
              </w:rPr>
              <w:t>EUR</w:t>
            </w:r>
            <w:r w:rsidR="00BA4A9E" w:rsidRPr="003A1F3A">
              <w:rPr>
                <w:sz w:val="28"/>
                <w:szCs w:val="28"/>
                <w:u w:val="single"/>
                <w:lang w:val="lv-LV"/>
              </w:rPr>
              <w:t> </w:t>
            </w:r>
            <w:r w:rsidR="00BA4A9E" w:rsidRPr="003A1F3A">
              <w:rPr>
                <w:b/>
                <w:sz w:val="28"/>
                <w:szCs w:val="28"/>
                <w:u w:val="single"/>
                <w:lang w:val="lv-LV"/>
              </w:rPr>
              <w:t xml:space="preserve">317 627 </w:t>
            </w:r>
            <w:r w:rsidR="00BA4A9E" w:rsidRPr="003A1F3A">
              <w:rPr>
                <w:sz w:val="28"/>
                <w:szCs w:val="28"/>
                <w:u w:val="single"/>
                <w:lang w:val="lv-LV"/>
              </w:rPr>
              <w:t xml:space="preserve">jeb </w:t>
            </w:r>
            <w:r w:rsidR="00BA4A9E" w:rsidRPr="003A1F3A">
              <w:rPr>
                <w:b/>
                <w:sz w:val="28"/>
                <w:szCs w:val="28"/>
                <w:u w:val="single"/>
                <w:lang w:val="lv-LV"/>
              </w:rPr>
              <w:t>LVL 223 230</w:t>
            </w:r>
            <w:r w:rsidR="00225219" w:rsidRPr="003A1F3A">
              <w:rPr>
                <w:b/>
                <w:sz w:val="28"/>
                <w:szCs w:val="28"/>
                <w:u w:val="single"/>
                <w:lang w:val="lv-LV"/>
              </w:rPr>
              <w:t>.</w:t>
            </w:r>
            <w:r w:rsidR="00F01BCE" w:rsidRPr="003A1F3A">
              <w:rPr>
                <w:b/>
                <w:sz w:val="28"/>
                <w:szCs w:val="28"/>
                <w:lang w:val="lv-LV"/>
              </w:rPr>
              <w:t xml:space="preserve"> </w:t>
            </w:r>
            <w:r w:rsidR="0076513C" w:rsidRPr="003A1F3A">
              <w:rPr>
                <w:sz w:val="28"/>
                <w:szCs w:val="28"/>
                <w:lang w:val="lv-LV"/>
              </w:rPr>
              <w:t>Tajā skaitā:</w:t>
            </w:r>
          </w:p>
          <w:p w:rsidR="0076513C" w:rsidRPr="003A1F3A" w:rsidRDefault="0076513C" w:rsidP="00502B49">
            <w:pPr>
              <w:pStyle w:val="Pamatteksts"/>
              <w:tabs>
                <w:tab w:val="left" w:pos="3600"/>
              </w:tabs>
              <w:spacing w:after="0"/>
              <w:jc w:val="both"/>
              <w:rPr>
                <w:sz w:val="28"/>
                <w:szCs w:val="28"/>
                <w:lang w:val="lv-LV"/>
              </w:rPr>
            </w:pPr>
            <w:r w:rsidRPr="003A1F3A">
              <w:rPr>
                <w:sz w:val="28"/>
                <w:szCs w:val="28"/>
                <w:lang w:val="lv-LV"/>
              </w:rPr>
              <w:t xml:space="preserve">2012. gadā nepieciešami </w:t>
            </w:r>
            <w:r w:rsidR="009C0AAC" w:rsidRPr="003A1F3A">
              <w:rPr>
                <w:sz w:val="28"/>
                <w:szCs w:val="28"/>
                <w:lang w:val="lv-LV"/>
              </w:rPr>
              <w:t xml:space="preserve">LVL </w:t>
            </w:r>
            <w:r w:rsidR="00CF6166" w:rsidRPr="003A1F3A">
              <w:rPr>
                <w:sz w:val="28"/>
                <w:szCs w:val="28"/>
                <w:lang w:val="lv-LV"/>
              </w:rPr>
              <w:t>900</w:t>
            </w:r>
            <w:r w:rsidR="00DF7A4E" w:rsidRPr="003A1F3A">
              <w:rPr>
                <w:sz w:val="28"/>
                <w:szCs w:val="28"/>
                <w:lang w:val="lv-LV"/>
              </w:rPr>
              <w:t>;</w:t>
            </w:r>
          </w:p>
          <w:p w:rsidR="0076513C" w:rsidRPr="003A1F3A" w:rsidRDefault="0076513C" w:rsidP="00502B49">
            <w:pPr>
              <w:pStyle w:val="Pamatteksts"/>
              <w:tabs>
                <w:tab w:val="left" w:pos="3600"/>
              </w:tabs>
              <w:spacing w:after="0"/>
              <w:jc w:val="both"/>
              <w:rPr>
                <w:sz w:val="28"/>
                <w:szCs w:val="28"/>
                <w:lang w:val="lv-LV"/>
              </w:rPr>
            </w:pPr>
            <w:r w:rsidRPr="003A1F3A">
              <w:rPr>
                <w:sz w:val="28"/>
                <w:szCs w:val="28"/>
                <w:lang w:val="lv-LV"/>
              </w:rPr>
              <w:lastRenderedPageBreak/>
              <w:t>2013. gadā nepieciešami</w:t>
            </w:r>
            <w:r w:rsidR="009C0AAC" w:rsidRPr="003A1F3A">
              <w:rPr>
                <w:sz w:val="28"/>
                <w:szCs w:val="28"/>
                <w:lang w:val="lv-LV"/>
              </w:rPr>
              <w:t xml:space="preserve"> LVL </w:t>
            </w:r>
            <w:r w:rsidR="008E5937" w:rsidRPr="003A1F3A">
              <w:rPr>
                <w:sz w:val="28"/>
                <w:szCs w:val="28"/>
                <w:lang w:val="lv-LV"/>
              </w:rPr>
              <w:t>159</w:t>
            </w:r>
            <w:r w:rsidR="00676095" w:rsidRPr="003A1F3A">
              <w:rPr>
                <w:sz w:val="28"/>
                <w:szCs w:val="28"/>
                <w:lang w:val="lv-LV"/>
              </w:rPr>
              <w:t xml:space="preserve"> </w:t>
            </w:r>
            <w:r w:rsidR="008E5937" w:rsidRPr="003A1F3A">
              <w:rPr>
                <w:sz w:val="28"/>
                <w:szCs w:val="28"/>
                <w:lang w:val="lv-LV"/>
              </w:rPr>
              <w:t>650</w:t>
            </w:r>
            <w:r w:rsidR="00DF7A4E" w:rsidRPr="003A1F3A">
              <w:rPr>
                <w:sz w:val="28"/>
                <w:szCs w:val="28"/>
                <w:lang w:val="lv-LV"/>
              </w:rPr>
              <w:t>;</w:t>
            </w:r>
          </w:p>
          <w:p w:rsidR="0076513C" w:rsidRPr="008D371B" w:rsidRDefault="0076513C" w:rsidP="00502B49">
            <w:pPr>
              <w:pStyle w:val="Pamatteksts"/>
              <w:tabs>
                <w:tab w:val="left" w:pos="3600"/>
              </w:tabs>
              <w:spacing w:after="0"/>
              <w:jc w:val="both"/>
              <w:rPr>
                <w:sz w:val="28"/>
                <w:szCs w:val="28"/>
                <w:lang w:val="lv-LV"/>
              </w:rPr>
            </w:pPr>
            <w:r w:rsidRPr="003A1F3A">
              <w:rPr>
                <w:sz w:val="28"/>
                <w:szCs w:val="28"/>
                <w:lang w:val="lv-LV"/>
              </w:rPr>
              <w:t xml:space="preserve">2014. gadā nepieciešami </w:t>
            </w:r>
            <w:r w:rsidR="009C0AAC" w:rsidRPr="003A1F3A">
              <w:rPr>
                <w:sz w:val="28"/>
                <w:szCs w:val="28"/>
                <w:lang w:val="lv-LV"/>
              </w:rPr>
              <w:t>LVL</w:t>
            </w:r>
            <w:r w:rsidRPr="003A1F3A">
              <w:rPr>
                <w:sz w:val="28"/>
                <w:szCs w:val="28"/>
                <w:lang w:val="lv-LV"/>
              </w:rPr>
              <w:t xml:space="preserve"> </w:t>
            </w:r>
            <w:r w:rsidR="008E5937" w:rsidRPr="003A1F3A">
              <w:rPr>
                <w:sz w:val="28"/>
                <w:szCs w:val="28"/>
                <w:lang w:val="lv-LV"/>
              </w:rPr>
              <w:t>62</w:t>
            </w:r>
            <w:r w:rsidR="00A3166D" w:rsidRPr="003A1F3A">
              <w:rPr>
                <w:sz w:val="28"/>
                <w:szCs w:val="28"/>
                <w:lang w:val="lv-LV"/>
              </w:rPr>
              <w:t> </w:t>
            </w:r>
            <w:r w:rsidR="008E5937" w:rsidRPr="003A1F3A">
              <w:rPr>
                <w:sz w:val="28"/>
                <w:szCs w:val="28"/>
                <w:lang w:val="lv-LV"/>
              </w:rPr>
              <w:t>680</w:t>
            </w:r>
            <w:r w:rsidR="00A3166D" w:rsidRPr="003A1F3A">
              <w:rPr>
                <w:sz w:val="28"/>
                <w:szCs w:val="28"/>
                <w:lang w:val="lv-LV"/>
              </w:rPr>
              <w:t>.</w:t>
            </w:r>
          </w:p>
          <w:p w:rsidR="008C7BBD" w:rsidRPr="008D371B" w:rsidRDefault="008C7BBD" w:rsidP="00502B49">
            <w:pPr>
              <w:pStyle w:val="Pamatteksts"/>
              <w:tabs>
                <w:tab w:val="left" w:pos="3600"/>
              </w:tabs>
              <w:spacing w:after="0"/>
              <w:jc w:val="both"/>
              <w:rPr>
                <w:sz w:val="28"/>
                <w:szCs w:val="28"/>
                <w:lang w:val="lv-LV"/>
              </w:rPr>
            </w:pPr>
          </w:p>
          <w:p w:rsidR="008C7BBD" w:rsidRPr="003A1F3A" w:rsidRDefault="008C7BBD" w:rsidP="008C7BBD">
            <w:pPr>
              <w:jc w:val="both"/>
              <w:rPr>
                <w:sz w:val="28"/>
                <w:szCs w:val="28"/>
                <w:lang w:val="lv-LV"/>
              </w:rPr>
            </w:pPr>
            <w:r w:rsidRPr="008B2C59">
              <w:rPr>
                <w:sz w:val="28"/>
                <w:szCs w:val="28"/>
                <w:lang w:val="lv-LV"/>
              </w:rPr>
              <w:t xml:space="preserve">Finansējuma </w:t>
            </w:r>
            <w:r w:rsidRPr="003A1F3A">
              <w:rPr>
                <w:sz w:val="28"/>
                <w:szCs w:val="28"/>
                <w:lang w:val="lv-LV"/>
              </w:rPr>
              <w:t>sadalījums LVL pa Eiropas Komisijas īpašajām programmām ir šāds:</w:t>
            </w:r>
          </w:p>
          <w:p w:rsidR="008C7BBD" w:rsidRPr="003A1F3A" w:rsidRDefault="008C7BBD" w:rsidP="008C7BBD">
            <w:pPr>
              <w:pStyle w:val="Sarakstarindkopa"/>
              <w:numPr>
                <w:ilvl w:val="0"/>
                <w:numId w:val="9"/>
              </w:numPr>
              <w:spacing w:after="0" w:line="240" w:lineRule="auto"/>
              <w:ind w:left="714" w:hanging="357"/>
              <w:jc w:val="both"/>
              <w:rPr>
                <w:rFonts w:ascii="Times New Roman" w:hAnsi="Times New Roman"/>
                <w:sz w:val="28"/>
                <w:szCs w:val="28"/>
                <w:lang w:val="lv-LV"/>
              </w:rPr>
            </w:pPr>
            <w:r w:rsidRPr="003A1F3A">
              <w:rPr>
                <w:rFonts w:ascii="Times New Roman" w:hAnsi="Times New Roman"/>
                <w:sz w:val="28"/>
                <w:szCs w:val="28"/>
                <w:lang w:val="lv-LV"/>
              </w:rPr>
              <w:t>Krimināltiesības:</w:t>
            </w:r>
          </w:p>
          <w:p w:rsidR="008C7BBD" w:rsidRPr="003A1F3A" w:rsidRDefault="008C7BBD" w:rsidP="008C7BBD">
            <w:pPr>
              <w:pStyle w:val="Sarakstarindkopa"/>
              <w:numPr>
                <w:ilvl w:val="1"/>
                <w:numId w:val="9"/>
              </w:numPr>
              <w:spacing w:after="0" w:line="240" w:lineRule="auto"/>
              <w:ind w:left="1162" w:hanging="448"/>
              <w:jc w:val="both"/>
              <w:rPr>
                <w:rFonts w:ascii="Times New Roman" w:hAnsi="Times New Roman"/>
                <w:sz w:val="28"/>
                <w:szCs w:val="28"/>
                <w:lang w:val="lv-LV"/>
              </w:rPr>
            </w:pPr>
            <w:r w:rsidRPr="003A1F3A">
              <w:rPr>
                <w:rFonts w:ascii="Times New Roman" w:hAnsi="Times New Roman"/>
                <w:sz w:val="28"/>
                <w:szCs w:val="28"/>
                <w:lang w:val="lv-LV"/>
              </w:rPr>
              <w:t>EK piešķirtais finansējums – 300 094;</w:t>
            </w:r>
          </w:p>
          <w:p w:rsidR="008C7BBD" w:rsidRPr="003A1F3A" w:rsidRDefault="008C7BBD" w:rsidP="008C7BBD">
            <w:pPr>
              <w:pStyle w:val="Sarakstarindkopa"/>
              <w:numPr>
                <w:ilvl w:val="1"/>
                <w:numId w:val="9"/>
              </w:numPr>
              <w:spacing w:after="0" w:line="240" w:lineRule="auto"/>
              <w:ind w:left="1162" w:hanging="448"/>
              <w:jc w:val="both"/>
              <w:rPr>
                <w:rFonts w:ascii="Times New Roman" w:hAnsi="Times New Roman"/>
                <w:sz w:val="28"/>
                <w:szCs w:val="28"/>
                <w:lang w:val="lv-LV"/>
              </w:rPr>
            </w:pPr>
            <w:r w:rsidRPr="003A1F3A">
              <w:rPr>
                <w:rFonts w:ascii="Times New Roman" w:hAnsi="Times New Roman"/>
                <w:sz w:val="28"/>
                <w:szCs w:val="28"/>
                <w:lang w:val="lv-LV"/>
              </w:rPr>
              <w:t>Priekšfinansējums – 60 019;</w:t>
            </w:r>
          </w:p>
          <w:p w:rsidR="008C7BBD" w:rsidRPr="003A1F3A" w:rsidRDefault="008C7BBD" w:rsidP="008C7BBD">
            <w:pPr>
              <w:pStyle w:val="Sarakstarindkopa"/>
              <w:numPr>
                <w:ilvl w:val="1"/>
                <w:numId w:val="9"/>
              </w:numPr>
              <w:spacing w:after="0" w:line="240" w:lineRule="auto"/>
              <w:ind w:left="1162" w:hanging="448"/>
              <w:jc w:val="both"/>
              <w:rPr>
                <w:rFonts w:ascii="Times New Roman" w:hAnsi="Times New Roman"/>
                <w:sz w:val="28"/>
                <w:szCs w:val="28"/>
                <w:lang w:val="lv-LV"/>
              </w:rPr>
            </w:pPr>
            <w:r w:rsidRPr="003A1F3A">
              <w:rPr>
                <w:rFonts w:ascii="Times New Roman" w:hAnsi="Times New Roman"/>
                <w:sz w:val="28"/>
                <w:szCs w:val="28"/>
                <w:lang w:val="lv-LV"/>
              </w:rPr>
              <w:t>Līdzfinansējums – 75 024;</w:t>
            </w:r>
          </w:p>
          <w:p w:rsidR="008C7BBD" w:rsidRPr="003A1F3A" w:rsidRDefault="008B2C59" w:rsidP="008C7BBD">
            <w:pPr>
              <w:pStyle w:val="Sarakstarindkopa"/>
              <w:numPr>
                <w:ilvl w:val="1"/>
                <w:numId w:val="9"/>
              </w:numPr>
              <w:spacing w:after="0" w:line="240" w:lineRule="auto"/>
              <w:ind w:left="1162" w:hanging="448"/>
              <w:jc w:val="both"/>
              <w:rPr>
                <w:rFonts w:ascii="Times New Roman" w:hAnsi="Times New Roman"/>
                <w:sz w:val="28"/>
                <w:szCs w:val="28"/>
                <w:lang w:val="lv-LV"/>
              </w:rPr>
            </w:pPr>
            <w:r w:rsidRPr="003A1F3A">
              <w:rPr>
                <w:rFonts w:ascii="Times New Roman" w:hAnsi="Times New Roman"/>
                <w:sz w:val="28"/>
                <w:szCs w:val="28"/>
                <w:lang w:val="lv-LV"/>
              </w:rPr>
              <w:t xml:space="preserve">Neattiecināmās izmaksas (PVN) </w:t>
            </w:r>
            <w:r w:rsidR="008C7BBD" w:rsidRPr="003A1F3A">
              <w:rPr>
                <w:rFonts w:ascii="Times New Roman" w:hAnsi="Times New Roman"/>
                <w:sz w:val="28"/>
                <w:szCs w:val="28"/>
                <w:lang w:val="lv-LV"/>
              </w:rPr>
              <w:t xml:space="preserve">– 63 997. </w:t>
            </w:r>
          </w:p>
          <w:p w:rsidR="008C7BBD" w:rsidRPr="003A1F3A" w:rsidRDefault="008C7BBD" w:rsidP="008C7BBD">
            <w:pPr>
              <w:pStyle w:val="Sarakstarindkopa"/>
              <w:numPr>
                <w:ilvl w:val="0"/>
                <w:numId w:val="9"/>
              </w:numPr>
              <w:spacing w:after="0" w:line="240" w:lineRule="auto"/>
              <w:ind w:left="714" w:hanging="357"/>
              <w:jc w:val="both"/>
              <w:rPr>
                <w:sz w:val="28"/>
                <w:szCs w:val="28"/>
                <w:lang w:val="lv-LV"/>
              </w:rPr>
            </w:pPr>
            <w:r w:rsidRPr="003A1F3A">
              <w:rPr>
                <w:rFonts w:ascii="Times New Roman" w:hAnsi="Times New Roman"/>
                <w:sz w:val="28"/>
                <w:szCs w:val="28"/>
                <w:lang w:val="lv-LV"/>
              </w:rPr>
              <w:t>Daphne III:</w:t>
            </w:r>
          </w:p>
          <w:p w:rsidR="008C7BBD" w:rsidRPr="003A1F3A" w:rsidRDefault="008C7BBD" w:rsidP="008C7BBD">
            <w:pPr>
              <w:pStyle w:val="Sarakstarindkopa"/>
              <w:numPr>
                <w:ilvl w:val="1"/>
                <w:numId w:val="9"/>
              </w:numPr>
              <w:spacing w:after="0" w:line="240" w:lineRule="auto"/>
              <w:ind w:left="1162" w:hanging="448"/>
              <w:jc w:val="both"/>
              <w:rPr>
                <w:rFonts w:ascii="Times New Roman" w:hAnsi="Times New Roman"/>
                <w:sz w:val="28"/>
                <w:szCs w:val="28"/>
                <w:lang w:val="lv-LV"/>
              </w:rPr>
            </w:pPr>
            <w:r w:rsidRPr="003A1F3A">
              <w:rPr>
                <w:rFonts w:ascii="Times New Roman" w:hAnsi="Times New Roman"/>
                <w:sz w:val="28"/>
                <w:szCs w:val="28"/>
                <w:lang w:val="lv-LV"/>
              </w:rPr>
              <w:t>EK piešķirtais finansējums – 38 557;</w:t>
            </w:r>
          </w:p>
          <w:p w:rsidR="008C7BBD" w:rsidRPr="003A1F3A" w:rsidRDefault="008C7BBD" w:rsidP="008C7BBD">
            <w:pPr>
              <w:pStyle w:val="Sarakstarindkopa"/>
              <w:numPr>
                <w:ilvl w:val="1"/>
                <w:numId w:val="9"/>
              </w:numPr>
              <w:spacing w:after="0" w:line="240" w:lineRule="auto"/>
              <w:ind w:left="1162" w:hanging="448"/>
              <w:jc w:val="both"/>
              <w:rPr>
                <w:rFonts w:ascii="Times New Roman" w:hAnsi="Times New Roman"/>
                <w:sz w:val="28"/>
                <w:szCs w:val="28"/>
                <w:lang w:val="lv-LV"/>
              </w:rPr>
            </w:pPr>
            <w:r w:rsidRPr="003A1F3A">
              <w:rPr>
                <w:rFonts w:ascii="Times New Roman" w:hAnsi="Times New Roman"/>
                <w:sz w:val="28"/>
                <w:szCs w:val="28"/>
                <w:lang w:val="lv-LV"/>
              </w:rPr>
              <w:t>Priekšfinansējums – 7 712;</w:t>
            </w:r>
          </w:p>
          <w:p w:rsidR="005A495A" w:rsidRPr="003A1F3A" w:rsidRDefault="008C7BBD" w:rsidP="008C7BBD">
            <w:pPr>
              <w:pStyle w:val="Sarakstarindkopa"/>
              <w:numPr>
                <w:ilvl w:val="1"/>
                <w:numId w:val="9"/>
              </w:numPr>
              <w:tabs>
                <w:tab w:val="left" w:pos="3600"/>
              </w:tabs>
              <w:spacing w:after="0" w:line="240" w:lineRule="auto"/>
              <w:ind w:left="1162" w:hanging="448"/>
              <w:jc w:val="both"/>
              <w:rPr>
                <w:rFonts w:ascii="Times New Roman" w:hAnsi="Times New Roman"/>
                <w:sz w:val="28"/>
                <w:szCs w:val="28"/>
                <w:lang w:val="lv-LV"/>
              </w:rPr>
            </w:pPr>
            <w:r w:rsidRPr="003A1F3A">
              <w:rPr>
                <w:rFonts w:ascii="Times New Roman" w:hAnsi="Times New Roman"/>
                <w:sz w:val="28"/>
                <w:szCs w:val="28"/>
                <w:lang w:val="lv-LV"/>
              </w:rPr>
              <w:t>Līdzfinansējums – 9</w:t>
            </w:r>
            <w:r w:rsidR="005A495A" w:rsidRPr="003A1F3A">
              <w:rPr>
                <w:rFonts w:ascii="Times New Roman" w:hAnsi="Times New Roman"/>
                <w:sz w:val="28"/>
                <w:szCs w:val="28"/>
                <w:lang w:val="lv-LV"/>
              </w:rPr>
              <w:t> </w:t>
            </w:r>
            <w:r w:rsidRPr="003A1F3A">
              <w:rPr>
                <w:rFonts w:ascii="Times New Roman" w:hAnsi="Times New Roman"/>
                <w:sz w:val="28"/>
                <w:szCs w:val="28"/>
                <w:lang w:val="lv-LV"/>
              </w:rPr>
              <w:t>639;</w:t>
            </w:r>
          </w:p>
          <w:p w:rsidR="008C7BBD" w:rsidRPr="003A1F3A" w:rsidRDefault="008B2C59" w:rsidP="008C7BBD">
            <w:pPr>
              <w:pStyle w:val="Sarakstarindkopa"/>
              <w:numPr>
                <w:ilvl w:val="1"/>
                <w:numId w:val="9"/>
              </w:numPr>
              <w:tabs>
                <w:tab w:val="left" w:pos="3600"/>
              </w:tabs>
              <w:spacing w:after="0" w:line="240" w:lineRule="auto"/>
              <w:ind w:left="1162" w:hanging="448"/>
              <w:jc w:val="both"/>
              <w:rPr>
                <w:rFonts w:ascii="Times New Roman" w:hAnsi="Times New Roman"/>
                <w:sz w:val="28"/>
                <w:szCs w:val="28"/>
                <w:lang w:val="lv-LV"/>
              </w:rPr>
            </w:pPr>
            <w:r w:rsidRPr="003A1F3A">
              <w:rPr>
                <w:rFonts w:ascii="Times New Roman" w:hAnsi="Times New Roman"/>
                <w:sz w:val="28"/>
                <w:szCs w:val="28"/>
                <w:lang w:val="lv-LV"/>
              </w:rPr>
              <w:t xml:space="preserve">Neattiecināmās izmaksas (PVN) </w:t>
            </w:r>
            <w:r w:rsidR="008C7BBD" w:rsidRPr="003A1F3A">
              <w:rPr>
                <w:rFonts w:ascii="Times New Roman" w:hAnsi="Times New Roman"/>
                <w:sz w:val="28"/>
                <w:szCs w:val="28"/>
                <w:lang w:val="lv-LV"/>
              </w:rPr>
              <w:t>– 6 839.</w:t>
            </w:r>
          </w:p>
          <w:p w:rsidR="008C7BBD" w:rsidRPr="003A1F3A" w:rsidRDefault="008C7BBD" w:rsidP="00502B49">
            <w:pPr>
              <w:pStyle w:val="Pamatteksts"/>
              <w:tabs>
                <w:tab w:val="left" w:pos="3600"/>
              </w:tabs>
              <w:spacing w:after="0"/>
              <w:jc w:val="both"/>
              <w:rPr>
                <w:sz w:val="28"/>
                <w:szCs w:val="28"/>
                <w:lang w:val="lv-LV"/>
              </w:rPr>
            </w:pPr>
          </w:p>
          <w:p w:rsidR="00CC2304" w:rsidRDefault="00CC6FCF" w:rsidP="0057004F">
            <w:pPr>
              <w:pStyle w:val="Pamatteksts"/>
              <w:tabs>
                <w:tab w:val="left" w:pos="3600"/>
              </w:tabs>
              <w:spacing w:after="0"/>
              <w:jc w:val="both"/>
              <w:rPr>
                <w:sz w:val="28"/>
                <w:szCs w:val="28"/>
                <w:lang w:val="lv-LV"/>
              </w:rPr>
            </w:pPr>
            <w:r w:rsidRPr="003A1F3A">
              <w:rPr>
                <w:sz w:val="28"/>
                <w:szCs w:val="28"/>
                <w:lang w:val="lv-LV"/>
              </w:rPr>
              <w:t>Projekta apstiprināšanas gaitas ietvaros un īstenošanas laikā līdzfinansējuma un priekšfinansējuma apjoms var samazināties. Finansējuma</w:t>
            </w:r>
            <w:r w:rsidR="00DA755F" w:rsidRPr="00182048">
              <w:rPr>
                <w:sz w:val="28"/>
                <w:szCs w:val="28"/>
                <w:lang w:val="lv-LV"/>
              </w:rPr>
              <w:t xml:space="preserve"> apmērs </w:t>
            </w:r>
            <w:r w:rsidRPr="00182048">
              <w:rPr>
                <w:sz w:val="28"/>
                <w:szCs w:val="28"/>
                <w:lang w:val="lv-LV"/>
              </w:rPr>
              <w:t xml:space="preserve">šobrīd </w:t>
            </w:r>
            <w:r w:rsidR="00DA755F" w:rsidRPr="00182048">
              <w:rPr>
                <w:sz w:val="28"/>
                <w:szCs w:val="28"/>
                <w:lang w:val="lv-LV"/>
              </w:rPr>
              <w:t>aprēķināts projekt</w:t>
            </w:r>
            <w:r w:rsidR="00E27848" w:rsidRPr="00182048">
              <w:rPr>
                <w:sz w:val="28"/>
                <w:szCs w:val="28"/>
                <w:lang w:val="lv-LV"/>
              </w:rPr>
              <w:t>u</w:t>
            </w:r>
            <w:r w:rsidR="00DA755F" w:rsidRPr="00182048">
              <w:rPr>
                <w:sz w:val="28"/>
                <w:szCs w:val="28"/>
                <w:lang w:val="lv-LV"/>
              </w:rPr>
              <w:t xml:space="preserve"> iesnieguma līmenī un varētu tikt precizēts</w:t>
            </w:r>
            <w:r w:rsidR="00FD3AB8" w:rsidRPr="00182048">
              <w:rPr>
                <w:sz w:val="28"/>
                <w:szCs w:val="28"/>
                <w:lang w:val="lv-LV"/>
              </w:rPr>
              <w:t xml:space="preserve"> (samazināts), ja kāds no projektu iesniegumiem netiks apstiprināts vai Eiropas Komisija lūgs samazināt tā plānoto budžetu</w:t>
            </w:r>
            <w:r w:rsidR="00DA755F" w:rsidRPr="00182048">
              <w:rPr>
                <w:sz w:val="28"/>
                <w:szCs w:val="28"/>
                <w:lang w:val="lv-LV"/>
              </w:rPr>
              <w:t>.</w:t>
            </w:r>
          </w:p>
          <w:p w:rsidR="003A1F3A" w:rsidRPr="0057004F" w:rsidRDefault="003A1F3A" w:rsidP="0057004F">
            <w:pPr>
              <w:pStyle w:val="Pamatteksts"/>
              <w:tabs>
                <w:tab w:val="left" w:pos="3600"/>
              </w:tabs>
              <w:spacing w:after="0"/>
              <w:jc w:val="both"/>
              <w:rPr>
                <w:sz w:val="28"/>
                <w:szCs w:val="28"/>
                <w:lang w:val="lv-LV"/>
              </w:rPr>
            </w:pPr>
          </w:p>
        </w:tc>
      </w:tr>
      <w:tr w:rsidR="00F0229B"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lastRenderedPageBreak/>
              <w:t xml:space="preserve"> 6.1. </w:t>
            </w:r>
          </w:p>
        </w:tc>
        <w:tc>
          <w:tcPr>
            <w:tcW w:w="1802" w:type="dxa"/>
            <w:gridSpan w:val="2"/>
            <w:tcBorders>
              <w:top w:val="outset" w:sz="6" w:space="0" w:color="000000"/>
              <w:left w:val="single" w:sz="4" w:space="0" w:color="auto"/>
              <w:bottom w:val="outset" w:sz="6" w:space="0" w:color="000000"/>
              <w:right w:val="outset" w:sz="6" w:space="0" w:color="000000"/>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detalizēts ieņēmumu aprēķins</w:t>
            </w:r>
          </w:p>
        </w:tc>
        <w:tc>
          <w:tcPr>
            <w:tcW w:w="6819" w:type="dxa"/>
            <w:gridSpan w:val="5"/>
            <w:vMerge/>
            <w:tcBorders>
              <w:top w:val="outset" w:sz="6" w:space="0" w:color="000000"/>
              <w:left w:val="outset" w:sz="6" w:space="0" w:color="000000"/>
              <w:bottom w:val="outset" w:sz="6" w:space="0" w:color="000000"/>
            </w:tcBorders>
            <w:vAlign w:val="center"/>
          </w:tcPr>
          <w:p w:rsidR="00F0229B" w:rsidRPr="00182048" w:rsidRDefault="00F0229B" w:rsidP="00B913F6">
            <w:pPr>
              <w:rPr>
                <w:sz w:val="28"/>
                <w:szCs w:val="28"/>
                <w:lang w:val="lv-LV"/>
              </w:rPr>
            </w:pPr>
          </w:p>
        </w:tc>
      </w:tr>
      <w:tr w:rsidR="00F0229B" w:rsidRPr="003A31D5"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 xml:space="preserve"> 6.2. </w:t>
            </w:r>
          </w:p>
        </w:tc>
        <w:tc>
          <w:tcPr>
            <w:tcW w:w="1802" w:type="dxa"/>
            <w:gridSpan w:val="2"/>
            <w:tcBorders>
              <w:top w:val="outset" w:sz="6" w:space="0" w:color="000000"/>
              <w:left w:val="single" w:sz="4" w:space="0" w:color="auto"/>
              <w:bottom w:val="outset" w:sz="6" w:space="0" w:color="000000"/>
              <w:right w:val="outset" w:sz="6" w:space="0" w:color="000000"/>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detalizēts izdevumu aprēķins</w:t>
            </w:r>
          </w:p>
        </w:tc>
        <w:tc>
          <w:tcPr>
            <w:tcW w:w="6819" w:type="dxa"/>
            <w:gridSpan w:val="5"/>
            <w:vMerge/>
            <w:tcBorders>
              <w:top w:val="outset" w:sz="6" w:space="0" w:color="000000"/>
              <w:left w:val="outset" w:sz="6" w:space="0" w:color="000000"/>
              <w:bottom w:val="outset" w:sz="6" w:space="0" w:color="000000"/>
            </w:tcBorders>
            <w:vAlign w:val="center"/>
          </w:tcPr>
          <w:p w:rsidR="00F0229B" w:rsidRPr="00182048" w:rsidRDefault="00F0229B" w:rsidP="00B913F6">
            <w:pPr>
              <w:rPr>
                <w:sz w:val="28"/>
                <w:szCs w:val="28"/>
                <w:lang w:val="lv-LV"/>
              </w:rPr>
            </w:pPr>
          </w:p>
        </w:tc>
      </w:tr>
      <w:tr w:rsidR="00F0229B" w:rsidRPr="00804300" w:rsidTr="00DA755F">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480" w:type="dxa"/>
            <w:tcBorders>
              <w:top w:val="outset" w:sz="6" w:space="0" w:color="000000"/>
              <w:bottom w:val="outset" w:sz="6" w:space="0" w:color="000000"/>
              <w:right w:val="single" w:sz="4" w:space="0" w:color="auto"/>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lastRenderedPageBreak/>
              <w:t xml:space="preserve"> 7. </w:t>
            </w:r>
          </w:p>
        </w:tc>
        <w:tc>
          <w:tcPr>
            <w:tcW w:w="1802" w:type="dxa"/>
            <w:gridSpan w:val="2"/>
            <w:tcBorders>
              <w:top w:val="outset" w:sz="6" w:space="0" w:color="000000"/>
              <w:left w:val="single" w:sz="4" w:space="0" w:color="auto"/>
              <w:bottom w:val="outset" w:sz="6" w:space="0" w:color="000000"/>
              <w:right w:val="outset" w:sz="6" w:space="0" w:color="000000"/>
            </w:tcBorders>
          </w:tcPr>
          <w:p w:rsidR="00F0229B" w:rsidRPr="003A31D5" w:rsidRDefault="00F0229B" w:rsidP="00B913F6">
            <w:pPr>
              <w:spacing w:before="100" w:beforeAutospacing="1" w:after="100" w:afterAutospacing="1"/>
              <w:rPr>
                <w:sz w:val="28"/>
                <w:szCs w:val="28"/>
                <w:lang w:val="lv-LV"/>
              </w:rPr>
            </w:pPr>
            <w:r w:rsidRPr="003A31D5">
              <w:rPr>
                <w:sz w:val="28"/>
                <w:szCs w:val="28"/>
                <w:lang w:val="lv-LV"/>
              </w:rPr>
              <w:t>Cita informācija</w:t>
            </w:r>
          </w:p>
        </w:tc>
        <w:tc>
          <w:tcPr>
            <w:tcW w:w="6819" w:type="dxa"/>
            <w:gridSpan w:val="5"/>
            <w:tcBorders>
              <w:top w:val="outset" w:sz="6" w:space="0" w:color="000000"/>
              <w:left w:val="outset" w:sz="6" w:space="0" w:color="000000"/>
              <w:bottom w:val="outset" w:sz="6" w:space="0" w:color="000000"/>
            </w:tcBorders>
          </w:tcPr>
          <w:p w:rsidR="006B79C8" w:rsidRPr="00181A09" w:rsidRDefault="0057004F" w:rsidP="006B79C8">
            <w:pPr>
              <w:jc w:val="both"/>
              <w:rPr>
                <w:sz w:val="28"/>
                <w:szCs w:val="28"/>
                <w:lang w:val="lv-LV"/>
              </w:rPr>
            </w:pPr>
            <w:r w:rsidRPr="00181A09">
              <w:rPr>
                <w:sz w:val="28"/>
                <w:szCs w:val="28"/>
                <w:lang w:val="lv-LV"/>
              </w:rPr>
              <w:t>2015.</w:t>
            </w:r>
            <w:r w:rsidR="00245133" w:rsidRPr="00181A09">
              <w:rPr>
                <w:sz w:val="28"/>
                <w:szCs w:val="28"/>
                <w:lang w:val="lv-LV"/>
              </w:rPr>
              <w:t> </w:t>
            </w:r>
            <w:r w:rsidRPr="00181A09">
              <w:rPr>
                <w:sz w:val="28"/>
                <w:szCs w:val="28"/>
                <w:lang w:val="lv-LV"/>
              </w:rPr>
              <w:t xml:space="preserve">gadā plānota projekta īstenotāja </w:t>
            </w:r>
            <w:r w:rsidRPr="003A1F3A">
              <w:rPr>
                <w:sz w:val="28"/>
                <w:szCs w:val="28"/>
                <w:lang w:val="lv-LV"/>
              </w:rPr>
              <w:t>veiktā priekšfinansējuma atmaksa valsts pamatbudžetā LVL 6</w:t>
            </w:r>
            <w:r w:rsidR="00142AC5" w:rsidRPr="003A1F3A">
              <w:rPr>
                <w:sz w:val="28"/>
                <w:szCs w:val="28"/>
                <w:lang w:val="lv-LV"/>
              </w:rPr>
              <w:t>7</w:t>
            </w:r>
            <w:r w:rsidRPr="003A1F3A">
              <w:rPr>
                <w:sz w:val="28"/>
                <w:szCs w:val="28"/>
                <w:lang w:val="lv-LV"/>
              </w:rPr>
              <w:t> </w:t>
            </w:r>
            <w:r w:rsidR="00142AC5" w:rsidRPr="003A1F3A">
              <w:rPr>
                <w:sz w:val="28"/>
                <w:szCs w:val="28"/>
                <w:lang w:val="lv-LV"/>
              </w:rPr>
              <w:t>73</w:t>
            </w:r>
            <w:r w:rsidR="003D0AFC" w:rsidRPr="003A1F3A">
              <w:rPr>
                <w:sz w:val="28"/>
                <w:szCs w:val="28"/>
                <w:lang w:val="lv-LV"/>
              </w:rPr>
              <w:t>1</w:t>
            </w:r>
            <w:r w:rsidRPr="003A1F3A">
              <w:rPr>
                <w:sz w:val="28"/>
                <w:szCs w:val="28"/>
                <w:lang w:val="lv-LV"/>
              </w:rPr>
              <w:t xml:space="preserve"> apmērā. Saskaņā ar EK programmu projektu atklāto iesniegumu konkursa noteikumiem priekšfinans</w:t>
            </w:r>
            <w:r w:rsidRPr="00181A09">
              <w:rPr>
                <w:sz w:val="28"/>
                <w:szCs w:val="28"/>
                <w:lang w:val="lv-LV"/>
              </w:rPr>
              <w:t>ējums kā gala maksājums tiks atmaksāts pēc noslēguma ziņojuma un finanšu pārskata saņemšanas un apstiprināšanas Eiropas Komisijā. Projekta īstenotājs minētos līdzekļus saņems kā ārvalstu finanšu  palīdzību un veiks atmaksu valsts budžetā.</w:t>
            </w:r>
          </w:p>
          <w:p w:rsidR="0028098A" w:rsidRDefault="00F0229B" w:rsidP="006B79C8">
            <w:pPr>
              <w:jc w:val="both"/>
              <w:rPr>
                <w:sz w:val="28"/>
                <w:szCs w:val="28"/>
                <w:lang w:val="lv-LV"/>
              </w:rPr>
            </w:pPr>
            <w:r w:rsidRPr="00181A09">
              <w:rPr>
                <w:sz w:val="28"/>
                <w:szCs w:val="28"/>
                <w:lang w:val="lv-LV"/>
              </w:rPr>
              <w:t>Papildus nepieciešamais</w:t>
            </w:r>
            <w:bookmarkStart w:id="13" w:name="_GoBack"/>
            <w:bookmarkEnd w:id="13"/>
            <w:r w:rsidRPr="00181A09">
              <w:rPr>
                <w:sz w:val="28"/>
                <w:szCs w:val="28"/>
                <w:lang w:val="lv-LV"/>
              </w:rPr>
              <w:t xml:space="preserve"> finansējums tiks nodrošināts</w:t>
            </w:r>
            <w:r w:rsidR="00D251A2" w:rsidRPr="00181A09">
              <w:rPr>
                <w:sz w:val="28"/>
                <w:szCs w:val="28"/>
                <w:lang w:val="lv-LV"/>
              </w:rPr>
              <w:t>,</w:t>
            </w:r>
            <w:r w:rsidRPr="00181A09">
              <w:rPr>
                <w:sz w:val="28"/>
                <w:szCs w:val="28"/>
                <w:lang w:val="lv-LV"/>
              </w:rPr>
              <w:t xml:space="preserve"> veicot līdzekļu pārdali no 74.</w:t>
            </w:r>
            <w:r w:rsidR="002079EA" w:rsidRPr="00181A09">
              <w:rPr>
                <w:sz w:val="28"/>
                <w:szCs w:val="28"/>
                <w:lang w:val="lv-LV"/>
              </w:rPr>
              <w:t> </w:t>
            </w:r>
            <w:r w:rsidRPr="00181A09">
              <w:rPr>
                <w:sz w:val="28"/>
                <w:szCs w:val="28"/>
                <w:lang w:val="lv-LV"/>
              </w:rPr>
              <w:t>resora „Gadskārtējā valsts budžeta izpildes procesā pārdalāmais finansējums” 80.00.00 programmas „Nesadalītais finansējums Eiropas</w:t>
            </w:r>
            <w:r w:rsidRPr="00182048">
              <w:rPr>
                <w:sz w:val="28"/>
                <w:szCs w:val="28"/>
                <w:lang w:val="lv-LV"/>
              </w:rPr>
              <w:t xml:space="preserve"> Savienības politiku instrumentu un pārējās ārvalstu finanšu palīdzības projektu un pasākumu īstenošanai” uz Tieslietu ministrijas programm</w:t>
            </w:r>
            <w:r w:rsidR="00700D2A" w:rsidRPr="00182048">
              <w:rPr>
                <w:sz w:val="28"/>
                <w:szCs w:val="28"/>
                <w:lang w:val="lv-LV"/>
              </w:rPr>
              <w:t>u</w:t>
            </w:r>
            <w:r w:rsidRPr="00182048">
              <w:rPr>
                <w:sz w:val="28"/>
                <w:szCs w:val="28"/>
                <w:lang w:val="lv-LV"/>
              </w:rPr>
              <w:t xml:space="preserve"> atbilstoši Ministru kabineta 2010.</w:t>
            </w:r>
            <w:r w:rsidR="002079EA" w:rsidRPr="00182048">
              <w:rPr>
                <w:sz w:val="28"/>
                <w:szCs w:val="28"/>
                <w:lang w:val="lv-LV"/>
              </w:rPr>
              <w:t> </w:t>
            </w:r>
            <w:r w:rsidRPr="00182048">
              <w:rPr>
                <w:sz w:val="28"/>
                <w:szCs w:val="28"/>
                <w:lang w:val="lv-LV"/>
              </w:rPr>
              <w:t>gada 18.</w:t>
            </w:r>
            <w:r w:rsidR="002079EA" w:rsidRPr="00182048">
              <w:rPr>
                <w:sz w:val="28"/>
                <w:szCs w:val="28"/>
                <w:lang w:val="lv-LV"/>
              </w:rPr>
              <w:t> </w:t>
            </w:r>
            <w:r w:rsidRPr="00182048">
              <w:rPr>
                <w:sz w:val="28"/>
                <w:szCs w:val="28"/>
                <w:lang w:val="lv-LV"/>
              </w:rPr>
              <w:t>maija noteikumos Nr.</w:t>
            </w:r>
            <w:r w:rsidR="002079EA" w:rsidRPr="00182048">
              <w:rPr>
                <w:sz w:val="28"/>
                <w:szCs w:val="28"/>
                <w:lang w:val="lv-LV"/>
              </w:rPr>
              <w:t> </w:t>
            </w:r>
            <w:r w:rsidRPr="00182048">
              <w:rPr>
                <w:sz w:val="28"/>
                <w:szCs w:val="28"/>
                <w:lang w:val="lv-LV"/>
              </w:rPr>
              <w:t xml:space="preserve">464 „Noteikumi par 74.resora „Gadskārtējā valsts budžeta izpildes procesā pārdalāmais finansējums” 80.00.00 programmā plānoto līdzekļu </w:t>
            </w:r>
            <w:r w:rsidRPr="00182048">
              <w:rPr>
                <w:sz w:val="28"/>
                <w:szCs w:val="28"/>
                <w:lang w:val="lv-LV"/>
              </w:rPr>
              <w:lastRenderedPageBreak/>
              <w:t>pārdales kārtību Eiropas Savienības politiku instrumentu un pārejās ārvalstu finanšu palīdzības līdzfinansēto projektu un pasākumu īstenošanai” noteiktajam</w:t>
            </w:r>
            <w:r w:rsidR="00DF6DEC" w:rsidRPr="00182048">
              <w:rPr>
                <w:sz w:val="28"/>
                <w:szCs w:val="28"/>
                <w:lang w:val="lv-LV"/>
              </w:rPr>
              <w:t>.</w:t>
            </w:r>
          </w:p>
          <w:p w:rsidR="003A1F3A" w:rsidRPr="00182048" w:rsidRDefault="003A1F3A" w:rsidP="006B79C8">
            <w:pPr>
              <w:jc w:val="both"/>
              <w:rPr>
                <w:sz w:val="28"/>
                <w:szCs w:val="28"/>
                <w:lang w:val="lv-LV"/>
              </w:rPr>
            </w:pPr>
          </w:p>
        </w:tc>
      </w:tr>
    </w:tbl>
    <w:p w:rsidR="0054558D" w:rsidRPr="003A31D5" w:rsidRDefault="007A1372" w:rsidP="007A1372">
      <w:pPr>
        <w:pStyle w:val="naisf"/>
        <w:spacing w:before="0" w:after="0"/>
        <w:rPr>
          <w:sz w:val="28"/>
          <w:szCs w:val="28"/>
          <w:lang w:val="lv-LV"/>
        </w:rPr>
      </w:pPr>
      <w:r w:rsidRPr="003A31D5">
        <w:rPr>
          <w:sz w:val="28"/>
          <w:szCs w:val="28"/>
          <w:lang w:val="lv-LV"/>
        </w:rPr>
        <w:lastRenderedPageBreak/>
        <w:t>Anotācijas</w:t>
      </w:r>
      <w:r w:rsidRPr="003A31D5">
        <w:rPr>
          <w:b/>
          <w:sz w:val="28"/>
          <w:szCs w:val="28"/>
          <w:lang w:val="lv-LV"/>
        </w:rPr>
        <w:t xml:space="preserve"> II, IV</w:t>
      </w:r>
      <w:r w:rsidR="001A25DB" w:rsidRPr="003A31D5">
        <w:rPr>
          <w:b/>
          <w:sz w:val="28"/>
          <w:szCs w:val="28"/>
          <w:lang w:val="lv-LV"/>
        </w:rPr>
        <w:t xml:space="preserve">, </w:t>
      </w:r>
      <w:r w:rsidRPr="003A31D5">
        <w:rPr>
          <w:b/>
          <w:sz w:val="28"/>
          <w:szCs w:val="28"/>
          <w:lang w:val="lv-LV"/>
        </w:rPr>
        <w:t>V</w:t>
      </w:r>
      <w:r w:rsidR="001A25DB" w:rsidRPr="003A31D5">
        <w:rPr>
          <w:b/>
          <w:sz w:val="28"/>
          <w:szCs w:val="28"/>
          <w:lang w:val="lv-LV"/>
        </w:rPr>
        <w:t>, VI un VII</w:t>
      </w:r>
      <w:r w:rsidRPr="003A31D5">
        <w:rPr>
          <w:b/>
          <w:sz w:val="28"/>
          <w:szCs w:val="28"/>
          <w:lang w:val="lv-LV"/>
        </w:rPr>
        <w:t xml:space="preserve"> sadaļa </w:t>
      </w:r>
      <w:r w:rsidRPr="003A31D5">
        <w:rPr>
          <w:sz w:val="28"/>
          <w:szCs w:val="28"/>
          <w:lang w:val="lv-LV"/>
        </w:rPr>
        <w:t>– projekts šo jomu neskar</w:t>
      </w:r>
    </w:p>
    <w:p w:rsidR="00FE759A" w:rsidRDefault="00FE759A" w:rsidP="009F22C6">
      <w:pPr>
        <w:pStyle w:val="Pamattekstsaratkpi"/>
        <w:tabs>
          <w:tab w:val="left" w:pos="7440"/>
        </w:tabs>
        <w:ind w:firstLine="0"/>
        <w:jc w:val="left"/>
        <w:rPr>
          <w:szCs w:val="28"/>
        </w:rPr>
      </w:pPr>
    </w:p>
    <w:p w:rsidR="001A25DB" w:rsidRPr="003A31D5" w:rsidRDefault="003A2BEA" w:rsidP="009F22C6">
      <w:pPr>
        <w:pStyle w:val="Pamattekstsaratkpi"/>
        <w:tabs>
          <w:tab w:val="left" w:pos="7440"/>
        </w:tabs>
        <w:ind w:firstLine="0"/>
        <w:jc w:val="left"/>
        <w:rPr>
          <w:szCs w:val="28"/>
        </w:rPr>
      </w:pPr>
      <w:r w:rsidRPr="003A31D5">
        <w:rPr>
          <w:szCs w:val="28"/>
        </w:rPr>
        <w:t>Tiesl</w:t>
      </w:r>
      <w:r w:rsidR="00251109" w:rsidRPr="003A31D5">
        <w:rPr>
          <w:szCs w:val="28"/>
        </w:rPr>
        <w:t xml:space="preserve">ietu </w:t>
      </w:r>
      <w:r w:rsidRPr="003A31D5">
        <w:rPr>
          <w:szCs w:val="28"/>
        </w:rPr>
        <w:t>ministr</w:t>
      </w:r>
      <w:r w:rsidR="00251109" w:rsidRPr="003A31D5">
        <w:rPr>
          <w:szCs w:val="28"/>
        </w:rPr>
        <w:t>s</w:t>
      </w:r>
      <w:r w:rsidR="009F22C6">
        <w:rPr>
          <w:szCs w:val="28"/>
        </w:rPr>
        <w:tab/>
      </w:r>
      <w:r w:rsidR="004D4A8C">
        <w:rPr>
          <w:szCs w:val="28"/>
        </w:rPr>
        <w:t>J.</w:t>
      </w:r>
      <w:r w:rsidR="00412AEB">
        <w:rPr>
          <w:szCs w:val="28"/>
        </w:rPr>
        <w:t xml:space="preserve"> </w:t>
      </w:r>
      <w:r w:rsidR="004D4A8C">
        <w:rPr>
          <w:szCs w:val="28"/>
        </w:rPr>
        <w:t>Bordāns</w:t>
      </w:r>
    </w:p>
    <w:p w:rsidR="002B2370" w:rsidRDefault="002B2370" w:rsidP="003A2BEA">
      <w:pPr>
        <w:rPr>
          <w:sz w:val="24"/>
          <w:szCs w:val="24"/>
          <w:lang w:val="lv-LV"/>
        </w:rPr>
      </w:pPr>
    </w:p>
    <w:p w:rsidR="00E36EFC" w:rsidRPr="003A31D5" w:rsidRDefault="00E36EFC" w:rsidP="003A2BEA">
      <w:pPr>
        <w:rPr>
          <w:sz w:val="24"/>
          <w:szCs w:val="24"/>
          <w:lang w:val="lv-LV"/>
        </w:rPr>
      </w:pPr>
    </w:p>
    <w:p w:rsidR="003A2BEA" w:rsidRPr="004E4281" w:rsidRDefault="00E253D1" w:rsidP="003A2BEA">
      <w:pPr>
        <w:rPr>
          <w:sz w:val="22"/>
          <w:szCs w:val="22"/>
          <w:lang w:val="lv-LV"/>
        </w:rPr>
      </w:pPr>
      <w:r>
        <w:rPr>
          <w:sz w:val="22"/>
          <w:szCs w:val="22"/>
          <w:lang w:val="lv-LV"/>
        </w:rPr>
        <w:t>16</w:t>
      </w:r>
      <w:r w:rsidR="004D4A8C" w:rsidRPr="004E4281">
        <w:rPr>
          <w:sz w:val="22"/>
          <w:szCs w:val="22"/>
          <w:lang w:val="lv-LV"/>
        </w:rPr>
        <w:t>.</w:t>
      </w:r>
      <w:r w:rsidR="003A1F3A">
        <w:rPr>
          <w:sz w:val="22"/>
          <w:szCs w:val="22"/>
          <w:lang w:val="lv-LV"/>
        </w:rPr>
        <w:t>10</w:t>
      </w:r>
      <w:r w:rsidR="004D4A8C" w:rsidRPr="004E4281">
        <w:rPr>
          <w:sz w:val="22"/>
          <w:szCs w:val="22"/>
          <w:lang w:val="lv-LV"/>
        </w:rPr>
        <w:t>.12</w:t>
      </w:r>
      <w:r w:rsidR="0083551B" w:rsidRPr="004E4281">
        <w:rPr>
          <w:sz w:val="22"/>
          <w:szCs w:val="22"/>
          <w:lang w:val="lv-LV"/>
        </w:rPr>
        <w:t>.</w:t>
      </w:r>
      <w:r w:rsidR="00087CD7" w:rsidRPr="004E4281">
        <w:rPr>
          <w:sz w:val="22"/>
          <w:szCs w:val="22"/>
          <w:lang w:val="lv-LV"/>
        </w:rPr>
        <w:t xml:space="preserve"> </w:t>
      </w:r>
      <w:r w:rsidR="004A6955">
        <w:rPr>
          <w:sz w:val="22"/>
          <w:szCs w:val="22"/>
          <w:lang w:val="lv-LV"/>
        </w:rPr>
        <w:t>10</w:t>
      </w:r>
      <w:r w:rsidR="00BE1559" w:rsidRPr="004E4281">
        <w:rPr>
          <w:sz w:val="22"/>
          <w:szCs w:val="22"/>
          <w:lang w:val="lv-LV"/>
        </w:rPr>
        <w:t>:</w:t>
      </w:r>
      <w:r w:rsidR="00804300">
        <w:rPr>
          <w:sz w:val="22"/>
          <w:szCs w:val="22"/>
          <w:lang w:val="lv-LV"/>
        </w:rPr>
        <w:t>44</w:t>
      </w:r>
    </w:p>
    <w:p w:rsidR="001A5FF6" w:rsidRPr="004E4281" w:rsidRDefault="00586D67" w:rsidP="003A2BEA">
      <w:pPr>
        <w:rPr>
          <w:sz w:val="22"/>
          <w:szCs w:val="22"/>
          <w:lang w:val="lv-LV"/>
        </w:rPr>
      </w:pPr>
      <w:r>
        <w:rPr>
          <w:sz w:val="22"/>
          <w:szCs w:val="22"/>
          <w:lang w:val="lv-LV"/>
        </w:rPr>
        <w:t>2</w:t>
      </w:r>
      <w:r w:rsidR="00F40704">
        <w:rPr>
          <w:sz w:val="22"/>
          <w:szCs w:val="22"/>
          <w:lang w:val="lv-LV"/>
        </w:rPr>
        <w:t>2</w:t>
      </w:r>
      <w:r w:rsidR="003A1F3A">
        <w:rPr>
          <w:sz w:val="22"/>
          <w:szCs w:val="22"/>
          <w:lang w:val="lv-LV"/>
        </w:rPr>
        <w:t>3</w:t>
      </w:r>
      <w:r w:rsidR="00FE759A">
        <w:rPr>
          <w:sz w:val="22"/>
          <w:szCs w:val="22"/>
          <w:lang w:val="lv-LV"/>
        </w:rPr>
        <w:t>7</w:t>
      </w:r>
    </w:p>
    <w:p w:rsidR="003A2BEA" w:rsidRPr="004E4281" w:rsidRDefault="0097079F" w:rsidP="003A2BEA">
      <w:pPr>
        <w:rPr>
          <w:sz w:val="22"/>
          <w:szCs w:val="22"/>
          <w:lang w:val="lv-LV"/>
        </w:rPr>
      </w:pPr>
      <w:r w:rsidRPr="004E4281">
        <w:rPr>
          <w:sz w:val="22"/>
          <w:szCs w:val="22"/>
          <w:lang w:val="lv-LV"/>
        </w:rPr>
        <w:t>V</w:t>
      </w:r>
      <w:r w:rsidR="001A25DB" w:rsidRPr="004E4281">
        <w:rPr>
          <w:sz w:val="22"/>
          <w:szCs w:val="22"/>
          <w:lang w:val="lv-LV"/>
        </w:rPr>
        <w:t>.</w:t>
      </w:r>
      <w:r w:rsidRPr="004E4281">
        <w:rPr>
          <w:sz w:val="22"/>
          <w:szCs w:val="22"/>
          <w:lang w:val="lv-LV"/>
        </w:rPr>
        <w:t>Pusvācietis</w:t>
      </w:r>
      <w:r w:rsidR="0083551B" w:rsidRPr="004E4281">
        <w:rPr>
          <w:sz w:val="22"/>
          <w:szCs w:val="22"/>
          <w:lang w:val="lv-LV"/>
        </w:rPr>
        <w:t xml:space="preserve"> </w:t>
      </w:r>
    </w:p>
    <w:p w:rsidR="00785216" w:rsidRPr="003A31D5" w:rsidRDefault="001A25DB">
      <w:pPr>
        <w:rPr>
          <w:sz w:val="22"/>
          <w:szCs w:val="22"/>
          <w:lang w:val="lv-LV"/>
        </w:rPr>
      </w:pPr>
      <w:bookmarkStart w:id="14" w:name="OLE_LINK9"/>
      <w:bookmarkStart w:id="15" w:name="OLE_LINK10"/>
      <w:r w:rsidRPr="004E4281">
        <w:rPr>
          <w:sz w:val="22"/>
          <w:szCs w:val="22"/>
          <w:lang w:val="lv-LV"/>
        </w:rPr>
        <w:t>670368</w:t>
      </w:r>
      <w:r w:rsidR="0097079F" w:rsidRPr="004E4281">
        <w:rPr>
          <w:sz w:val="22"/>
          <w:szCs w:val="22"/>
          <w:lang w:val="lv-LV"/>
        </w:rPr>
        <w:t>49</w:t>
      </w:r>
      <w:bookmarkEnd w:id="14"/>
      <w:bookmarkEnd w:id="15"/>
      <w:r w:rsidRPr="004E4281">
        <w:rPr>
          <w:sz w:val="22"/>
          <w:szCs w:val="22"/>
          <w:lang w:val="lv-LV"/>
        </w:rPr>
        <w:t xml:space="preserve">, </w:t>
      </w:r>
      <w:bookmarkStart w:id="16" w:name="OLE_LINK5"/>
      <w:bookmarkStart w:id="17" w:name="OLE_LINK6"/>
      <w:r w:rsidR="0097079F" w:rsidRPr="004E4281">
        <w:rPr>
          <w:sz w:val="22"/>
          <w:szCs w:val="22"/>
          <w:lang w:val="lv-LV"/>
        </w:rPr>
        <w:t>valdis</w:t>
      </w:r>
      <w:r w:rsidR="001A5FF6" w:rsidRPr="004E4281">
        <w:rPr>
          <w:sz w:val="22"/>
          <w:szCs w:val="22"/>
          <w:lang w:val="lv-LV"/>
        </w:rPr>
        <w:t>.</w:t>
      </w:r>
      <w:r w:rsidR="0097079F" w:rsidRPr="004E4281">
        <w:rPr>
          <w:sz w:val="22"/>
          <w:szCs w:val="22"/>
          <w:lang w:val="lv-LV"/>
        </w:rPr>
        <w:t>pusvacietis</w:t>
      </w:r>
      <w:r w:rsidR="0083551B" w:rsidRPr="004E4281">
        <w:rPr>
          <w:sz w:val="22"/>
          <w:szCs w:val="22"/>
          <w:lang w:val="lv-LV"/>
        </w:rPr>
        <w:t>@tm</w:t>
      </w:r>
      <w:r w:rsidR="000463F2" w:rsidRPr="004E4281">
        <w:rPr>
          <w:sz w:val="22"/>
          <w:szCs w:val="22"/>
          <w:lang w:val="lv-LV"/>
        </w:rPr>
        <w:t>.gov.lv</w:t>
      </w:r>
      <w:bookmarkEnd w:id="16"/>
      <w:bookmarkEnd w:id="17"/>
    </w:p>
    <w:sectPr w:rsidR="00785216" w:rsidRPr="003A31D5" w:rsidSect="00FC31A7">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35F" w:rsidRDefault="00EC235F" w:rsidP="00307EED">
      <w:r>
        <w:separator/>
      </w:r>
    </w:p>
  </w:endnote>
  <w:endnote w:type="continuationSeparator" w:id="0">
    <w:p w:rsidR="00EC235F" w:rsidRDefault="00EC235F" w:rsidP="00307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50" w:rsidRPr="00822AC1" w:rsidRDefault="00822AC1" w:rsidP="00822AC1">
    <w:pPr>
      <w:pStyle w:val="Pamatteksts2"/>
      <w:spacing w:after="0" w:line="240" w:lineRule="auto"/>
      <w:jc w:val="both"/>
    </w:pPr>
    <w:r w:rsidRPr="006B170D">
      <w:rPr>
        <w:sz w:val="20"/>
        <w:szCs w:val="20"/>
      </w:rPr>
      <w:t>TMAnot_</w:t>
    </w:r>
    <w:r>
      <w:rPr>
        <w:sz w:val="20"/>
        <w:szCs w:val="20"/>
      </w:rPr>
      <w:t>0510</w:t>
    </w:r>
    <w:r w:rsidRPr="006B170D">
      <w:rPr>
        <w:sz w:val="20"/>
        <w:szCs w:val="20"/>
      </w:rPr>
      <w:t>12_E</w:t>
    </w:r>
    <w:r>
      <w:rPr>
        <w:sz w:val="20"/>
        <w:szCs w:val="20"/>
      </w:rPr>
      <w:t>Kproj</w:t>
    </w:r>
    <w:r w:rsidRPr="006B170D">
      <w:rPr>
        <w:sz w:val="20"/>
        <w:szCs w:val="20"/>
      </w:rPr>
      <w:t>; Ministru kabineta protokollēmuma projekta</w:t>
    </w:r>
    <w:r>
      <w:rPr>
        <w:sz w:val="20"/>
        <w:szCs w:val="20"/>
      </w:rPr>
      <w:t xml:space="preserve"> </w:t>
    </w:r>
    <w:r w:rsidRPr="00822AC1">
      <w:rPr>
        <w:sz w:val="20"/>
        <w:szCs w:val="20"/>
      </w:rPr>
      <w:t>„Par atļauju Tieslietu ministrijas padotības iestādēm (Ieslodzījuma vietu pārvalde, Valsts probācijas dienests, Valsts valodas centrs) uzņemties saistības un īstenot projektus Eiropas Komisijas īpašajās programmās: Krimināltiesības, Daphne III (2011. un 2012. gada programmas) ietvaros”</w:t>
    </w:r>
    <w:r>
      <w:rPr>
        <w:sz w:val="20"/>
        <w:szCs w:val="20"/>
      </w:rPr>
      <w:t xml:space="preserve"> </w:t>
    </w:r>
    <w:r w:rsidR="00FE759A">
      <w:rPr>
        <w:sz w:val="20"/>
        <w:szCs w:val="20"/>
      </w:rPr>
      <w:t xml:space="preserve">sākotnējās ietekmes novērtējuma ziņojums </w:t>
    </w:r>
    <w:r w:rsidRPr="006B170D">
      <w:rPr>
        <w:sz w:val="20"/>
        <w:szCs w:val="20"/>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50" w:rsidRPr="000463F2" w:rsidRDefault="00CD3550" w:rsidP="00822AC1">
    <w:pPr>
      <w:pStyle w:val="Pamatteksts2"/>
      <w:spacing w:after="0" w:line="240" w:lineRule="auto"/>
      <w:jc w:val="both"/>
    </w:pPr>
    <w:r w:rsidRPr="006B170D">
      <w:rPr>
        <w:sz w:val="20"/>
        <w:szCs w:val="20"/>
      </w:rPr>
      <w:t>TMAnot_</w:t>
    </w:r>
    <w:r w:rsidR="007E2254">
      <w:rPr>
        <w:sz w:val="20"/>
        <w:szCs w:val="20"/>
      </w:rPr>
      <w:t>0510</w:t>
    </w:r>
    <w:r w:rsidRPr="006B170D">
      <w:rPr>
        <w:sz w:val="20"/>
        <w:szCs w:val="20"/>
      </w:rPr>
      <w:t>12_E</w:t>
    </w:r>
    <w:r w:rsidR="006B170D">
      <w:rPr>
        <w:sz w:val="20"/>
        <w:szCs w:val="20"/>
      </w:rPr>
      <w:t>Kproj</w:t>
    </w:r>
    <w:r w:rsidRPr="006B170D">
      <w:rPr>
        <w:sz w:val="20"/>
        <w:szCs w:val="20"/>
      </w:rPr>
      <w:t xml:space="preserve">; </w:t>
    </w:r>
    <w:r w:rsidR="006B170D" w:rsidRPr="006B170D">
      <w:rPr>
        <w:sz w:val="20"/>
        <w:szCs w:val="20"/>
      </w:rPr>
      <w:t>Ministru kabineta protokollēmuma projekta</w:t>
    </w:r>
    <w:r w:rsidR="006B170D">
      <w:rPr>
        <w:sz w:val="20"/>
        <w:szCs w:val="20"/>
      </w:rPr>
      <w:t xml:space="preserve"> </w:t>
    </w:r>
    <w:r w:rsidR="00822AC1" w:rsidRPr="00822AC1">
      <w:rPr>
        <w:sz w:val="20"/>
        <w:szCs w:val="20"/>
      </w:rPr>
      <w:t>„Par atļauju Tieslietu ministrijas padotības iestādēm (Ieslodzījuma vietu pārvalde, Valsts probācijas dienests, Valsts valodas centrs) uzņemties saistības un īstenot projektus Eiropas Komisijas īpašajās programmās: Krimināltiesības, Daphne III (2011. un 2012. gada programmas) ietvaros”</w:t>
    </w:r>
    <w:r w:rsidR="006B170D">
      <w:rPr>
        <w:sz w:val="20"/>
        <w:szCs w:val="20"/>
      </w:rPr>
      <w:t xml:space="preserve"> </w:t>
    </w:r>
    <w:r w:rsidR="00FE759A">
      <w:rPr>
        <w:sz w:val="20"/>
        <w:szCs w:val="20"/>
      </w:rPr>
      <w:t xml:space="preserve">sākotnējās ietekmes novērtējuma ziņojums </w:t>
    </w:r>
    <w:r w:rsidR="006B170D" w:rsidRPr="006B170D">
      <w:rPr>
        <w:sz w:val="20"/>
        <w:szCs w:val="20"/>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35F" w:rsidRDefault="00EC235F" w:rsidP="00307EED">
      <w:r>
        <w:separator/>
      </w:r>
    </w:p>
  </w:footnote>
  <w:footnote w:type="continuationSeparator" w:id="0">
    <w:p w:rsidR="00EC235F" w:rsidRDefault="00EC235F" w:rsidP="00307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50" w:rsidRPr="00F55810" w:rsidRDefault="00087C8B">
    <w:pPr>
      <w:pStyle w:val="Galvene"/>
      <w:jc w:val="center"/>
      <w:rPr>
        <w:sz w:val="28"/>
        <w:szCs w:val="28"/>
      </w:rPr>
    </w:pPr>
    <w:r w:rsidRPr="00F55810">
      <w:rPr>
        <w:sz w:val="28"/>
        <w:szCs w:val="28"/>
      </w:rPr>
      <w:fldChar w:fldCharType="begin"/>
    </w:r>
    <w:r w:rsidR="00CD3550" w:rsidRPr="00F55810">
      <w:rPr>
        <w:sz w:val="28"/>
        <w:szCs w:val="28"/>
      </w:rPr>
      <w:instrText xml:space="preserve"> PAGE   \* MERGEFORMAT </w:instrText>
    </w:r>
    <w:r w:rsidRPr="00F55810">
      <w:rPr>
        <w:sz w:val="28"/>
        <w:szCs w:val="28"/>
      </w:rPr>
      <w:fldChar w:fldCharType="separate"/>
    </w:r>
    <w:r w:rsidR="00804300">
      <w:rPr>
        <w:noProof/>
        <w:sz w:val="28"/>
        <w:szCs w:val="28"/>
      </w:rPr>
      <w:t>12</w:t>
    </w:r>
    <w:r w:rsidRPr="00F55810">
      <w:rPr>
        <w:sz w:val="28"/>
        <w:szCs w:val="28"/>
      </w:rPr>
      <w:fldChar w:fldCharType="end"/>
    </w:r>
  </w:p>
  <w:p w:rsidR="00CD3550" w:rsidRDefault="00CD355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BC2"/>
    <w:multiLevelType w:val="multilevel"/>
    <w:tmpl w:val="962A2DF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
    <w:nsid w:val="16C77505"/>
    <w:multiLevelType w:val="hybridMultilevel"/>
    <w:tmpl w:val="181C2C1E"/>
    <w:lvl w:ilvl="0" w:tplc="6474353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B1439B"/>
    <w:multiLevelType w:val="hybridMultilevel"/>
    <w:tmpl w:val="7CE00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BE288A"/>
    <w:multiLevelType w:val="hybridMultilevel"/>
    <w:tmpl w:val="5C28DE4E"/>
    <w:lvl w:ilvl="0" w:tplc="E91ECEAC">
      <w:start w:val="1"/>
      <w:numFmt w:val="lowerLetter"/>
      <w:lvlText w:val="%1)"/>
      <w:lvlJc w:val="left"/>
      <w:pPr>
        <w:ind w:left="1245" w:hanging="360"/>
      </w:pPr>
      <w:rPr>
        <w:rFonts w:ascii="Times New Roman" w:eastAsia="Times New Roman" w:hAnsi="Times New Roman" w:cs="Times New Roman"/>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4">
    <w:nsid w:val="37E45E34"/>
    <w:multiLevelType w:val="hybridMultilevel"/>
    <w:tmpl w:val="3C002924"/>
    <w:lvl w:ilvl="0" w:tplc="85E051E2">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6073CE5"/>
    <w:multiLevelType w:val="hybridMultilevel"/>
    <w:tmpl w:val="4AD401F0"/>
    <w:lvl w:ilvl="0" w:tplc="6658CF38">
      <w:start w:val="7"/>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6135896"/>
    <w:multiLevelType w:val="hybridMultilevel"/>
    <w:tmpl w:val="93E8A40E"/>
    <w:lvl w:ilvl="0" w:tplc="5300A63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8">
    <w:nsid w:val="799232AC"/>
    <w:multiLevelType w:val="hybridMultilevel"/>
    <w:tmpl w:val="8CB6AE7A"/>
    <w:lvl w:ilvl="0" w:tplc="990CD37A">
      <w:start w:val="1"/>
      <w:numFmt w:val="decimal"/>
      <w:lvlText w:val="%1)"/>
      <w:lvlJc w:val="left"/>
      <w:pPr>
        <w:tabs>
          <w:tab w:val="num" w:pos="911"/>
        </w:tabs>
        <w:ind w:left="911" w:hanging="570"/>
      </w:pPr>
      <w:rPr>
        <w:rFonts w:hint="default"/>
      </w:rPr>
    </w:lvl>
    <w:lvl w:ilvl="1" w:tplc="04260019" w:tentative="1">
      <w:start w:val="1"/>
      <w:numFmt w:val="lowerLetter"/>
      <w:lvlText w:val="%2."/>
      <w:lvlJc w:val="left"/>
      <w:pPr>
        <w:tabs>
          <w:tab w:val="num" w:pos="1421"/>
        </w:tabs>
        <w:ind w:left="1421" w:hanging="360"/>
      </w:pPr>
    </w:lvl>
    <w:lvl w:ilvl="2" w:tplc="0426001B" w:tentative="1">
      <w:start w:val="1"/>
      <w:numFmt w:val="lowerRoman"/>
      <w:lvlText w:val="%3."/>
      <w:lvlJc w:val="right"/>
      <w:pPr>
        <w:tabs>
          <w:tab w:val="num" w:pos="2141"/>
        </w:tabs>
        <w:ind w:left="2141" w:hanging="180"/>
      </w:pPr>
    </w:lvl>
    <w:lvl w:ilvl="3" w:tplc="0426000F" w:tentative="1">
      <w:start w:val="1"/>
      <w:numFmt w:val="decimal"/>
      <w:lvlText w:val="%4."/>
      <w:lvlJc w:val="left"/>
      <w:pPr>
        <w:tabs>
          <w:tab w:val="num" w:pos="2861"/>
        </w:tabs>
        <w:ind w:left="2861" w:hanging="360"/>
      </w:pPr>
    </w:lvl>
    <w:lvl w:ilvl="4" w:tplc="04260019" w:tentative="1">
      <w:start w:val="1"/>
      <w:numFmt w:val="lowerLetter"/>
      <w:lvlText w:val="%5."/>
      <w:lvlJc w:val="left"/>
      <w:pPr>
        <w:tabs>
          <w:tab w:val="num" w:pos="3581"/>
        </w:tabs>
        <w:ind w:left="3581" w:hanging="360"/>
      </w:pPr>
    </w:lvl>
    <w:lvl w:ilvl="5" w:tplc="0426001B" w:tentative="1">
      <w:start w:val="1"/>
      <w:numFmt w:val="lowerRoman"/>
      <w:lvlText w:val="%6."/>
      <w:lvlJc w:val="right"/>
      <w:pPr>
        <w:tabs>
          <w:tab w:val="num" w:pos="4301"/>
        </w:tabs>
        <w:ind w:left="4301" w:hanging="180"/>
      </w:pPr>
    </w:lvl>
    <w:lvl w:ilvl="6" w:tplc="0426000F" w:tentative="1">
      <w:start w:val="1"/>
      <w:numFmt w:val="decimal"/>
      <w:lvlText w:val="%7."/>
      <w:lvlJc w:val="left"/>
      <w:pPr>
        <w:tabs>
          <w:tab w:val="num" w:pos="5021"/>
        </w:tabs>
        <w:ind w:left="5021" w:hanging="360"/>
      </w:pPr>
    </w:lvl>
    <w:lvl w:ilvl="7" w:tplc="04260019" w:tentative="1">
      <w:start w:val="1"/>
      <w:numFmt w:val="lowerLetter"/>
      <w:lvlText w:val="%8."/>
      <w:lvlJc w:val="left"/>
      <w:pPr>
        <w:tabs>
          <w:tab w:val="num" w:pos="5741"/>
        </w:tabs>
        <w:ind w:left="5741" w:hanging="360"/>
      </w:pPr>
    </w:lvl>
    <w:lvl w:ilvl="8" w:tplc="0426001B" w:tentative="1">
      <w:start w:val="1"/>
      <w:numFmt w:val="lowerRoman"/>
      <w:lvlText w:val="%9."/>
      <w:lvlJc w:val="right"/>
      <w:pPr>
        <w:tabs>
          <w:tab w:val="num" w:pos="6461"/>
        </w:tabs>
        <w:ind w:left="6461" w:hanging="180"/>
      </w:pPr>
    </w:lvl>
  </w:abstractNum>
  <w:abstractNum w:abstractNumId="9">
    <w:nsid w:val="7F775B7B"/>
    <w:multiLevelType w:val="hybridMultilevel"/>
    <w:tmpl w:val="1FD81F0A"/>
    <w:lvl w:ilvl="0" w:tplc="97623198">
      <w:start w:val="6"/>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8"/>
  </w:num>
  <w:num w:numId="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4"/>
  </w:num>
  <w:num w:numId="6">
    <w:abstractNumId w:val="2"/>
  </w:num>
  <w:num w:numId="7">
    <w:abstractNumId w:val="1"/>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A2BEA"/>
    <w:rsid w:val="000009EC"/>
    <w:rsid w:val="00002223"/>
    <w:rsid w:val="00011E96"/>
    <w:rsid w:val="00013545"/>
    <w:rsid w:val="00014B98"/>
    <w:rsid w:val="00017B48"/>
    <w:rsid w:val="000249AD"/>
    <w:rsid w:val="0002641B"/>
    <w:rsid w:val="000267F4"/>
    <w:rsid w:val="00026A50"/>
    <w:rsid w:val="00033146"/>
    <w:rsid w:val="000331C1"/>
    <w:rsid w:val="00033CEE"/>
    <w:rsid w:val="00033FD1"/>
    <w:rsid w:val="00035A66"/>
    <w:rsid w:val="00036B8A"/>
    <w:rsid w:val="00036F5A"/>
    <w:rsid w:val="00040156"/>
    <w:rsid w:val="000431BA"/>
    <w:rsid w:val="000463F2"/>
    <w:rsid w:val="00047155"/>
    <w:rsid w:val="00051663"/>
    <w:rsid w:val="00051AD6"/>
    <w:rsid w:val="00061D5C"/>
    <w:rsid w:val="00063E51"/>
    <w:rsid w:val="000651FE"/>
    <w:rsid w:val="0006612E"/>
    <w:rsid w:val="000675E8"/>
    <w:rsid w:val="00072746"/>
    <w:rsid w:val="0007529F"/>
    <w:rsid w:val="00075F00"/>
    <w:rsid w:val="0008122F"/>
    <w:rsid w:val="0008261F"/>
    <w:rsid w:val="0008693B"/>
    <w:rsid w:val="000871CA"/>
    <w:rsid w:val="00087C8B"/>
    <w:rsid w:val="00087CD7"/>
    <w:rsid w:val="00090154"/>
    <w:rsid w:val="00092A8D"/>
    <w:rsid w:val="000933BC"/>
    <w:rsid w:val="00096E04"/>
    <w:rsid w:val="0009730C"/>
    <w:rsid w:val="000A651F"/>
    <w:rsid w:val="000B1C91"/>
    <w:rsid w:val="000B1E3D"/>
    <w:rsid w:val="000B3986"/>
    <w:rsid w:val="000C1959"/>
    <w:rsid w:val="000C5F0C"/>
    <w:rsid w:val="000D14A4"/>
    <w:rsid w:val="000D1549"/>
    <w:rsid w:val="000D1C94"/>
    <w:rsid w:val="000D3D45"/>
    <w:rsid w:val="000D7A4A"/>
    <w:rsid w:val="000E28EE"/>
    <w:rsid w:val="000E3972"/>
    <w:rsid w:val="000E5CB4"/>
    <w:rsid w:val="000F0A48"/>
    <w:rsid w:val="000F17B8"/>
    <w:rsid w:val="000F21AF"/>
    <w:rsid w:val="00110104"/>
    <w:rsid w:val="0011051C"/>
    <w:rsid w:val="0012321D"/>
    <w:rsid w:val="00123E1D"/>
    <w:rsid w:val="00126886"/>
    <w:rsid w:val="00127CD5"/>
    <w:rsid w:val="00131A7F"/>
    <w:rsid w:val="001337EF"/>
    <w:rsid w:val="001403CA"/>
    <w:rsid w:val="00141A22"/>
    <w:rsid w:val="001429CA"/>
    <w:rsid w:val="00142AC5"/>
    <w:rsid w:val="00144A6C"/>
    <w:rsid w:val="00146AC6"/>
    <w:rsid w:val="001514DD"/>
    <w:rsid w:val="00151DDF"/>
    <w:rsid w:val="00154C08"/>
    <w:rsid w:val="00154C5D"/>
    <w:rsid w:val="00156486"/>
    <w:rsid w:val="0016043E"/>
    <w:rsid w:val="00160D61"/>
    <w:rsid w:val="0016598B"/>
    <w:rsid w:val="00166CA0"/>
    <w:rsid w:val="00166D5C"/>
    <w:rsid w:val="001738D6"/>
    <w:rsid w:val="00174BE6"/>
    <w:rsid w:val="0018028E"/>
    <w:rsid w:val="00181A09"/>
    <w:rsid w:val="00182048"/>
    <w:rsid w:val="0018253B"/>
    <w:rsid w:val="0019008F"/>
    <w:rsid w:val="0019112F"/>
    <w:rsid w:val="00196C79"/>
    <w:rsid w:val="0019735E"/>
    <w:rsid w:val="00197BB8"/>
    <w:rsid w:val="00197E6D"/>
    <w:rsid w:val="001A25DB"/>
    <w:rsid w:val="001A5FF6"/>
    <w:rsid w:val="001A6880"/>
    <w:rsid w:val="001A7766"/>
    <w:rsid w:val="001A7C0F"/>
    <w:rsid w:val="001B2FC8"/>
    <w:rsid w:val="001B4CDB"/>
    <w:rsid w:val="001B647A"/>
    <w:rsid w:val="001C0E38"/>
    <w:rsid w:val="001C3090"/>
    <w:rsid w:val="001C3BD5"/>
    <w:rsid w:val="001C4344"/>
    <w:rsid w:val="001C5C14"/>
    <w:rsid w:val="001C72FF"/>
    <w:rsid w:val="001C7F45"/>
    <w:rsid w:val="001D6A78"/>
    <w:rsid w:val="001E1837"/>
    <w:rsid w:val="001E3615"/>
    <w:rsid w:val="001F0D84"/>
    <w:rsid w:val="00202A0E"/>
    <w:rsid w:val="00202FFB"/>
    <w:rsid w:val="00204A0F"/>
    <w:rsid w:val="00205A99"/>
    <w:rsid w:val="002079EA"/>
    <w:rsid w:val="00211C99"/>
    <w:rsid w:val="00213274"/>
    <w:rsid w:val="002135BA"/>
    <w:rsid w:val="00215F65"/>
    <w:rsid w:val="0022189C"/>
    <w:rsid w:val="00224829"/>
    <w:rsid w:val="00225219"/>
    <w:rsid w:val="00225467"/>
    <w:rsid w:val="00245133"/>
    <w:rsid w:val="002468F2"/>
    <w:rsid w:val="0025018E"/>
    <w:rsid w:val="00251109"/>
    <w:rsid w:val="002518ED"/>
    <w:rsid w:val="00251E5C"/>
    <w:rsid w:val="00253D6A"/>
    <w:rsid w:val="00254038"/>
    <w:rsid w:val="0025439F"/>
    <w:rsid w:val="00256130"/>
    <w:rsid w:val="00262020"/>
    <w:rsid w:val="0026214E"/>
    <w:rsid w:val="00263826"/>
    <w:rsid w:val="002658B0"/>
    <w:rsid w:val="00267EA2"/>
    <w:rsid w:val="00276CAC"/>
    <w:rsid w:val="0028098A"/>
    <w:rsid w:val="002849F6"/>
    <w:rsid w:val="00284B04"/>
    <w:rsid w:val="00284B41"/>
    <w:rsid w:val="00293D30"/>
    <w:rsid w:val="002976DB"/>
    <w:rsid w:val="002A2213"/>
    <w:rsid w:val="002A3086"/>
    <w:rsid w:val="002A470D"/>
    <w:rsid w:val="002B2370"/>
    <w:rsid w:val="002B67DB"/>
    <w:rsid w:val="002B713E"/>
    <w:rsid w:val="002C4CC1"/>
    <w:rsid w:val="002C5E3E"/>
    <w:rsid w:val="002C6D69"/>
    <w:rsid w:val="002D0236"/>
    <w:rsid w:val="002D2C27"/>
    <w:rsid w:val="002D35A5"/>
    <w:rsid w:val="002D38B3"/>
    <w:rsid w:val="002D39E0"/>
    <w:rsid w:val="002D3F9C"/>
    <w:rsid w:val="002E025F"/>
    <w:rsid w:val="002E1A32"/>
    <w:rsid w:val="002E1DBB"/>
    <w:rsid w:val="002E20A4"/>
    <w:rsid w:val="002E36D7"/>
    <w:rsid w:val="002E525C"/>
    <w:rsid w:val="002F0CBD"/>
    <w:rsid w:val="002F187A"/>
    <w:rsid w:val="002F4163"/>
    <w:rsid w:val="00302C8A"/>
    <w:rsid w:val="00307EED"/>
    <w:rsid w:val="00311A6E"/>
    <w:rsid w:val="0031305D"/>
    <w:rsid w:val="00317651"/>
    <w:rsid w:val="00320C34"/>
    <w:rsid w:val="00321071"/>
    <w:rsid w:val="003245E1"/>
    <w:rsid w:val="003272E7"/>
    <w:rsid w:val="00327CE5"/>
    <w:rsid w:val="003319F6"/>
    <w:rsid w:val="00331A61"/>
    <w:rsid w:val="00331B55"/>
    <w:rsid w:val="00332469"/>
    <w:rsid w:val="0034220B"/>
    <w:rsid w:val="003441DB"/>
    <w:rsid w:val="003444BB"/>
    <w:rsid w:val="00351E76"/>
    <w:rsid w:val="00352A8F"/>
    <w:rsid w:val="00355DEE"/>
    <w:rsid w:val="003561DF"/>
    <w:rsid w:val="00357DE2"/>
    <w:rsid w:val="003612FC"/>
    <w:rsid w:val="00362E13"/>
    <w:rsid w:val="00365312"/>
    <w:rsid w:val="003659CC"/>
    <w:rsid w:val="00367377"/>
    <w:rsid w:val="00371616"/>
    <w:rsid w:val="00371CAF"/>
    <w:rsid w:val="0037281C"/>
    <w:rsid w:val="003763D5"/>
    <w:rsid w:val="003859B7"/>
    <w:rsid w:val="00387CDB"/>
    <w:rsid w:val="00391656"/>
    <w:rsid w:val="0039272A"/>
    <w:rsid w:val="00395301"/>
    <w:rsid w:val="00395B15"/>
    <w:rsid w:val="0039624A"/>
    <w:rsid w:val="003A1F3A"/>
    <w:rsid w:val="003A2BEA"/>
    <w:rsid w:val="003A31D5"/>
    <w:rsid w:val="003A66AD"/>
    <w:rsid w:val="003B394F"/>
    <w:rsid w:val="003B41D4"/>
    <w:rsid w:val="003B5156"/>
    <w:rsid w:val="003B5376"/>
    <w:rsid w:val="003B68C3"/>
    <w:rsid w:val="003C5C46"/>
    <w:rsid w:val="003D0AFC"/>
    <w:rsid w:val="003D7D0B"/>
    <w:rsid w:val="003E3073"/>
    <w:rsid w:val="003F1104"/>
    <w:rsid w:val="003F1A6A"/>
    <w:rsid w:val="003F1C19"/>
    <w:rsid w:val="003F3FF4"/>
    <w:rsid w:val="003F4D88"/>
    <w:rsid w:val="003F61F0"/>
    <w:rsid w:val="00400D79"/>
    <w:rsid w:val="00401BD1"/>
    <w:rsid w:val="00405525"/>
    <w:rsid w:val="00406E65"/>
    <w:rsid w:val="004127CA"/>
    <w:rsid w:val="00412AEB"/>
    <w:rsid w:val="004150E4"/>
    <w:rsid w:val="00415857"/>
    <w:rsid w:val="00415C6D"/>
    <w:rsid w:val="0041712A"/>
    <w:rsid w:val="00417DA6"/>
    <w:rsid w:val="00420771"/>
    <w:rsid w:val="004218CB"/>
    <w:rsid w:val="00430435"/>
    <w:rsid w:val="00430FFD"/>
    <w:rsid w:val="0043159A"/>
    <w:rsid w:val="00431CFE"/>
    <w:rsid w:val="00432B0A"/>
    <w:rsid w:val="004338CE"/>
    <w:rsid w:val="00434B14"/>
    <w:rsid w:val="00435ED9"/>
    <w:rsid w:val="0043730B"/>
    <w:rsid w:val="00437379"/>
    <w:rsid w:val="004471F5"/>
    <w:rsid w:val="00450137"/>
    <w:rsid w:val="004520B8"/>
    <w:rsid w:val="004531CE"/>
    <w:rsid w:val="004601F2"/>
    <w:rsid w:val="00460834"/>
    <w:rsid w:val="00462356"/>
    <w:rsid w:val="00464B95"/>
    <w:rsid w:val="00464EB3"/>
    <w:rsid w:val="00464FA7"/>
    <w:rsid w:val="004654C4"/>
    <w:rsid w:val="00465E34"/>
    <w:rsid w:val="004678A6"/>
    <w:rsid w:val="00471DD2"/>
    <w:rsid w:val="00474C3B"/>
    <w:rsid w:val="00480138"/>
    <w:rsid w:val="00481CA5"/>
    <w:rsid w:val="004822FD"/>
    <w:rsid w:val="00482400"/>
    <w:rsid w:val="00483E84"/>
    <w:rsid w:val="00490862"/>
    <w:rsid w:val="00495C37"/>
    <w:rsid w:val="004A5072"/>
    <w:rsid w:val="004A5751"/>
    <w:rsid w:val="004A6855"/>
    <w:rsid w:val="004A6955"/>
    <w:rsid w:val="004B1E81"/>
    <w:rsid w:val="004B25AF"/>
    <w:rsid w:val="004C2420"/>
    <w:rsid w:val="004C32D2"/>
    <w:rsid w:val="004C61C5"/>
    <w:rsid w:val="004C6D8A"/>
    <w:rsid w:val="004C780C"/>
    <w:rsid w:val="004D1FA3"/>
    <w:rsid w:val="004D4A8C"/>
    <w:rsid w:val="004D4FF1"/>
    <w:rsid w:val="004E0675"/>
    <w:rsid w:val="004E13CC"/>
    <w:rsid w:val="004E4281"/>
    <w:rsid w:val="004E553E"/>
    <w:rsid w:val="004E62A9"/>
    <w:rsid w:val="004F1C12"/>
    <w:rsid w:val="004F2581"/>
    <w:rsid w:val="004F3A87"/>
    <w:rsid w:val="00502086"/>
    <w:rsid w:val="00502B49"/>
    <w:rsid w:val="0050300A"/>
    <w:rsid w:val="00503464"/>
    <w:rsid w:val="005071C5"/>
    <w:rsid w:val="00511105"/>
    <w:rsid w:val="00512BDB"/>
    <w:rsid w:val="00522B82"/>
    <w:rsid w:val="0052311E"/>
    <w:rsid w:val="005236B8"/>
    <w:rsid w:val="00523E72"/>
    <w:rsid w:val="00524342"/>
    <w:rsid w:val="0052467D"/>
    <w:rsid w:val="00524857"/>
    <w:rsid w:val="00525DC0"/>
    <w:rsid w:val="00530319"/>
    <w:rsid w:val="005332CC"/>
    <w:rsid w:val="005371FA"/>
    <w:rsid w:val="00540891"/>
    <w:rsid w:val="00541D13"/>
    <w:rsid w:val="00541DAE"/>
    <w:rsid w:val="0054204C"/>
    <w:rsid w:val="0054558D"/>
    <w:rsid w:val="00547366"/>
    <w:rsid w:val="00547E8B"/>
    <w:rsid w:val="00550968"/>
    <w:rsid w:val="00552A95"/>
    <w:rsid w:val="005538DE"/>
    <w:rsid w:val="00556A2D"/>
    <w:rsid w:val="00557E42"/>
    <w:rsid w:val="0056055F"/>
    <w:rsid w:val="00561CC5"/>
    <w:rsid w:val="005647F4"/>
    <w:rsid w:val="00564A2A"/>
    <w:rsid w:val="0057004F"/>
    <w:rsid w:val="005738F7"/>
    <w:rsid w:val="0057472E"/>
    <w:rsid w:val="00577302"/>
    <w:rsid w:val="0057769A"/>
    <w:rsid w:val="00577AA0"/>
    <w:rsid w:val="00582228"/>
    <w:rsid w:val="00583E25"/>
    <w:rsid w:val="00584174"/>
    <w:rsid w:val="00585A32"/>
    <w:rsid w:val="00586D67"/>
    <w:rsid w:val="005A1ABD"/>
    <w:rsid w:val="005A495A"/>
    <w:rsid w:val="005A61E9"/>
    <w:rsid w:val="005A69AB"/>
    <w:rsid w:val="005B0F01"/>
    <w:rsid w:val="005B31B7"/>
    <w:rsid w:val="005C1B58"/>
    <w:rsid w:val="005C254F"/>
    <w:rsid w:val="005C2558"/>
    <w:rsid w:val="005C6E06"/>
    <w:rsid w:val="005C742E"/>
    <w:rsid w:val="005C7902"/>
    <w:rsid w:val="005C7ED1"/>
    <w:rsid w:val="005D067E"/>
    <w:rsid w:val="005D25BB"/>
    <w:rsid w:val="005D3807"/>
    <w:rsid w:val="005D4083"/>
    <w:rsid w:val="005D7033"/>
    <w:rsid w:val="005E2C5B"/>
    <w:rsid w:val="005E3816"/>
    <w:rsid w:val="005E3F55"/>
    <w:rsid w:val="005E5E31"/>
    <w:rsid w:val="005F13ED"/>
    <w:rsid w:val="005F1D2E"/>
    <w:rsid w:val="005F2B4E"/>
    <w:rsid w:val="005F7A7A"/>
    <w:rsid w:val="00601949"/>
    <w:rsid w:val="00602680"/>
    <w:rsid w:val="00602B65"/>
    <w:rsid w:val="00602C9D"/>
    <w:rsid w:val="00603490"/>
    <w:rsid w:val="006078B3"/>
    <w:rsid w:val="00610708"/>
    <w:rsid w:val="00613B7A"/>
    <w:rsid w:val="006152FD"/>
    <w:rsid w:val="00632ADF"/>
    <w:rsid w:val="00635F7A"/>
    <w:rsid w:val="00642292"/>
    <w:rsid w:val="00651428"/>
    <w:rsid w:val="0065468D"/>
    <w:rsid w:val="00661CEF"/>
    <w:rsid w:val="006655B5"/>
    <w:rsid w:val="0066771D"/>
    <w:rsid w:val="0067083E"/>
    <w:rsid w:val="006742F8"/>
    <w:rsid w:val="00674EE0"/>
    <w:rsid w:val="00676095"/>
    <w:rsid w:val="00680FE7"/>
    <w:rsid w:val="00681880"/>
    <w:rsid w:val="00682C93"/>
    <w:rsid w:val="00684848"/>
    <w:rsid w:val="00684B4D"/>
    <w:rsid w:val="0068542C"/>
    <w:rsid w:val="00686E48"/>
    <w:rsid w:val="0069073E"/>
    <w:rsid w:val="006927C8"/>
    <w:rsid w:val="00692DD5"/>
    <w:rsid w:val="0069652E"/>
    <w:rsid w:val="006A0935"/>
    <w:rsid w:val="006A421F"/>
    <w:rsid w:val="006A5758"/>
    <w:rsid w:val="006A7C5E"/>
    <w:rsid w:val="006B170D"/>
    <w:rsid w:val="006B1B5C"/>
    <w:rsid w:val="006B667D"/>
    <w:rsid w:val="006B79C8"/>
    <w:rsid w:val="006C233D"/>
    <w:rsid w:val="006C69EA"/>
    <w:rsid w:val="006D380E"/>
    <w:rsid w:val="006D5FBF"/>
    <w:rsid w:val="006D7134"/>
    <w:rsid w:val="006D7BA2"/>
    <w:rsid w:val="006E3C08"/>
    <w:rsid w:val="006E72CD"/>
    <w:rsid w:val="006E7E89"/>
    <w:rsid w:val="006F08BD"/>
    <w:rsid w:val="006F180A"/>
    <w:rsid w:val="006F43A6"/>
    <w:rsid w:val="006F73E0"/>
    <w:rsid w:val="0070008C"/>
    <w:rsid w:val="00700D2A"/>
    <w:rsid w:val="00700FAE"/>
    <w:rsid w:val="0070108A"/>
    <w:rsid w:val="007019F2"/>
    <w:rsid w:val="00701F16"/>
    <w:rsid w:val="00702A2F"/>
    <w:rsid w:val="0070370F"/>
    <w:rsid w:val="00707FF4"/>
    <w:rsid w:val="00711E31"/>
    <w:rsid w:val="007123AD"/>
    <w:rsid w:val="0071427B"/>
    <w:rsid w:val="007219CB"/>
    <w:rsid w:val="007238F5"/>
    <w:rsid w:val="00723AE7"/>
    <w:rsid w:val="00724D43"/>
    <w:rsid w:val="00726D23"/>
    <w:rsid w:val="00727A29"/>
    <w:rsid w:val="00730CB7"/>
    <w:rsid w:val="007328F4"/>
    <w:rsid w:val="00732E88"/>
    <w:rsid w:val="0073528B"/>
    <w:rsid w:val="00736F26"/>
    <w:rsid w:val="00740F0F"/>
    <w:rsid w:val="00741678"/>
    <w:rsid w:val="00745470"/>
    <w:rsid w:val="007473CC"/>
    <w:rsid w:val="00747E96"/>
    <w:rsid w:val="00750315"/>
    <w:rsid w:val="0075159B"/>
    <w:rsid w:val="00753FA1"/>
    <w:rsid w:val="007566C6"/>
    <w:rsid w:val="0076513C"/>
    <w:rsid w:val="00765B54"/>
    <w:rsid w:val="00765C24"/>
    <w:rsid w:val="00772AA5"/>
    <w:rsid w:val="00772AFC"/>
    <w:rsid w:val="007775D5"/>
    <w:rsid w:val="0078211E"/>
    <w:rsid w:val="00784159"/>
    <w:rsid w:val="00785216"/>
    <w:rsid w:val="00790682"/>
    <w:rsid w:val="00790DF9"/>
    <w:rsid w:val="0079721A"/>
    <w:rsid w:val="007977EC"/>
    <w:rsid w:val="007A1372"/>
    <w:rsid w:val="007A28D2"/>
    <w:rsid w:val="007A2C84"/>
    <w:rsid w:val="007A334C"/>
    <w:rsid w:val="007A3D5D"/>
    <w:rsid w:val="007B6294"/>
    <w:rsid w:val="007C0B6C"/>
    <w:rsid w:val="007C1209"/>
    <w:rsid w:val="007C2533"/>
    <w:rsid w:val="007C4CE1"/>
    <w:rsid w:val="007C4DAC"/>
    <w:rsid w:val="007C78CA"/>
    <w:rsid w:val="007D1740"/>
    <w:rsid w:val="007D2105"/>
    <w:rsid w:val="007D24FE"/>
    <w:rsid w:val="007E0449"/>
    <w:rsid w:val="007E2254"/>
    <w:rsid w:val="007F0AA8"/>
    <w:rsid w:val="007F0D36"/>
    <w:rsid w:val="007F35EF"/>
    <w:rsid w:val="007F4864"/>
    <w:rsid w:val="007F4B31"/>
    <w:rsid w:val="008010D2"/>
    <w:rsid w:val="00802D7F"/>
    <w:rsid w:val="00804300"/>
    <w:rsid w:val="0080679E"/>
    <w:rsid w:val="008076EB"/>
    <w:rsid w:val="00811D94"/>
    <w:rsid w:val="00811E86"/>
    <w:rsid w:val="00812901"/>
    <w:rsid w:val="00814935"/>
    <w:rsid w:val="00815A00"/>
    <w:rsid w:val="00816DC3"/>
    <w:rsid w:val="00816DEC"/>
    <w:rsid w:val="0082173F"/>
    <w:rsid w:val="00822AC1"/>
    <w:rsid w:val="00823C29"/>
    <w:rsid w:val="008244E1"/>
    <w:rsid w:val="008332C9"/>
    <w:rsid w:val="00834025"/>
    <w:rsid w:val="00834FD3"/>
    <w:rsid w:val="0083551B"/>
    <w:rsid w:val="008402BB"/>
    <w:rsid w:val="0084199F"/>
    <w:rsid w:val="00842410"/>
    <w:rsid w:val="00845C65"/>
    <w:rsid w:val="00846D46"/>
    <w:rsid w:val="00852B32"/>
    <w:rsid w:val="00862D35"/>
    <w:rsid w:val="0086451F"/>
    <w:rsid w:val="00876736"/>
    <w:rsid w:val="00877C96"/>
    <w:rsid w:val="00880FD5"/>
    <w:rsid w:val="008811FD"/>
    <w:rsid w:val="00885D25"/>
    <w:rsid w:val="008921CB"/>
    <w:rsid w:val="008922E7"/>
    <w:rsid w:val="00893F9F"/>
    <w:rsid w:val="008948F5"/>
    <w:rsid w:val="008B1E33"/>
    <w:rsid w:val="008B238C"/>
    <w:rsid w:val="008B2549"/>
    <w:rsid w:val="008B2C59"/>
    <w:rsid w:val="008B3F79"/>
    <w:rsid w:val="008B5638"/>
    <w:rsid w:val="008B5985"/>
    <w:rsid w:val="008C2712"/>
    <w:rsid w:val="008C73FF"/>
    <w:rsid w:val="008C7BBD"/>
    <w:rsid w:val="008D212D"/>
    <w:rsid w:val="008D30C1"/>
    <w:rsid w:val="008D371B"/>
    <w:rsid w:val="008D7BD3"/>
    <w:rsid w:val="008E2984"/>
    <w:rsid w:val="008E3088"/>
    <w:rsid w:val="008E342A"/>
    <w:rsid w:val="008E5937"/>
    <w:rsid w:val="008F0279"/>
    <w:rsid w:val="008F0360"/>
    <w:rsid w:val="008F2E6A"/>
    <w:rsid w:val="008F3C90"/>
    <w:rsid w:val="00900E64"/>
    <w:rsid w:val="00903082"/>
    <w:rsid w:val="009033E4"/>
    <w:rsid w:val="009133A6"/>
    <w:rsid w:val="0091371C"/>
    <w:rsid w:val="00924B58"/>
    <w:rsid w:val="009363BC"/>
    <w:rsid w:val="00936F80"/>
    <w:rsid w:val="0093726B"/>
    <w:rsid w:val="00937494"/>
    <w:rsid w:val="00937BEF"/>
    <w:rsid w:val="009411B7"/>
    <w:rsid w:val="009420B5"/>
    <w:rsid w:val="00944E4D"/>
    <w:rsid w:val="00945E47"/>
    <w:rsid w:val="00952807"/>
    <w:rsid w:val="009628F6"/>
    <w:rsid w:val="009650C6"/>
    <w:rsid w:val="0096646B"/>
    <w:rsid w:val="00966EFA"/>
    <w:rsid w:val="00966F35"/>
    <w:rsid w:val="0096721C"/>
    <w:rsid w:val="009703B3"/>
    <w:rsid w:val="0097079F"/>
    <w:rsid w:val="00974E65"/>
    <w:rsid w:val="00975945"/>
    <w:rsid w:val="009762FB"/>
    <w:rsid w:val="009771A1"/>
    <w:rsid w:val="00980736"/>
    <w:rsid w:val="00980CFB"/>
    <w:rsid w:val="009866AA"/>
    <w:rsid w:val="009939E4"/>
    <w:rsid w:val="00995952"/>
    <w:rsid w:val="009A02C0"/>
    <w:rsid w:val="009A27E2"/>
    <w:rsid w:val="009A3DAF"/>
    <w:rsid w:val="009B05C7"/>
    <w:rsid w:val="009B30E0"/>
    <w:rsid w:val="009B3E33"/>
    <w:rsid w:val="009B650A"/>
    <w:rsid w:val="009C07A2"/>
    <w:rsid w:val="009C0AAC"/>
    <w:rsid w:val="009C2709"/>
    <w:rsid w:val="009C2A25"/>
    <w:rsid w:val="009C2CFF"/>
    <w:rsid w:val="009C50BD"/>
    <w:rsid w:val="009C5234"/>
    <w:rsid w:val="009C6C9F"/>
    <w:rsid w:val="009D1F36"/>
    <w:rsid w:val="009D4905"/>
    <w:rsid w:val="009D4C0E"/>
    <w:rsid w:val="009D5D68"/>
    <w:rsid w:val="009D77AD"/>
    <w:rsid w:val="009E38B5"/>
    <w:rsid w:val="009E6046"/>
    <w:rsid w:val="009F22C6"/>
    <w:rsid w:val="009F297A"/>
    <w:rsid w:val="009F4011"/>
    <w:rsid w:val="009F7038"/>
    <w:rsid w:val="00A00C90"/>
    <w:rsid w:val="00A03736"/>
    <w:rsid w:val="00A06D2F"/>
    <w:rsid w:val="00A10D61"/>
    <w:rsid w:val="00A11E9B"/>
    <w:rsid w:val="00A128DA"/>
    <w:rsid w:val="00A145B3"/>
    <w:rsid w:val="00A1617A"/>
    <w:rsid w:val="00A209C1"/>
    <w:rsid w:val="00A21EF2"/>
    <w:rsid w:val="00A22295"/>
    <w:rsid w:val="00A22E7D"/>
    <w:rsid w:val="00A3166D"/>
    <w:rsid w:val="00A32942"/>
    <w:rsid w:val="00A43E5A"/>
    <w:rsid w:val="00A54C6E"/>
    <w:rsid w:val="00A56777"/>
    <w:rsid w:val="00A56C71"/>
    <w:rsid w:val="00A61784"/>
    <w:rsid w:val="00A626DA"/>
    <w:rsid w:val="00A65420"/>
    <w:rsid w:val="00A66AA3"/>
    <w:rsid w:val="00A66FFC"/>
    <w:rsid w:val="00A747FA"/>
    <w:rsid w:val="00A7501C"/>
    <w:rsid w:val="00A7614D"/>
    <w:rsid w:val="00A761DF"/>
    <w:rsid w:val="00A76DB1"/>
    <w:rsid w:val="00A777B4"/>
    <w:rsid w:val="00A80616"/>
    <w:rsid w:val="00A849A4"/>
    <w:rsid w:val="00A851C3"/>
    <w:rsid w:val="00A8547F"/>
    <w:rsid w:val="00A86906"/>
    <w:rsid w:val="00A918BE"/>
    <w:rsid w:val="00A92D39"/>
    <w:rsid w:val="00A97E8C"/>
    <w:rsid w:val="00AA2998"/>
    <w:rsid w:val="00AA6712"/>
    <w:rsid w:val="00AA6882"/>
    <w:rsid w:val="00AB6A19"/>
    <w:rsid w:val="00AC2AFD"/>
    <w:rsid w:val="00AC50D4"/>
    <w:rsid w:val="00AD1BE7"/>
    <w:rsid w:val="00AD2014"/>
    <w:rsid w:val="00AD3DE0"/>
    <w:rsid w:val="00AD4714"/>
    <w:rsid w:val="00AD6B8E"/>
    <w:rsid w:val="00AF0666"/>
    <w:rsid w:val="00AF5DFA"/>
    <w:rsid w:val="00B0365F"/>
    <w:rsid w:val="00B13DCA"/>
    <w:rsid w:val="00B156CB"/>
    <w:rsid w:val="00B160B9"/>
    <w:rsid w:val="00B215A6"/>
    <w:rsid w:val="00B258BC"/>
    <w:rsid w:val="00B26ECB"/>
    <w:rsid w:val="00B276F1"/>
    <w:rsid w:val="00B30673"/>
    <w:rsid w:val="00B33104"/>
    <w:rsid w:val="00B3738B"/>
    <w:rsid w:val="00B37FE3"/>
    <w:rsid w:val="00B430B2"/>
    <w:rsid w:val="00B45C8E"/>
    <w:rsid w:val="00B469F5"/>
    <w:rsid w:val="00B53F89"/>
    <w:rsid w:val="00B56D5D"/>
    <w:rsid w:val="00B6019D"/>
    <w:rsid w:val="00B63198"/>
    <w:rsid w:val="00B63A61"/>
    <w:rsid w:val="00B63F1E"/>
    <w:rsid w:val="00B64995"/>
    <w:rsid w:val="00B762E6"/>
    <w:rsid w:val="00B77DBA"/>
    <w:rsid w:val="00B77F97"/>
    <w:rsid w:val="00B84696"/>
    <w:rsid w:val="00B85C25"/>
    <w:rsid w:val="00B87DBA"/>
    <w:rsid w:val="00B9085E"/>
    <w:rsid w:val="00B913F6"/>
    <w:rsid w:val="00B91A83"/>
    <w:rsid w:val="00B91AD0"/>
    <w:rsid w:val="00B92083"/>
    <w:rsid w:val="00B93BE8"/>
    <w:rsid w:val="00B95B9F"/>
    <w:rsid w:val="00B972AB"/>
    <w:rsid w:val="00BA1B35"/>
    <w:rsid w:val="00BA4A9E"/>
    <w:rsid w:val="00BA6546"/>
    <w:rsid w:val="00BB046B"/>
    <w:rsid w:val="00BB0A11"/>
    <w:rsid w:val="00BB4BDD"/>
    <w:rsid w:val="00BB6F5B"/>
    <w:rsid w:val="00BC248D"/>
    <w:rsid w:val="00BC580B"/>
    <w:rsid w:val="00BC5DEA"/>
    <w:rsid w:val="00BD1089"/>
    <w:rsid w:val="00BD26AE"/>
    <w:rsid w:val="00BD6493"/>
    <w:rsid w:val="00BE006B"/>
    <w:rsid w:val="00BE1559"/>
    <w:rsid w:val="00BE1892"/>
    <w:rsid w:val="00BE4D00"/>
    <w:rsid w:val="00BE5E5F"/>
    <w:rsid w:val="00BF2B30"/>
    <w:rsid w:val="00C01C1B"/>
    <w:rsid w:val="00C02189"/>
    <w:rsid w:val="00C03DC2"/>
    <w:rsid w:val="00C05970"/>
    <w:rsid w:val="00C06E0E"/>
    <w:rsid w:val="00C14890"/>
    <w:rsid w:val="00C179E1"/>
    <w:rsid w:val="00C30C07"/>
    <w:rsid w:val="00C33EEC"/>
    <w:rsid w:val="00C34269"/>
    <w:rsid w:val="00C34BDF"/>
    <w:rsid w:val="00C356F4"/>
    <w:rsid w:val="00C4136E"/>
    <w:rsid w:val="00C415F5"/>
    <w:rsid w:val="00C450AC"/>
    <w:rsid w:val="00C510D5"/>
    <w:rsid w:val="00C534C8"/>
    <w:rsid w:val="00C542C3"/>
    <w:rsid w:val="00C55417"/>
    <w:rsid w:val="00C55C5F"/>
    <w:rsid w:val="00C56954"/>
    <w:rsid w:val="00C6126E"/>
    <w:rsid w:val="00C6621C"/>
    <w:rsid w:val="00C66481"/>
    <w:rsid w:val="00C664C6"/>
    <w:rsid w:val="00C71085"/>
    <w:rsid w:val="00C718EB"/>
    <w:rsid w:val="00C8289A"/>
    <w:rsid w:val="00C85EC3"/>
    <w:rsid w:val="00C85F53"/>
    <w:rsid w:val="00C930D3"/>
    <w:rsid w:val="00CA250B"/>
    <w:rsid w:val="00CA4C91"/>
    <w:rsid w:val="00CA7150"/>
    <w:rsid w:val="00CA79CB"/>
    <w:rsid w:val="00CB0EAC"/>
    <w:rsid w:val="00CB6EC5"/>
    <w:rsid w:val="00CB6ED9"/>
    <w:rsid w:val="00CC2304"/>
    <w:rsid w:val="00CC37B4"/>
    <w:rsid w:val="00CC61B0"/>
    <w:rsid w:val="00CC6A1A"/>
    <w:rsid w:val="00CC6FCF"/>
    <w:rsid w:val="00CC760F"/>
    <w:rsid w:val="00CD15E8"/>
    <w:rsid w:val="00CD3550"/>
    <w:rsid w:val="00CD4371"/>
    <w:rsid w:val="00CD4DD5"/>
    <w:rsid w:val="00CD568A"/>
    <w:rsid w:val="00CD6F82"/>
    <w:rsid w:val="00CE1DC2"/>
    <w:rsid w:val="00CE60FE"/>
    <w:rsid w:val="00CF19B8"/>
    <w:rsid w:val="00CF1AB7"/>
    <w:rsid w:val="00CF1E2C"/>
    <w:rsid w:val="00CF2D00"/>
    <w:rsid w:val="00CF3232"/>
    <w:rsid w:val="00CF6166"/>
    <w:rsid w:val="00D0056E"/>
    <w:rsid w:val="00D02503"/>
    <w:rsid w:val="00D04BB3"/>
    <w:rsid w:val="00D04DCF"/>
    <w:rsid w:val="00D10116"/>
    <w:rsid w:val="00D119B8"/>
    <w:rsid w:val="00D12988"/>
    <w:rsid w:val="00D132B8"/>
    <w:rsid w:val="00D16EE5"/>
    <w:rsid w:val="00D235E4"/>
    <w:rsid w:val="00D251A2"/>
    <w:rsid w:val="00D273F7"/>
    <w:rsid w:val="00D27DB3"/>
    <w:rsid w:val="00D31286"/>
    <w:rsid w:val="00D41B55"/>
    <w:rsid w:val="00D50731"/>
    <w:rsid w:val="00D53239"/>
    <w:rsid w:val="00D610B2"/>
    <w:rsid w:val="00D64C66"/>
    <w:rsid w:val="00D67D1B"/>
    <w:rsid w:val="00D756D4"/>
    <w:rsid w:val="00D76A18"/>
    <w:rsid w:val="00D76E8A"/>
    <w:rsid w:val="00D83E3A"/>
    <w:rsid w:val="00D910F9"/>
    <w:rsid w:val="00D96F5A"/>
    <w:rsid w:val="00D976A3"/>
    <w:rsid w:val="00DA3859"/>
    <w:rsid w:val="00DA6737"/>
    <w:rsid w:val="00DA755F"/>
    <w:rsid w:val="00DB1192"/>
    <w:rsid w:val="00DB18AE"/>
    <w:rsid w:val="00DB3B3F"/>
    <w:rsid w:val="00DB50C8"/>
    <w:rsid w:val="00DC43AF"/>
    <w:rsid w:val="00DD327A"/>
    <w:rsid w:val="00DE2CD2"/>
    <w:rsid w:val="00DF2211"/>
    <w:rsid w:val="00DF6DEC"/>
    <w:rsid w:val="00DF7A4E"/>
    <w:rsid w:val="00E01731"/>
    <w:rsid w:val="00E100C4"/>
    <w:rsid w:val="00E10BD3"/>
    <w:rsid w:val="00E1283C"/>
    <w:rsid w:val="00E1375A"/>
    <w:rsid w:val="00E14C05"/>
    <w:rsid w:val="00E24E79"/>
    <w:rsid w:val="00E253D1"/>
    <w:rsid w:val="00E2690C"/>
    <w:rsid w:val="00E27848"/>
    <w:rsid w:val="00E278FD"/>
    <w:rsid w:val="00E30318"/>
    <w:rsid w:val="00E32F04"/>
    <w:rsid w:val="00E333D5"/>
    <w:rsid w:val="00E33514"/>
    <w:rsid w:val="00E34E90"/>
    <w:rsid w:val="00E3539D"/>
    <w:rsid w:val="00E36EFC"/>
    <w:rsid w:val="00E4034E"/>
    <w:rsid w:val="00E41298"/>
    <w:rsid w:val="00E44BF8"/>
    <w:rsid w:val="00E45AC7"/>
    <w:rsid w:val="00E471FC"/>
    <w:rsid w:val="00E50BA0"/>
    <w:rsid w:val="00E517D3"/>
    <w:rsid w:val="00E536F7"/>
    <w:rsid w:val="00E55716"/>
    <w:rsid w:val="00E57206"/>
    <w:rsid w:val="00E63AD9"/>
    <w:rsid w:val="00E63E86"/>
    <w:rsid w:val="00E65262"/>
    <w:rsid w:val="00E65821"/>
    <w:rsid w:val="00E67295"/>
    <w:rsid w:val="00E700BD"/>
    <w:rsid w:val="00E70ED9"/>
    <w:rsid w:val="00E71FCC"/>
    <w:rsid w:val="00E7503B"/>
    <w:rsid w:val="00E83141"/>
    <w:rsid w:val="00E84A09"/>
    <w:rsid w:val="00E858EF"/>
    <w:rsid w:val="00E92211"/>
    <w:rsid w:val="00E92F47"/>
    <w:rsid w:val="00E95B8C"/>
    <w:rsid w:val="00E95BA5"/>
    <w:rsid w:val="00EA1A6D"/>
    <w:rsid w:val="00EA4144"/>
    <w:rsid w:val="00EA7CCE"/>
    <w:rsid w:val="00EB0020"/>
    <w:rsid w:val="00EB3A8D"/>
    <w:rsid w:val="00EB46DA"/>
    <w:rsid w:val="00EB5353"/>
    <w:rsid w:val="00EB56EE"/>
    <w:rsid w:val="00EC03A5"/>
    <w:rsid w:val="00EC1A37"/>
    <w:rsid w:val="00EC235F"/>
    <w:rsid w:val="00EC4944"/>
    <w:rsid w:val="00EC6D02"/>
    <w:rsid w:val="00EC6F4B"/>
    <w:rsid w:val="00EC7976"/>
    <w:rsid w:val="00ED22C4"/>
    <w:rsid w:val="00ED708F"/>
    <w:rsid w:val="00EE290B"/>
    <w:rsid w:val="00EE5404"/>
    <w:rsid w:val="00EF0917"/>
    <w:rsid w:val="00EF1291"/>
    <w:rsid w:val="00EF3478"/>
    <w:rsid w:val="00EF3752"/>
    <w:rsid w:val="00EF415B"/>
    <w:rsid w:val="00EF75E8"/>
    <w:rsid w:val="00F01BCE"/>
    <w:rsid w:val="00F0229B"/>
    <w:rsid w:val="00F02D4E"/>
    <w:rsid w:val="00F05A16"/>
    <w:rsid w:val="00F072D2"/>
    <w:rsid w:val="00F11429"/>
    <w:rsid w:val="00F11951"/>
    <w:rsid w:val="00F141C2"/>
    <w:rsid w:val="00F14FDE"/>
    <w:rsid w:val="00F15CF2"/>
    <w:rsid w:val="00F21760"/>
    <w:rsid w:val="00F23F05"/>
    <w:rsid w:val="00F2495B"/>
    <w:rsid w:val="00F25870"/>
    <w:rsid w:val="00F25F04"/>
    <w:rsid w:val="00F30279"/>
    <w:rsid w:val="00F30B33"/>
    <w:rsid w:val="00F3147E"/>
    <w:rsid w:val="00F315A9"/>
    <w:rsid w:val="00F377A6"/>
    <w:rsid w:val="00F40704"/>
    <w:rsid w:val="00F4446F"/>
    <w:rsid w:val="00F47538"/>
    <w:rsid w:val="00F549F3"/>
    <w:rsid w:val="00F603A7"/>
    <w:rsid w:val="00F6462D"/>
    <w:rsid w:val="00F6654F"/>
    <w:rsid w:val="00F67DE6"/>
    <w:rsid w:val="00F70B3A"/>
    <w:rsid w:val="00F738E6"/>
    <w:rsid w:val="00F73EAE"/>
    <w:rsid w:val="00F74179"/>
    <w:rsid w:val="00F80E16"/>
    <w:rsid w:val="00F82BD4"/>
    <w:rsid w:val="00F9315E"/>
    <w:rsid w:val="00F950F9"/>
    <w:rsid w:val="00F97B98"/>
    <w:rsid w:val="00FA03C6"/>
    <w:rsid w:val="00FA4F2B"/>
    <w:rsid w:val="00FB4EB8"/>
    <w:rsid w:val="00FB53D8"/>
    <w:rsid w:val="00FB5591"/>
    <w:rsid w:val="00FC01DB"/>
    <w:rsid w:val="00FC31A7"/>
    <w:rsid w:val="00FC40CE"/>
    <w:rsid w:val="00FC482A"/>
    <w:rsid w:val="00FC7635"/>
    <w:rsid w:val="00FD309A"/>
    <w:rsid w:val="00FD3AB8"/>
    <w:rsid w:val="00FD41FC"/>
    <w:rsid w:val="00FD4C0F"/>
    <w:rsid w:val="00FD56E1"/>
    <w:rsid w:val="00FD61B0"/>
    <w:rsid w:val="00FE1748"/>
    <w:rsid w:val="00FE30F7"/>
    <w:rsid w:val="00FE759A"/>
    <w:rsid w:val="00FF26C2"/>
    <w:rsid w:val="00FF3A5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3A2BEA"/>
    <w:rPr>
      <w:rFonts w:eastAsia="Calibri"/>
      <w:lang w:val="en-AU"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nhideWhenUsed/>
    <w:rsid w:val="003A2BEA"/>
    <w:pPr>
      <w:tabs>
        <w:tab w:val="center" w:pos="4153"/>
        <w:tab w:val="right" w:pos="8306"/>
      </w:tabs>
    </w:pPr>
  </w:style>
  <w:style w:type="character" w:customStyle="1" w:styleId="KjeneRakstz">
    <w:name w:val="Kājene Rakstz."/>
    <w:basedOn w:val="Noklusjumarindkopasfonts"/>
    <w:link w:val="Kjene"/>
    <w:rsid w:val="003A2BEA"/>
    <w:rPr>
      <w:rFonts w:eastAsia="Calibri"/>
      <w:lang w:val="en-AU" w:eastAsia="en-US" w:bidi="ar-SA"/>
    </w:rPr>
  </w:style>
  <w:style w:type="paragraph" w:styleId="Galvene">
    <w:name w:val="header"/>
    <w:basedOn w:val="Parastais"/>
    <w:link w:val="GalveneRakstz"/>
    <w:unhideWhenUsed/>
    <w:rsid w:val="003A2BEA"/>
    <w:pPr>
      <w:tabs>
        <w:tab w:val="center" w:pos="4153"/>
        <w:tab w:val="right" w:pos="8306"/>
      </w:tabs>
    </w:pPr>
  </w:style>
  <w:style w:type="character" w:customStyle="1" w:styleId="GalveneRakstz">
    <w:name w:val="Galvene Rakstz."/>
    <w:basedOn w:val="Noklusjumarindkopasfonts"/>
    <w:link w:val="Galvene"/>
    <w:rsid w:val="003A2BEA"/>
    <w:rPr>
      <w:rFonts w:eastAsia="Calibri"/>
      <w:lang w:val="en-AU" w:eastAsia="en-US" w:bidi="ar-SA"/>
    </w:rPr>
  </w:style>
  <w:style w:type="paragraph" w:styleId="Pamattekstsaratkpi">
    <w:name w:val="Body Text Indent"/>
    <w:basedOn w:val="Parastais"/>
    <w:link w:val="PamattekstsaratkpiRakstz"/>
    <w:rsid w:val="003A2BEA"/>
    <w:pPr>
      <w:ind w:firstLine="720"/>
      <w:jc w:val="both"/>
    </w:pPr>
    <w:rPr>
      <w:rFonts w:eastAsia="Times New Roman"/>
      <w:color w:val="000000"/>
      <w:sz w:val="28"/>
      <w:lang w:val="lv-LV" w:eastAsia="lv-LV"/>
    </w:rPr>
  </w:style>
  <w:style w:type="character" w:customStyle="1" w:styleId="PamattekstsaratkpiRakstz">
    <w:name w:val="Pamatteksts ar atkāpi Rakstz."/>
    <w:basedOn w:val="Noklusjumarindkopasfonts"/>
    <w:link w:val="Pamattekstsaratkpi"/>
    <w:rsid w:val="003A2BEA"/>
    <w:rPr>
      <w:color w:val="000000"/>
      <w:sz w:val="28"/>
      <w:lang w:val="lv-LV" w:eastAsia="lv-LV" w:bidi="ar-SA"/>
    </w:rPr>
  </w:style>
  <w:style w:type="paragraph" w:styleId="Pamatteksts">
    <w:name w:val="Body Text"/>
    <w:basedOn w:val="Parastais"/>
    <w:link w:val="PamattekstsRakstz"/>
    <w:unhideWhenUsed/>
    <w:rsid w:val="003A2BEA"/>
    <w:pPr>
      <w:spacing w:after="120"/>
    </w:pPr>
  </w:style>
  <w:style w:type="character" w:customStyle="1" w:styleId="PamattekstsRakstz">
    <w:name w:val="Pamatteksts Rakstz."/>
    <w:basedOn w:val="Noklusjumarindkopasfonts"/>
    <w:link w:val="Pamatteksts"/>
    <w:rsid w:val="003A2BEA"/>
    <w:rPr>
      <w:rFonts w:eastAsia="Calibri"/>
      <w:lang w:val="en-AU" w:eastAsia="en-US" w:bidi="ar-SA"/>
    </w:rPr>
  </w:style>
  <w:style w:type="paragraph" w:customStyle="1" w:styleId="naisnod">
    <w:name w:val="naisnod"/>
    <w:basedOn w:val="Parastais"/>
    <w:rsid w:val="003A2BEA"/>
    <w:pPr>
      <w:spacing w:before="100" w:beforeAutospacing="1" w:after="100" w:afterAutospacing="1"/>
    </w:pPr>
    <w:rPr>
      <w:rFonts w:eastAsia="Times New Roman"/>
      <w:sz w:val="24"/>
      <w:szCs w:val="24"/>
      <w:lang w:val="lv-LV" w:eastAsia="lv-LV"/>
    </w:rPr>
  </w:style>
  <w:style w:type="paragraph" w:customStyle="1" w:styleId="naiskr">
    <w:name w:val="naiskr"/>
    <w:basedOn w:val="Parastais"/>
    <w:rsid w:val="003A2BEA"/>
    <w:pPr>
      <w:spacing w:before="100" w:beforeAutospacing="1" w:after="100" w:afterAutospacing="1"/>
    </w:pPr>
    <w:rPr>
      <w:rFonts w:eastAsia="Times New Roman"/>
      <w:sz w:val="24"/>
      <w:szCs w:val="24"/>
      <w:lang w:val="lv-LV" w:eastAsia="lv-LV"/>
    </w:rPr>
  </w:style>
  <w:style w:type="paragraph" w:customStyle="1" w:styleId="RakstzRakstzRakstzCharCharRakstzRakstzCharCharRakstzRakstz">
    <w:name w:val="Rakstz. Rakstz. Rakstz. Char Char Rakstz. Rakstz. Char Char Rakstz. Rakstz."/>
    <w:basedOn w:val="Parastais"/>
    <w:rsid w:val="009E6046"/>
    <w:pPr>
      <w:spacing w:before="40"/>
    </w:pPr>
    <w:rPr>
      <w:rFonts w:eastAsia="Times New Roman"/>
      <w:sz w:val="24"/>
      <w:szCs w:val="24"/>
      <w:lang w:val="pl-PL" w:eastAsia="pl-PL"/>
    </w:rPr>
  </w:style>
  <w:style w:type="paragraph" w:customStyle="1" w:styleId="naisf">
    <w:name w:val="naisf"/>
    <w:basedOn w:val="Parastais"/>
    <w:rsid w:val="0039272A"/>
    <w:pPr>
      <w:spacing w:before="100" w:beforeAutospacing="1" w:after="100" w:afterAutospacing="1"/>
      <w:jc w:val="both"/>
    </w:pPr>
    <w:rPr>
      <w:rFonts w:eastAsia="Times New Roman"/>
      <w:sz w:val="24"/>
      <w:szCs w:val="24"/>
      <w:lang w:val="en-GB"/>
    </w:rPr>
  </w:style>
  <w:style w:type="paragraph" w:customStyle="1" w:styleId="Rakstz">
    <w:name w:val="Rakstz."/>
    <w:basedOn w:val="Parastais"/>
    <w:next w:val="Tekstabloks"/>
    <w:rsid w:val="0039272A"/>
    <w:pPr>
      <w:spacing w:before="120" w:after="160" w:line="240" w:lineRule="exact"/>
      <w:ind w:firstLine="720"/>
      <w:jc w:val="both"/>
    </w:pPr>
    <w:rPr>
      <w:rFonts w:ascii="Verdana" w:eastAsia="Times New Roman" w:hAnsi="Verdana"/>
      <w:lang w:val="en-US"/>
    </w:rPr>
  </w:style>
  <w:style w:type="paragraph" w:styleId="Tekstabloks">
    <w:name w:val="Block Text"/>
    <w:basedOn w:val="Parastais"/>
    <w:rsid w:val="0039272A"/>
    <w:pPr>
      <w:spacing w:after="120"/>
      <w:ind w:left="1440" w:right="1440"/>
    </w:pPr>
  </w:style>
  <w:style w:type="paragraph" w:styleId="Balonteksts">
    <w:name w:val="Balloon Text"/>
    <w:basedOn w:val="Parastais"/>
    <w:semiHidden/>
    <w:rsid w:val="00686E48"/>
    <w:rPr>
      <w:rFonts w:ascii="Tahoma" w:hAnsi="Tahoma" w:cs="Tahoma"/>
      <w:sz w:val="16"/>
      <w:szCs w:val="16"/>
    </w:rPr>
  </w:style>
  <w:style w:type="character" w:styleId="Komentraatsauce">
    <w:name w:val="annotation reference"/>
    <w:basedOn w:val="Noklusjumarindkopasfonts"/>
    <w:uiPriority w:val="99"/>
    <w:rsid w:val="001A7766"/>
    <w:rPr>
      <w:sz w:val="16"/>
      <w:szCs w:val="16"/>
    </w:rPr>
  </w:style>
  <w:style w:type="paragraph" w:styleId="Komentrateksts">
    <w:name w:val="annotation text"/>
    <w:basedOn w:val="Parastais"/>
    <w:link w:val="KomentratekstsRakstz"/>
    <w:uiPriority w:val="99"/>
    <w:rsid w:val="001A7766"/>
  </w:style>
  <w:style w:type="character" w:customStyle="1" w:styleId="KomentratekstsRakstz">
    <w:name w:val="Komentāra teksts Rakstz."/>
    <w:basedOn w:val="Noklusjumarindkopasfonts"/>
    <w:link w:val="Komentrateksts"/>
    <w:uiPriority w:val="99"/>
    <w:rsid w:val="001A7766"/>
    <w:rPr>
      <w:rFonts w:eastAsia="Calibri"/>
      <w:lang w:val="en-AU" w:eastAsia="en-US"/>
    </w:rPr>
  </w:style>
  <w:style w:type="paragraph" w:styleId="Komentratma">
    <w:name w:val="annotation subject"/>
    <w:basedOn w:val="Komentrateksts"/>
    <w:next w:val="Komentrateksts"/>
    <w:link w:val="KomentratmaRakstz"/>
    <w:rsid w:val="001A7766"/>
    <w:rPr>
      <w:b/>
      <w:bCs/>
    </w:rPr>
  </w:style>
  <w:style w:type="character" w:customStyle="1" w:styleId="KomentratmaRakstz">
    <w:name w:val="Komentāra tēma Rakstz."/>
    <w:basedOn w:val="KomentratekstsRakstz"/>
    <w:link w:val="Komentratma"/>
    <w:rsid w:val="001A7766"/>
    <w:rPr>
      <w:rFonts w:eastAsia="Calibri"/>
      <w:b/>
      <w:bCs/>
      <w:lang w:val="en-AU" w:eastAsia="en-US"/>
    </w:rPr>
  </w:style>
  <w:style w:type="paragraph" w:styleId="ParastaisWeb">
    <w:name w:val="Normal (Web)"/>
    <w:basedOn w:val="Parastais"/>
    <w:uiPriority w:val="99"/>
    <w:rsid w:val="0083551B"/>
    <w:pPr>
      <w:spacing w:before="100" w:beforeAutospacing="1" w:after="100" w:afterAutospacing="1"/>
    </w:pPr>
    <w:rPr>
      <w:rFonts w:eastAsia="Times New Roman"/>
      <w:sz w:val="24"/>
      <w:szCs w:val="24"/>
      <w:lang w:val="lv-LV" w:eastAsia="lv-LV"/>
    </w:rPr>
  </w:style>
  <w:style w:type="character" w:customStyle="1" w:styleId="hps">
    <w:name w:val="hps"/>
    <w:basedOn w:val="Noklusjumarindkopasfonts"/>
    <w:rsid w:val="0083551B"/>
  </w:style>
  <w:style w:type="paragraph" w:styleId="Sarakstarindkopa">
    <w:name w:val="List Paragraph"/>
    <w:basedOn w:val="Parastais"/>
    <w:uiPriority w:val="34"/>
    <w:qFormat/>
    <w:rsid w:val="0083551B"/>
    <w:pPr>
      <w:spacing w:after="200" w:line="276" w:lineRule="auto"/>
      <w:ind w:left="720"/>
      <w:contextualSpacing/>
    </w:pPr>
    <w:rPr>
      <w:rFonts w:ascii="Calibri" w:hAnsi="Calibri"/>
      <w:sz w:val="22"/>
      <w:szCs w:val="22"/>
      <w:lang w:val="en-US"/>
    </w:rPr>
  </w:style>
  <w:style w:type="paragraph" w:customStyle="1" w:styleId="naisc">
    <w:name w:val="naisc"/>
    <w:basedOn w:val="Parastais"/>
    <w:uiPriority w:val="99"/>
    <w:rsid w:val="007E0449"/>
    <w:pPr>
      <w:spacing w:before="450" w:after="300"/>
      <w:jc w:val="center"/>
    </w:pPr>
    <w:rPr>
      <w:rFonts w:eastAsia="Times New Roman"/>
      <w:sz w:val="26"/>
      <w:szCs w:val="26"/>
      <w:lang w:val="lv-LV" w:eastAsia="lv-LV"/>
    </w:rPr>
  </w:style>
  <w:style w:type="paragraph" w:styleId="Pamatteksts2">
    <w:name w:val="Body Text 2"/>
    <w:basedOn w:val="Parastais"/>
    <w:link w:val="Pamatteksts2Rakstz"/>
    <w:rsid w:val="007E0449"/>
    <w:pPr>
      <w:spacing w:after="120" w:line="480" w:lineRule="auto"/>
    </w:pPr>
    <w:rPr>
      <w:rFonts w:eastAsia="Times New Roman"/>
      <w:sz w:val="24"/>
      <w:szCs w:val="24"/>
      <w:lang w:val="lv-LV" w:eastAsia="lv-LV"/>
    </w:rPr>
  </w:style>
  <w:style w:type="character" w:customStyle="1" w:styleId="Pamatteksts2Rakstz">
    <w:name w:val="Pamatteksts 2 Rakstz."/>
    <w:basedOn w:val="Noklusjumarindkopasfonts"/>
    <w:link w:val="Pamatteksts2"/>
    <w:rsid w:val="007E0449"/>
    <w:rPr>
      <w:sz w:val="24"/>
      <w:szCs w:val="24"/>
    </w:rPr>
  </w:style>
  <w:style w:type="character" w:styleId="Izteiksmgs">
    <w:name w:val="Strong"/>
    <w:basedOn w:val="Noklusjumarindkopasfonts"/>
    <w:uiPriority w:val="22"/>
    <w:qFormat/>
    <w:rsid w:val="003A31D5"/>
    <w:rPr>
      <w:b/>
      <w:bCs/>
    </w:rPr>
  </w:style>
  <w:style w:type="paragraph" w:customStyle="1" w:styleId="Default">
    <w:name w:val="Default"/>
    <w:rsid w:val="003A31D5"/>
    <w:pPr>
      <w:autoSpaceDE w:val="0"/>
      <w:autoSpaceDN w:val="0"/>
      <w:adjustRightInd w:val="0"/>
    </w:pPr>
    <w:rPr>
      <w:rFonts w:ascii="Verdana" w:hAnsi="Verdana" w:cs="Verdana"/>
      <w:color w:val="000000"/>
      <w:sz w:val="24"/>
      <w:szCs w:val="24"/>
    </w:rPr>
  </w:style>
  <w:style w:type="paragraph" w:customStyle="1" w:styleId="agree">
    <w:name w:val="agree"/>
    <w:basedOn w:val="Parastais"/>
    <w:rsid w:val="00524857"/>
    <w:pPr>
      <w:spacing w:before="94" w:after="94"/>
    </w:pPr>
    <w:rPr>
      <w:rFonts w:eastAsia="Times New Roman"/>
      <w:sz w:val="24"/>
      <w:szCs w:val="24"/>
      <w:lang w:val="lv-LV" w:eastAsia="lv-LV"/>
    </w:rPr>
  </w:style>
  <w:style w:type="paragraph" w:styleId="Prskatjums">
    <w:name w:val="Revision"/>
    <w:hidden/>
    <w:uiPriority w:val="99"/>
    <w:semiHidden/>
    <w:rsid w:val="00D251A2"/>
    <w:rPr>
      <w:rFonts w:eastAsia="Calibri"/>
      <w:lang w:val="en-AU" w:eastAsia="en-US"/>
    </w:rPr>
  </w:style>
  <w:style w:type="paragraph" w:styleId="Beiguvresteksts">
    <w:name w:val="endnote text"/>
    <w:basedOn w:val="Parastais"/>
    <w:link w:val="BeiguvrestekstsRakstz"/>
    <w:rsid w:val="00B215A6"/>
  </w:style>
  <w:style w:type="character" w:customStyle="1" w:styleId="BeiguvrestekstsRakstz">
    <w:name w:val="Beigu vēres teksts Rakstz."/>
    <w:basedOn w:val="Noklusjumarindkopasfonts"/>
    <w:link w:val="Beiguvresteksts"/>
    <w:rsid w:val="00B215A6"/>
    <w:rPr>
      <w:rFonts w:eastAsia="Calibri"/>
      <w:lang w:val="en-AU" w:eastAsia="en-US"/>
    </w:rPr>
  </w:style>
  <w:style w:type="character" w:styleId="Beiguvresatsauce">
    <w:name w:val="endnote reference"/>
    <w:basedOn w:val="Noklusjumarindkopasfonts"/>
    <w:rsid w:val="00B215A6"/>
    <w:rPr>
      <w:vertAlign w:val="superscript"/>
    </w:rPr>
  </w:style>
  <w:style w:type="paragraph" w:customStyle="1" w:styleId="hline">
    <w:name w:val="hline"/>
    <w:basedOn w:val="Parastais"/>
    <w:uiPriority w:val="99"/>
    <w:rsid w:val="0070008C"/>
    <w:pPr>
      <w:spacing w:before="100" w:beforeAutospacing="1" w:after="100" w:afterAutospacing="1"/>
    </w:pPr>
    <w:rPr>
      <w:rFonts w:eastAsia="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795866">
      <w:bodyDiv w:val="1"/>
      <w:marLeft w:val="0"/>
      <w:marRight w:val="0"/>
      <w:marTop w:val="0"/>
      <w:marBottom w:val="0"/>
      <w:divBdr>
        <w:top w:val="none" w:sz="0" w:space="0" w:color="auto"/>
        <w:left w:val="none" w:sz="0" w:space="0" w:color="auto"/>
        <w:bottom w:val="none" w:sz="0" w:space="0" w:color="auto"/>
        <w:right w:val="none" w:sz="0" w:space="0" w:color="auto"/>
      </w:divBdr>
    </w:div>
    <w:div w:id="531528899">
      <w:bodyDiv w:val="1"/>
      <w:marLeft w:val="45"/>
      <w:marRight w:val="45"/>
      <w:marTop w:val="90"/>
      <w:marBottom w:val="90"/>
      <w:divBdr>
        <w:top w:val="none" w:sz="0" w:space="0" w:color="auto"/>
        <w:left w:val="none" w:sz="0" w:space="0" w:color="auto"/>
        <w:bottom w:val="none" w:sz="0" w:space="0" w:color="auto"/>
        <w:right w:val="none" w:sz="0" w:space="0" w:color="auto"/>
      </w:divBdr>
      <w:divsChild>
        <w:div w:id="743649835">
          <w:marLeft w:val="0"/>
          <w:marRight w:val="0"/>
          <w:marTop w:val="0"/>
          <w:marBottom w:val="567"/>
          <w:divBdr>
            <w:top w:val="none" w:sz="0" w:space="0" w:color="auto"/>
            <w:left w:val="none" w:sz="0" w:space="0" w:color="auto"/>
            <w:bottom w:val="none" w:sz="0" w:space="0" w:color="auto"/>
            <w:right w:val="none" w:sz="0" w:space="0" w:color="auto"/>
          </w:divBdr>
        </w:div>
      </w:divsChild>
    </w:div>
    <w:div w:id="2049523854">
      <w:bodyDiv w:val="1"/>
      <w:marLeft w:val="45"/>
      <w:marRight w:val="45"/>
      <w:marTop w:val="90"/>
      <w:marBottom w:val="90"/>
      <w:divBdr>
        <w:top w:val="none" w:sz="0" w:space="0" w:color="auto"/>
        <w:left w:val="none" w:sz="0" w:space="0" w:color="auto"/>
        <w:bottom w:val="none" w:sz="0" w:space="0" w:color="auto"/>
        <w:right w:val="none" w:sz="0" w:space="0" w:color="auto"/>
      </w:divBdr>
      <w:divsChild>
        <w:div w:id="175435131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4d091fc3271d02557384c58f539acbce">
  <xsd:schema xmlns:xsd="http://www.w3.org/2001/XMLSchema" xmlns:p="http://schemas.microsoft.com/office/2006/metadata/properties" targetNamespace="http://schemas.microsoft.com/office/2006/metadata/properties" ma:root="true" ma:fieldsID="d05ad7bbde4a9f737f37551d115599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7111-1155-4043-ACAC-83997FA201E6}">
  <ds:schemaRefs>
    <ds:schemaRef ds:uri="http://schemas.microsoft.com/sharepoint/v3/contenttype/forms"/>
  </ds:schemaRefs>
</ds:datastoreItem>
</file>

<file path=customXml/itemProps2.xml><?xml version="1.0" encoding="utf-8"?>
<ds:datastoreItem xmlns:ds="http://schemas.openxmlformats.org/officeDocument/2006/customXml" ds:itemID="{8B1B913D-58A1-41D5-81B0-2777851A9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216339-8BC7-40DB-B212-56B0130C6D3C}">
  <ds:schemaRefs>
    <ds:schemaRef ds:uri="http://schemas.microsoft.com/office/2006/metadata/properties"/>
  </ds:schemaRefs>
</ds:datastoreItem>
</file>

<file path=customXml/itemProps4.xml><?xml version="1.0" encoding="utf-8"?>
<ds:datastoreItem xmlns:ds="http://schemas.openxmlformats.org/officeDocument/2006/customXml" ds:itemID="{DB992188-3E24-4FE7-BC87-45CCE8C9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11429</Words>
  <Characters>6516</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protokollēmuma projekta"Par atļauju Tieslietu ministrijai uzņemties saistības un īstenot projektu Igaunijas-Latvijas-Krievijas pārrobežu sadarbības programmas 2007-2013. gadam Eiropas Kaimiņattiecību un partnerattiecību instrumenta ietva</vt:lpstr>
      <vt:lpstr>Ministru kabineta protokollēmuma projekta"Par atļauju Tieslietu ministrijai uzņemties saistības un īstenot projektu Igaunijas-Latvijas-Krievijas pārrobežu sadarbības programmas 2007-2013. gadam Eiropas Kaimiņattiecību un partnerattiecību instrumenta ietva</vt:lpstr>
    </vt:vector>
  </TitlesOfParts>
  <Company>Tieslietu ministrija (MNA)</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Tieslietu ministrijas padotības iestādēm (Ieslodzījuma vietu pārvalde, Valsts probācijas dienests, Valsts valodas centrs) uzņemties saistības un īstenot projektus Eiropas Komisijas īpašajās programmās: Krimināltiesības, Daphne III (2011. un 2012. gada programmas) ietvaros”(anotācija)</dc:title>
  <dc:subject>Ministru kabineta protokollēmuma projekta</dc:subject>
  <dc:creator>Latvijas Republikas Tieslietu ministrija</dc:creator>
  <dc:description>V. Pusvācietis
67036849, valdis.pusvacietis@tm.gov.lv</dc:description>
  <cp:lastModifiedBy>Valdis Pusvācietis</cp:lastModifiedBy>
  <cp:revision>4</cp:revision>
  <cp:lastPrinted>2012-07-09T10:52:00Z</cp:lastPrinted>
  <dcterms:created xsi:type="dcterms:W3CDTF">2012-10-16T07:17:00Z</dcterms:created>
  <dcterms:modified xsi:type="dcterms:W3CDTF">2012-10-16T07:44:00Z</dcterms:modified>
</cp:coreProperties>
</file>