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6C" w:rsidRDefault="00DE736C" w:rsidP="00DE7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noteikumu </w:t>
      </w:r>
      <w:r w:rsidRPr="00B51E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 „Grozījum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B51E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</w:t>
      </w:r>
      <w:r>
        <w:rPr>
          <w:rFonts w:ascii="Times New Roman" w:eastAsia="Calibri" w:hAnsi="Times New Roman" w:cs="Times New Roman"/>
          <w:b/>
          <w:sz w:val="24"/>
          <w:szCs w:val="24"/>
        </w:rPr>
        <w:t>2010.gada 21.jūnija noteikumos</w:t>
      </w:r>
      <w:r w:rsidRPr="00DE736C">
        <w:rPr>
          <w:rFonts w:ascii="Times New Roman" w:eastAsia="Calibri" w:hAnsi="Times New Roman" w:cs="Times New Roman"/>
          <w:b/>
          <w:sz w:val="24"/>
          <w:szCs w:val="24"/>
        </w:rPr>
        <w:t xml:space="preserve"> Nr.558 „Noteikumi par valsts nodevu par operācijām ar</w:t>
      </w:r>
      <w:r w:rsidRPr="00237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36C">
        <w:rPr>
          <w:rFonts w:ascii="Times New Roman" w:eastAsia="Calibri" w:hAnsi="Times New Roman" w:cs="Times New Roman"/>
          <w:b/>
          <w:sz w:val="24"/>
          <w:szCs w:val="24"/>
        </w:rPr>
        <w:t>vekseļiem”</w:t>
      </w:r>
      <w:r w:rsidRPr="00DE73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DE73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B51E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tbl>
      <w:tblPr>
        <w:tblW w:w="9206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309"/>
        <w:gridCol w:w="780"/>
        <w:gridCol w:w="5643"/>
      </w:tblGrid>
      <w:tr w:rsidR="00DE736C" w:rsidRPr="00B51E62" w:rsidTr="005527B8">
        <w:trPr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I. Tiesību akta projekta izstrādes nepieciešamība</w:t>
            </w:r>
          </w:p>
        </w:tc>
      </w:tr>
      <w:tr w:rsidR="00DE736C" w:rsidRPr="00B51E62" w:rsidTr="005527B8">
        <w:trPr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E736C" w:rsidRPr="00B51E62" w:rsidTr="005527B8">
        <w:trPr>
          <w:trHeight w:val="630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237995" w:rsidRDefault="00DE736C" w:rsidP="00425646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99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2010. gada 21. decembra sēdes </w:t>
            </w:r>
            <w:proofErr w:type="spellStart"/>
            <w:r w:rsidRPr="00237995">
              <w:rPr>
                <w:rFonts w:ascii="Times New Roman" w:hAnsi="Times New Roman" w:cs="Times New Roman"/>
                <w:sz w:val="24"/>
                <w:szCs w:val="24"/>
              </w:rPr>
              <w:t>protokollēmuma</w:t>
            </w:r>
            <w:proofErr w:type="spellEnd"/>
            <w:r w:rsidRPr="002379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995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237995">
              <w:rPr>
                <w:rFonts w:ascii="Times New Roman" w:hAnsi="Times New Roman" w:cs="Times New Roman"/>
                <w:sz w:val="24"/>
                <w:szCs w:val="24"/>
              </w:rPr>
              <w:t>. Nr.74, 53.§) „Informatīvais ziņojums „Par priekšlikumiem grozījumiem normatīvajos aktos vekseļu elektroniskas aprites nodrošināšanai</w:t>
            </w:r>
            <w:r w:rsidR="00AB63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3799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7995">
              <w:rPr>
                <w:rFonts w:ascii="Times New Roman" w:hAnsi="Times New Roman" w:cs="Times New Roman"/>
                <w:sz w:val="24"/>
                <w:szCs w:val="24"/>
              </w:rPr>
              <w:t>. punkts.</w:t>
            </w:r>
          </w:p>
        </w:tc>
      </w:tr>
      <w:tr w:rsidR="00DE736C" w:rsidRPr="00B51E62" w:rsidTr="005527B8">
        <w:trPr>
          <w:trHeight w:val="688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Pašreizējā situācija un problēmas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E438D8" w:rsidRDefault="00DE736C" w:rsidP="00425646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2013.gada </w:t>
            </w:r>
            <w:r w:rsidR="002D48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D48E1">
              <w:rPr>
                <w:rFonts w:ascii="Times New Roman" w:eastAsia="Calibri" w:hAnsi="Times New Roman" w:cs="Times New Roman"/>
                <w:sz w:val="24"/>
                <w:szCs w:val="24"/>
              </w:rPr>
              <w:t>jūnij</w:t>
            </w:r>
            <w:r w:rsidR="00AD4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 </w:t>
            </w:r>
            <w:r w:rsidR="002D48E1">
              <w:rPr>
                <w:rFonts w:ascii="Times New Roman" w:eastAsia="Calibri" w:hAnsi="Times New Roman" w:cs="Times New Roman"/>
                <w:sz w:val="24"/>
                <w:szCs w:val="24"/>
              </w:rPr>
              <w:t>stājās spēkā</w:t>
            </w:r>
            <w:r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likum</w:t>
            </w:r>
            <w:r w:rsidR="00AD47DD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„Grozījumi Vekseļu likumā”</w:t>
            </w:r>
            <w:r w:rsidR="00AD4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(Latvijas Vēstnesis, 2013., 97.nr.),</w:t>
            </w:r>
            <w:r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8D8">
              <w:rPr>
                <w:rFonts w:ascii="Times New Roman" w:hAnsi="Times New Roman" w:cs="Times New Roman"/>
                <w:sz w:val="24"/>
                <w:szCs w:val="24"/>
              </w:rPr>
              <w:t xml:space="preserve">kas paredz, ka vekseļa devējs turpmāk varēs izdot ne tikai papīra formas vekseli, bet arī elektronisku vekseli. Cita starp minētais likums paredz 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 xml:space="preserve">papildināt </w:t>
            </w:r>
            <w:r w:rsidRPr="00E438D8">
              <w:rPr>
                <w:rFonts w:ascii="Times New Roman" w:hAnsi="Times New Roman" w:cs="Times New Roman"/>
                <w:sz w:val="24"/>
                <w:szCs w:val="24"/>
              </w:rPr>
              <w:t>Vekseļu likum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>u ar</w:t>
            </w:r>
            <w:r w:rsidRPr="00E438D8">
              <w:rPr>
                <w:rFonts w:ascii="Times New Roman" w:hAnsi="Times New Roman" w:cs="Times New Roman"/>
                <w:sz w:val="24"/>
                <w:szCs w:val="24"/>
              </w:rPr>
              <w:t xml:space="preserve"> 78.</w:t>
            </w:r>
            <w:r w:rsidRPr="00E43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438D8">
              <w:rPr>
                <w:rFonts w:ascii="Times New Roman" w:hAnsi="Times New Roman" w:cs="Times New Roman"/>
                <w:sz w:val="24"/>
                <w:szCs w:val="24"/>
              </w:rPr>
              <w:t xml:space="preserve"> pant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>u, kas noteic, ka</w:t>
            </w:r>
            <w:r w:rsidRPr="00E4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438D8">
              <w:rPr>
                <w:rFonts w:ascii="Times New Roman" w:hAnsi="Times New Roman" w:cs="Times New Roman"/>
                <w:sz w:val="24"/>
                <w:szCs w:val="24"/>
              </w:rPr>
              <w:t>lektroniskajam vekselim pievieno dokumentu par valsts nodevas samaksu.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 xml:space="preserve"> Savukārt saskaņā ar</w:t>
            </w:r>
            <w:r w:rsidR="00AD47DD">
              <w:rPr>
                <w:rFonts w:ascii="Times New Roman" w:hAnsi="Times New Roman" w:cs="Times New Roman"/>
                <w:sz w:val="24"/>
                <w:szCs w:val="24"/>
              </w:rPr>
              <w:t xml:space="preserve"> minētajā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 xml:space="preserve"> likumā iekļauto Vekseļu likuma 78.</w:t>
            </w:r>
            <w:r w:rsidR="00E43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 xml:space="preserve"> pantu, ja elektroniskajam vekselim nav pievienots </w:t>
            </w:r>
            <w:r w:rsidR="00E438D8" w:rsidRPr="00E438D8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38D8" w:rsidRPr="00E438D8">
              <w:rPr>
                <w:rFonts w:ascii="Times New Roman" w:hAnsi="Times New Roman" w:cs="Times New Roman"/>
                <w:sz w:val="24"/>
                <w:szCs w:val="24"/>
              </w:rPr>
              <w:t xml:space="preserve"> par valsts nodevas samaksu</w:t>
            </w:r>
            <w:r w:rsidR="00E438D8">
              <w:rPr>
                <w:rFonts w:ascii="Times New Roman" w:hAnsi="Times New Roman" w:cs="Times New Roman"/>
                <w:sz w:val="24"/>
                <w:szCs w:val="24"/>
              </w:rPr>
              <w:t>, attiecīgais elektroniskais vekselis nav spēkā.</w:t>
            </w:r>
          </w:p>
          <w:p w:rsidR="00DE736C" w:rsidRPr="00E719CA" w:rsidRDefault="00E438D8" w:rsidP="0076736B">
            <w:pPr>
              <w:spacing w:after="0" w:line="240" w:lineRule="auto"/>
              <w:ind w:firstLine="561"/>
              <w:jc w:val="both"/>
            </w:pPr>
            <w:r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2010.gada 21.jūnija noteikumu Nr.558 „Noteikumi par valsts nodevu par operācijām ar vekseļiem” pašreiz spēkā esošā redakcija nosaka </w:t>
            </w:r>
            <w:r w:rsidRPr="00E438D8">
              <w:rPr>
                <w:rFonts w:ascii="Times New Roman" w:hAnsi="Times New Roman" w:cs="Times New Roman"/>
                <w:sz w:val="24"/>
                <w:szCs w:val="24"/>
              </w:rPr>
              <w:t>kārtību, kādā maksā valsts nodevu par operācijām ar papīra formas vekseļiem (vienkāršo vekseli vai tratu)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bet nenosaka kārtību, kādā maksājama valsts nodeva par elektroniskajiem vekseļiem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36C" w:rsidRPr="00B51E62" w:rsidTr="005527B8">
        <w:trPr>
          <w:trHeight w:val="54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Saistītie politikas ietekmes novērtējumi un pētījumi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044728" w:rsidRDefault="00DE736C" w:rsidP="0042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36C" w:rsidRPr="00B51E62" w:rsidTr="005527B8">
        <w:trPr>
          <w:trHeight w:val="384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76736B" w:rsidRDefault="0076736B" w:rsidP="0076736B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3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DE736C" w:rsidRPr="007673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mērķis ir saskaņot</w:t>
            </w:r>
            <w:r w:rsidRPr="007673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6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2010.gada 21.jūnija noteikumus Nr.558 „Noteikumi par valsts nodevu par operācijām ar vekseļiem” ar </w:t>
            </w:r>
            <w:r w:rsidR="00AD47DD">
              <w:rPr>
                <w:rFonts w:ascii="Times New Roman" w:eastAsia="Calibri" w:hAnsi="Times New Roman" w:cs="Times New Roman"/>
                <w:sz w:val="24"/>
                <w:szCs w:val="24"/>
              </w:rPr>
              <w:t>attiecīgajiem g</w:t>
            </w:r>
            <w:r w:rsidR="00AD47DD"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>rozījumi</w:t>
            </w:r>
            <w:r w:rsidR="00AD47DD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="00AD47DD" w:rsidRPr="00E43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Vekseļu likumā</w:t>
            </w:r>
            <w:r w:rsidRPr="0076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736B">
              <w:rPr>
                <w:rFonts w:ascii="Times New Roman" w:hAnsi="Times New Roman" w:cs="Times New Roman"/>
                <w:sz w:val="24"/>
                <w:szCs w:val="24"/>
              </w:rPr>
              <w:t>nosakot kārtību, kādā maksājama valsts nodeva par elektroniskajiem vekseļiem</w:t>
            </w:r>
            <w:r w:rsidR="00A0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36C" w:rsidRPr="007673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AD47DD" w:rsidRDefault="00DE736C" w:rsidP="0076736B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Šā mērķa sasniegšanai </w:t>
            </w:r>
            <w:r w:rsidR="0076736B" w:rsidRPr="0076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</w:t>
            </w:r>
            <w:r w:rsidRPr="0076736B">
              <w:rPr>
                <w:rFonts w:ascii="Times New Roman" w:eastAsia="Calibri" w:hAnsi="Times New Roman" w:cs="Times New Roman"/>
                <w:sz w:val="24"/>
                <w:szCs w:val="24"/>
              </w:rPr>
              <w:t>projekts paredz noteikt</w:t>
            </w:r>
            <w:r w:rsidR="0076736B" w:rsidRPr="0076736B">
              <w:rPr>
                <w:rFonts w:ascii="Times New Roman" w:eastAsia="Calibri" w:hAnsi="Times New Roman" w:cs="Times New Roman"/>
                <w:sz w:val="24"/>
                <w:szCs w:val="24"/>
              </w:rPr>
              <w:t>, ka valsts nodeva maksājama arī par elektroniskajiem vekseļiem</w:t>
            </w:r>
            <w:r w:rsidRPr="0076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736B">
              <w:rPr>
                <w:rFonts w:ascii="Times New Roman" w:eastAsia="Calibri" w:hAnsi="Times New Roman" w:cs="Times New Roman"/>
                <w:sz w:val="24"/>
                <w:szCs w:val="24"/>
              </w:rPr>
              <w:t>un ka v</w:t>
            </w:r>
            <w:r w:rsidR="0076736B" w:rsidRPr="0076736B">
              <w:rPr>
                <w:rFonts w:ascii="Times New Roman" w:hAnsi="Times New Roman" w:cs="Times New Roman"/>
                <w:sz w:val="24"/>
                <w:szCs w:val="24"/>
              </w:rPr>
              <w:t xml:space="preserve">alsts </w:t>
            </w:r>
            <w:r w:rsidR="0076736B" w:rsidRPr="0076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nodevu </w:t>
            </w:r>
            <w:r w:rsidR="0076736B" w:rsidRPr="0076736B">
              <w:rPr>
                <w:rFonts w:ascii="Times New Roman" w:hAnsi="Times New Roman" w:cs="Times New Roman"/>
                <w:sz w:val="24"/>
                <w:szCs w:val="24"/>
              </w:rPr>
              <w:t>maksā pirms vekseļa izdošanas ar maksājumu pakalpojumu sniedzēja starpniecību, kuram ir tiesības sniegt maksājumu pakalpojumus Maksājumu pakalpojumu un elektroniskās naudas likuma izpratnē</w:t>
            </w:r>
            <w:r w:rsidR="007A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36B" w:rsidRPr="00D81494" w:rsidRDefault="00AD47DD" w:rsidP="0076736B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94">
              <w:rPr>
                <w:rFonts w:ascii="Times New Roman" w:hAnsi="Times New Roman" w:cs="Times New Roman"/>
                <w:sz w:val="24"/>
                <w:szCs w:val="24"/>
              </w:rPr>
              <w:t xml:space="preserve">Vienlaikus noteikumu projekts neparedz izmaiņas attiecībā uz </w:t>
            </w:r>
            <w:r w:rsidR="00D81494" w:rsidRPr="00D81494">
              <w:rPr>
                <w:rFonts w:ascii="Times New Roman" w:hAnsi="Times New Roman" w:cs="Times New Roman"/>
                <w:sz w:val="24"/>
                <w:szCs w:val="24"/>
              </w:rPr>
              <w:t>valsts nodevas samaksas par tratu vai vienkāršo vekseli</w:t>
            </w:r>
            <w:r w:rsidR="00D81494">
              <w:rPr>
                <w:rFonts w:ascii="Times New Roman" w:hAnsi="Times New Roman" w:cs="Times New Roman"/>
                <w:sz w:val="24"/>
                <w:szCs w:val="24"/>
              </w:rPr>
              <w:t xml:space="preserve"> apliecinājumu</w:t>
            </w:r>
            <w:r w:rsidR="00D81494" w:rsidRPr="00D81494">
              <w:rPr>
                <w:rFonts w:ascii="Times New Roman" w:hAnsi="Times New Roman" w:cs="Times New Roman"/>
                <w:sz w:val="24"/>
                <w:szCs w:val="24"/>
              </w:rPr>
              <w:t xml:space="preserve">, jo tāpat kā šobrīd </w:t>
            </w:r>
            <w:r w:rsidR="00D8149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1494" w:rsidRPr="00D81494">
              <w:rPr>
                <w:rFonts w:ascii="Times New Roman" w:hAnsi="Times New Roman" w:cs="Times New Roman"/>
                <w:sz w:val="24"/>
                <w:szCs w:val="24"/>
              </w:rPr>
              <w:t>alsts nodevas samaksu par tratu vai vienkāršo vekseli apliecin</w:t>
            </w:r>
            <w:r w:rsidR="00D81494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D81494" w:rsidRPr="00D81494">
              <w:rPr>
                <w:rFonts w:ascii="Times New Roman" w:hAnsi="Times New Roman" w:cs="Times New Roman"/>
                <w:sz w:val="24"/>
                <w:szCs w:val="24"/>
              </w:rPr>
              <w:t xml:space="preserve"> bankas atzīme uz vekseļa par samaksātās valsts </w:t>
            </w:r>
            <w:r w:rsidR="00D81494" w:rsidRPr="00D81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nodevas apmēru, bankas dienas spiedogs un bankas darbinieka paraksts</w:t>
            </w:r>
            <w:r w:rsidRPr="00D8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36C" w:rsidRPr="009239DB" w:rsidRDefault="0076736B" w:rsidP="00425646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DE736C" w:rsidRPr="007018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pilnībā atrisinās</w:t>
            </w:r>
            <w:r w:rsidR="00DE73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anotācijas I sadaļas 2. punktā minēto problēmu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E736C" w:rsidRPr="00B51E62" w:rsidTr="005527B8">
        <w:trPr>
          <w:trHeight w:val="47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5.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76736B" w:rsidP="0076736B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izstrādē notika konsultācijas ar </w:t>
            </w:r>
            <w:r w:rsidR="00DE73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 w:rsidR="00DE73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E736C" w:rsidRPr="00B51E62" w:rsidTr="005527B8">
        <w:trPr>
          <w:trHeight w:val="411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7A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4C39">
              <w:rPr>
                <w:rFonts w:ascii="Times New Roman" w:hAnsi="Times New Roman" w:cs="Times New Roman"/>
                <w:sz w:val="24"/>
                <w:szCs w:val="24"/>
              </w:rPr>
              <w:t xml:space="preserve">     Sabiedrības līdzdalība netika nodrošināta, jo valsts nodevas apmērs par operācijām ar vekseļiem netiek mainīts.</w:t>
            </w:r>
          </w:p>
        </w:tc>
      </w:tr>
      <w:tr w:rsidR="00DE736C" w:rsidRPr="00B51E62" w:rsidTr="005527B8">
        <w:trPr>
          <w:trHeight w:val="250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36C" w:rsidRPr="00B51E62" w:rsidRDefault="00DE736C" w:rsidP="0042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5527B8" w:rsidRPr="007839A5" w:rsidTr="005527B8">
        <w:trPr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B8" w:rsidRPr="007839A5" w:rsidRDefault="005527B8" w:rsidP="00CF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839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78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</w:t>
            </w:r>
          </w:p>
        </w:tc>
      </w:tr>
      <w:tr w:rsidR="005527B8" w:rsidRPr="00697DCE" w:rsidTr="005527B8">
        <w:trPr>
          <w:trHeight w:val="630"/>
          <w:tblCellSpacing w:w="0" w:type="dxa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AC59D6" w:rsidRDefault="005527B8" w:rsidP="00CF14FD">
            <w:pPr>
              <w:pStyle w:val="Paraststmekl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C59D6">
              <w:rPr>
                <w:rFonts w:ascii="Times New Roman" w:hAnsi="Times New Roman"/>
                <w:sz w:val="24"/>
                <w:szCs w:val="24"/>
              </w:rPr>
              <w:t>Sabiedrības mērķgrupa</w:t>
            </w:r>
          </w:p>
          <w:p w:rsidR="005527B8" w:rsidRPr="00697DCE" w:rsidRDefault="005527B8" w:rsidP="00CF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55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7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Noteikumu projekta mērķgrupa ir juridiskās un fiziskās personas, kuras izraksta vekseļus </w:t>
            </w:r>
            <w:r w:rsidRPr="008E4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(par ārvalstīs izrakstītiem vekseļiem - šo vērtspapīru pirmais </w:t>
            </w:r>
            <w:proofErr w:type="spellStart"/>
            <w:r w:rsidRPr="008E4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indosētājs</w:t>
            </w:r>
            <w:proofErr w:type="spellEnd"/>
            <w:r w:rsidRPr="008E4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Latvijā). 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Tā kā nevienas institūcijas rīcībā nav statistikas datu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izrakstīto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 vekseļ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daudzumu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, nav iespējams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 noteikumu projekta mērķgrupas iespējamo skaitlisko lielumu.</w:t>
            </w:r>
          </w:p>
        </w:tc>
      </w:tr>
      <w:tr w:rsidR="005527B8" w:rsidRPr="00697DCE" w:rsidTr="005527B8">
        <w:trPr>
          <w:trHeight w:val="1243"/>
          <w:tblCellSpacing w:w="0" w:type="dxa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CF14FD">
            <w:pPr>
              <w:pStyle w:val="Paraststmekl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C59D6">
              <w:rPr>
                <w:rFonts w:ascii="Times New Roman" w:hAnsi="Times New Roman"/>
                <w:sz w:val="24"/>
                <w:szCs w:val="24"/>
              </w:rPr>
              <w:t>Citas sabiedrības grupas (bez mērķgrupas), kuras tiesiskais regulējums arī ietekmē vai varētu ietekmēt</w:t>
            </w:r>
          </w:p>
        </w:tc>
        <w:tc>
          <w:tcPr>
            <w:tcW w:w="6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CF14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7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900A8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527B8" w:rsidRPr="00D136BA" w:rsidTr="005527B8">
        <w:trPr>
          <w:trHeight w:val="699"/>
          <w:tblCellSpacing w:w="0" w:type="dxa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AC59D6" w:rsidRDefault="005527B8" w:rsidP="00CF14FD">
            <w:pPr>
              <w:pStyle w:val="Paraststmekl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C59D6">
              <w:rPr>
                <w:rFonts w:ascii="Times New Roman" w:hAnsi="Times New Roman"/>
                <w:sz w:val="24"/>
                <w:szCs w:val="24"/>
              </w:rPr>
              <w:t>Tiesiskā regulējuma finansiālā ietekme</w:t>
            </w:r>
          </w:p>
          <w:p w:rsidR="005527B8" w:rsidRPr="00697DCE" w:rsidRDefault="005527B8" w:rsidP="00CF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D136BA" w:rsidRDefault="005527B8" w:rsidP="0055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N</w:t>
            </w: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projektam nav tieša finansiālā ietekme, 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attiecībā uz elektroniskajiem vekseļiem </w:t>
            </w: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saglabājas 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>.gada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jūnija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 „Par valsts nodev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par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 operācijām ar vekseļiem” noteiktais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>alsts nodevas apmērs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izrakstītajiem vekseļiem</w:t>
            </w:r>
            <w:r w:rsidRPr="00D136BA">
              <w:rPr>
                <w:rFonts w:ascii="Times New Roman" w:hAnsi="Times New Roman" w:cs="Times New Roman"/>
                <w:sz w:val="24"/>
                <w:szCs w:val="24"/>
              </w:rPr>
              <w:t xml:space="preserve"> (2 santīmi par katriem pilniem vai nepilniem 10 latiem no summas, par kuru izraksta vekseli).</w:t>
            </w:r>
          </w:p>
        </w:tc>
      </w:tr>
      <w:tr w:rsidR="005527B8" w:rsidRPr="00697DCE" w:rsidTr="00D81494">
        <w:trPr>
          <w:trHeight w:val="693"/>
          <w:tblCellSpacing w:w="0" w:type="dxa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D81494">
            <w:pPr>
              <w:pStyle w:val="Paraststmekl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C59D6">
              <w:rPr>
                <w:rFonts w:ascii="Times New Roman" w:hAnsi="Times New Roman"/>
                <w:sz w:val="24"/>
                <w:szCs w:val="24"/>
              </w:rPr>
              <w:t>Tiesiskā regulējuma nefinansiālā ietekme</w:t>
            </w:r>
          </w:p>
        </w:tc>
        <w:tc>
          <w:tcPr>
            <w:tcW w:w="6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CF1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7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900A8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527B8" w:rsidRPr="00697DCE" w:rsidTr="005527B8">
        <w:trPr>
          <w:trHeight w:val="476"/>
          <w:tblCellSpacing w:w="0" w:type="dxa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D81494">
            <w:pPr>
              <w:pStyle w:val="Paraststmekl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C59D6">
              <w:rPr>
                <w:rFonts w:ascii="Times New Roman" w:hAnsi="Times New Roman"/>
                <w:sz w:val="24"/>
                <w:szCs w:val="24"/>
              </w:rPr>
              <w:t>Administratīvās procedūras raksturojums</w:t>
            </w:r>
          </w:p>
        </w:tc>
        <w:tc>
          <w:tcPr>
            <w:tcW w:w="6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CF1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7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900A8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527B8" w:rsidRPr="00697DCE" w:rsidTr="005527B8">
        <w:trPr>
          <w:trHeight w:val="588"/>
          <w:tblCellSpacing w:w="0" w:type="dxa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CF14FD">
            <w:pPr>
              <w:pStyle w:val="Paraststmekl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C59D6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4900A8" w:rsidP="00CF1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527B8" w:rsidRPr="00697DCE" w:rsidTr="005527B8">
        <w:trPr>
          <w:tblCellSpacing w:w="0" w:type="dxa"/>
        </w:trPr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CF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7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6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7B8" w:rsidRPr="00697DCE" w:rsidRDefault="005527B8" w:rsidP="00CF1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7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="00D81494" w:rsidRDefault="00D81494" w:rsidP="007A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A4C39" w:rsidRDefault="00AB6309" w:rsidP="007A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Anotācijas </w:t>
      </w:r>
      <w:r w:rsidR="007A4C39" w:rsidRPr="000523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</w:t>
      </w:r>
      <w:r w:rsidR="005527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7A4C39" w:rsidRPr="000523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A4C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="007A4C39" w:rsidRPr="000523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VII</w:t>
      </w:r>
      <w:r w:rsidR="007A4C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sadaļa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Projekts šo jomu neskar.</w:t>
      </w:r>
    </w:p>
    <w:p w:rsidR="007A4C39" w:rsidRDefault="007A4C39" w:rsidP="00DE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736C" w:rsidRPr="00B51E62" w:rsidRDefault="00DE736C" w:rsidP="007A4C39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Tieslietu </w:t>
      </w:r>
      <w:r w:rsidR="005527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ministrs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J.Bordāns</w:t>
      </w:r>
      <w:proofErr w:type="spellEnd"/>
    </w:p>
    <w:p w:rsidR="00DE736C" w:rsidRDefault="00DE736C" w:rsidP="00DE736C">
      <w:pPr>
        <w:pStyle w:val="naisf"/>
        <w:spacing w:before="0" w:beforeAutospacing="0" w:after="0" w:afterAutospacing="0"/>
      </w:pPr>
    </w:p>
    <w:p w:rsidR="00D81494" w:rsidRDefault="00D81494" w:rsidP="00DE736C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</w:p>
    <w:p w:rsidR="00D81494" w:rsidRDefault="00D81494" w:rsidP="00DE736C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</w:p>
    <w:p w:rsidR="00DE736C" w:rsidRPr="00545FFE" w:rsidRDefault="002D48E1" w:rsidP="00DE736C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06</w:t>
      </w:r>
      <w:r w:rsidR="00DE736C" w:rsidRPr="00545FFE">
        <w:rPr>
          <w:sz w:val="20"/>
          <w:szCs w:val="20"/>
        </w:rPr>
        <w:t>.</w:t>
      </w:r>
      <w:r w:rsidR="00A425E5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DE736C">
        <w:rPr>
          <w:sz w:val="20"/>
          <w:szCs w:val="20"/>
        </w:rPr>
        <w:t>.</w:t>
      </w:r>
      <w:r w:rsidR="00DE736C" w:rsidRPr="00545FFE">
        <w:rPr>
          <w:sz w:val="20"/>
          <w:szCs w:val="20"/>
        </w:rPr>
        <w:t>201</w:t>
      </w:r>
      <w:r w:rsidR="00A425E5">
        <w:rPr>
          <w:sz w:val="20"/>
          <w:szCs w:val="20"/>
        </w:rPr>
        <w:t>3</w:t>
      </w:r>
      <w:r w:rsidR="00DE736C" w:rsidRPr="00545FFE">
        <w:rPr>
          <w:sz w:val="20"/>
          <w:szCs w:val="20"/>
        </w:rPr>
        <w:t xml:space="preserve">. </w:t>
      </w:r>
      <w:r w:rsidR="007A7A75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DE736C" w:rsidRPr="00545FFE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="00D81494">
        <w:rPr>
          <w:sz w:val="20"/>
          <w:szCs w:val="20"/>
        </w:rPr>
        <w:t>5</w:t>
      </w:r>
    </w:p>
    <w:p w:rsidR="00DE736C" w:rsidRPr="00A11BA3" w:rsidRDefault="00D81494" w:rsidP="00DE7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B6309">
        <w:rPr>
          <w:rFonts w:ascii="Times New Roman" w:hAnsi="Times New Roman" w:cs="Times New Roman"/>
          <w:sz w:val="20"/>
          <w:szCs w:val="20"/>
        </w:rPr>
        <w:t>28</w:t>
      </w:r>
    </w:p>
    <w:p w:rsidR="00DE736C" w:rsidRPr="00545FFE" w:rsidRDefault="00DE736C" w:rsidP="00DE7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5FFE">
        <w:rPr>
          <w:rFonts w:ascii="Times New Roman" w:hAnsi="Times New Roman" w:cs="Times New Roman"/>
          <w:sz w:val="20"/>
          <w:szCs w:val="20"/>
        </w:rPr>
        <w:t>S.Rāgs</w:t>
      </w:r>
      <w:proofErr w:type="spellEnd"/>
    </w:p>
    <w:p w:rsidR="00C46CBD" w:rsidRDefault="00DE736C" w:rsidP="00DE736C">
      <w:r w:rsidRPr="00545FFE">
        <w:rPr>
          <w:rFonts w:ascii="Times New Roman" w:hAnsi="Times New Roman" w:cs="Times New Roman"/>
          <w:sz w:val="20"/>
          <w:szCs w:val="20"/>
        </w:rPr>
        <w:t>67036974, Sandris.Rags@tm.go</w:t>
      </w:r>
      <w:r w:rsidR="004900A8">
        <w:rPr>
          <w:rFonts w:ascii="Times New Roman" w:hAnsi="Times New Roman" w:cs="Times New Roman"/>
          <w:sz w:val="20"/>
          <w:szCs w:val="20"/>
        </w:rPr>
        <w:t>v.lv</w:t>
      </w:r>
    </w:p>
    <w:sectPr w:rsidR="00C46CBD" w:rsidSect="005527B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39" w:rsidRDefault="007A4C39" w:rsidP="007A4C39">
      <w:pPr>
        <w:spacing w:after="0" w:line="240" w:lineRule="auto"/>
      </w:pPr>
      <w:r>
        <w:separator/>
      </w:r>
    </w:p>
  </w:endnote>
  <w:endnote w:type="continuationSeparator" w:id="0">
    <w:p w:rsidR="007A4C39" w:rsidRDefault="007A4C39" w:rsidP="007A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5" w:rsidRPr="00720C1D" w:rsidRDefault="007A7A75" w:rsidP="00A425E5">
    <w:pPr>
      <w:pStyle w:val="Kjene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</w:t>
    </w:r>
    <w:r w:rsidR="006E027D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not_</w:t>
    </w:r>
    <w:r w:rsidR="002D48E1">
      <w:rPr>
        <w:rFonts w:ascii="Times New Roman" w:hAnsi="Times New Roman" w:cs="Times New Roman"/>
      </w:rPr>
      <w:t>06</w:t>
    </w:r>
    <w:r w:rsidR="00A425E5" w:rsidRPr="00720C1D">
      <w:rPr>
        <w:rFonts w:ascii="Times New Roman" w:hAnsi="Times New Roman" w:cs="Times New Roman"/>
      </w:rPr>
      <w:t>0</w:t>
    </w:r>
    <w:r w:rsidR="002D48E1">
      <w:rPr>
        <w:rFonts w:ascii="Times New Roman" w:hAnsi="Times New Roman" w:cs="Times New Roman"/>
      </w:rPr>
      <w:t>6</w:t>
    </w:r>
    <w:r w:rsidR="00A425E5" w:rsidRPr="00720C1D">
      <w:rPr>
        <w:rFonts w:ascii="Times New Roman" w:hAnsi="Times New Roman" w:cs="Times New Roman"/>
      </w:rPr>
      <w:t>13_</w:t>
    </w:r>
    <w:r w:rsidR="00D81494">
      <w:rPr>
        <w:rFonts w:ascii="Times New Roman" w:hAnsi="Times New Roman" w:cs="Times New Roman"/>
      </w:rPr>
      <w:t>VSS-436</w:t>
    </w:r>
    <w:r w:rsidR="00A425E5" w:rsidRPr="00720C1D">
      <w:rPr>
        <w:rFonts w:ascii="Times New Roman" w:hAnsi="Times New Roman" w:cs="Times New Roman"/>
      </w:rPr>
      <w:t>; Ministru kabineta noteikumu projekta „Grozījumi Ministru kabineta 2010.gada 21.jūnija noteikumos Nr.558 „Noteikumi par valsts nodevu par operācijām ar vekseļiem””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5" w:rsidRPr="00720C1D" w:rsidRDefault="007A7A75" w:rsidP="00720C1D">
    <w:pPr>
      <w:pStyle w:val="Kjene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</w:t>
    </w:r>
    <w:r w:rsidR="006E027D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not_</w:t>
    </w:r>
    <w:r w:rsidR="002D48E1">
      <w:rPr>
        <w:rFonts w:ascii="Times New Roman" w:hAnsi="Times New Roman" w:cs="Times New Roman"/>
      </w:rPr>
      <w:t>06</w:t>
    </w:r>
    <w:r w:rsidR="00A425E5" w:rsidRPr="00720C1D">
      <w:rPr>
        <w:rFonts w:ascii="Times New Roman" w:hAnsi="Times New Roman" w:cs="Times New Roman"/>
      </w:rPr>
      <w:t>0</w:t>
    </w:r>
    <w:r w:rsidR="002D48E1">
      <w:rPr>
        <w:rFonts w:ascii="Times New Roman" w:hAnsi="Times New Roman" w:cs="Times New Roman"/>
      </w:rPr>
      <w:t>6</w:t>
    </w:r>
    <w:r w:rsidR="00A425E5" w:rsidRPr="00720C1D">
      <w:rPr>
        <w:rFonts w:ascii="Times New Roman" w:hAnsi="Times New Roman" w:cs="Times New Roman"/>
      </w:rPr>
      <w:t>13_</w:t>
    </w:r>
    <w:r w:rsidR="00D81494">
      <w:rPr>
        <w:rFonts w:ascii="Times New Roman" w:hAnsi="Times New Roman" w:cs="Times New Roman"/>
      </w:rPr>
      <w:t>VSS-436</w:t>
    </w:r>
    <w:r w:rsidR="00A425E5" w:rsidRPr="00720C1D">
      <w:rPr>
        <w:rFonts w:ascii="Times New Roman" w:hAnsi="Times New Roman" w:cs="Times New Roman"/>
      </w:rPr>
      <w:t>; Ministru kabineta noteikumu projekta „Grozījumi Ministru kabineta 2010.gada 21.jūnija noteikumos Nr.558 „Noteikumi par valsts nodevu par operācijām ar vekseļiem”” sākotnējās ietekmes novērtējuma ziņojums (anotācija)</w:t>
    </w:r>
  </w:p>
  <w:p w:rsidR="00A425E5" w:rsidRPr="00720C1D" w:rsidRDefault="00A425E5" w:rsidP="00720C1D">
    <w:pPr>
      <w:pStyle w:val="Kjen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39" w:rsidRDefault="007A4C39" w:rsidP="007A4C39">
      <w:pPr>
        <w:spacing w:after="0" w:line="240" w:lineRule="auto"/>
      </w:pPr>
      <w:r>
        <w:separator/>
      </w:r>
    </w:p>
  </w:footnote>
  <w:footnote w:type="continuationSeparator" w:id="0">
    <w:p w:rsidR="007A4C39" w:rsidRDefault="007A4C39" w:rsidP="007A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355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25E5" w:rsidRPr="007A7A75" w:rsidRDefault="00E96200">
        <w:pPr>
          <w:pStyle w:val="Galvene"/>
          <w:jc w:val="center"/>
          <w:rPr>
            <w:rFonts w:ascii="Times New Roman" w:hAnsi="Times New Roman" w:cs="Times New Roman"/>
          </w:rPr>
        </w:pPr>
        <w:r w:rsidRPr="007A7A75">
          <w:rPr>
            <w:rFonts w:ascii="Times New Roman" w:hAnsi="Times New Roman" w:cs="Times New Roman"/>
          </w:rPr>
          <w:fldChar w:fldCharType="begin"/>
        </w:r>
        <w:r w:rsidR="00A425E5" w:rsidRPr="007A7A75">
          <w:rPr>
            <w:rFonts w:ascii="Times New Roman" w:hAnsi="Times New Roman" w:cs="Times New Roman"/>
          </w:rPr>
          <w:instrText>PAGE   \* MERGEFORMAT</w:instrText>
        </w:r>
        <w:r w:rsidRPr="007A7A75">
          <w:rPr>
            <w:rFonts w:ascii="Times New Roman" w:hAnsi="Times New Roman" w:cs="Times New Roman"/>
          </w:rPr>
          <w:fldChar w:fldCharType="separate"/>
        </w:r>
        <w:r w:rsidR="008832B5">
          <w:rPr>
            <w:rFonts w:ascii="Times New Roman" w:hAnsi="Times New Roman" w:cs="Times New Roman"/>
            <w:noProof/>
          </w:rPr>
          <w:t>2</w:t>
        </w:r>
        <w:r w:rsidRPr="007A7A75">
          <w:rPr>
            <w:rFonts w:ascii="Times New Roman" w:hAnsi="Times New Roman" w:cs="Times New Roman"/>
          </w:rPr>
          <w:fldChar w:fldCharType="end"/>
        </w:r>
      </w:p>
    </w:sdtContent>
  </w:sdt>
  <w:p w:rsidR="007A4C39" w:rsidRDefault="007A4C3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6C"/>
    <w:rsid w:val="002D48E1"/>
    <w:rsid w:val="003A17CC"/>
    <w:rsid w:val="00482936"/>
    <w:rsid w:val="004900A8"/>
    <w:rsid w:val="005527B8"/>
    <w:rsid w:val="006E027D"/>
    <w:rsid w:val="00720C1D"/>
    <w:rsid w:val="00721955"/>
    <w:rsid w:val="0076736B"/>
    <w:rsid w:val="007A4C39"/>
    <w:rsid w:val="007A7A75"/>
    <w:rsid w:val="008832B5"/>
    <w:rsid w:val="00A05D7D"/>
    <w:rsid w:val="00A425E5"/>
    <w:rsid w:val="00AB6309"/>
    <w:rsid w:val="00AD47DD"/>
    <w:rsid w:val="00C46CBD"/>
    <w:rsid w:val="00C55AC9"/>
    <w:rsid w:val="00D04772"/>
    <w:rsid w:val="00D81494"/>
    <w:rsid w:val="00DE736C"/>
    <w:rsid w:val="00E438D8"/>
    <w:rsid w:val="00E45788"/>
    <w:rsid w:val="00E77390"/>
    <w:rsid w:val="00E96200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73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E73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4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4C39"/>
  </w:style>
  <w:style w:type="paragraph" w:styleId="Kjene">
    <w:name w:val="footer"/>
    <w:basedOn w:val="Parasts"/>
    <w:link w:val="KjeneRakstz"/>
    <w:uiPriority w:val="99"/>
    <w:unhideWhenUsed/>
    <w:rsid w:val="007A4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4C39"/>
  </w:style>
  <w:style w:type="paragraph" w:styleId="Balonteksts">
    <w:name w:val="Balloon Text"/>
    <w:basedOn w:val="Parasts"/>
    <w:link w:val="BalontekstsRakstz"/>
    <w:uiPriority w:val="99"/>
    <w:semiHidden/>
    <w:unhideWhenUsed/>
    <w:rsid w:val="007A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C3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457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57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578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57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57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73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E73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4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4C39"/>
  </w:style>
  <w:style w:type="paragraph" w:styleId="Kjene">
    <w:name w:val="footer"/>
    <w:basedOn w:val="Parasts"/>
    <w:link w:val="KjeneRakstz"/>
    <w:uiPriority w:val="99"/>
    <w:unhideWhenUsed/>
    <w:rsid w:val="007A4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4C39"/>
  </w:style>
  <w:style w:type="paragraph" w:styleId="Balonteksts">
    <w:name w:val="Balloon Text"/>
    <w:basedOn w:val="Parasts"/>
    <w:link w:val="BalontekstsRakstz"/>
    <w:uiPriority w:val="99"/>
    <w:semiHidden/>
    <w:unhideWhenUsed/>
    <w:rsid w:val="007A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C3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457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57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578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57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5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8BAD5-AED7-4502-8E16-1ED7E80D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2010.gada 21.jūnija noteikumos Nr.558 „Noteikumi par valsts nodevu par operācijām ar vekseļiem”” sākotnējās ietekmes novērtējuma ziņojums (anotācija)</vt:lpstr>
    </vt:vector>
  </TitlesOfParts>
  <Company>Tieslietu Sektors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21.jūnija noteikumos Nr.558 „Noteikumi par valsts nodevu par operācijām ar vekseļiem”” sākotnējās ietekmes novērtējuma ziņojums (anotācija)</dc:title>
  <dc:subject>anotācija</dc:subject>
  <dc:creator>Sandris Rags</dc:creator>
  <dc:description>67036974
Sandris.Rags@tm.gov.lv</dc:description>
  <cp:lastModifiedBy>as1301</cp:lastModifiedBy>
  <cp:revision>3</cp:revision>
  <cp:lastPrinted>2013-04-25T05:56:00Z</cp:lastPrinted>
  <dcterms:created xsi:type="dcterms:W3CDTF">2013-06-06T12:32:00Z</dcterms:created>
  <dcterms:modified xsi:type="dcterms:W3CDTF">2013-06-11T13:09:00Z</dcterms:modified>
</cp:coreProperties>
</file>