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E" w:rsidRPr="007E4323" w:rsidRDefault="00A878CE" w:rsidP="00813B6E">
      <w:pPr>
        <w:tabs>
          <w:tab w:val="left" w:pos="6804"/>
        </w:tabs>
        <w:jc w:val="center"/>
        <w:rPr>
          <w:b/>
        </w:rPr>
      </w:pPr>
      <w:bookmarkStart w:id="0" w:name="_GoBack"/>
      <w:bookmarkEnd w:id="0"/>
      <w:r w:rsidRPr="007E4323">
        <w:rPr>
          <w:b/>
        </w:rPr>
        <w:t>Ministru kabineta noteikumu projekta</w:t>
      </w:r>
    </w:p>
    <w:p w:rsidR="00A878CE" w:rsidRPr="007E4323" w:rsidRDefault="00A878CE" w:rsidP="008D257F">
      <w:pPr>
        <w:tabs>
          <w:tab w:val="left" w:pos="6804"/>
        </w:tabs>
        <w:jc w:val="center"/>
        <w:rPr>
          <w:b/>
          <w:szCs w:val="28"/>
        </w:rPr>
      </w:pPr>
      <w:r w:rsidRPr="007E4323">
        <w:rPr>
          <w:b/>
        </w:rPr>
        <w:t>„</w:t>
      </w:r>
      <w:r w:rsidRPr="007E4323">
        <w:rPr>
          <w:b/>
          <w:szCs w:val="28"/>
        </w:rPr>
        <w:t>Grozījum</w:t>
      </w:r>
      <w:r>
        <w:rPr>
          <w:b/>
          <w:szCs w:val="28"/>
        </w:rPr>
        <w:t>s</w:t>
      </w:r>
      <w:r w:rsidRPr="007E4323">
        <w:rPr>
          <w:b/>
          <w:szCs w:val="28"/>
        </w:rPr>
        <w:t xml:space="preserve"> Ministru kabineta 2010.gada 20.aprīļa noteikumos Nr.371 „Noteikumi par sertifikācijas pakalpojumu sniedzēja akreditācijas un akreditācijas atjaunošanas valsts nodevu”” </w:t>
      </w:r>
      <w:r w:rsidRPr="007E4323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E4323">
          <w:rPr>
            <w:b/>
          </w:rPr>
          <w:t>ziņojums</w:t>
        </w:r>
      </w:smartTag>
    </w:p>
    <w:p w:rsidR="00A878CE" w:rsidRPr="007E4323" w:rsidRDefault="00A878CE" w:rsidP="00AB2A5C">
      <w:pPr>
        <w:pStyle w:val="Kjene"/>
        <w:jc w:val="center"/>
        <w:rPr>
          <w:b/>
          <w:lang w:eastAsia="en-US"/>
        </w:rPr>
      </w:pPr>
      <w:r w:rsidRPr="007E4323">
        <w:rPr>
          <w:b/>
          <w:lang w:eastAsia="en-US"/>
        </w:rPr>
        <w:t>(anotācija)</w:t>
      </w:r>
    </w:p>
    <w:p w:rsidR="00A878CE" w:rsidRPr="00ED5059" w:rsidRDefault="00A878CE" w:rsidP="00AB2A5C">
      <w:pPr>
        <w:pStyle w:val="Pamatteksts"/>
        <w:rPr>
          <w:szCs w:val="28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2649"/>
        <w:gridCol w:w="5367"/>
      </w:tblGrid>
      <w:tr w:rsidR="00A878CE" w:rsidRPr="007E4323" w:rsidTr="000A782E">
        <w:tc>
          <w:tcPr>
            <w:tcW w:w="9061" w:type="dxa"/>
            <w:gridSpan w:val="3"/>
          </w:tcPr>
          <w:p w:rsidR="00A878CE" w:rsidRPr="007E4323" w:rsidRDefault="00A878CE" w:rsidP="000A782E">
            <w:pPr>
              <w:pStyle w:val="Pamatteksts"/>
              <w:rPr>
                <w:sz w:val="24"/>
              </w:rPr>
            </w:pPr>
            <w:r w:rsidRPr="007E4323">
              <w:rPr>
                <w:sz w:val="24"/>
              </w:rPr>
              <w:t>I. Tiesību akta projekta izstrādes nepieciešamība</w:t>
            </w:r>
          </w:p>
        </w:tc>
      </w:tr>
      <w:tr w:rsidR="00A878CE" w:rsidRPr="007E4323" w:rsidTr="000A782E"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1.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Pamatojums</w:t>
            </w:r>
          </w:p>
        </w:tc>
        <w:tc>
          <w:tcPr>
            <w:tcW w:w="5367" w:type="dxa"/>
          </w:tcPr>
          <w:p w:rsidR="00A878CE" w:rsidRPr="007E4323" w:rsidRDefault="00A878CE" w:rsidP="00B65732">
            <w:pPr>
              <w:jc w:val="both"/>
            </w:pPr>
            <w:r w:rsidRPr="007E4323">
              <w:rPr>
                <w:i/>
              </w:rPr>
              <w:t>Euro</w:t>
            </w:r>
            <w:r w:rsidRPr="007E4323">
              <w:t xml:space="preserve"> ieviešanas kārtības likuma 30.panta pirmā daļa</w:t>
            </w:r>
            <w:r w:rsidRPr="007E4323">
              <w:rPr>
                <w:bCs/>
              </w:rPr>
              <w:t xml:space="preserve">, Ministra kabineta 2012.gada 27.jūnija rīkojuma Nr.282 „Par „Koncepciju par normatīvo aktu sakārtošanu saistībā ar eiro ieviešanu Latvijā”” </w:t>
            </w:r>
            <w:r w:rsidRPr="007E4323">
              <w:t xml:space="preserve">1.1.2.punkts un Latvijas Nacionālā </w:t>
            </w:r>
            <w:r w:rsidRPr="007E4323">
              <w:rPr>
                <w:i/>
                <w:iCs/>
              </w:rPr>
              <w:t>euro</w:t>
            </w:r>
            <w:r w:rsidRPr="007E4323">
              <w:t xml:space="preserve"> ieviešanas plāna (apstiprināts ar Ministru kabineta 2013.gada 4.aprīļa rīkojumu Nr.136) 1.pielikuma J2.2.1.pasākums</w:t>
            </w:r>
            <w:r w:rsidRPr="007E4323">
              <w:rPr>
                <w:bCs/>
              </w:rPr>
              <w:t>.</w:t>
            </w:r>
          </w:p>
        </w:tc>
      </w:tr>
      <w:tr w:rsidR="00A878CE" w:rsidRPr="007E4323" w:rsidTr="000A782E"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2.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Pašreizējā situācija un problēmas</w:t>
            </w:r>
          </w:p>
        </w:tc>
        <w:tc>
          <w:tcPr>
            <w:tcW w:w="5367" w:type="dxa"/>
          </w:tcPr>
          <w:p w:rsidR="00A878CE" w:rsidRPr="007E4323" w:rsidRDefault="00A878CE" w:rsidP="00813B6E">
            <w:pPr>
              <w:ind w:left="34"/>
              <w:jc w:val="both"/>
            </w:pPr>
            <w:r w:rsidRPr="007E4323">
              <w:t>Ņemot vērā, ka ar 2014.gada 1. janvāri Latvijā ievies</w:t>
            </w:r>
            <w:r>
              <w:t>īs</w:t>
            </w:r>
            <w:r w:rsidRPr="007E4323">
              <w:t xml:space="preserve"> </w:t>
            </w:r>
            <w:r w:rsidRPr="007E4323">
              <w:rPr>
                <w:i/>
              </w:rPr>
              <w:t>euro</w:t>
            </w:r>
            <w:r w:rsidRPr="007E4323">
              <w:t>, ir nepieciešams veikt grozījumus Ministru kabineta 2010. gada 20. aprīļa noteikumos Nr.371 „Noteikumi par sertifikācijas pakalpojumu sniedzēja akreditācijas un akreditācijas atjaunošanas valsts nodevu”</w:t>
            </w:r>
            <w:r>
              <w:t xml:space="preserve"> (turpmāk – MK noteikumi Nr.371)</w:t>
            </w:r>
            <w:r w:rsidRPr="007E4323">
              <w:t xml:space="preserve">, aizstājot tajā latus ar </w:t>
            </w:r>
            <w:r w:rsidRPr="007E4323">
              <w:rPr>
                <w:i/>
              </w:rPr>
              <w:t>euro.</w:t>
            </w:r>
          </w:p>
          <w:p w:rsidR="00A878CE" w:rsidRPr="007E4323" w:rsidRDefault="00A878CE" w:rsidP="00B46F81">
            <w:pPr>
              <w:jc w:val="both"/>
            </w:pPr>
          </w:p>
        </w:tc>
      </w:tr>
      <w:tr w:rsidR="00A878CE" w:rsidRPr="007E4323" w:rsidTr="000A782E"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3.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Saistītie politikas ietekmes novērtējumi un pētījumi</w:t>
            </w:r>
          </w:p>
        </w:tc>
        <w:tc>
          <w:tcPr>
            <w:tcW w:w="5367" w:type="dxa"/>
          </w:tcPr>
          <w:p w:rsidR="00A878CE" w:rsidRPr="007E4323" w:rsidRDefault="00A878CE" w:rsidP="000A782E">
            <w:pPr>
              <w:tabs>
                <w:tab w:val="left" w:pos="5279"/>
              </w:tabs>
              <w:ind w:right="31"/>
              <w:jc w:val="both"/>
            </w:pPr>
            <w:r w:rsidRPr="007E4323">
              <w:rPr>
                <w:bCs/>
              </w:rPr>
              <w:t>Projekts šo jomu neskar.</w:t>
            </w:r>
          </w:p>
        </w:tc>
      </w:tr>
      <w:tr w:rsidR="00A878CE" w:rsidRPr="007E4323" w:rsidTr="000A782E"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4.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Tiesiskā regulējuma mērķis un būtība</w:t>
            </w:r>
          </w:p>
        </w:tc>
        <w:tc>
          <w:tcPr>
            <w:tcW w:w="5367" w:type="dxa"/>
          </w:tcPr>
          <w:p w:rsidR="00A878CE" w:rsidRPr="007E4323" w:rsidRDefault="00A878CE" w:rsidP="000112B4">
            <w:pPr>
              <w:jc w:val="both"/>
            </w:pPr>
            <w:r w:rsidRPr="007E4323">
              <w:t xml:space="preserve">Šī projekta mērķis ir pielāgot </w:t>
            </w:r>
            <w:r>
              <w:t xml:space="preserve">MK </w:t>
            </w:r>
            <w:r w:rsidRPr="007E4323">
              <w:t xml:space="preserve">noteikumus Nr.371 </w:t>
            </w:r>
            <w:r w:rsidRPr="007E4323">
              <w:rPr>
                <w:i/>
              </w:rPr>
              <w:t>euro</w:t>
            </w:r>
            <w:r w:rsidRPr="007E4323">
              <w:t xml:space="preserve"> ieviešanai, aizstājot tajā latus ar </w:t>
            </w:r>
            <w:r w:rsidRPr="007E4323">
              <w:rPr>
                <w:i/>
              </w:rPr>
              <w:t>euro</w:t>
            </w:r>
            <w:r w:rsidRPr="007E4323">
              <w:t>.</w:t>
            </w:r>
          </w:p>
          <w:p w:rsidR="00A878CE" w:rsidRPr="007E4323" w:rsidRDefault="00A878CE" w:rsidP="000112B4">
            <w:pPr>
              <w:jc w:val="both"/>
            </w:pPr>
            <w:r w:rsidRPr="007E4323">
              <w:t xml:space="preserve">Šis projekts paredz aizstāt attiecīgajā normatīvajā aktā latus ar </w:t>
            </w:r>
            <w:r w:rsidRPr="007E4323">
              <w:rPr>
                <w:i/>
              </w:rPr>
              <w:t>euro</w:t>
            </w:r>
            <w:r w:rsidRPr="007E4323">
              <w:t xml:space="preserve"> atbilstoši </w:t>
            </w:r>
            <w:r w:rsidRPr="00CB46ED">
              <w:rPr>
                <w:i/>
              </w:rPr>
              <w:t>Euro</w:t>
            </w:r>
            <w:r w:rsidRPr="007E4323">
              <w:t xml:space="preserve"> ieviešanas kārtības likuma 6.pantā paredzētajiem principiem.</w:t>
            </w:r>
          </w:p>
          <w:p w:rsidR="00A878CE" w:rsidRPr="007E4323" w:rsidRDefault="00A878CE" w:rsidP="000112B4">
            <w:pPr>
              <w:jc w:val="both"/>
            </w:pPr>
            <w:r w:rsidRPr="007E4323">
              <w:t xml:space="preserve">Grozītās tiesību normas </w:t>
            </w:r>
            <w:r w:rsidRPr="007E4323">
              <w:rPr>
                <w:i/>
              </w:rPr>
              <w:t>euro</w:t>
            </w:r>
            <w:r w:rsidRPr="007E4323">
              <w:t xml:space="preserve"> valūtā nav personām nelabvēlīgākas par sākotnējo tiesību normu latos un nerada negatīvu ietekmi uz valsts budžetu.</w:t>
            </w:r>
          </w:p>
          <w:p w:rsidR="00A878CE" w:rsidRPr="007E4323" w:rsidRDefault="00A878CE" w:rsidP="00E55999">
            <w:pPr>
              <w:jc w:val="both"/>
            </w:pPr>
            <w:bookmarkStart w:id="1" w:name="p8"/>
            <w:bookmarkEnd w:id="1"/>
          </w:p>
        </w:tc>
      </w:tr>
      <w:tr w:rsidR="00A878CE" w:rsidRPr="007E4323" w:rsidTr="000A782E"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5.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Projekta izstrādē iesaistītās institūcijas</w:t>
            </w:r>
          </w:p>
        </w:tc>
        <w:tc>
          <w:tcPr>
            <w:tcW w:w="5367" w:type="dxa"/>
          </w:tcPr>
          <w:p w:rsidR="00A878CE" w:rsidRPr="007E4323" w:rsidRDefault="00A878CE" w:rsidP="000A782E">
            <w:pPr>
              <w:tabs>
                <w:tab w:val="left" w:pos="5279"/>
              </w:tabs>
              <w:ind w:right="31"/>
              <w:jc w:val="both"/>
            </w:pPr>
            <w:r w:rsidRPr="007E4323">
              <w:t>Tieslietu ministrija, Datu valsts inspekcija.</w:t>
            </w:r>
          </w:p>
        </w:tc>
      </w:tr>
      <w:tr w:rsidR="00A878CE" w:rsidRPr="007E4323" w:rsidTr="000A782E">
        <w:trPr>
          <w:cantSplit/>
          <w:trHeight w:val="989"/>
        </w:trPr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6.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Iemesli, kādēļ netika nodrošināta sabiedrības līdzdalība</w:t>
            </w:r>
          </w:p>
        </w:tc>
        <w:tc>
          <w:tcPr>
            <w:tcW w:w="5367" w:type="dxa"/>
          </w:tcPr>
          <w:p w:rsidR="00A878CE" w:rsidRPr="007E4323" w:rsidRDefault="00A878CE" w:rsidP="000A782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E4323">
              <w:t>Sabiedrības līdzdalība projekta izstrādē netika nodrošināta, jo projekts nemaina pastāvošo tiesisko regulējumu pēc būtības.</w:t>
            </w:r>
          </w:p>
        </w:tc>
      </w:tr>
      <w:tr w:rsidR="00A878CE" w:rsidRPr="007E4323" w:rsidTr="003D7553">
        <w:trPr>
          <w:trHeight w:val="1391"/>
        </w:trPr>
        <w:tc>
          <w:tcPr>
            <w:tcW w:w="1045" w:type="dxa"/>
          </w:tcPr>
          <w:p w:rsidR="00A878CE" w:rsidRPr="007E4323" w:rsidRDefault="00A878CE" w:rsidP="000A782E">
            <w:pPr>
              <w:jc w:val="center"/>
            </w:pPr>
            <w:r w:rsidRPr="007E4323">
              <w:t>7.</w:t>
            </w:r>
          </w:p>
        </w:tc>
        <w:tc>
          <w:tcPr>
            <w:tcW w:w="2649" w:type="dxa"/>
          </w:tcPr>
          <w:p w:rsidR="00A878CE" w:rsidRPr="007E4323" w:rsidRDefault="00A878CE" w:rsidP="000A782E">
            <w:r w:rsidRPr="007E4323">
              <w:t> Cita informācija</w:t>
            </w:r>
          </w:p>
        </w:tc>
        <w:tc>
          <w:tcPr>
            <w:tcW w:w="5367" w:type="dxa"/>
          </w:tcPr>
          <w:p w:rsidR="00A878CE" w:rsidRPr="007E4323" w:rsidRDefault="00A878CE" w:rsidP="0001275C">
            <w:pPr>
              <w:tabs>
                <w:tab w:val="left" w:pos="5279"/>
              </w:tabs>
              <w:ind w:left="34" w:right="31"/>
              <w:jc w:val="both"/>
            </w:pPr>
            <w:r w:rsidRPr="007E4323">
              <w:t xml:space="preserve">Šim projektam ir jābūt apstiprinātam un publicētam oficiālajā izdevumā „Latvijas Vēstnesis” līdz </w:t>
            </w:r>
            <w:r w:rsidRPr="007E4323">
              <w:rPr>
                <w:i/>
              </w:rPr>
              <w:t>euro</w:t>
            </w:r>
            <w:r w:rsidRPr="007E4323">
              <w:t xml:space="preserve"> ieviešanas dienai.</w:t>
            </w:r>
          </w:p>
        </w:tc>
      </w:tr>
    </w:tbl>
    <w:p w:rsidR="00A878CE" w:rsidRPr="007E4323" w:rsidRDefault="00A878CE" w:rsidP="002F4D25">
      <w:pPr>
        <w:spacing w:after="200" w:line="276" w:lineRule="auto"/>
        <w:rPr>
          <w:lang w:eastAsia="lv-LV"/>
        </w:rPr>
      </w:pPr>
    </w:p>
    <w:tbl>
      <w:tblPr>
        <w:tblW w:w="9519" w:type="dxa"/>
        <w:jc w:val="center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056"/>
        <w:gridCol w:w="1625"/>
        <w:gridCol w:w="1223"/>
        <w:gridCol w:w="1261"/>
        <w:gridCol w:w="1523"/>
      </w:tblGrid>
      <w:tr w:rsidR="00A878CE" w:rsidTr="00A717D4">
        <w:trPr>
          <w:trHeight w:val="652"/>
          <w:jc w:val="center"/>
        </w:trPr>
        <w:tc>
          <w:tcPr>
            <w:tcW w:w="9519" w:type="dxa"/>
            <w:gridSpan w:val="6"/>
          </w:tcPr>
          <w:p w:rsidR="00A878CE" w:rsidRDefault="00A878C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br w:type="page"/>
              <w:t>III. Tiesību akta projekta ietekme uz valsts budžetu un pašvaldību budžetiem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  <w:vMerge w:val="restart"/>
            <w:vAlign w:val="center"/>
          </w:tcPr>
          <w:p w:rsidR="00A878CE" w:rsidRDefault="00A878CE">
            <w:pPr>
              <w:rPr>
                <w:b/>
              </w:rPr>
            </w:pPr>
            <w:r>
              <w:rPr>
                <w:b/>
              </w:rPr>
              <w:lastRenderedPageBreak/>
              <w:t>Rādītāji</w:t>
            </w:r>
          </w:p>
        </w:tc>
        <w:tc>
          <w:tcPr>
            <w:tcW w:w="2681" w:type="dxa"/>
            <w:gridSpan w:val="2"/>
            <w:vMerge w:val="restart"/>
            <w:vAlign w:val="center"/>
          </w:tcPr>
          <w:p w:rsidR="00A878CE" w:rsidRDefault="00A878CE">
            <w:pPr>
              <w:rPr>
                <w:b/>
              </w:rPr>
            </w:pPr>
            <w:r>
              <w:rPr>
                <w:b/>
              </w:rPr>
              <w:t>2013.gads</w:t>
            </w:r>
          </w:p>
        </w:tc>
        <w:tc>
          <w:tcPr>
            <w:tcW w:w="4007" w:type="dxa"/>
            <w:gridSpan w:val="3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Turpmākie trīs gadi (</w:t>
            </w:r>
            <w:r w:rsidRPr="00A717D4">
              <w:rPr>
                <w:i/>
              </w:rPr>
              <w:t>euro</w:t>
            </w:r>
            <w:r>
              <w:t>)</w:t>
            </w:r>
          </w:p>
        </w:tc>
      </w:tr>
      <w:tr w:rsidR="00A878CE" w:rsidTr="00A717D4">
        <w:trPr>
          <w:jc w:val="center"/>
        </w:trPr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878CE" w:rsidRDefault="00A878CE">
            <w:pPr>
              <w:rPr>
                <w:b/>
              </w:rPr>
            </w:pPr>
          </w:p>
        </w:tc>
        <w:tc>
          <w:tcPr>
            <w:tcW w:w="1223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rPr>
                <w:b/>
                <w:bCs/>
              </w:rPr>
              <w:t>2014.gads</w:t>
            </w:r>
          </w:p>
        </w:tc>
        <w:tc>
          <w:tcPr>
            <w:tcW w:w="1261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rPr>
                <w:b/>
                <w:bCs/>
              </w:rPr>
              <w:t>2015.gads</w:t>
            </w:r>
          </w:p>
        </w:tc>
        <w:tc>
          <w:tcPr>
            <w:tcW w:w="1523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rPr>
                <w:b/>
                <w:bCs/>
              </w:rPr>
              <w:t>2016.gads</w:t>
            </w:r>
          </w:p>
        </w:tc>
      </w:tr>
      <w:tr w:rsidR="00A878CE" w:rsidTr="00A717D4">
        <w:trPr>
          <w:jc w:val="center"/>
        </w:trPr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Saskaņā ar valsts budžetu kārtējam gadam</w:t>
            </w:r>
          </w:p>
        </w:tc>
        <w:tc>
          <w:tcPr>
            <w:tcW w:w="1625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Izmaiņas kārtējā gadā, salīdzinot ar budžetu kārtējam gadam</w:t>
            </w:r>
          </w:p>
        </w:tc>
        <w:tc>
          <w:tcPr>
            <w:tcW w:w="1223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Izmaiņas, salīdzinot ar kārtējo 2013.gadu</w:t>
            </w:r>
          </w:p>
        </w:tc>
        <w:tc>
          <w:tcPr>
            <w:tcW w:w="1261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Izmaiņas, salīdzinot ar kārtējo 2013.gadu</w:t>
            </w:r>
          </w:p>
        </w:tc>
        <w:tc>
          <w:tcPr>
            <w:tcW w:w="1523" w:type="dxa"/>
            <w:vAlign w:val="center"/>
          </w:tcPr>
          <w:p w:rsidR="00A878CE" w:rsidRDefault="00A878CE">
            <w:pPr>
              <w:rPr>
                <w:b/>
                <w:i/>
              </w:rPr>
            </w:pPr>
            <w:r>
              <w:t>Izmaiņas, salīdzinot ar kārtējo 2013.gadu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6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5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3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1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3" w:type="dxa"/>
            <w:vAlign w:val="center"/>
          </w:tcPr>
          <w:p w:rsidR="00A878CE" w:rsidRDefault="00A878CE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pPr>
              <w:rPr>
                <w:i/>
              </w:rPr>
            </w:pPr>
            <w:r>
              <w:t>1. Budžeta ieņēmumi:</w:t>
            </w:r>
          </w:p>
        </w:tc>
        <w:tc>
          <w:tcPr>
            <w:tcW w:w="1056" w:type="dxa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pPr>
              <w:rPr>
                <w:i/>
              </w:rPr>
            </w:pPr>
            <w:r>
              <w:t>1.1. valsts pamatbudžets, tai skaitā ieņēmumi no maksas pakalpojumiem un citi pašu ieņēmumi</w:t>
            </w:r>
          </w:p>
        </w:tc>
        <w:tc>
          <w:tcPr>
            <w:tcW w:w="1056" w:type="dxa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pPr>
              <w:rPr>
                <w:i/>
              </w:rPr>
            </w:pPr>
            <w:r>
              <w:t>1.2. valsts speciālais budžets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pPr>
              <w:rPr>
                <w:i/>
              </w:rPr>
            </w:pPr>
            <w:r>
              <w:t>1.3. pašvaldību budžets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2. Budžeta izdevumi:</w:t>
            </w:r>
          </w:p>
        </w:tc>
        <w:tc>
          <w:tcPr>
            <w:tcW w:w="1056" w:type="dxa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2.1. valsts pamatbudžets</w:t>
            </w:r>
          </w:p>
        </w:tc>
        <w:tc>
          <w:tcPr>
            <w:tcW w:w="1056" w:type="dxa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2.2. valsts speciālais budžets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 xml:space="preserve">2.3. pašvaldību budžets 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3. Finansiālā ietekme:</w:t>
            </w:r>
          </w:p>
        </w:tc>
        <w:tc>
          <w:tcPr>
            <w:tcW w:w="1056" w:type="dxa"/>
            <w:vAlign w:val="center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3.1. valsts pamatbudžets</w:t>
            </w:r>
          </w:p>
        </w:tc>
        <w:tc>
          <w:tcPr>
            <w:tcW w:w="1056" w:type="dxa"/>
          </w:tcPr>
          <w:p w:rsidR="00A878CE" w:rsidRDefault="00A878CE">
            <w:r>
              <w:t>0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3.2. speciālais budžets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 xml:space="preserve">3.3. pašvaldību budžets </w:t>
            </w:r>
          </w:p>
        </w:tc>
        <w:tc>
          <w:tcPr>
            <w:tcW w:w="1056" w:type="dxa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  <w:vMerge w:val="restart"/>
          </w:tcPr>
          <w:p w:rsidR="00A878CE" w:rsidRDefault="00A878CE"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1056" w:type="dxa"/>
            <w:vMerge w:val="restart"/>
          </w:tcPr>
          <w:p w:rsidR="00A878CE" w:rsidRDefault="00A878CE">
            <w:pPr>
              <w:rPr>
                <w:i/>
              </w:rPr>
            </w:pPr>
            <w:r>
              <w:t>X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0" w:type="auto"/>
            <w:vMerge/>
            <w:vAlign w:val="center"/>
          </w:tcPr>
          <w:p w:rsidR="00A878CE" w:rsidRDefault="00A878CE"/>
        </w:tc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0" w:type="auto"/>
            <w:vMerge/>
            <w:vAlign w:val="center"/>
          </w:tcPr>
          <w:p w:rsidR="00A878CE" w:rsidRDefault="00A878CE"/>
        </w:tc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5. Precizēta finansiālā ietekme:</w:t>
            </w:r>
          </w:p>
        </w:tc>
        <w:tc>
          <w:tcPr>
            <w:tcW w:w="1056" w:type="dxa"/>
            <w:vMerge w:val="restart"/>
          </w:tcPr>
          <w:p w:rsidR="00A878CE" w:rsidRDefault="00A878CE">
            <w:pPr>
              <w:rPr>
                <w:i/>
              </w:rPr>
            </w:pPr>
            <w:r>
              <w:t>X</w:t>
            </w: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5.1. valsts pamatbudžets</w:t>
            </w:r>
          </w:p>
        </w:tc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r>
              <w:t>0</w:t>
            </w:r>
          </w:p>
        </w:tc>
        <w:tc>
          <w:tcPr>
            <w:tcW w:w="1223" w:type="dxa"/>
          </w:tcPr>
          <w:p w:rsidR="00A878CE" w:rsidRDefault="00A878CE">
            <w:r>
              <w:t>0</w:t>
            </w:r>
          </w:p>
        </w:tc>
        <w:tc>
          <w:tcPr>
            <w:tcW w:w="1261" w:type="dxa"/>
          </w:tcPr>
          <w:p w:rsidR="00A878CE" w:rsidRDefault="00A878CE">
            <w:r>
              <w:t>0</w:t>
            </w:r>
          </w:p>
        </w:tc>
        <w:tc>
          <w:tcPr>
            <w:tcW w:w="1523" w:type="dxa"/>
          </w:tcPr>
          <w:p w:rsidR="00A878CE" w:rsidRDefault="00A878CE">
            <w:r>
              <w:t>0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5.2. speciālais budžets</w:t>
            </w:r>
          </w:p>
        </w:tc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 xml:space="preserve">5.3. pašvaldību budžets </w:t>
            </w:r>
          </w:p>
        </w:tc>
        <w:tc>
          <w:tcPr>
            <w:tcW w:w="0" w:type="auto"/>
            <w:vMerge/>
            <w:vAlign w:val="center"/>
          </w:tcPr>
          <w:p w:rsidR="00A878CE" w:rsidRDefault="00A878CE">
            <w:pPr>
              <w:rPr>
                <w:i/>
              </w:rPr>
            </w:pPr>
          </w:p>
        </w:tc>
        <w:tc>
          <w:tcPr>
            <w:tcW w:w="1625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23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261" w:type="dxa"/>
          </w:tcPr>
          <w:p w:rsidR="00A878CE" w:rsidRDefault="00A878CE">
            <w:pPr>
              <w:rPr>
                <w:b/>
                <w:i/>
              </w:rPr>
            </w:pPr>
          </w:p>
        </w:tc>
        <w:tc>
          <w:tcPr>
            <w:tcW w:w="1523" w:type="dxa"/>
          </w:tcPr>
          <w:p w:rsidR="00A878CE" w:rsidRDefault="00A878CE">
            <w:pPr>
              <w:rPr>
                <w:b/>
                <w:i/>
              </w:rPr>
            </w:pP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688" w:type="dxa"/>
            <w:gridSpan w:val="5"/>
            <w:vMerge w:val="restart"/>
            <w:vAlign w:val="center"/>
          </w:tcPr>
          <w:p w:rsidR="00A878CE" w:rsidRDefault="00A878CE">
            <w:r>
              <w:t>Projekts šo jomu neskar</w:t>
            </w:r>
          </w:p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6.1. detalizēts ieņēmumu aprēķins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A878CE" w:rsidRDefault="00A878CE"/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6.2. detalizēts izdevumu aprēķins</w:t>
            </w:r>
          </w:p>
        </w:tc>
        <w:tc>
          <w:tcPr>
            <w:tcW w:w="0" w:type="auto"/>
            <w:gridSpan w:val="5"/>
            <w:vMerge/>
            <w:vAlign w:val="center"/>
          </w:tcPr>
          <w:p w:rsidR="00A878CE" w:rsidRDefault="00A878CE"/>
        </w:tc>
      </w:tr>
      <w:tr w:rsidR="00A878CE" w:rsidTr="00A717D4">
        <w:trPr>
          <w:jc w:val="center"/>
        </w:trPr>
        <w:tc>
          <w:tcPr>
            <w:tcW w:w="2831" w:type="dxa"/>
          </w:tcPr>
          <w:p w:rsidR="00A878CE" w:rsidRDefault="00A878CE">
            <w:r>
              <w:t>7. Cita informācija</w:t>
            </w:r>
          </w:p>
        </w:tc>
        <w:tc>
          <w:tcPr>
            <w:tcW w:w="6688" w:type="dxa"/>
            <w:gridSpan w:val="5"/>
          </w:tcPr>
          <w:p w:rsidR="00A878CE" w:rsidRDefault="00A878CE">
            <w:pPr>
              <w:ind w:firstLine="497"/>
              <w:jc w:val="both"/>
              <w:rPr>
                <w:b/>
                <w:i/>
              </w:rPr>
            </w:pPr>
            <w:r>
              <w:t xml:space="preserve">Papildu valsts budžeta līdzekļi nav nepieciešami. Projekts nerada ietekmi uz valsts budžetu. </w:t>
            </w:r>
          </w:p>
        </w:tc>
      </w:tr>
    </w:tbl>
    <w:p w:rsidR="00A878CE" w:rsidRDefault="00A878CE" w:rsidP="002F4D25">
      <w:pPr>
        <w:spacing w:after="200" w:line="276" w:lineRule="auto"/>
        <w:rPr>
          <w:lang w:eastAsia="lv-LV"/>
        </w:rPr>
      </w:pPr>
    </w:p>
    <w:p w:rsidR="00A878CE" w:rsidRPr="00A717D4" w:rsidRDefault="00A878CE" w:rsidP="002F4D25">
      <w:pPr>
        <w:spacing w:after="200" w:line="276" w:lineRule="auto"/>
        <w:rPr>
          <w:i/>
          <w:lang w:eastAsia="lv-LV"/>
        </w:rPr>
      </w:pPr>
      <w:r w:rsidRPr="00A717D4">
        <w:rPr>
          <w:i/>
          <w:lang w:eastAsia="lv-LV"/>
        </w:rPr>
        <w:lastRenderedPageBreak/>
        <w:t xml:space="preserve">Anotācijas II, , IV, V, VI un VII sadaļa – projekts šīs jomas neskar. </w:t>
      </w:r>
    </w:p>
    <w:p w:rsidR="00A878CE" w:rsidRPr="007E4323" w:rsidRDefault="00A878CE" w:rsidP="00AB2A5C">
      <w:pPr>
        <w:rPr>
          <w:vanish/>
          <w:lang w:eastAsia="lv-LV"/>
        </w:rPr>
      </w:pPr>
    </w:p>
    <w:p w:rsidR="00A878CE" w:rsidRPr="007E4323" w:rsidRDefault="00A878CE" w:rsidP="00C20152">
      <w:pPr>
        <w:jc w:val="both"/>
      </w:pPr>
    </w:p>
    <w:p w:rsidR="00A878CE" w:rsidRPr="007E4323" w:rsidRDefault="00A878CE" w:rsidP="00B46F81">
      <w:pPr>
        <w:jc w:val="both"/>
      </w:pPr>
      <w:r w:rsidRPr="007E4323">
        <w:t>Tieslietu ministrs</w:t>
      </w:r>
      <w:r w:rsidRPr="007E4323">
        <w:tab/>
      </w:r>
      <w:r w:rsidRPr="007E4323">
        <w:tab/>
      </w:r>
      <w:r w:rsidRPr="007E4323">
        <w:tab/>
      </w:r>
      <w:r w:rsidRPr="007E4323">
        <w:tab/>
      </w:r>
      <w:r w:rsidRPr="007E4323">
        <w:tab/>
      </w:r>
      <w:r w:rsidRPr="007E4323">
        <w:tab/>
      </w:r>
      <w:r w:rsidRPr="007E4323">
        <w:tab/>
      </w:r>
      <w:r w:rsidRPr="007E4323">
        <w:tab/>
        <w:t>J.Bordāns</w:t>
      </w:r>
    </w:p>
    <w:p w:rsidR="00A878CE" w:rsidRPr="007E4323" w:rsidRDefault="00A878CE" w:rsidP="00AB2A5C">
      <w:pPr>
        <w:pStyle w:val="naisf"/>
      </w:pPr>
      <w:r w:rsidRPr="007E4323">
        <w:tab/>
      </w:r>
    </w:p>
    <w:p w:rsidR="00A878CE" w:rsidRPr="007E4323" w:rsidRDefault="00A878CE" w:rsidP="00C20152">
      <w:pPr>
        <w:rPr>
          <w:color w:val="000000"/>
        </w:rPr>
      </w:pPr>
    </w:p>
    <w:p w:rsidR="00A878CE" w:rsidRPr="007E4323" w:rsidRDefault="00A878CE" w:rsidP="00C20152">
      <w:pPr>
        <w:rPr>
          <w:color w:val="000000"/>
        </w:rPr>
      </w:pPr>
    </w:p>
    <w:p w:rsidR="00A878CE" w:rsidRPr="007E4323" w:rsidRDefault="00A878CE" w:rsidP="00C20152">
      <w:pPr>
        <w:rPr>
          <w:color w:val="000000"/>
          <w:sz w:val="20"/>
          <w:szCs w:val="20"/>
        </w:rPr>
      </w:pPr>
    </w:p>
    <w:p w:rsidR="00A878CE" w:rsidRPr="007E4323" w:rsidRDefault="00A878CE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06.08</w:t>
      </w:r>
      <w:r w:rsidRPr="007E4323">
        <w:rPr>
          <w:color w:val="000000"/>
          <w:sz w:val="20"/>
          <w:szCs w:val="20"/>
        </w:rPr>
        <w:t xml:space="preserve">.2013. </w:t>
      </w:r>
      <w:r>
        <w:rPr>
          <w:color w:val="000000"/>
          <w:sz w:val="20"/>
          <w:szCs w:val="20"/>
        </w:rPr>
        <w:t>10:40</w:t>
      </w:r>
    </w:p>
    <w:p w:rsidR="00A878CE" w:rsidRPr="007E4323" w:rsidRDefault="00A878CE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489</w:t>
      </w:r>
    </w:p>
    <w:p w:rsidR="00A878CE" w:rsidRPr="007E4323" w:rsidRDefault="00A878CE" w:rsidP="00C2015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O.Graudiņa</w:t>
      </w:r>
    </w:p>
    <w:p w:rsidR="00A878CE" w:rsidRPr="007E4323" w:rsidRDefault="00A878CE" w:rsidP="00C20152">
      <w:pPr>
        <w:rPr>
          <w:color w:val="000000"/>
          <w:sz w:val="20"/>
          <w:szCs w:val="20"/>
        </w:rPr>
      </w:pPr>
      <w:r w:rsidRPr="007E4323">
        <w:rPr>
          <w:color w:val="000000"/>
          <w:sz w:val="20"/>
          <w:szCs w:val="20"/>
        </w:rPr>
        <w:t xml:space="preserve">67223131, </w:t>
      </w:r>
      <w:r>
        <w:rPr>
          <w:color w:val="000000"/>
          <w:sz w:val="20"/>
          <w:szCs w:val="20"/>
        </w:rPr>
        <w:t>olga.graudina</w:t>
      </w:r>
      <w:r w:rsidRPr="007E4323">
        <w:rPr>
          <w:color w:val="000000"/>
          <w:sz w:val="20"/>
          <w:szCs w:val="20"/>
        </w:rPr>
        <w:t>@dvi.gov.lv</w:t>
      </w:r>
    </w:p>
    <w:p w:rsidR="00A878CE" w:rsidRPr="007E4323" w:rsidRDefault="00A878CE" w:rsidP="00AB2A5C">
      <w:pPr>
        <w:rPr>
          <w:iCs/>
          <w:sz w:val="20"/>
          <w:szCs w:val="20"/>
        </w:rPr>
      </w:pPr>
      <w:r w:rsidRPr="007E432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A878CE" w:rsidRPr="007E4323" w:rsidSect="00A717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CE" w:rsidRDefault="00A878CE">
      <w:r>
        <w:separator/>
      </w:r>
    </w:p>
  </w:endnote>
  <w:endnote w:type="continuationSeparator" w:id="0">
    <w:p w:rsidR="00A878CE" w:rsidRDefault="00A8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E" w:rsidRDefault="00A878CE" w:rsidP="00B46F81">
    <w:pPr>
      <w:rPr>
        <w:sz w:val="20"/>
        <w:szCs w:val="20"/>
      </w:rPr>
    </w:pPr>
    <w:r>
      <w:rPr>
        <w:sz w:val="20"/>
      </w:rPr>
      <w:t>TMAn</w:t>
    </w:r>
    <w:r w:rsidRPr="00A301A8">
      <w:rPr>
        <w:sz w:val="20"/>
      </w:rPr>
      <w:t>ot_</w:t>
    </w:r>
    <w:r>
      <w:rPr>
        <w:sz w:val="20"/>
      </w:rPr>
      <w:t>0608</w:t>
    </w:r>
    <w:r w:rsidRPr="00A301A8">
      <w:rPr>
        <w:sz w:val="20"/>
      </w:rPr>
      <w:t>13</w:t>
    </w:r>
    <w:r>
      <w:rPr>
        <w:sz w:val="20"/>
      </w:rPr>
      <w:t>_VNsert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„Grozījums M</w:t>
    </w:r>
    <w:r w:rsidRPr="00A301A8">
      <w:rPr>
        <w:color w:val="000000"/>
        <w:sz w:val="20"/>
      </w:rPr>
      <w:t xml:space="preserve">inistru kabineta </w:t>
    </w:r>
    <w:r w:rsidRPr="00A301A8">
      <w:rPr>
        <w:sz w:val="20"/>
      </w:rPr>
      <w:t>201</w:t>
    </w:r>
    <w:r>
      <w:rPr>
        <w:sz w:val="20"/>
      </w:rPr>
      <w:t>0</w:t>
    </w:r>
    <w:r w:rsidRPr="00A301A8">
      <w:rPr>
        <w:sz w:val="20"/>
      </w:rPr>
      <w:t xml:space="preserve">.gada </w:t>
    </w:r>
    <w:r>
      <w:rPr>
        <w:sz w:val="20"/>
      </w:rPr>
      <w:t>20.aprīļa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sz w:val="20"/>
      </w:rPr>
      <w:t>371</w:t>
    </w:r>
    <w:r w:rsidRPr="00A279B1">
      <w:rPr>
        <w:sz w:val="20"/>
      </w:rPr>
      <w:t xml:space="preserve"> „Noteikumi par </w:t>
    </w:r>
    <w:r>
      <w:rPr>
        <w:sz w:val="20"/>
      </w:rPr>
      <w:t>sertifikācijas pakalpojumu sniedzēja akreditācijas un akreditācijas atjaunošanas valsts nodevu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A878CE" w:rsidRPr="00F42004" w:rsidRDefault="00A878CE" w:rsidP="000A782E">
    <w:pPr>
      <w:pStyle w:val="Kjene"/>
      <w:jc w:val="both"/>
      <w:rPr>
        <w:sz w:val="20"/>
        <w:szCs w:val="20"/>
      </w:rPr>
    </w:pPr>
  </w:p>
  <w:p w:rsidR="00A878CE" w:rsidRPr="00361E9B" w:rsidRDefault="00A878CE" w:rsidP="000A782E">
    <w:pPr>
      <w:pStyle w:val="Kjene"/>
    </w:pPr>
  </w:p>
  <w:p w:rsidR="00A878CE" w:rsidRPr="006811D5" w:rsidRDefault="00A878CE" w:rsidP="000A782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E" w:rsidRPr="002F4D25" w:rsidRDefault="00A878CE" w:rsidP="00B46D86">
    <w:pPr>
      <w:jc w:val="both"/>
      <w:rPr>
        <w:color w:val="000000"/>
        <w:sz w:val="20"/>
        <w:szCs w:val="20"/>
      </w:rPr>
    </w:pPr>
    <w:r>
      <w:rPr>
        <w:sz w:val="20"/>
      </w:rPr>
      <w:t>TMAn</w:t>
    </w:r>
    <w:r w:rsidRPr="00A301A8">
      <w:rPr>
        <w:sz w:val="20"/>
      </w:rPr>
      <w:t>ot_</w:t>
    </w:r>
    <w:r>
      <w:rPr>
        <w:sz w:val="20"/>
      </w:rPr>
      <w:t>0608</w:t>
    </w:r>
    <w:r w:rsidRPr="00A301A8">
      <w:rPr>
        <w:sz w:val="20"/>
      </w:rPr>
      <w:t>13</w:t>
    </w:r>
    <w:r>
      <w:rPr>
        <w:sz w:val="20"/>
      </w:rPr>
      <w:t>_VNsert</w:t>
    </w:r>
    <w:r w:rsidRPr="00A301A8">
      <w:rPr>
        <w:sz w:val="20"/>
      </w:rPr>
      <w:t>; Mini</w:t>
    </w:r>
    <w:r>
      <w:rPr>
        <w:sz w:val="20"/>
      </w:rPr>
      <w:t>stru kabineta noteikumu projekta</w:t>
    </w:r>
    <w:r w:rsidRPr="00A301A8">
      <w:rPr>
        <w:sz w:val="20"/>
      </w:rPr>
      <w:t xml:space="preserve"> </w:t>
    </w:r>
    <w:r>
      <w:rPr>
        <w:sz w:val="20"/>
      </w:rPr>
      <w:t>„Grozījums M</w:t>
    </w:r>
    <w:r w:rsidRPr="00A301A8">
      <w:rPr>
        <w:color w:val="000000"/>
        <w:sz w:val="20"/>
      </w:rPr>
      <w:t xml:space="preserve">inistru kabineta </w:t>
    </w:r>
    <w:r w:rsidRPr="00A301A8">
      <w:rPr>
        <w:sz w:val="20"/>
      </w:rPr>
      <w:t>201</w:t>
    </w:r>
    <w:r>
      <w:rPr>
        <w:sz w:val="20"/>
      </w:rPr>
      <w:t>0</w:t>
    </w:r>
    <w:r w:rsidRPr="00A301A8">
      <w:rPr>
        <w:sz w:val="20"/>
      </w:rPr>
      <w:t xml:space="preserve">.gada </w:t>
    </w:r>
    <w:r>
      <w:rPr>
        <w:sz w:val="20"/>
      </w:rPr>
      <w:t>20.aprīļa</w:t>
    </w:r>
    <w:r w:rsidRPr="00A301A8">
      <w:rPr>
        <w:sz w:val="20"/>
      </w:rPr>
      <w:t xml:space="preserve"> </w:t>
    </w:r>
    <w:r w:rsidRPr="00A301A8">
      <w:rPr>
        <w:color w:val="000000"/>
        <w:sz w:val="20"/>
      </w:rPr>
      <w:t>noteikumos Nr.</w:t>
    </w:r>
    <w:r>
      <w:rPr>
        <w:sz w:val="20"/>
      </w:rPr>
      <w:t>371</w:t>
    </w:r>
    <w:r w:rsidRPr="00A279B1">
      <w:rPr>
        <w:sz w:val="20"/>
      </w:rPr>
      <w:t xml:space="preserve"> „Noteikumi par </w:t>
    </w:r>
    <w:r>
      <w:rPr>
        <w:sz w:val="20"/>
      </w:rPr>
      <w:t>sertifikācijas pakalpojumu sniedzēja akreditācijas un akreditācijas atjaunošanas valsts nodevu</w:t>
    </w:r>
    <w:r w:rsidRPr="00A279B1">
      <w:rPr>
        <w:sz w:val="20"/>
      </w:rPr>
      <w:t>””</w:t>
    </w:r>
    <w:r>
      <w:rPr>
        <w:sz w:val="20"/>
      </w:rPr>
      <w:t xml:space="preserve"> </w:t>
    </w:r>
    <w:r w:rsidRPr="002F4D2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2F4D25">
        <w:rPr>
          <w:sz w:val="20"/>
          <w:szCs w:val="20"/>
        </w:rPr>
        <w:t>ziņojums</w:t>
      </w:r>
    </w:smartTag>
    <w:r w:rsidRPr="002F4D25">
      <w:rPr>
        <w:sz w:val="20"/>
        <w:szCs w:val="20"/>
      </w:rPr>
      <w:t xml:space="preserve"> (anotācija)</w:t>
    </w:r>
  </w:p>
  <w:p w:rsidR="00A878CE" w:rsidRPr="002F4D25" w:rsidRDefault="00A878CE" w:rsidP="000A782E">
    <w:pPr>
      <w:pStyle w:val="Kjene"/>
    </w:pPr>
  </w:p>
  <w:p w:rsidR="00A878CE" w:rsidRPr="00361E9B" w:rsidRDefault="00A878CE" w:rsidP="000A782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CE" w:rsidRDefault="00A878CE">
      <w:r>
        <w:separator/>
      </w:r>
    </w:p>
  </w:footnote>
  <w:footnote w:type="continuationSeparator" w:id="0">
    <w:p w:rsidR="00A878CE" w:rsidRDefault="00A8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E" w:rsidRDefault="00A878CE" w:rsidP="000A782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878CE" w:rsidRDefault="00A878C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CE" w:rsidRDefault="00A878CE" w:rsidP="000A782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3F29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878CE" w:rsidRDefault="00A878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DB"/>
    <w:multiLevelType w:val="hybridMultilevel"/>
    <w:tmpl w:val="5AA61584"/>
    <w:lvl w:ilvl="0" w:tplc="C396F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E3983"/>
    <w:multiLevelType w:val="hybridMultilevel"/>
    <w:tmpl w:val="70247E64"/>
    <w:lvl w:ilvl="0" w:tplc="CD0A72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33277FF"/>
    <w:multiLevelType w:val="hybridMultilevel"/>
    <w:tmpl w:val="0AFE37C8"/>
    <w:lvl w:ilvl="0" w:tplc="81040A2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5D97BAF"/>
    <w:multiLevelType w:val="hybridMultilevel"/>
    <w:tmpl w:val="5836841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F50C6"/>
    <w:multiLevelType w:val="hybridMultilevel"/>
    <w:tmpl w:val="7A22EC2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0A1DAB"/>
    <w:multiLevelType w:val="hybridMultilevel"/>
    <w:tmpl w:val="36C8DD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A5C"/>
    <w:rsid w:val="000112B4"/>
    <w:rsid w:val="0001275C"/>
    <w:rsid w:val="0001626D"/>
    <w:rsid w:val="00044312"/>
    <w:rsid w:val="00050C05"/>
    <w:rsid w:val="000677A2"/>
    <w:rsid w:val="000934B5"/>
    <w:rsid w:val="000A782E"/>
    <w:rsid w:val="000B1C55"/>
    <w:rsid w:val="000B44FD"/>
    <w:rsid w:val="000B502E"/>
    <w:rsid w:val="000D00D8"/>
    <w:rsid w:val="00117A4D"/>
    <w:rsid w:val="00144EDA"/>
    <w:rsid w:val="00195BB8"/>
    <w:rsid w:val="001C61C9"/>
    <w:rsid w:val="001F598A"/>
    <w:rsid w:val="001F64D7"/>
    <w:rsid w:val="001F6BA7"/>
    <w:rsid w:val="0021470D"/>
    <w:rsid w:val="00216C6B"/>
    <w:rsid w:val="00293A77"/>
    <w:rsid w:val="002E1C7C"/>
    <w:rsid w:val="002E4BCD"/>
    <w:rsid w:val="002F4D25"/>
    <w:rsid w:val="002F5821"/>
    <w:rsid w:val="00315120"/>
    <w:rsid w:val="00321379"/>
    <w:rsid w:val="0033227D"/>
    <w:rsid w:val="00334C26"/>
    <w:rsid w:val="00361B60"/>
    <w:rsid w:val="00361E9B"/>
    <w:rsid w:val="00377823"/>
    <w:rsid w:val="00391EFB"/>
    <w:rsid w:val="003B3ED9"/>
    <w:rsid w:val="003C779A"/>
    <w:rsid w:val="003D7553"/>
    <w:rsid w:val="00404C43"/>
    <w:rsid w:val="004126B7"/>
    <w:rsid w:val="004430D5"/>
    <w:rsid w:val="00443281"/>
    <w:rsid w:val="004636A5"/>
    <w:rsid w:val="004640CE"/>
    <w:rsid w:val="00485E93"/>
    <w:rsid w:val="004A379D"/>
    <w:rsid w:val="004B727B"/>
    <w:rsid w:val="004C4712"/>
    <w:rsid w:val="004D493F"/>
    <w:rsid w:val="004E64A5"/>
    <w:rsid w:val="004F288E"/>
    <w:rsid w:val="005417E9"/>
    <w:rsid w:val="0055011B"/>
    <w:rsid w:val="005754F8"/>
    <w:rsid w:val="005A4935"/>
    <w:rsid w:val="005B045C"/>
    <w:rsid w:val="005B27B9"/>
    <w:rsid w:val="005B3C8E"/>
    <w:rsid w:val="005B6AAA"/>
    <w:rsid w:val="005C5C36"/>
    <w:rsid w:val="006122B9"/>
    <w:rsid w:val="006209BC"/>
    <w:rsid w:val="00637853"/>
    <w:rsid w:val="006502C7"/>
    <w:rsid w:val="00650F0A"/>
    <w:rsid w:val="006811D5"/>
    <w:rsid w:val="00685D11"/>
    <w:rsid w:val="0069600E"/>
    <w:rsid w:val="006A64CF"/>
    <w:rsid w:val="006B4E36"/>
    <w:rsid w:val="006B585B"/>
    <w:rsid w:val="006E2B1E"/>
    <w:rsid w:val="0071415C"/>
    <w:rsid w:val="007313F3"/>
    <w:rsid w:val="00737C8C"/>
    <w:rsid w:val="0074237D"/>
    <w:rsid w:val="007533A7"/>
    <w:rsid w:val="00773C9C"/>
    <w:rsid w:val="00774AA7"/>
    <w:rsid w:val="00796CCF"/>
    <w:rsid w:val="007B33CC"/>
    <w:rsid w:val="007D093B"/>
    <w:rsid w:val="007D122D"/>
    <w:rsid w:val="007E4323"/>
    <w:rsid w:val="008065FE"/>
    <w:rsid w:val="00813B6E"/>
    <w:rsid w:val="00816597"/>
    <w:rsid w:val="00862F16"/>
    <w:rsid w:val="008908EC"/>
    <w:rsid w:val="00892383"/>
    <w:rsid w:val="00892E19"/>
    <w:rsid w:val="008A2257"/>
    <w:rsid w:val="008B17F3"/>
    <w:rsid w:val="008C5F5B"/>
    <w:rsid w:val="008D257F"/>
    <w:rsid w:val="008F4349"/>
    <w:rsid w:val="008F7672"/>
    <w:rsid w:val="0091013D"/>
    <w:rsid w:val="009335DC"/>
    <w:rsid w:val="00941BB3"/>
    <w:rsid w:val="00955FDC"/>
    <w:rsid w:val="00986634"/>
    <w:rsid w:val="009B1B96"/>
    <w:rsid w:val="009C2F0C"/>
    <w:rsid w:val="00A279B1"/>
    <w:rsid w:val="00A301A8"/>
    <w:rsid w:val="00A64D7F"/>
    <w:rsid w:val="00A70C70"/>
    <w:rsid w:val="00A717D4"/>
    <w:rsid w:val="00A878CE"/>
    <w:rsid w:val="00A933BA"/>
    <w:rsid w:val="00A944CD"/>
    <w:rsid w:val="00AB2A5C"/>
    <w:rsid w:val="00AB4019"/>
    <w:rsid w:val="00AE4AAA"/>
    <w:rsid w:val="00B04247"/>
    <w:rsid w:val="00B3410F"/>
    <w:rsid w:val="00B44638"/>
    <w:rsid w:val="00B46D86"/>
    <w:rsid w:val="00B46F81"/>
    <w:rsid w:val="00B53A1E"/>
    <w:rsid w:val="00B54669"/>
    <w:rsid w:val="00B65732"/>
    <w:rsid w:val="00B67863"/>
    <w:rsid w:val="00B83465"/>
    <w:rsid w:val="00B8615A"/>
    <w:rsid w:val="00B967A8"/>
    <w:rsid w:val="00C03089"/>
    <w:rsid w:val="00C140E0"/>
    <w:rsid w:val="00C20152"/>
    <w:rsid w:val="00C2562F"/>
    <w:rsid w:val="00C4079F"/>
    <w:rsid w:val="00C41725"/>
    <w:rsid w:val="00C75C2A"/>
    <w:rsid w:val="00C83FC0"/>
    <w:rsid w:val="00C91E87"/>
    <w:rsid w:val="00C941A1"/>
    <w:rsid w:val="00CA2277"/>
    <w:rsid w:val="00CA3EAB"/>
    <w:rsid w:val="00CB46ED"/>
    <w:rsid w:val="00CF3B5A"/>
    <w:rsid w:val="00D22685"/>
    <w:rsid w:val="00D40449"/>
    <w:rsid w:val="00D50B22"/>
    <w:rsid w:val="00D54FBD"/>
    <w:rsid w:val="00D70E1E"/>
    <w:rsid w:val="00D81092"/>
    <w:rsid w:val="00D83D09"/>
    <w:rsid w:val="00D86BFB"/>
    <w:rsid w:val="00D9626B"/>
    <w:rsid w:val="00D97880"/>
    <w:rsid w:val="00DA63D7"/>
    <w:rsid w:val="00DC0151"/>
    <w:rsid w:val="00DD273F"/>
    <w:rsid w:val="00DD342C"/>
    <w:rsid w:val="00DF0B6B"/>
    <w:rsid w:val="00E11B39"/>
    <w:rsid w:val="00E42FCE"/>
    <w:rsid w:val="00E52F5E"/>
    <w:rsid w:val="00E54E4C"/>
    <w:rsid w:val="00E55999"/>
    <w:rsid w:val="00E56BD3"/>
    <w:rsid w:val="00E93C6F"/>
    <w:rsid w:val="00EA0AA8"/>
    <w:rsid w:val="00EB2F16"/>
    <w:rsid w:val="00EB38CD"/>
    <w:rsid w:val="00EB5F22"/>
    <w:rsid w:val="00ED5059"/>
    <w:rsid w:val="00F16A4D"/>
    <w:rsid w:val="00F210EB"/>
    <w:rsid w:val="00F314A9"/>
    <w:rsid w:val="00F42004"/>
    <w:rsid w:val="00F67053"/>
    <w:rsid w:val="00F8541C"/>
    <w:rsid w:val="00FC0704"/>
    <w:rsid w:val="00FC7F28"/>
    <w:rsid w:val="00FD2964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2A5C"/>
    <w:rPr>
      <w:rFonts w:ascii="Times New Roman" w:eastAsia="Times New Roman" w:hAnsi="Times New Roman"/>
      <w:sz w:val="24"/>
      <w:szCs w:val="24"/>
      <w:lang w:eastAsia="en-US"/>
    </w:rPr>
  </w:style>
  <w:style w:type="paragraph" w:styleId="Virsraksts3">
    <w:name w:val="heading 3"/>
    <w:basedOn w:val="Parasts"/>
    <w:link w:val="Virsraksts3Rakstz"/>
    <w:uiPriority w:val="99"/>
    <w:qFormat/>
    <w:rsid w:val="0069600E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69600E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Pamatteksts">
    <w:name w:val="Body Text"/>
    <w:basedOn w:val="Parasts"/>
    <w:link w:val="PamattekstsRakstz"/>
    <w:uiPriority w:val="99"/>
    <w:rsid w:val="00AB2A5C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AB2A5C"/>
    <w:rPr>
      <w:rFonts w:ascii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Parasts"/>
    <w:uiPriority w:val="99"/>
    <w:rsid w:val="00AB2A5C"/>
    <w:pPr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Parasts"/>
    <w:uiPriority w:val="99"/>
    <w:rsid w:val="00AB2A5C"/>
    <w:pPr>
      <w:spacing w:before="450" w:after="225"/>
      <w:jc w:val="center"/>
    </w:pPr>
    <w:rPr>
      <w:b/>
      <w:bCs/>
      <w:lang w:eastAsia="lv-LV"/>
    </w:rPr>
  </w:style>
  <w:style w:type="paragraph" w:styleId="Galvene">
    <w:name w:val="header"/>
    <w:basedOn w:val="Parasts"/>
    <w:link w:val="GalveneRakstz"/>
    <w:uiPriority w:val="99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AB2A5C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AB2A5C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AB2A5C"/>
    <w:rPr>
      <w:rFonts w:ascii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uiPriority w:val="99"/>
    <w:rsid w:val="00AB2A5C"/>
    <w:rPr>
      <w:rFonts w:cs="Times New Roman"/>
    </w:rPr>
  </w:style>
  <w:style w:type="paragraph" w:customStyle="1" w:styleId="naislab">
    <w:name w:val="naislab"/>
    <w:basedOn w:val="Parasts"/>
    <w:uiPriority w:val="99"/>
    <w:rsid w:val="00AB2A5C"/>
    <w:pPr>
      <w:spacing w:before="75" w:after="75"/>
      <w:jc w:val="right"/>
    </w:pPr>
    <w:rPr>
      <w:lang w:eastAsia="lv-LV"/>
    </w:rPr>
  </w:style>
  <w:style w:type="paragraph" w:customStyle="1" w:styleId="naiskr">
    <w:name w:val="naiskr"/>
    <w:basedOn w:val="Parasts"/>
    <w:uiPriority w:val="99"/>
    <w:rsid w:val="00AB2A5C"/>
    <w:pPr>
      <w:spacing w:before="75" w:after="75"/>
    </w:pPr>
    <w:rPr>
      <w:lang w:eastAsia="lv-LV"/>
    </w:rPr>
  </w:style>
  <w:style w:type="paragraph" w:customStyle="1" w:styleId="tv213">
    <w:name w:val="tv213"/>
    <w:basedOn w:val="Parasts"/>
    <w:uiPriority w:val="99"/>
    <w:rsid w:val="00892383"/>
    <w:pPr>
      <w:spacing w:before="100" w:beforeAutospacing="1" w:after="100" w:afterAutospacing="1"/>
    </w:pPr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6E2B1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E2B1E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basedOn w:val="Noklusjumarindkopasfonts"/>
    <w:uiPriority w:val="99"/>
    <w:semiHidden/>
    <w:rsid w:val="00B65732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B657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B65732"/>
    <w:rPr>
      <w:rFonts w:ascii="Times New Roman" w:hAnsi="Times New Roman" w:cs="Times New Roman"/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B657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B65732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2422</Words>
  <Characters>1382</Characters>
  <Application>Microsoft Office Word</Application>
  <DocSecurity>0</DocSecurity>
  <Lines>11</Lines>
  <Paragraphs>7</Paragraphs>
  <ScaleCrop>false</ScaleCrop>
  <Company>Tieslietu Ministrija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20.aprīļa noteikumos Nr. 371 "Noteikumi par sertifikācijas pakalpojumu sniedzēja akreditācijas un akreditācijas atjaunošanas valsts nodevu"</dc:title>
  <dc:subject>Ministru kabineta noteikumu projekta sākotnējās ietekmes novērtējuma ziņojums (anotācija)</dc:subject>
  <dc:creator>O.Graudiņa</dc:creator>
  <cp:keywords/>
  <dc:description>67223131, olga.graudina@dvi.gov.lv</dc:description>
  <cp:lastModifiedBy>Liga Kokare</cp:lastModifiedBy>
  <cp:revision>3</cp:revision>
  <cp:lastPrinted>2013-05-17T12:51:00Z</cp:lastPrinted>
  <dcterms:created xsi:type="dcterms:W3CDTF">2013-08-06T10:24:00Z</dcterms:created>
  <dcterms:modified xsi:type="dcterms:W3CDTF">2013-08-08T12:58:00Z</dcterms:modified>
</cp:coreProperties>
</file>