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389" w:rsidRDefault="00441389" w:rsidP="001E447C">
      <w:pPr>
        <w:spacing w:after="0" w:line="240" w:lineRule="auto"/>
        <w:jc w:val="center"/>
        <w:rPr>
          <w:rFonts w:ascii="Times New Roman" w:hAnsi="Times New Roman"/>
          <w:b/>
          <w:sz w:val="24"/>
          <w:szCs w:val="24"/>
        </w:rPr>
      </w:pPr>
      <w:r w:rsidRPr="00441389">
        <w:rPr>
          <w:rFonts w:ascii="Times New Roman" w:hAnsi="Times New Roman"/>
          <w:b/>
          <w:sz w:val="24"/>
          <w:szCs w:val="24"/>
        </w:rPr>
        <w:t xml:space="preserve">Ministru kabineta noteikumu projekta </w:t>
      </w:r>
    </w:p>
    <w:p w:rsidR="001772B3" w:rsidRDefault="00441389" w:rsidP="00050492">
      <w:pPr>
        <w:pStyle w:val="naisf"/>
        <w:spacing w:before="0" w:after="0"/>
        <w:jc w:val="center"/>
        <w:rPr>
          <w:b/>
        </w:rPr>
      </w:pPr>
      <w:r w:rsidRPr="00441389">
        <w:rPr>
          <w:b/>
        </w:rPr>
        <w:t>„</w:t>
      </w:r>
      <w:r w:rsidR="00050492" w:rsidRPr="00C704C4">
        <w:rPr>
          <w:b/>
        </w:rPr>
        <w:t>Grozījums Ministru kabineta 2006.gada 27.jūlija noteikumos Nr.603 „Kārtība, kādā aprēķināma un izmaksājama atlīdzība par energoapgādes objekta ierīkošanai vai rekonstrukcijai nepieciešamā zemes īpašuma atsavināšanu vai lietošanas tiesību ierobežošanu”</w:t>
      </w:r>
      <w:r w:rsidRPr="00441389">
        <w:rPr>
          <w:b/>
        </w:rPr>
        <w:t xml:space="preserve">” </w:t>
      </w:r>
      <w:bookmarkStart w:id="0" w:name="OLE_LINK3"/>
      <w:bookmarkStart w:id="1" w:name="OLE_LINK4"/>
      <w:r>
        <w:rPr>
          <w:b/>
        </w:rPr>
        <w:t>s</w:t>
      </w:r>
      <w:r w:rsidRPr="00441389">
        <w:rPr>
          <w:b/>
        </w:rPr>
        <w:t xml:space="preserve">ākotnējās ietekmes novērtējuma ziņojums </w:t>
      </w:r>
      <w:bookmarkEnd w:id="0"/>
      <w:bookmarkEnd w:id="1"/>
      <w:r w:rsidRPr="00441389">
        <w:rPr>
          <w:b/>
        </w:rPr>
        <w:t>(anotācija)</w:t>
      </w:r>
    </w:p>
    <w:p w:rsidR="002936BF" w:rsidRPr="00050492" w:rsidRDefault="002936BF" w:rsidP="00050492">
      <w:pPr>
        <w:pStyle w:val="naisf"/>
        <w:spacing w:before="0" w:after="0"/>
        <w:jc w:val="center"/>
        <w:rPr>
          <w:b/>
        </w:rPr>
      </w:pP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835"/>
        <w:gridCol w:w="6237"/>
      </w:tblGrid>
      <w:tr w:rsidR="001772B3" w:rsidRPr="00850B76" w:rsidTr="00BA0394">
        <w:trPr>
          <w:trHeight w:val="539"/>
        </w:trPr>
        <w:tc>
          <w:tcPr>
            <w:tcW w:w="9072" w:type="dxa"/>
            <w:gridSpan w:val="2"/>
            <w:tcBorders>
              <w:top w:val="single" w:sz="4" w:space="0" w:color="auto"/>
              <w:left w:val="single" w:sz="4" w:space="0" w:color="auto"/>
              <w:bottom w:val="single" w:sz="4" w:space="0" w:color="auto"/>
              <w:right w:val="single" w:sz="4" w:space="0" w:color="auto"/>
            </w:tcBorders>
            <w:hideMark/>
          </w:tcPr>
          <w:p w:rsidR="00D054BC" w:rsidRPr="00C60FF7" w:rsidRDefault="00D054BC" w:rsidP="001E447C">
            <w:pPr>
              <w:spacing w:after="0" w:line="240" w:lineRule="auto"/>
              <w:jc w:val="center"/>
              <w:outlineLvl w:val="1"/>
              <w:rPr>
                <w:rFonts w:ascii="Times New Roman" w:hAnsi="Times New Roman"/>
                <w:b/>
                <w:bCs/>
                <w:color w:val="000000"/>
                <w:sz w:val="24"/>
                <w:szCs w:val="24"/>
              </w:rPr>
            </w:pPr>
          </w:p>
          <w:p w:rsidR="00D054BC" w:rsidRPr="00850B76" w:rsidRDefault="001772B3" w:rsidP="001E447C">
            <w:pPr>
              <w:spacing w:after="0" w:line="240" w:lineRule="auto"/>
              <w:jc w:val="center"/>
              <w:outlineLvl w:val="1"/>
              <w:rPr>
                <w:rFonts w:ascii="Times New Roman" w:hAnsi="Times New Roman"/>
                <w:b/>
                <w:bCs/>
                <w:color w:val="000000"/>
                <w:sz w:val="24"/>
                <w:szCs w:val="24"/>
              </w:rPr>
            </w:pPr>
            <w:r w:rsidRPr="00C60FF7">
              <w:rPr>
                <w:rFonts w:ascii="Times New Roman" w:hAnsi="Times New Roman"/>
                <w:b/>
                <w:bCs/>
                <w:color w:val="000000"/>
                <w:sz w:val="24"/>
                <w:szCs w:val="24"/>
              </w:rPr>
              <w:t xml:space="preserve">I. </w:t>
            </w:r>
            <w:r w:rsidR="00C60FF7" w:rsidRPr="00C60FF7">
              <w:rPr>
                <w:rFonts w:ascii="Times New Roman" w:hAnsi="Times New Roman"/>
                <w:b/>
                <w:sz w:val="24"/>
                <w:szCs w:val="24"/>
              </w:rPr>
              <w:t>Tiesību akta projekta izstrādes nepieciešamība</w:t>
            </w:r>
          </w:p>
        </w:tc>
      </w:tr>
      <w:tr w:rsidR="00BC7E08" w:rsidRPr="00850B76" w:rsidTr="00BA0394">
        <w:tc>
          <w:tcPr>
            <w:tcW w:w="2835" w:type="dxa"/>
            <w:tcBorders>
              <w:top w:val="single" w:sz="4" w:space="0" w:color="auto"/>
              <w:left w:val="single" w:sz="4" w:space="0" w:color="auto"/>
              <w:bottom w:val="single" w:sz="4" w:space="0" w:color="auto"/>
              <w:right w:val="single" w:sz="4" w:space="0" w:color="auto"/>
            </w:tcBorders>
            <w:hideMark/>
          </w:tcPr>
          <w:p w:rsidR="00BC7E08" w:rsidRPr="00850B76" w:rsidRDefault="00BC7E08" w:rsidP="00BA0394">
            <w:pPr>
              <w:spacing w:after="0" w:line="240" w:lineRule="auto"/>
              <w:ind w:firstLine="34"/>
              <w:jc w:val="both"/>
              <w:rPr>
                <w:rFonts w:ascii="Times New Roman" w:hAnsi="Times New Roman"/>
                <w:color w:val="000000"/>
                <w:sz w:val="24"/>
                <w:szCs w:val="24"/>
              </w:rPr>
            </w:pPr>
            <w:r w:rsidRPr="00850B76">
              <w:rPr>
                <w:rFonts w:ascii="Times New Roman" w:hAnsi="Times New Roman"/>
                <w:color w:val="000000"/>
                <w:sz w:val="24"/>
                <w:szCs w:val="24"/>
              </w:rPr>
              <w:t xml:space="preserve">1. </w:t>
            </w:r>
            <w:r w:rsidR="00D27C02" w:rsidRPr="00850B76">
              <w:rPr>
                <w:rFonts w:ascii="Times New Roman" w:hAnsi="Times New Roman"/>
                <w:sz w:val="24"/>
                <w:szCs w:val="24"/>
              </w:rPr>
              <w:t>Atsauce uz Deklarāciju par Ministru kabineta iecerēto darbību, politikas plānošanas dokumentu un citiem dokumentiem, kuros dots uzdevums izstrādāt normatīvā akta projektu</w:t>
            </w:r>
          </w:p>
        </w:tc>
        <w:tc>
          <w:tcPr>
            <w:tcW w:w="6237" w:type="dxa"/>
            <w:tcBorders>
              <w:top w:val="single" w:sz="4" w:space="0" w:color="auto"/>
              <w:left w:val="single" w:sz="4" w:space="0" w:color="auto"/>
              <w:bottom w:val="single" w:sz="4" w:space="0" w:color="auto"/>
              <w:right w:val="single" w:sz="4" w:space="0" w:color="auto"/>
            </w:tcBorders>
            <w:hideMark/>
          </w:tcPr>
          <w:p w:rsidR="00A72B6C" w:rsidRPr="002C45F7" w:rsidRDefault="00E223B8" w:rsidP="006F60D5">
            <w:pPr>
              <w:spacing w:after="0" w:line="240" w:lineRule="auto"/>
              <w:ind w:firstLine="601"/>
              <w:jc w:val="both"/>
              <w:rPr>
                <w:rFonts w:ascii="Times New Roman" w:hAnsi="Times New Roman"/>
                <w:color w:val="000000"/>
                <w:sz w:val="24"/>
                <w:szCs w:val="24"/>
              </w:rPr>
            </w:pPr>
            <w:r>
              <w:rPr>
                <w:rFonts w:ascii="Times New Roman" w:hAnsi="Times New Roman"/>
                <w:sz w:val="24"/>
                <w:szCs w:val="24"/>
              </w:rPr>
              <w:t>Sabiedrības vajadzībām nepieciešamā nekustamā īpašuma atsavināšanas likuma 20. panta otrā daļa.</w:t>
            </w:r>
          </w:p>
        </w:tc>
      </w:tr>
      <w:tr w:rsidR="001772B3" w:rsidRPr="00850B76" w:rsidTr="00BA0394">
        <w:tc>
          <w:tcPr>
            <w:tcW w:w="2835" w:type="dxa"/>
            <w:tcBorders>
              <w:top w:val="single" w:sz="4" w:space="0" w:color="auto"/>
              <w:left w:val="single" w:sz="4" w:space="0" w:color="auto"/>
              <w:bottom w:val="single" w:sz="4" w:space="0" w:color="auto"/>
              <w:right w:val="single" w:sz="4" w:space="0" w:color="auto"/>
            </w:tcBorders>
            <w:hideMark/>
          </w:tcPr>
          <w:p w:rsidR="001772B3" w:rsidRPr="00850B76" w:rsidRDefault="00BC7E08" w:rsidP="00BA0394">
            <w:pPr>
              <w:spacing w:after="0" w:line="240" w:lineRule="auto"/>
              <w:ind w:firstLine="34"/>
              <w:jc w:val="both"/>
              <w:rPr>
                <w:rFonts w:ascii="Times New Roman" w:hAnsi="Times New Roman"/>
                <w:color w:val="000000"/>
                <w:sz w:val="24"/>
                <w:szCs w:val="24"/>
              </w:rPr>
            </w:pPr>
            <w:r w:rsidRPr="00850B76">
              <w:rPr>
                <w:rFonts w:ascii="Times New Roman" w:hAnsi="Times New Roman"/>
                <w:color w:val="000000"/>
                <w:sz w:val="24"/>
                <w:szCs w:val="24"/>
              </w:rPr>
              <w:t>2</w:t>
            </w:r>
            <w:r w:rsidR="001772B3" w:rsidRPr="00850B76">
              <w:rPr>
                <w:rFonts w:ascii="Times New Roman" w:hAnsi="Times New Roman"/>
                <w:color w:val="000000"/>
                <w:sz w:val="24"/>
                <w:szCs w:val="24"/>
              </w:rPr>
              <w:t>. Pašreizējās situācijas raksturojums</w:t>
            </w:r>
          </w:p>
        </w:tc>
        <w:tc>
          <w:tcPr>
            <w:tcW w:w="6237" w:type="dxa"/>
            <w:tcBorders>
              <w:top w:val="single" w:sz="4" w:space="0" w:color="auto"/>
              <w:left w:val="single" w:sz="4" w:space="0" w:color="auto"/>
              <w:bottom w:val="single" w:sz="4" w:space="0" w:color="auto"/>
              <w:right w:val="single" w:sz="4" w:space="0" w:color="auto"/>
            </w:tcBorders>
            <w:hideMark/>
          </w:tcPr>
          <w:p w:rsidR="00F9647D" w:rsidRDefault="00533E2D" w:rsidP="006F60D5">
            <w:pPr>
              <w:spacing w:after="0" w:line="240" w:lineRule="auto"/>
              <w:ind w:firstLine="601"/>
              <w:jc w:val="both"/>
              <w:rPr>
                <w:rFonts w:ascii="Times New Roman" w:hAnsi="Times New Roman"/>
                <w:sz w:val="24"/>
                <w:szCs w:val="24"/>
              </w:rPr>
            </w:pPr>
            <w:r>
              <w:rPr>
                <w:rFonts w:ascii="Times New Roman" w:hAnsi="Times New Roman"/>
                <w:sz w:val="24"/>
                <w:szCs w:val="24"/>
              </w:rPr>
              <w:t xml:space="preserve">Enerģētikas likuma 24.panta </w:t>
            </w:r>
            <w:r w:rsidR="00CD22C5">
              <w:rPr>
                <w:rFonts w:ascii="Times New Roman" w:hAnsi="Times New Roman"/>
                <w:sz w:val="24"/>
                <w:szCs w:val="24"/>
              </w:rPr>
              <w:t>pirmajā daļā noteikts, ka energoapgādes komersants atlīdzina nekustamā īpašuma īpa</w:t>
            </w:r>
            <w:r w:rsidR="000A16AD">
              <w:rPr>
                <w:rFonts w:ascii="Times New Roman" w:hAnsi="Times New Roman"/>
                <w:sz w:val="24"/>
                <w:szCs w:val="24"/>
              </w:rPr>
              <w:t>šniekam zaudējumus, ka</w:t>
            </w:r>
            <w:r w:rsidR="00CD22C5">
              <w:rPr>
                <w:rFonts w:ascii="Times New Roman" w:hAnsi="Times New Roman"/>
                <w:sz w:val="24"/>
                <w:szCs w:val="24"/>
              </w:rPr>
              <w:t>s</w:t>
            </w:r>
            <w:r w:rsidR="000A16AD">
              <w:rPr>
                <w:rFonts w:ascii="Times New Roman" w:hAnsi="Times New Roman"/>
                <w:sz w:val="24"/>
                <w:szCs w:val="24"/>
              </w:rPr>
              <w:t xml:space="preserve"> tieši</w:t>
            </w:r>
            <w:r w:rsidR="00CD22C5">
              <w:rPr>
                <w:rFonts w:ascii="Times New Roman" w:hAnsi="Times New Roman"/>
                <w:sz w:val="24"/>
                <w:szCs w:val="24"/>
              </w:rPr>
              <w:t xml:space="preserve"> s</w:t>
            </w:r>
            <w:r w:rsidR="000A16AD">
              <w:rPr>
                <w:rFonts w:ascii="Times New Roman" w:hAnsi="Times New Roman"/>
                <w:sz w:val="24"/>
                <w:szCs w:val="24"/>
              </w:rPr>
              <w:t>a</w:t>
            </w:r>
            <w:r w:rsidR="00CD22C5">
              <w:rPr>
                <w:rFonts w:ascii="Times New Roman" w:hAnsi="Times New Roman"/>
                <w:sz w:val="24"/>
                <w:szCs w:val="24"/>
              </w:rPr>
              <w:t>istīti ar jaunu energoapgādes komersanta objektu ierīkošanu vai esošo objektu eksplua</w:t>
            </w:r>
            <w:r w:rsidR="000A16AD">
              <w:rPr>
                <w:rFonts w:ascii="Times New Roman" w:hAnsi="Times New Roman"/>
                <w:sz w:val="24"/>
                <w:szCs w:val="24"/>
              </w:rPr>
              <w:t>tācijas un remonta nodrošināšan</w:t>
            </w:r>
            <w:r w:rsidR="00CD22C5">
              <w:rPr>
                <w:rFonts w:ascii="Times New Roman" w:hAnsi="Times New Roman"/>
                <w:sz w:val="24"/>
                <w:szCs w:val="24"/>
              </w:rPr>
              <w:t xml:space="preserve">u. Minētā likuma 24.panta </w:t>
            </w:r>
            <w:r>
              <w:rPr>
                <w:rFonts w:ascii="Times New Roman" w:hAnsi="Times New Roman"/>
                <w:sz w:val="24"/>
                <w:szCs w:val="24"/>
              </w:rPr>
              <w:t>1.</w:t>
            </w:r>
            <w:r w:rsidR="00CD22C5">
              <w:rPr>
                <w:rFonts w:ascii="Times New Roman" w:hAnsi="Times New Roman"/>
                <w:sz w:val="24"/>
                <w:szCs w:val="24"/>
                <w:vertAlign w:val="superscript"/>
              </w:rPr>
              <w:t>1</w:t>
            </w:r>
            <w:r w:rsidR="008A7814">
              <w:rPr>
                <w:rFonts w:ascii="Times New Roman" w:hAnsi="Times New Roman"/>
                <w:sz w:val="24"/>
                <w:szCs w:val="24"/>
                <w:vertAlign w:val="superscript"/>
              </w:rPr>
              <w:t> </w:t>
            </w:r>
            <w:r>
              <w:rPr>
                <w:rFonts w:ascii="Times New Roman" w:hAnsi="Times New Roman"/>
                <w:sz w:val="24"/>
                <w:szCs w:val="24"/>
              </w:rPr>
              <w:t xml:space="preserve">daļā </w:t>
            </w:r>
            <w:r w:rsidR="00CD22C5">
              <w:rPr>
                <w:rFonts w:ascii="Times New Roman" w:hAnsi="Times New Roman"/>
                <w:sz w:val="24"/>
                <w:szCs w:val="24"/>
              </w:rPr>
              <w:t>noteikts, ka energoapgādes komersants atlīdzina nekustamā īpašuma īpašniekam par nekustamā īpašuma lietošanas tiesību ierobežošanu vai atsavināšanu, savukārt 24.panta 1.</w:t>
            </w:r>
            <w:r w:rsidR="00CD22C5">
              <w:rPr>
                <w:rFonts w:ascii="Times New Roman" w:hAnsi="Times New Roman"/>
                <w:sz w:val="24"/>
                <w:szCs w:val="24"/>
                <w:vertAlign w:val="superscript"/>
              </w:rPr>
              <w:t>2</w:t>
            </w:r>
            <w:r w:rsidR="00CD22C5">
              <w:rPr>
                <w:rFonts w:ascii="Times New Roman" w:hAnsi="Times New Roman"/>
                <w:sz w:val="24"/>
                <w:szCs w:val="24"/>
              </w:rPr>
              <w:t xml:space="preserve"> daļā iekļauts deleģējums Ministru kabinetam noteikt kārtību, kādā aprēķināma un izmaksājama atlīdzība. Izpildot minēto deleģējumu, Ministru kabinets ir izdevis 2006.gada 27.jūlija noteikumus</w:t>
            </w:r>
            <w:r w:rsidR="00FC6B6B" w:rsidRPr="00FC6B6B">
              <w:rPr>
                <w:rFonts w:ascii="Times New Roman" w:hAnsi="Times New Roman"/>
                <w:sz w:val="24"/>
                <w:szCs w:val="24"/>
              </w:rPr>
              <w:t xml:space="preserve"> Nr.603 „Kārtība, kādā aprēķināma un izmaksājama atlīdzība par energoapgādes objekta ierīkošanai vai rekonstrukcijai nepieciešamā zemes īpašuma atsavināšanu vai lietošanas tiesību ierobežošanu”</w:t>
            </w:r>
            <w:r w:rsidR="00DA72B0">
              <w:rPr>
                <w:rFonts w:ascii="Times New Roman" w:hAnsi="Times New Roman"/>
                <w:sz w:val="24"/>
                <w:szCs w:val="24"/>
              </w:rPr>
              <w:t xml:space="preserve"> (</w:t>
            </w:r>
            <w:r w:rsidR="00DA72B0" w:rsidRPr="00DA72B0">
              <w:rPr>
                <w:rFonts w:ascii="Times New Roman" w:hAnsi="Times New Roman"/>
                <w:sz w:val="24"/>
                <w:szCs w:val="24"/>
              </w:rPr>
              <w:t>turpmāk –</w:t>
            </w:r>
            <w:r w:rsidR="00DA72B0">
              <w:rPr>
                <w:rFonts w:ascii="Times New Roman" w:hAnsi="Times New Roman"/>
                <w:sz w:val="24"/>
                <w:szCs w:val="24"/>
              </w:rPr>
              <w:t> </w:t>
            </w:r>
            <w:r w:rsidR="00DA72B0" w:rsidRPr="00DA72B0">
              <w:rPr>
                <w:rFonts w:ascii="Times New Roman" w:hAnsi="Times New Roman"/>
                <w:sz w:val="24"/>
                <w:szCs w:val="24"/>
              </w:rPr>
              <w:t>noteikumi Nr.603)</w:t>
            </w:r>
            <w:r w:rsidR="00CD22C5">
              <w:rPr>
                <w:rFonts w:ascii="Times New Roman" w:hAnsi="Times New Roman"/>
                <w:sz w:val="24"/>
                <w:szCs w:val="24"/>
              </w:rPr>
              <w:t>, kuri</w:t>
            </w:r>
            <w:r w:rsidR="00DA72B0" w:rsidRPr="00DA72B0">
              <w:rPr>
                <w:rFonts w:ascii="Times New Roman" w:hAnsi="Times New Roman"/>
                <w:sz w:val="24"/>
                <w:szCs w:val="24"/>
              </w:rPr>
              <w:t xml:space="preserve"> regulē</w:t>
            </w:r>
            <w:r w:rsidR="00DA72B0">
              <w:rPr>
                <w:rFonts w:ascii="Times New Roman" w:hAnsi="Times New Roman"/>
                <w:sz w:val="24"/>
                <w:szCs w:val="24"/>
              </w:rPr>
              <w:t xml:space="preserve"> kārtību, kādā aprēķina un izmaksā atlīdzību par energoapgādes objekta ierīkošanai vai rekonstrukcijai nepieciešamā nekustamā īpašuma lietošanas tiesību ierobežošanu vai atsavināšanu. </w:t>
            </w:r>
          </w:p>
          <w:p w:rsidR="00F9647D" w:rsidRDefault="009E5493" w:rsidP="006F60D5">
            <w:pPr>
              <w:spacing w:after="0" w:line="240" w:lineRule="auto"/>
              <w:ind w:firstLine="601"/>
              <w:jc w:val="both"/>
              <w:rPr>
                <w:rFonts w:ascii="Times New Roman" w:hAnsi="Times New Roman"/>
                <w:sz w:val="24"/>
                <w:szCs w:val="24"/>
              </w:rPr>
            </w:pPr>
            <w:r>
              <w:rPr>
                <w:rFonts w:ascii="Times New Roman" w:hAnsi="Times New Roman"/>
                <w:sz w:val="24"/>
                <w:szCs w:val="24"/>
              </w:rPr>
              <w:t xml:space="preserve">2011. gada 1. janvārī stājās spēkā </w:t>
            </w:r>
            <w:r w:rsidR="008A7814">
              <w:rPr>
                <w:rFonts w:ascii="Times New Roman" w:hAnsi="Times New Roman"/>
                <w:sz w:val="24"/>
                <w:szCs w:val="24"/>
              </w:rPr>
              <w:t>Sab</w:t>
            </w:r>
            <w:r>
              <w:rPr>
                <w:rFonts w:ascii="Times New Roman" w:hAnsi="Times New Roman"/>
                <w:sz w:val="24"/>
                <w:szCs w:val="24"/>
              </w:rPr>
              <w:t>iedrības vajadzībām nepieciešamā</w:t>
            </w:r>
            <w:r w:rsidR="008A7814">
              <w:rPr>
                <w:rFonts w:ascii="Times New Roman" w:hAnsi="Times New Roman"/>
                <w:sz w:val="24"/>
                <w:szCs w:val="24"/>
              </w:rPr>
              <w:t xml:space="preserve"> nekustamā īpa</w:t>
            </w:r>
            <w:r>
              <w:rPr>
                <w:rFonts w:ascii="Times New Roman" w:hAnsi="Times New Roman"/>
                <w:sz w:val="24"/>
                <w:szCs w:val="24"/>
              </w:rPr>
              <w:t>šuma atsavināšanas likums</w:t>
            </w:r>
            <w:r w:rsidR="008A7814">
              <w:rPr>
                <w:rFonts w:ascii="Times New Roman" w:hAnsi="Times New Roman"/>
                <w:sz w:val="24"/>
                <w:szCs w:val="24"/>
              </w:rPr>
              <w:t>.</w:t>
            </w:r>
            <w:r w:rsidR="006C1857">
              <w:rPr>
                <w:rFonts w:ascii="Times New Roman" w:hAnsi="Times New Roman"/>
                <w:sz w:val="24"/>
                <w:szCs w:val="24"/>
              </w:rPr>
              <w:t xml:space="preserve"> Minētais likums regulē to nekustamo īpašumu atsavināšanas kārtību, kas nepieciešami sabiedrības vajadzību nodrošināšanai</w:t>
            </w:r>
            <w:r w:rsidR="00D61021">
              <w:rPr>
                <w:rFonts w:ascii="Times New Roman" w:hAnsi="Times New Roman"/>
                <w:sz w:val="24"/>
                <w:szCs w:val="24"/>
              </w:rPr>
              <w:t xml:space="preserve">. Tādējādi minētajā likumā iekļautais regulējums attiecināms arī uz tiem nekustamajiem īpašumiem, kas tiek atsavināti </w:t>
            </w:r>
            <w:r w:rsidR="00D61021" w:rsidRPr="00FC6B6B">
              <w:rPr>
                <w:rFonts w:ascii="Times New Roman" w:hAnsi="Times New Roman"/>
                <w:sz w:val="24"/>
                <w:szCs w:val="24"/>
              </w:rPr>
              <w:t>energoapgādes objekta ierīkošanai vai rekonstrukcijai</w:t>
            </w:r>
            <w:r w:rsidR="003619B2">
              <w:rPr>
                <w:rFonts w:ascii="Times New Roman" w:hAnsi="Times New Roman"/>
                <w:sz w:val="24"/>
                <w:szCs w:val="24"/>
              </w:rPr>
              <w:t xml:space="preserve">, ja šīs sabiedrības vajadzības nav iespējams nodrošināt ar citiem līdzekļiem. </w:t>
            </w:r>
          </w:p>
          <w:p w:rsidR="00CE09BF" w:rsidRDefault="00CE09BF" w:rsidP="006F60D5">
            <w:pPr>
              <w:spacing w:after="0" w:line="240" w:lineRule="auto"/>
              <w:ind w:firstLine="601"/>
              <w:jc w:val="both"/>
              <w:rPr>
                <w:rFonts w:ascii="Times New Roman" w:hAnsi="Times New Roman"/>
                <w:sz w:val="24"/>
                <w:szCs w:val="24"/>
              </w:rPr>
            </w:pPr>
            <w:r>
              <w:rPr>
                <w:rFonts w:ascii="Times New Roman" w:hAnsi="Times New Roman"/>
                <w:sz w:val="24"/>
                <w:szCs w:val="24"/>
              </w:rPr>
              <w:t>Ievērojot minēto</w:t>
            </w:r>
            <w:r w:rsidR="00727597">
              <w:rPr>
                <w:rFonts w:ascii="Times New Roman" w:hAnsi="Times New Roman"/>
                <w:sz w:val="24"/>
                <w:szCs w:val="24"/>
              </w:rPr>
              <w:t>,</w:t>
            </w:r>
            <w:r>
              <w:rPr>
                <w:rFonts w:ascii="Times New Roman" w:hAnsi="Times New Roman"/>
                <w:sz w:val="24"/>
                <w:szCs w:val="24"/>
              </w:rPr>
              <w:t xml:space="preserve"> nepieciešams precizēt noteikumus Nr.603, no tiem izslēdzot regulējumu, kas attiecināms uz atlīdzības noteikšanu un izmaksāšanu par energoapgādes objektu ierīkošanai vai rekonstrukcijai nepieciešama nekustamā īpašuma </w:t>
            </w:r>
            <w:r w:rsidR="00727597">
              <w:rPr>
                <w:rFonts w:ascii="Times New Roman" w:hAnsi="Times New Roman"/>
                <w:sz w:val="24"/>
                <w:szCs w:val="24"/>
              </w:rPr>
              <w:t>atsavināšanu.</w:t>
            </w:r>
            <w:r>
              <w:rPr>
                <w:rFonts w:ascii="Times New Roman" w:hAnsi="Times New Roman"/>
                <w:sz w:val="24"/>
                <w:szCs w:val="24"/>
              </w:rPr>
              <w:t xml:space="preserve"> </w:t>
            </w:r>
            <w:r w:rsidR="00727597">
              <w:rPr>
                <w:rFonts w:ascii="Times New Roman" w:hAnsi="Times New Roman"/>
                <w:sz w:val="24"/>
                <w:szCs w:val="24"/>
              </w:rPr>
              <w:t>Jautājumi,</w:t>
            </w:r>
            <w:r>
              <w:rPr>
                <w:rFonts w:ascii="Times New Roman" w:hAnsi="Times New Roman"/>
                <w:sz w:val="24"/>
                <w:szCs w:val="24"/>
              </w:rPr>
              <w:t xml:space="preserve"> kas saistīti ar </w:t>
            </w:r>
            <w:r>
              <w:rPr>
                <w:rFonts w:ascii="Times New Roman" w:hAnsi="Times New Roman"/>
                <w:sz w:val="24"/>
                <w:szCs w:val="24"/>
              </w:rPr>
              <w:lastRenderedPageBreak/>
              <w:t>atlīdz</w:t>
            </w:r>
            <w:r w:rsidR="00727597">
              <w:rPr>
                <w:rFonts w:ascii="Times New Roman" w:hAnsi="Times New Roman"/>
                <w:sz w:val="24"/>
                <w:szCs w:val="24"/>
              </w:rPr>
              <w:t>ība</w:t>
            </w:r>
            <w:r>
              <w:rPr>
                <w:rFonts w:ascii="Times New Roman" w:hAnsi="Times New Roman"/>
                <w:sz w:val="24"/>
                <w:szCs w:val="24"/>
              </w:rPr>
              <w:t>s</w:t>
            </w:r>
            <w:r w:rsidR="00727597">
              <w:rPr>
                <w:rFonts w:ascii="Times New Roman" w:hAnsi="Times New Roman"/>
                <w:sz w:val="24"/>
                <w:szCs w:val="24"/>
              </w:rPr>
              <w:t xml:space="preserve"> </w:t>
            </w:r>
            <w:r>
              <w:rPr>
                <w:rFonts w:ascii="Times New Roman" w:hAnsi="Times New Roman"/>
                <w:sz w:val="24"/>
                <w:szCs w:val="24"/>
              </w:rPr>
              <w:t xml:space="preserve">par nekustamā </w:t>
            </w:r>
            <w:r w:rsidR="00727597">
              <w:rPr>
                <w:rFonts w:ascii="Times New Roman" w:hAnsi="Times New Roman"/>
                <w:sz w:val="24"/>
                <w:szCs w:val="24"/>
              </w:rPr>
              <w:t>īpa</w:t>
            </w:r>
            <w:r>
              <w:rPr>
                <w:rFonts w:ascii="Times New Roman" w:hAnsi="Times New Roman"/>
                <w:sz w:val="24"/>
                <w:szCs w:val="24"/>
              </w:rPr>
              <w:t xml:space="preserve">šuma atsavināšanu </w:t>
            </w:r>
            <w:r w:rsidR="005B1D79">
              <w:rPr>
                <w:rFonts w:ascii="Times New Roman" w:hAnsi="Times New Roman"/>
                <w:sz w:val="24"/>
                <w:szCs w:val="24"/>
              </w:rPr>
              <w:t xml:space="preserve">sabiedrības vajadzībām </w:t>
            </w:r>
            <w:r w:rsidR="009E5493">
              <w:rPr>
                <w:rFonts w:ascii="Times New Roman" w:hAnsi="Times New Roman"/>
                <w:sz w:val="24"/>
                <w:szCs w:val="24"/>
              </w:rPr>
              <w:t>tiek</w:t>
            </w:r>
            <w:r w:rsidR="00727597">
              <w:rPr>
                <w:rFonts w:ascii="Times New Roman" w:hAnsi="Times New Roman"/>
                <w:sz w:val="24"/>
                <w:szCs w:val="24"/>
              </w:rPr>
              <w:t xml:space="preserve"> regulēti Sab</w:t>
            </w:r>
            <w:r w:rsidR="009E5493">
              <w:rPr>
                <w:rFonts w:ascii="Times New Roman" w:hAnsi="Times New Roman"/>
                <w:sz w:val="24"/>
                <w:szCs w:val="24"/>
              </w:rPr>
              <w:t>iedrības vajadzībām nepieciešamā</w:t>
            </w:r>
            <w:r w:rsidR="00727597">
              <w:rPr>
                <w:rFonts w:ascii="Times New Roman" w:hAnsi="Times New Roman"/>
                <w:sz w:val="24"/>
                <w:szCs w:val="24"/>
              </w:rPr>
              <w:t xml:space="preserve"> nekustamā īpašuma atsavināšanas likumā, savukārt jautājumi, kas saistīti ar atlīdzības apmēra noteikšanu par nekustamā </w:t>
            </w:r>
            <w:r w:rsidR="00DB0013">
              <w:rPr>
                <w:rFonts w:ascii="Times New Roman" w:hAnsi="Times New Roman"/>
                <w:sz w:val="24"/>
                <w:szCs w:val="24"/>
              </w:rPr>
              <w:t>īp</w:t>
            </w:r>
            <w:r w:rsidR="00727597">
              <w:rPr>
                <w:rFonts w:ascii="Times New Roman" w:hAnsi="Times New Roman"/>
                <w:sz w:val="24"/>
                <w:szCs w:val="24"/>
              </w:rPr>
              <w:t xml:space="preserve">ašuma atsavināšanu </w:t>
            </w:r>
            <w:r w:rsidR="005B1D79">
              <w:rPr>
                <w:rFonts w:ascii="Times New Roman" w:hAnsi="Times New Roman"/>
                <w:sz w:val="24"/>
                <w:szCs w:val="24"/>
              </w:rPr>
              <w:t xml:space="preserve">sabiedrības vajadzībām </w:t>
            </w:r>
            <w:r w:rsidR="00727597">
              <w:rPr>
                <w:rFonts w:ascii="Times New Roman" w:hAnsi="Times New Roman"/>
                <w:sz w:val="24"/>
                <w:szCs w:val="24"/>
              </w:rPr>
              <w:t xml:space="preserve">tiks regulēti uz Sabiedrības vajadzībām nepieciešama nekustamā īpašuma atsavināšanas likuma 20.panta otrajā daļā iekļautā deleģējuma pamata izdotajos Ministru kabineta noteikumos. </w:t>
            </w:r>
          </w:p>
          <w:p w:rsidR="00812033" w:rsidRPr="00FC6B6B" w:rsidRDefault="00812033" w:rsidP="006F60D5">
            <w:pPr>
              <w:spacing w:after="0" w:line="240" w:lineRule="auto"/>
              <w:ind w:firstLine="601"/>
              <w:jc w:val="both"/>
              <w:rPr>
                <w:rFonts w:ascii="Times New Roman" w:hAnsi="Times New Roman"/>
                <w:color w:val="000000"/>
                <w:sz w:val="24"/>
                <w:szCs w:val="24"/>
              </w:rPr>
            </w:pPr>
          </w:p>
        </w:tc>
      </w:tr>
      <w:tr w:rsidR="00292D60" w:rsidRPr="00850B76" w:rsidTr="00BA0394">
        <w:tc>
          <w:tcPr>
            <w:tcW w:w="2835" w:type="dxa"/>
            <w:tcBorders>
              <w:top w:val="single" w:sz="4" w:space="0" w:color="auto"/>
              <w:left w:val="single" w:sz="4" w:space="0" w:color="auto"/>
              <w:bottom w:val="single" w:sz="4" w:space="0" w:color="auto"/>
              <w:right w:val="single" w:sz="4" w:space="0" w:color="auto"/>
            </w:tcBorders>
            <w:hideMark/>
          </w:tcPr>
          <w:p w:rsidR="00292D60" w:rsidRPr="00292D60" w:rsidRDefault="00292D60" w:rsidP="00BA0394">
            <w:pPr>
              <w:spacing w:after="0" w:line="240" w:lineRule="auto"/>
              <w:ind w:firstLine="34"/>
              <w:jc w:val="both"/>
              <w:rPr>
                <w:rFonts w:ascii="Times New Roman" w:hAnsi="Times New Roman"/>
                <w:color w:val="000000"/>
                <w:sz w:val="24"/>
                <w:szCs w:val="24"/>
              </w:rPr>
            </w:pPr>
            <w:r w:rsidRPr="00292D60">
              <w:rPr>
                <w:rFonts w:ascii="Times New Roman" w:hAnsi="Times New Roman"/>
                <w:color w:val="000000"/>
                <w:sz w:val="24"/>
                <w:szCs w:val="24"/>
              </w:rPr>
              <w:lastRenderedPageBreak/>
              <w:t xml:space="preserve">3. </w:t>
            </w:r>
            <w:r w:rsidRPr="00292D60">
              <w:rPr>
                <w:rFonts w:ascii="Times New Roman" w:hAnsi="Times New Roman"/>
                <w:sz w:val="24"/>
                <w:szCs w:val="24"/>
              </w:rPr>
              <w:t>Saistītie politikas ietekmes novērtējumi un pētījumi</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292D60" w:rsidRPr="00774759" w:rsidRDefault="00774759" w:rsidP="006F60D5">
            <w:pPr>
              <w:spacing w:after="0" w:line="240" w:lineRule="auto"/>
              <w:ind w:firstLine="601"/>
              <w:jc w:val="both"/>
              <w:rPr>
                <w:rFonts w:ascii="Times New Roman" w:hAnsi="Times New Roman"/>
                <w:color w:val="000000"/>
                <w:sz w:val="24"/>
                <w:szCs w:val="24"/>
              </w:rPr>
            </w:pPr>
            <w:r>
              <w:rPr>
                <w:rFonts w:ascii="Times New Roman" w:hAnsi="Times New Roman"/>
                <w:color w:val="000000"/>
                <w:sz w:val="24"/>
                <w:szCs w:val="24"/>
              </w:rPr>
              <w:t>Nav</w:t>
            </w:r>
            <w:r w:rsidR="008651C9">
              <w:rPr>
                <w:rFonts w:ascii="Times New Roman" w:hAnsi="Times New Roman"/>
                <w:color w:val="000000"/>
                <w:sz w:val="24"/>
                <w:szCs w:val="24"/>
              </w:rPr>
              <w:t>.</w:t>
            </w:r>
            <w:r>
              <w:rPr>
                <w:rFonts w:ascii="Times New Roman" w:hAnsi="Times New Roman"/>
                <w:color w:val="000000"/>
                <w:sz w:val="24"/>
                <w:szCs w:val="24"/>
              </w:rPr>
              <w:t xml:space="preserve"> </w:t>
            </w:r>
          </w:p>
        </w:tc>
      </w:tr>
      <w:tr w:rsidR="001772B3" w:rsidRPr="00850B76" w:rsidTr="00BA0394">
        <w:tc>
          <w:tcPr>
            <w:tcW w:w="2835" w:type="dxa"/>
            <w:tcBorders>
              <w:top w:val="single" w:sz="4" w:space="0" w:color="auto"/>
              <w:left w:val="single" w:sz="4" w:space="0" w:color="auto"/>
              <w:bottom w:val="single" w:sz="4" w:space="0" w:color="auto"/>
              <w:right w:val="single" w:sz="4" w:space="0" w:color="auto"/>
            </w:tcBorders>
            <w:hideMark/>
          </w:tcPr>
          <w:p w:rsidR="001772B3" w:rsidRPr="00667403" w:rsidRDefault="00292D60" w:rsidP="00BA0394">
            <w:pPr>
              <w:spacing w:after="0" w:line="240" w:lineRule="auto"/>
              <w:ind w:firstLine="34"/>
              <w:jc w:val="both"/>
              <w:rPr>
                <w:rFonts w:ascii="Times New Roman" w:hAnsi="Times New Roman"/>
                <w:color w:val="000000"/>
                <w:sz w:val="24"/>
                <w:szCs w:val="24"/>
              </w:rPr>
            </w:pPr>
            <w:r w:rsidRPr="00667403">
              <w:rPr>
                <w:rFonts w:ascii="Times New Roman" w:hAnsi="Times New Roman"/>
                <w:color w:val="000000"/>
                <w:sz w:val="24"/>
                <w:szCs w:val="24"/>
              </w:rPr>
              <w:t>4</w:t>
            </w:r>
            <w:r w:rsidR="001772B3" w:rsidRPr="00667403">
              <w:rPr>
                <w:rFonts w:ascii="Times New Roman" w:hAnsi="Times New Roman"/>
                <w:color w:val="000000"/>
                <w:sz w:val="24"/>
                <w:szCs w:val="24"/>
              </w:rPr>
              <w:t xml:space="preserve">. </w:t>
            </w:r>
            <w:r w:rsidRPr="00667403">
              <w:rPr>
                <w:rFonts w:ascii="Times New Roman" w:hAnsi="Times New Roman"/>
                <w:sz w:val="24"/>
                <w:szCs w:val="24"/>
              </w:rPr>
              <w:t>Tiesiskā regulējuma mērķis un būtība</w:t>
            </w:r>
          </w:p>
          <w:p w:rsidR="00292D60" w:rsidRPr="00667403" w:rsidRDefault="00292D60" w:rsidP="00BA0394">
            <w:pPr>
              <w:spacing w:after="0" w:line="240" w:lineRule="auto"/>
              <w:ind w:firstLine="34"/>
              <w:jc w:val="both"/>
              <w:rPr>
                <w:rFonts w:ascii="Times New Roman" w:hAnsi="Times New Roman"/>
                <w:color w:val="000000"/>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F9647D" w:rsidRPr="006F60D5" w:rsidRDefault="00083F30" w:rsidP="006F60D5">
            <w:pPr>
              <w:spacing w:after="0" w:line="240" w:lineRule="auto"/>
              <w:ind w:firstLine="601"/>
              <w:jc w:val="both"/>
              <w:rPr>
                <w:rFonts w:ascii="Times New Roman" w:hAnsi="Times New Roman"/>
                <w:sz w:val="24"/>
                <w:szCs w:val="24"/>
              </w:rPr>
            </w:pPr>
            <w:r>
              <w:rPr>
                <w:rFonts w:ascii="Times New Roman" w:hAnsi="Times New Roman"/>
                <w:color w:val="000000" w:themeColor="text1"/>
                <w:sz w:val="24"/>
                <w:szCs w:val="24"/>
              </w:rPr>
              <w:t xml:space="preserve">Kad Enerģētikas likuma </w:t>
            </w:r>
            <w:r>
              <w:rPr>
                <w:rFonts w:ascii="Times New Roman" w:hAnsi="Times New Roman"/>
                <w:sz w:val="24"/>
                <w:szCs w:val="24"/>
              </w:rPr>
              <w:t>24.panta 1.</w:t>
            </w:r>
            <w:r>
              <w:rPr>
                <w:rFonts w:ascii="Times New Roman" w:hAnsi="Times New Roman"/>
                <w:sz w:val="24"/>
                <w:szCs w:val="24"/>
                <w:vertAlign w:val="superscript"/>
              </w:rPr>
              <w:t>2</w:t>
            </w:r>
            <w:r>
              <w:rPr>
                <w:rFonts w:ascii="Times New Roman" w:hAnsi="Times New Roman"/>
                <w:sz w:val="24"/>
                <w:szCs w:val="24"/>
              </w:rPr>
              <w:t xml:space="preserve"> daļā tika iekļauts deleģējums Ministru kabinetam noteikt atlīdzības </w:t>
            </w:r>
            <w:r w:rsidR="00E535A1">
              <w:rPr>
                <w:rFonts w:ascii="Times New Roman" w:hAnsi="Times New Roman"/>
                <w:sz w:val="24"/>
                <w:szCs w:val="24"/>
              </w:rPr>
              <w:t xml:space="preserve">aprēķināšanas </w:t>
            </w:r>
            <w:r>
              <w:rPr>
                <w:rFonts w:ascii="Times New Roman" w:hAnsi="Times New Roman"/>
                <w:sz w:val="24"/>
                <w:szCs w:val="24"/>
              </w:rPr>
              <w:t>un izmaksāšanas kārtību par energoapgādes objekta ierīkošanu vai rekonstrukciju, atlīdzības noteikšanas un izmaksāšanas kārtība par sabiedrības vajadzībām nepieciešamu nekustamo īpašumu nebija re</w:t>
            </w:r>
            <w:r w:rsidR="008439D3">
              <w:rPr>
                <w:rFonts w:ascii="Times New Roman" w:hAnsi="Times New Roman"/>
                <w:sz w:val="24"/>
                <w:szCs w:val="24"/>
              </w:rPr>
              <w:t>gulēta normatīvā līmenī. L</w:t>
            </w:r>
            <w:r>
              <w:rPr>
                <w:rFonts w:ascii="Times New Roman" w:hAnsi="Times New Roman"/>
                <w:sz w:val="24"/>
                <w:szCs w:val="24"/>
              </w:rPr>
              <w:t>ikumdevējs attiecībā uz nekustamajiem īpašumiem, kurus atsavina energoapgādes objektu ierīkošanai vai rekonstrukcijai, Enerģētikas likumā ir devis uzdevumu Ministru kabinetam noregulēt atlīdzības noteikšanas un izmaksas kārtību. Pēc Sab</w:t>
            </w:r>
            <w:r w:rsidR="008439D3">
              <w:rPr>
                <w:rFonts w:ascii="Times New Roman" w:hAnsi="Times New Roman"/>
                <w:sz w:val="24"/>
                <w:szCs w:val="24"/>
              </w:rPr>
              <w:t>iedrības vajadzībām nepieciešamā</w:t>
            </w:r>
            <w:r>
              <w:rPr>
                <w:rFonts w:ascii="Times New Roman" w:hAnsi="Times New Roman"/>
                <w:sz w:val="24"/>
                <w:szCs w:val="24"/>
              </w:rPr>
              <w:t xml:space="preserve"> nekustamā īpašuma atsavināšanas likuma pieņe</w:t>
            </w:r>
            <w:r w:rsidR="00A437F3">
              <w:rPr>
                <w:rFonts w:ascii="Times New Roman" w:hAnsi="Times New Roman"/>
                <w:sz w:val="24"/>
                <w:szCs w:val="24"/>
              </w:rPr>
              <w:t>mšanas</w:t>
            </w:r>
            <w:r>
              <w:rPr>
                <w:rFonts w:ascii="Times New Roman" w:hAnsi="Times New Roman"/>
                <w:sz w:val="24"/>
                <w:szCs w:val="24"/>
              </w:rPr>
              <w:t xml:space="preserve"> likumdevējs daļu no jautājumu loka, ko attiecībā uz energoapgādes objektu ierīkošanai un rekonstrukcijai nepieciešamu nekustamo īpašumu atsavināšanu bija nodevis regulēšanai Ministru kabinetam, ir noregulējis jau likumā. Turklāt Sabiedrības vajadzīb</w:t>
            </w:r>
            <w:r w:rsidR="008439D3">
              <w:rPr>
                <w:rFonts w:ascii="Times New Roman" w:hAnsi="Times New Roman"/>
                <w:sz w:val="24"/>
                <w:szCs w:val="24"/>
              </w:rPr>
              <w:t>ām nepieciešamā</w:t>
            </w:r>
            <w:r>
              <w:rPr>
                <w:rFonts w:ascii="Times New Roman" w:hAnsi="Times New Roman"/>
                <w:sz w:val="24"/>
                <w:szCs w:val="24"/>
              </w:rPr>
              <w:t xml:space="preserve"> nekust</w:t>
            </w:r>
            <w:r w:rsidR="00B554A4">
              <w:rPr>
                <w:rFonts w:ascii="Times New Roman" w:hAnsi="Times New Roman"/>
                <w:sz w:val="24"/>
                <w:szCs w:val="24"/>
              </w:rPr>
              <w:t>amā īpašuma atsavināšanas likumā</w:t>
            </w:r>
            <w:r>
              <w:rPr>
                <w:rFonts w:ascii="Times New Roman" w:hAnsi="Times New Roman"/>
                <w:sz w:val="24"/>
                <w:szCs w:val="24"/>
              </w:rPr>
              <w:t xml:space="preserve"> likumdevējs ir uzsvēris uz nepieciešamību noteikt vienotu nekustamā īpašuma atsavināšanas sabiedrības vajadzībām kārtību, atlīdzības noteikšanas, izmaksas un īp</w:t>
            </w:r>
            <w:r w:rsidR="00A437F3">
              <w:rPr>
                <w:rFonts w:ascii="Times New Roman" w:hAnsi="Times New Roman"/>
                <w:sz w:val="24"/>
                <w:szCs w:val="24"/>
              </w:rPr>
              <w:t>ašuma tiesību iegūšanas kārtību</w:t>
            </w:r>
            <w:r>
              <w:rPr>
                <w:rFonts w:ascii="Times New Roman" w:hAnsi="Times New Roman"/>
                <w:sz w:val="24"/>
                <w:szCs w:val="24"/>
              </w:rPr>
              <w:t xml:space="preserve"> neatkarīgi no tā, kādu sabiedrības vajadzību nodrošināšana</w:t>
            </w:r>
            <w:r w:rsidR="002121F0">
              <w:rPr>
                <w:rFonts w:ascii="Times New Roman" w:hAnsi="Times New Roman"/>
                <w:sz w:val="24"/>
                <w:szCs w:val="24"/>
              </w:rPr>
              <w:t>i</w:t>
            </w:r>
            <w:r>
              <w:rPr>
                <w:rFonts w:ascii="Times New Roman" w:hAnsi="Times New Roman"/>
                <w:sz w:val="24"/>
                <w:szCs w:val="24"/>
              </w:rPr>
              <w:t xml:space="preserve"> nekustamais īpašums tiek atsavināts.</w:t>
            </w:r>
          </w:p>
          <w:p w:rsidR="00F9647D" w:rsidRDefault="00E83653" w:rsidP="006F60D5">
            <w:pPr>
              <w:spacing w:after="0" w:line="240" w:lineRule="auto"/>
              <w:ind w:firstLine="601"/>
              <w:jc w:val="both"/>
              <w:rPr>
                <w:rFonts w:ascii="Times New Roman" w:hAnsi="Times New Roman"/>
                <w:color w:val="000000" w:themeColor="text1"/>
                <w:sz w:val="24"/>
                <w:szCs w:val="24"/>
              </w:rPr>
            </w:pPr>
            <w:r>
              <w:rPr>
                <w:rFonts w:ascii="Times New Roman" w:hAnsi="Times New Roman"/>
                <w:color w:val="000000" w:themeColor="text1"/>
                <w:sz w:val="24"/>
                <w:szCs w:val="24"/>
              </w:rPr>
              <w:t>Ievērojot minēto un to, ka S</w:t>
            </w:r>
            <w:r w:rsidR="00724DA2">
              <w:rPr>
                <w:rFonts w:ascii="Times New Roman" w:hAnsi="Times New Roman"/>
                <w:color w:val="000000" w:themeColor="text1"/>
                <w:sz w:val="24"/>
                <w:szCs w:val="24"/>
              </w:rPr>
              <w:t>ab</w:t>
            </w:r>
            <w:r w:rsidR="008439D3">
              <w:rPr>
                <w:rFonts w:ascii="Times New Roman" w:hAnsi="Times New Roman"/>
                <w:color w:val="000000" w:themeColor="text1"/>
                <w:sz w:val="24"/>
                <w:szCs w:val="24"/>
              </w:rPr>
              <w:t>iedrības vajadzībām nepieciešamā</w:t>
            </w:r>
            <w:r w:rsidR="00724DA2">
              <w:rPr>
                <w:rFonts w:ascii="Times New Roman" w:hAnsi="Times New Roman"/>
                <w:color w:val="000000" w:themeColor="text1"/>
                <w:sz w:val="24"/>
                <w:szCs w:val="24"/>
              </w:rPr>
              <w:t xml:space="preserve"> nekustamā īpašuma atsavināšanas likums</w:t>
            </w:r>
            <w:r w:rsidR="00447508">
              <w:rPr>
                <w:rFonts w:ascii="Times New Roman" w:hAnsi="Times New Roman"/>
                <w:color w:val="000000" w:themeColor="text1"/>
                <w:sz w:val="24"/>
                <w:szCs w:val="24"/>
              </w:rPr>
              <w:t xml:space="preserve"> </w:t>
            </w:r>
            <w:r w:rsidR="00BF3653">
              <w:rPr>
                <w:rFonts w:ascii="Times New Roman" w:hAnsi="Times New Roman"/>
                <w:color w:val="000000" w:themeColor="text1"/>
                <w:sz w:val="24"/>
                <w:szCs w:val="24"/>
              </w:rPr>
              <w:t xml:space="preserve">regulē arī atlīdzības par atsavināmo nekustamo īpašumu izmaksāšanas kārtību, </w:t>
            </w:r>
            <w:r w:rsidR="00D9398D">
              <w:rPr>
                <w:rFonts w:ascii="Times New Roman" w:hAnsi="Times New Roman"/>
                <w:color w:val="000000" w:themeColor="text1"/>
                <w:sz w:val="24"/>
                <w:szCs w:val="24"/>
              </w:rPr>
              <w:t>vienotas atlīdzības izmaksāšanas kārtības ievērošanas</w:t>
            </w:r>
            <w:r w:rsidR="00F80FA6">
              <w:rPr>
                <w:rFonts w:ascii="Times New Roman" w:hAnsi="Times New Roman"/>
                <w:color w:val="000000" w:themeColor="text1"/>
                <w:sz w:val="24"/>
                <w:szCs w:val="24"/>
              </w:rPr>
              <w:t xml:space="preserve"> nolūkā </w:t>
            </w:r>
            <w:r w:rsidR="00BF3653">
              <w:rPr>
                <w:rFonts w:ascii="Times New Roman" w:hAnsi="Times New Roman"/>
                <w:color w:val="000000" w:themeColor="text1"/>
                <w:sz w:val="24"/>
                <w:szCs w:val="24"/>
              </w:rPr>
              <w:t>nepiecie</w:t>
            </w:r>
            <w:r w:rsidR="00146C24">
              <w:rPr>
                <w:rFonts w:ascii="Times New Roman" w:hAnsi="Times New Roman"/>
                <w:color w:val="000000" w:themeColor="text1"/>
                <w:sz w:val="24"/>
                <w:szCs w:val="24"/>
              </w:rPr>
              <w:t>šams</w:t>
            </w:r>
            <w:r w:rsidR="00D96852">
              <w:rPr>
                <w:rFonts w:ascii="Times New Roman" w:hAnsi="Times New Roman"/>
                <w:color w:val="000000" w:themeColor="text1"/>
                <w:sz w:val="24"/>
                <w:szCs w:val="24"/>
              </w:rPr>
              <w:t xml:space="preserve"> no noteikumiem</w:t>
            </w:r>
            <w:r w:rsidR="00BF3653">
              <w:rPr>
                <w:rFonts w:ascii="Times New Roman" w:hAnsi="Times New Roman"/>
                <w:color w:val="000000" w:themeColor="text1"/>
                <w:sz w:val="24"/>
                <w:szCs w:val="24"/>
              </w:rPr>
              <w:t xml:space="preserve"> Nr.603 </w:t>
            </w:r>
            <w:r w:rsidR="00146C24">
              <w:rPr>
                <w:rFonts w:ascii="Times New Roman" w:hAnsi="Times New Roman"/>
                <w:color w:val="000000" w:themeColor="text1"/>
                <w:sz w:val="24"/>
                <w:szCs w:val="24"/>
              </w:rPr>
              <w:t xml:space="preserve">izslēgt </w:t>
            </w:r>
            <w:r w:rsidR="00BF3653">
              <w:rPr>
                <w:rFonts w:ascii="Times New Roman" w:hAnsi="Times New Roman"/>
                <w:color w:val="000000" w:themeColor="text1"/>
                <w:sz w:val="24"/>
                <w:szCs w:val="24"/>
              </w:rPr>
              <w:t>normas, kas regulē atlīdzības izmaksāšanas kārt</w:t>
            </w:r>
            <w:r w:rsidR="00491D13">
              <w:rPr>
                <w:rFonts w:ascii="Times New Roman" w:hAnsi="Times New Roman"/>
                <w:color w:val="000000" w:themeColor="text1"/>
                <w:sz w:val="24"/>
                <w:szCs w:val="24"/>
              </w:rPr>
              <w:t xml:space="preserve">ību, lai novērstu situāciju, ka </w:t>
            </w:r>
            <w:r w:rsidR="00684612">
              <w:rPr>
                <w:rFonts w:ascii="Times New Roman" w:hAnsi="Times New Roman"/>
                <w:color w:val="000000" w:themeColor="text1"/>
                <w:sz w:val="24"/>
                <w:szCs w:val="24"/>
              </w:rPr>
              <w:t xml:space="preserve">atlīdzība par nekustamā īpašuma atsavināšanu </w:t>
            </w:r>
            <w:r w:rsidR="00265999">
              <w:rPr>
                <w:rFonts w:ascii="Times New Roman" w:hAnsi="Times New Roman"/>
                <w:color w:val="000000" w:themeColor="text1"/>
                <w:sz w:val="24"/>
                <w:szCs w:val="24"/>
              </w:rPr>
              <w:t>sabiedrības vajadzīb</w:t>
            </w:r>
            <w:r w:rsidR="00A4523E">
              <w:rPr>
                <w:rFonts w:ascii="Times New Roman" w:hAnsi="Times New Roman"/>
                <w:color w:val="000000" w:themeColor="text1"/>
                <w:sz w:val="24"/>
                <w:szCs w:val="24"/>
              </w:rPr>
              <w:t xml:space="preserve">ām </w:t>
            </w:r>
            <w:r w:rsidR="00684612">
              <w:rPr>
                <w:rFonts w:ascii="Times New Roman" w:hAnsi="Times New Roman"/>
                <w:color w:val="000000" w:themeColor="text1"/>
                <w:sz w:val="24"/>
                <w:szCs w:val="24"/>
              </w:rPr>
              <w:t>tiek noteikta dažādi – atkarībā no nekustamā īpašuma atsavināšanas mērķa.</w:t>
            </w:r>
          </w:p>
          <w:p w:rsidR="00C51645" w:rsidRDefault="00B61D39" w:rsidP="006F60D5">
            <w:pPr>
              <w:spacing w:after="0" w:line="240" w:lineRule="auto"/>
              <w:ind w:firstLine="60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Uz </w:t>
            </w:r>
            <w:r w:rsidR="00BF3653">
              <w:rPr>
                <w:rFonts w:ascii="Times New Roman" w:hAnsi="Times New Roman"/>
                <w:color w:val="000000" w:themeColor="text1"/>
                <w:sz w:val="24"/>
                <w:szCs w:val="24"/>
              </w:rPr>
              <w:t>Sabiedr</w:t>
            </w:r>
            <w:r w:rsidR="00B41E50">
              <w:rPr>
                <w:rFonts w:ascii="Times New Roman" w:hAnsi="Times New Roman"/>
                <w:color w:val="000000" w:themeColor="text1"/>
                <w:sz w:val="24"/>
                <w:szCs w:val="24"/>
              </w:rPr>
              <w:t>ība</w:t>
            </w:r>
            <w:r w:rsidR="00BF3653">
              <w:rPr>
                <w:rFonts w:ascii="Times New Roman" w:hAnsi="Times New Roman"/>
                <w:color w:val="000000" w:themeColor="text1"/>
                <w:sz w:val="24"/>
                <w:szCs w:val="24"/>
              </w:rPr>
              <w:t>s</w:t>
            </w:r>
            <w:r w:rsidR="00B41E50">
              <w:rPr>
                <w:rFonts w:ascii="Times New Roman" w:hAnsi="Times New Roman"/>
                <w:color w:val="000000" w:themeColor="text1"/>
                <w:sz w:val="24"/>
                <w:szCs w:val="24"/>
              </w:rPr>
              <w:t xml:space="preserve"> </w:t>
            </w:r>
            <w:r w:rsidR="008439D3">
              <w:rPr>
                <w:rFonts w:ascii="Times New Roman" w:hAnsi="Times New Roman"/>
                <w:color w:val="000000" w:themeColor="text1"/>
                <w:sz w:val="24"/>
                <w:szCs w:val="24"/>
              </w:rPr>
              <w:t>vajadzībām nepieciešamā</w:t>
            </w:r>
            <w:r w:rsidR="00BF3653">
              <w:rPr>
                <w:rFonts w:ascii="Times New Roman" w:hAnsi="Times New Roman"/>
                <w:color w:val="000000" w:themeColor="text1"/>
                <w:sz w:val="24"/>
                <w:szCs w:val="24"/>
              </w:rPr>
              <w:t xml:space="preserve"> nekustamā īpašuma atsavināšanas </w:t>
            </w:r>
            <w:r>
              <w:rPr>
                <w:rFonts w:ascii="Times New Roman" w:hAnsi="Times New Roman"/>
                <w:color w:val="000000" w:themeColor="text1"/>
                <w:sz w:val="24"/>
                <w:szCs w:val="24"/>
              </w:rPr>
              <w:t>likuma 20.panta otrajā da</w:t>
            </w:r>
            <w:r w:rsidR="00536840">
              <w:rPr>
                <w:rFonts w:ascii="Times New Roman" w:hAnsi="Times New Roman"/>
                <w:color w:val="000000" w:themeColor="text1"/>
                <w:sz w:val="24"/>
                <w:szCs w:val="24"/>
              </w:rPr>
              <w:t xml:space="preserve">ļā </w:t>
            </w:r>
            <w:r>
              <w:rPr>
                <w:rFonts w:ascii="Times New Roman" w:hAnsi="Times New Roman"/>
                <w:color w:val="000000" w:themeColor="text1"/>
                <w:sz w:val="24"/>
                <w:szCs w:val="24"/>
              </w:rPr>
              <w:t>iekļautā deleģējuma pamata t</w:t>
            </w:r>
            <w:r w:rsidR="00536840">
              <w:rPr>
                <w:rFonts w:ascii="Times New Roman" w:hAnsi="Times New Roman"/>
                <w:color w:val="000000" w:themeColor="text1"/>
                <w:sz w:val="24"/>
                <w:szCs w:val="24"/>
              </w:rPr>
              <w:t>iks izdoti Minist</w:t>
            </w:r>
            <w:r w:rsidR="00BF3653">
              <w:rPr>
                <w:rFonts w:ascii="Times New Roman" w:hAnsi="Times New Roman"/>
                <w:color w:val="000000" w:themeColor="text1"/>
                <w:sz w:val="24"/>
                <w:szCs w:val="24"/>
              </w:rPr>
              <w:t xml:space="preserve">ru kabineta noteikumi, kas </w:t>
            </w:r>
            <w:r w:rsidR="008626AA">
              <w:rPr>
                <w:rFonts w:ascii="Times New Roman" w:hAnsi="Times New Roman"/>
                <w:color w:val="000000" w:themeColor="text1"/>
                <w:sz w:val="24"/>
                <w:szCs w:val="24"/>
              </w:rPr>
              <w:t>regulēs atlīdzības par atsavināmo nekustamo īpašumu noteikšanas kārtību, tād</w:t>
            </w:r>
            <w:r w:rsidR="00DF104E">
              <w:rPr>
                <w:rFonts w:ascii="Times New Roman" w:hAnsi="Times New Roman"/>
                <w:color w:val="000000" w:themeColor="text1"/>
                <w:sz w:val="24"/>
                <w:szCs w:val="24"/>
              </w:rPr>
              <w:t>ēļ</w:t>
            </w:r>
            <w:r w:rsidR="008626AA">
              <w:rPr>
                <w:rFonts w:ascii="Times New Roman" w:hAnsi="Times New Roman"/>
                <w:color w:val="000000" w:themeColor="text1"/>
                <w:sz w:val="24"/>
                <w:szCs w:val="24"/>
              </w:rPr>
              <w:t>, lai nodrošinātu to, ka atlīdzība par visiem sabiedr</w:t>
            </w:r>
            <w:r w:rsidR="00DF104E">
              <w:rPr>
                <w:rFonts w:ascii="Times New Roman" w:hAnsi="Times New Roman"/>
                <w:color w:val="000000" w:themeColor="text1"/>
                <w:sz w:val="24"/>
                <w:szCs w:val="24"/>
              </w:rPr>
              <w:t>ība</w:t>
            </w:r>
            <w:r w:rsidR="008626AA">
              <w:rPr>
                <w:rFonts w:ascii="Times New Roman" w:hAnsi="Times New Roman"/>
                <w:color w:val="000000" w:themeColor="text1"/>
                <w:sz w:val="24"/>
                <w:szCs w:val="24"/>
              </w:rPr>
              <w:t>s</w:t>
            </w:r>
            <w:r w:rsidR="00DF104E">
              <w:rPr>
                <w:rFonts w:ascii="Times New Roman" w:hAnsi="Times New Roman"/>
                <w:color w:val="000000" w:themeColor="text1"/>
                <w:sz w:val="24"/>
                <w:szCs w:val="24"/>
              </w:rPr>
              <w:t xml:space="preserve"> </w:t>
            </w:r>
            <w:r w:rsidR="008626AA">
              <w:rPr>
                <w:rFonts w:ascii="Times New Roman" w:hAnsi="Times New Roman"/>
                <w:color w:val="000000" w:themeColor="text1"/>
                <w:sz w:val="24"/>
                <w:szCs w:val="24"/>
              </w:rPr>
              <w:t xml:space="preserve">vajadzībām atsavināmajiem </w:t>
            </w:r>
            <w:r w:rsidR="008626AA">
              <w:rPr>
                <w:rFonts w:ascii="Times New Roman" w:hAnsi="Times New Roman"/>
                <w:color w:val="000000" w:themeColor="text1"/>
                <w:sz w:val="24"/>
                <w:szCs w:val="24"/>
              </w:rPr>
              <w:lastRenderedPageBreak/>
              <w:t>nekustamajiem īpa</w:t>
            </w:r>
            <w:r w:rsidR="00146C24">
              <w:rPr>
                <w:rFonts w:ascii="Times New Roman" w:hAnsi="Times New Roman"/>
                <w:color w:val="000000" w:themeColor="text1"/>
                <w:sz w:val="24"/>
                <w:szCs w:val="24"/>
              </w:rPr>
              <w:t>šumiem</w:t>
            </w:r>
            <w:r w:rsidR="008626AA">
              <w:rPr>
                <w:rFonts w:ascii="Times New Roman" w:hAnsi="Times New Roman"/>
                <w:color w:val="000000" w:themeColor="text1"/>
                <w:sz w:val="24"/>
                <w:szCs w:val="24"/>
              </w:rPr>
              <w:t xml:space="preserve"> </w:t>
            </w:r>
            <w:r w:rsidR="00146C24">
              <w:rPr>
                <w:rFonts w:ascii="Times New Roman" w:hAnsi="Times New Roman"/>
                <w:color w:val="000000" w:themeColor="text1"/>
                <w:sz w:val="24"/>
                <w:szCs w:val="24"/>
              </w:rPr>
              <w:t>(</w:t>
            </w:r>
            <w:r w:rsidR="008626AA">
              <w:rPr>
                <w:rFonts w:ascii="Times New Roman" w:hAnsi="Times New Roman"/>
                <w:color w:val="000000" w:themeColor="text1"/>
                <w:sz w:val="24"/>
                <w:szCs w:val="24"/>
              </w:rPr>
              <w:t>neatkarīgi no tā, kādas sabiedrības vajadzības atsavināšana nodrošinās</w:t>
            </w:r>
            <w:r w:rsidR="00146C24">
              <w:rPr>
                <w:rFonts w:ascii="Times New Roman" w:hAnsi="Times New Roman"/>
                <w:color w:val="000000" w:themeColor="text1"/>
                <w:sz w:val="24"/>
                <w:szCs w:val="24"/>
              </w:rPr>
              <w:t>)</w:t>
            </w:r>
            <w:r w:rsidR="008626AA">
              <w:rPr>
                <w:rFonts w:ascii="Times New Roman" w:hAnsi="Times New Roman"/>
                <w:color w:val="000000" w:themeColor="text1"/>
                <w:sz w:val="24"/>
                <w:szCs w:val="24"/>
              </w:rPr>
              <w:t xml:space="preserve"> tiek noteikt</w:t>
            </w:r>
            <w:r w:rsidR="00146C24">
              <w:rPr>
                <w:rFonts w:ascii="Times New Roman" w:hAnsi="Times New Roman"/>
                <w:color w:val="000000" w:themeColor="text1"/>
                <w:sz w:val="24"/>
                <w:szCs w:val="24"/>
              </w:rPr>
              <w:t>a, piemērojot vienotu kārtību</w:t>
            </w:r>
            <w:r w:rsidR="00A437F3">
              <w:rPr>
                <w:rFonts w:ascii="Times New Roman" w:hAnsi="Times New Roman"/>
                <w:color w:val="000000" w:themeColor="text1"/>
                <w:sz w:val="24"/>
                <w:szCs w:val="24"/>
              </w:rPr>
              <w:t>,</w:t>
            </w:r>
            <w:r w:rsidR="00146C24">
              <w:rPr>
                <w:rFonts w:ascii="Times New Roman" w:hAnsi="Times New Roman"/>
                <w:color w:val="000000" w:themeColor="text1"/>
                <w:sz w:val="24"/>
                <w:szCs w:val="24"/>
              </w:rPr>
              <w:t xml:space="preserve"> – no noteikumu Nr.603 izslēdzamas normas, kas regulē atlīdzības noteikšanas kārtību.</w:t>
            </w:r>
          </w:p>
          <w:p w:rsidR="00146C24" w:rsidRDefault="006F60D5" w:rsidP="006F60D5">
            <w:pPr>
              <w:spacing w:after="0" w:line="240" w:lineRule="auto"/>
              <w:ind w:firstLine="601"/>
              <w:jc w:val="both"/>
              <w:rPr>
                <w:rFonts w:ascii="Times New Roman" w:hAnsi="Times New Roman"/>
                <w:sz w:val="24"/>
                <w:szCs w:val="24"/>
              </w:rPr>
            </w:pPr>
            <w:r>
              <w:rPr>
                <w:rFonts w:ascii="Times New Roman" w:hAnsi="Times New Roman"/>
                <w:color w:val="000000" w:themeColor="text1"/>
                <w:sz w:val="24"/>
                <w:szCs w:val="24"/>
              </w:rPr>
              <w:t>P</w:t>
            </w:r>
            <w:r w:rsidR="00146C24">
              <w:rPr>
                <w:rFonts w:ascii="Times New Roman" w:hAnsi="Times New Roman"/>
                <w:color w:val="000000" w:themeColor="text1"/>
                <w:sz w:val="24"/>
                <w:szCs w:val="24"/>
              </w:rPr>
              <w:t xml:space="preserve">ēc noteikumu projekta spēkā stāšanās, Enerģētikas likuma </w:t>
            </w:r>
            <w:r w:rsidR="00146C24">
              <w:rPr>
                <w:rFonts w:ascii="Times New Roman" w:hAnsi="Times New Roman"/>
                <w:sz w:val="24"/>
                <w:szCs w:val="24"/>
              </w:rPr>
              <w:t>24.panta 1.</w:t>
            </w:r>
            <w:r w:rsidR="00146C24">
              <w:rPr>
                <w:rFonts w:ascii="Times New Roman" w:hAnsi="Times New Roman"/>
                <w:sz w:val="24"/>
                <w:szCs w:val="24"/>
                <w:vertAlign w:val="superscript"/>
              </w:rPr>
              <w:t>2</w:t>
            </w:r>
            <w:r w:rsidR="00146C24">
              <w:rPr>
                <w:rFonts w:ascii="Times New Roman" w:hAnsi="Times New Roman"/>
                <w:sz w:val="24"/>
                <w:szCs w:val="24"/>
              </w:rPr>
              <w:t xml:space="preserve"> daļā iekļautais deleģējums Ministru kabinetam noteikt atlīdzības un izmaksāšanas kārtību par energoapgādes objekta ierīkošanu vai rekonstrukciju būs izpildīts šādi:</w:t>
            </w:r>
          </w:p>
          <w:p w:rsidR="00146C24" w:rsidRPr="006F60D5" w:rsidRDefault="006F60D5" w:rsidP="006F60D5">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1. </w:t>
            </w:r>
            <w:r w:rsidR="00146C24" w:rsidRPr="008439D3">
              <w:rPr>
                <w:rFonts w:ascii="Times New Roman" w:hAnsi="Times New Roman"/>
                <w:color w:val="000000" w:themeColor="text1"/>
                <w:sz w:val="24"/>
                <w:szCs w:val="24"/>
              </w:rPr>
              <w:t>Atlīdzības aprēķināšanas un izmaksas kārtību par nekustamā īpašuma lietošanas tiesību</w:t>
            </w:r>
            <w:r w:rsidR="00146C24" w:rsidRPr="006F60D5">
              <w:rPr>
                <w:rFonts w:ascii="Times New Roman" w:hAnsi="Times New Roman"/>
                <w:color w:val="000000" w:themeColor="text1"/>
                <w:sz w:val="24"/>
                <w:szCs w:val="24"/>
              </w:rPr>
              <w:t xml:space="preserve"> ierobežošanu regulēs noteikumi Nr.603;</w:t>
            </w:r>
          </w:p>
          <w:p w:rsidR="00265C47" w:rsidRPr="006F60D5" w:rsidRDefault="006F60D5" w:rsidP="006F60D5">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2. </w:t>
            </w:r>
            <w:r w:rsidR="00265C47" w:rsidRPr="006F60D5">
              <w:rPr>
                <w:rFonts w:ascii="Times New Roman" w:hAnsi="Times New Roman"/>
                <w:color w:val="000000" w:themeColor="text1"/>
                <w:sz w:val="24"/>
                <w:szCs w:val="24"/>
              </w:rPr>
              <w:t xml:space="preserve">Atlīdzības aprēķināšanas kārtību par nekustamā īpašuma </w:t>
            </w:r>
            <w:r w:rsidR="00265C47" w:rsidRPr="008439D3">
              <w:rPr>
                <w:rFonts w:ascii="Times New Roman" w:hAnsi="Times New Roman"/>
                <w:color w:val="000000" w:themeColor="text1"/>
                <w:sz w:val="24"/>
                <w:szCs w:val="24"/>
              </w:rPr>
              <w:t>atsavināšanu</w:t>
            </w:r>
            <w:r w:rsidR="00C51645" w:rsidRPr="006F60D5">
              <w:rPr>
                <w:rFonts w:ascii="Times New Roman" w:hAnsi="Times New Roman"/>
                <w:color w:val="000000" w:themeColor="text1"/>
                <w:sz w:val="24"/>
                <w:szCs w:val="24"/>
              </w:rPr>
              <w:t xml:space="preserve"> sabiedrības vajadzībām</w:t>
            </w:r>
            <w:r w:rsidR="003E62F1" w:rsidRPr="006F60D5">
              <w:rPr>
                <w:rFonts w:ascii="Times New Roman" w:hAnsi="Times New Roman"/>
                <w:color w:val="000000" w:themeColor="text1"/>
                <w:sz w:val="24"/>
                <w:szCs w:val="24"/>
              </w:rPr>
              <w:t>, ja šīs vajadzības nebūs iespējams nodrošināt citādi</w:t>
            </w:r>
            <w:r w:rsidR="00265C47" w:rsidRPr="006F60D5">
              <w:rPr>
                <w:rFonts w:ascii="Times New Roman" w:hAnsi="Times New Roman"/>
                <w:color w:val="000000" w:themeColor="text1"/>
                <w:sz w:val="24"/>
                <w:szCs w:val="24"/>
              </w:rPr>
              <w:t xml:space="preserve">, regulēs </w:t>
            </w:r>
            <w:r w:rsidR="00D108EC" w:rsidRPr="006F60D5">
              <w:rPr>
                <w:rFonts w:ascii="Times New Roman" w:hAnsi="Times New Roman"/>
                <w:color w:val="000000" w:themeColor="text1"/>
                <w:sz w:val="24"/>
                <w:szCs w:val="24"/>
              </w:rPr>
              <w:t>Sab</w:t>
            </w:r>
            <w:r w:rsidR="008439D3">
              <w:rPr>
                <w:rFonts w:ascii="Times New Roman" w:hAnsi="Times New Roman"/>
                <w:color w:val="000000" w:themeColor="text1"/>
                <w:sz w:val="24"/>
                <w:szCs w:val="24"/>
              </w:rPr>
              <w:t>iedrības vajadzībām nepieciešamā</w:t>
            </w:r>
            <w:r w:rsidR="00D108EC" w:rsidRPr="006F60D5">
              <w:rPr>
                <w:rFonts w:ascii="Times New Roman" w:hAnsi="Times New Roman"/>
                <w:color w:val="000000" w:themeColor="text1"/>
                <w:sz w:val="24"/>
                <w:szCs w:val="24"/>
              </w:rPr>
              <w:t xml:space="preserve"> nekustamā īpašuma atsavināšanas likums (noteikti kritēriji, kas ņemami vērā nosakot atlīdzību) un Ministru kabineta noteikumi, kas izdoti uz Sab</w:t>
            </w:r>
            <w:r w:rsidR="003E62F1" w:rsidRPr="006F60D5">
              <w:rPr>
                <w:rFonts w:ascii="Times New Roman" w:hAnsi="Times New Roman"/>
                <w:color w:val="000000" w:themeColor="text1"/>
                <w:sz w:val="24"/>
                <w:szCs w:val="24"/>
              </w:rPr>
              <w:t>iedrības vajadzībām nepieciešamā</w:t>
            </w:r>
            <w:r w:rsidR="00D108EC" w:rsidRPr="006F60D5">
              <w:rPr>
                <w:rFonts w:ascii="Times New Roman" w:hAnsi="Times New Roman"/>
                <w:color w:val="000000" w:themeColor="text1"/>
                <w:sz w:val="24"/>
                <w:szCs w:val="24"/>
              </w:rPr>
              <w:t xml:space="preserve"> nekustamā īpašuma atsavināšanas likuma 20.panta otrajā daļā iekļautā deleģējuma pamata (paredzēta atlīdzības noteikšanas procesuālā kārtība).</w:t>
            </w:r>
          </w:p>
          <w:p w:rsidR="00812033" w:rsidRDefault="006F60D5" w:rsidP="006F60D5">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3. </w:t>
            </w:r>
            <w:r w:rsidR="00146C24" w:rsidRPr="006F60D5">
              <w:rPr>
                <w:rFonts w:ascii="Times New Roman" w:hAnsi="Times New Roman"/>
                <w:color w:val="000000" w:themeColor="text1"/>
                <w:sz w:val="24"/>
                <w:szCs w:val="24"/>
              </w:rPr>
              <w:t>Atlīdz</w:t>
            </w:r>
            <w:r w:rsidR="007E7F89" w:rsidRPr="006F60D5">
              <w:rPr>
                <w:rFonts w:ascii="Times New Roman" w:hAnsi="Times New Roman"/>
                <w:color w:val="000000" w:themeColor="text1"/>
                <w:sz w:val="24"/>
                <w:szCs w:val="24"/>
              </w:rPr>
              <w:t>ības izmaksāšanas</w:t>
            </w:r>
            <w:r w:rsidR="00146C24" w:rsidRPr="006F60D5">
              <w:rPr>
                <w:rFonts w:ascii="Times New Roman" w:hAnsi="Times New Roman"/>
                <w:color w:val="000000" w:themeColor="text1"/>
                <w:sz w:val="24"/>
                <w:szCs w:val="24"/>
              </w:rPr>
              <w:t xml:space="preserve"> kārt</w:t>
            </w:r>
            <w:r w:rsidR="00265C47" w:rsidRPr="006F60D5">
              <w:rPr>
                <w:rFonts w:ascii="Times New Roman" w:hAnsi="Times New Roman"/>
                <w:color w:val="000000" w:themeColor="text1"/>
                <w:sz w:val="24"/>
                <w:szCs w:val="24"/>
              </w:rPr>
              <w:t>ību par neku</w:t>
            </w:r>
            <w:r w:rsidR="00146C24" w:rsidRPr="006F60D5">
              <w:rPr>
                <w:rFonts w:ascii="Times New Roman" w:hAnsi="Times New Roman"/>
                <w:color w:val="000000" w:themeColor="text1"/>
                <w:sz w:val="24"/>
                <w:szCs w:val="24"/>
              </w:rPr>
              <w:t>stamā īpašuma atsavinā</w:t>
            </w:r>
            <w:r w:rsidR="007E7F89" w:rsidRPr="006F60D5">
              <w:rPr>
                <w:rFonts w:ascii="Times New Roman" w:hAnsi="Times New Roman"/>
                <w:color w:val="000000" w:themeColor="text1"/>
                <w:sz w:val="24"/>
                <w:szCs w:val="24"/>
              </w:rPr>
              <w:t>šanu</w:t>
            </w:r>
            <w:r w:rsidR="00265C47" w:rsidRPr="006F60D5">
              <w:rPr>
                <w:rFonts w:ascii="Times New Roman" w:hAnsi="Times New Roman"/>
                <w:color w:val="000000" w:themeColor="text1"/>
                <w:sz w:val="24"/>
                <w:szCs w:val="24"/>
              </w:rPr>
              <w:t xml:space="preserve"> </w:t>
            </w:r>
            <w:r w:rsidR="000A5B0C" w:rsidRPr="006F60D5">
              <w:rPr>
                <w:rFonts w:ascii="Times New Roman" w:hAnsi="Times New Roman"/>
                <w:color w:val="000000" w:themeColor="text1"/>
                <w:sz w:val="24"/>
                <w:szCs w:val="24"/>
              </w:rPr>
              <w:t xml:space="preserve">sabiedrības vajadzībām, ja atsavināšana notiks Sabiedrības vajadzībām nepieciešamā nekustamā īpašuma atsavināšanas likumā paredzētajā kārtībā, </w:t>
            </w:r>
            <w:r w:rsidR="00265C47" w:rsidRPr="006F60D5">
              <w:rPr>
                <w:rFonts w:ascii="Times New Roman" w:hAnsi="Times New Roman"/>
                <w:color w:val="000000" w:themeColor="text1"/>
                <w:sz w:val="24"/>
                <w:szCs w:val="24"/>
              </w:rPr>
              <w:t>regulēs Sab</w:t>
            </w:r>
            <w:r w:rsidR="008439D3">
              <w:rPr>
                <w:rFonts w:ascii="Times New Roman" w:hAnsi="Times New Roman"/>
                <w:color w:val="000000" w:themeColor="text1"/>
                <w:sz w:val="24"/>
                <w:szCs w:val="24"/>
              </w:rPr>
              <w:t>iedrības vajadzībām nepieciešamā</w:t>
            </w:r>
            <w:r w:rsidR="00265C47" w:rsidRPr="006F60D5">
              <w:rPr>
                <w:rFonts w:ascii="Times New Roman" w:hAnsi="Times New Roman"/>
                <w:color w:val="000000" w:themeColor="text1"/>
                <w:sz w:val="24"/>
                <w:szCs w:val="24"/>
              </w:rPr>
              <w:t xml:space="preserve"> nekustamā īpašuma atsavināšanas likums</w:t>
            </w:r>
            <w:r w:rsidR="007E7F89" w:rsidRPr="006F60D5">
              <w:rPr>
                <w:rFonts w:ascii="Times New Roman" w:hAnsi="Times New Roman"/>
                <w:color w:val="000000" w:themeColor="text1"/>
                <w:sz w:val="24"/>
                <w:szCs w:val="24"/>
              </w:rPr>
              <w:t>.</w:t>
            </w:r>
          </w:p>
          <w:p w:rsidR="00262F64" w:rsidRPr="006F60D5" w:rsidRDefault="00262F64" w:rsidP="006F60D5">
            <w:pPr>
              <w:spacing w:after="0" w:line="240" w:lineRule="auto"/>
              <w:jc w:val="both"/>
              <w:rPr>
                <w:rFonts w:ascii="Times New Roman" w:hAnsi="Times New Roman"/>
                <w:color w:val="000000" w:themeColor="text1"/>
                <w:sz w:val="24"/>
                <w:szCs w:val="24"/>
              </w:rPr>
            </w:pPr>
          </w:p>
        </w:tc>
      </w:tr>
      <w:tr w:rsidR="00292D60" w:rsidRPr="00850B76" w:rsidTr="00BA0394">
        <w:tc>
          <w:tcPr>
            <w:tcW w:w="2835" w:type="dxa"/>
            <w:tcBorders>
              <w:top w:val="single" w:sz="4" w:space="0" w:color="auto"/>
              <w:left w:val="single" w:sz="4" w:space="0" w:color="auto"/>
              <w:bottom w:val="single" w:sz="4" w:space="0" w:color="auto"/>
              <w:right w:val="single" w:sz="4" w:space="0" w:color="auto"/>
            </w:tcBorders>
            <w:hideMark/>
          </w:tcPr>
          <w:p w:rsidR="00292D60" w:rsidRPr="00292D60" w:rsidRDefault="00292D60" w:rsidP="00BA0394">
            <w:pPr>
              <w:spacing w:after="0" w:line="240" w:lineRule="auto"/>
              <w:ind w:firstLine="34"/>
              <w:jc w:val="both"/>
              <w:rPr>
                <w:rFonts w:ascii="Times New Roman" w:hAnsi="Times New Roman"/>
                <w:color w:val="000000"/>
                <w:sz w:val="24"/>
                <w:szCs w:val="24"/>
              </w:rPr>
            </w:pPr>
            <w:r w:rsidRPr="00292D60">
              <w:rPr>
                <w:rFonts w:ascii="Times New Roman" w:hAnsi="Times New Roman"/>
                <w:color w:val="000000"/>
                <w:sz w:val="24"/>
                <w:szCs w:val="24"/>
              </w:rPr>
              <w:lastRenderedPageBreak/>
              <w:t xml:space="preserve">5. </w:t>
            </w:r>
            <w:r w:rsidRPr="00292D60">
              <w:rPr>
                <w:rFonts w:ascii="Times New Roman" w:hAnsi="Times New Roman"/>
                <w:sz w:val="24"/>
                <w:szCs w:val="24"/>
              </w:rPr>
              <w:t>Projekta izstrādē iesaistītās institūcijas</w:t>
            </w:r>
          </w:p>
        </w:tc>
        <w:tc>
          <w:tcPr>
            <w:tcW w:w="6237" w:type="dxa"/>
            <w:tcBorders>
              <w:top w:val="single" w:sz="4" w:space="0" w:color="auto"/>
              <w:left w:val="single" w:sz="4" w:space="0" w:color="auto"/>
              <w:bottom w:val="single" w:sz="4" w:space="0" w:color="auto"/>
              <w:right w:val="single" w:sz="4" w:space="0" w:color="auto"/>
            </w:tcBorders>
            <w:hideMark/>
          </w:tcPr>
          <w:p w:rsidR="007E13E7" w:rsidRDefault="001B096B" w:rsidP="006F60D5">
            <w:pPr>
              <w:adjustRightInd w:val="0"/>
              <w:spacing w:after="0" w:line="240" w:lineRule="auto"/>
              <w:ind w:firstLine="601"/>
              <w:jc w:val="both"/>
              <w:rPr>
                <w:rFonts w:ascii="Times New Roman" w:hAnsi="Times New Roman"/>
                <w:sz w:val="24"/>
                <w:szCs w:val="24"/>
              </w:rPr>
            </w:pPr>
            <w:r w:rsidRPr="00491A14">
              <w:rPr>
                <w:rFonts w:ascii="Times New Roman" w:hAnsi="Times New Roman"/>
                <w:sz w:val="24"/>
                <w:szCs w:val="24"/>
              </w:rPr>
              <w:t xml:space="preserve"> </w:t>
            </w:r>
            <w:r w:rsidR="00603C0E" w:rsidRPr="001D1198">
              <w:rPr>
                <w:rFonts w:ascii="Times New Roman" w:hAnsi="Times New Roman"/>
                <w:sz w:val="24"/>
                <w:szCs w:val="24"/>
              </w:rPr>
              <w:t xml:space="preserve">Likumprojekts izstrādāts </w:t>
            </w:r>
            <w:r w:rsidR="00603C0E" w:rsidRPr="00055581">
              <w:rPr>
                <w:rFonts w:ascii="Times New Roman" w:hAnsi="Times New Roman"/>
                <w:sz w:val="24"/>
                <w:szCs w:val="24"/>
              </w:rPr>
              <w:t>ar Tieslietu minis</w:t>
            </w:r>
            <w:r w:rsidR="00603C0E">
              <w:rPr>
                <w:rFonts w:ascii="Times New Roman" w:hAnsi="Times New Roman"/>
                <w:sz w:val="24"/>
                <w:szCs w:val="24"/>
              </w:rPr>
              <w:t>tra 2009.gada 4.marta rīkojumu N</w:t>
            </w:r>
            <w:r w:rsidR="00603C0E" w:rsidRPr="00055581">
              <w:rPr>
                <w:rFonts w:ascii="Times New Roman" w:hAnsi="Times New Roman"/>
                <w:sz w:val="24"/>
                <w:szCs w:val="24"/>
              </w:rPr>
              <w:t>r.1-1/60</w:t>
            </w:r>
            <w:r w:rsidR="00603C0E">
              <w:rPr>
                <w:rFonts w:ascii="Times New Roman" w:hAnsi="Times New Roman"/>
                <w:sz w:val="24"/>
                <w:szCs w:val="24"/>
              </w:rPr>
              <w:t xml:space="preserve"> </w:t>
            </w:r>
            <w:r w:rsidR="00603C0E" w:rsidRPr="001D1198">
              <w:rPr>
                <w:rFonts w:ascii="Times New Roman" w:hAnsi="Times New Roman"/>
                <w:sz w:val="24"/>
                <w:szCs w:val="24"/>
              </w:rPr>
              <w:t xml:space="preserve">izveidotā darba grupā tiesību aktu izstrādei nekustamā īpašuma atsavināšanas sabiedrības vajadzībām procesa efektivizēšanai, kurā piedalījās Tieslietu ministrijas, Ekonomikas ministrijas, Finanšu ministrijas, Reģionālās attīstības un pašvaldību lietu ministrijas, Vides ministrijas, Veselības ministrijas, Zemkopības ministrijas, Satiksmes ministrijas, Valsts zemes dienesta, Rīgas domes, Valsts akciju sabiedrības „Latvijas valsts ceļi”, valsts akciju sabiedrības „Starptautiskā lidosta „Rīga””, valsts akciju sabiedrības „Latvijas dzelzceļš”, akciju sabiedrības „Latvenergo” un </w:t>
            </w:r>
            <w:r w:rsidR="005640FD">
              <w:rPr>
                <w:rFonts w:ascii="Times New Roman" w:hAnsi="Times New Roman"/>
                <w:sz w:val="24"/>
                <w:szCs w:val="24"/>
              </w:rPr>
              <w:t>biedrības „</w:t>
            </w:r>
            <w:r w:rsidR="00603C0E" w:rsidRPr="001D1198">
              <w:rPr>
                <w:rFonts w:ascii="Times New Roman" w:hAnsi="Times New Roman"/>
                <w:sz w:val="24"/>
                <w:szCs w:val="24"/>
              </w:rPr>
              <w:t xml:space="preserve">Latvijas </w:t>
            </w:r>
            <w:r w:rsidR="005640FD">
              <w:rPr>
                <w:rFonts w:ascii="Times New Roman" w:hAnsi="Times New Roman"/>
                <w:sz w:val="24"/>
                <w:szCs w:val="24"/>
              </w:rPr>
              <w:t>Īpašumu Vērtētāju asociācija”</w:t>
            </w:r>
            <w:r w:rsidR="00603C0E" w:rsidRPr="001D1198">
              <w:rPr>
                <w:rFonts w:ascii="Times New Roman" w:hAnsi="Times New Roman"/>
                <w:sz w:val="24"/>
                <w:szCs w:val="24"/>
              </w:rPr>
              <w:t xml:space="preserve"> pārstāvji.</w:t>
            </w:r>
          </w:p>
          <w:p w:rsidR="00603C0E" w:rsidRDefault="00603C0E" w:rsidP="006F60D5">
            <w:pPr>
              <w:adjustRightInd w:val="0"/>
              <w:spacing w:after="0" w:line="240" w:lineRule="auto"/>
              <w:ind w:firstLine="601"/>
              <w:jc w:val="both"/>
              <w:rPr>
                <w:rFonts w:ascii="Times New Roman" w:hAnsi="Times New Roman"/>
                <w:sz w:val="24"/>
                <w:szCs w:val="24"/>
              </w:rPr>
            </w:pPr>
            <w:r>
              <w:rPr>
                <w:rFonts w:ascii="Times New Roman" w:hAnsi="Times New Roman"/>
                <w:sz w:val="24"/>
                <w:szCs w:val="24"/>
              </w:rPr>
              <w:t>Darba grupa atbalsta noteikumu projektu</w:t>
            </w:r>
            <w:r w:rsidR="0056138C">
              <w:rPr>
                <w:rFonts w:ascii="Times New Roman" w:hAnsi="Times New Roman"/>
                <w:sz w:val="24"/>
                <w:szCs w:val="24"/>
              </w:rPr>
              <w:t xml:space="preserve"> izstrādātajā redakcijā.</w:t>
            </w:r>
          </w:p>
          <w:p w:rsidR="00812033" w:rsidRPr="007E13E7" w:rsidRDefault="00812033" w:rsidP="006F60D5">
            <w:pPr>
              <w:adjustRightInd w:val="0"/>
              <w:spacing w:after="0" w:line="240" w:lineRule="auto"/>
              <w:ind w:firstLine="601"/>
              <w:jc w:val="both"/>
              <w:rPr>
                <w:rFonts w:ascii="Times New Roman" w:hAnsi="Times New Roman"/>
                <w:sz w:val="24"/>
                <w:szCs w:val="24"/>
              </w:rPr>
            </w:pPr>
          </w:p>
        </w:tc>
      </w:tr>
      <w:tr w:rsidR="00292D60" w:rsidRPr="00850B76" w:rsidTr="00BA0394">
        <w:tc>
          <w:tcPr>
            <w:tcW w:w="2835" w:type="dxa"/>
            <w:tcBorders>
              <w:top w:val="single" w:sz="4" w:space="0" w:color="auto"/>
              <w:left w:val="single" w:sz="4" w:space="0" w:color="auto"/>
              <w:bottom w:val="single" w:sz="4" w:space="0" w:color="auto"/>
              <w:right w:val="single" w:sz="4" w:space="0" w:color="auto"/>
            </w:tcBorders>
            <w:hideMark/>
          </w:tcPr>
          <w:p w:rsidR="00292D60" w:rsidRPr="00292D60" w:rsidRDefault="00292D60" w:rsidP="00BA0394">
            <w:pPr>
              <w:spacing w:after="0" w:line="240" w:lineRule="auto"/>
              <w:ind w:firstLine="34"/>
              <w:jc w:val="both"/>
              <w:rPr>
                <w:rFonts w:ascii="Times New Roman" w:hAnsi="Times New Roman"/>
                <w:color w:val="000000"/>
                <w:sz w:val="24"/>
                <w:szCs w:val="24"/>
              </w:rPr>
            </w:pPr>
            <w:r w:rsidRPr="00292D60">
              <w:rPr>
                <w:rFonts w:ascii="Times New Roman" w:hAnsi="Times New Roman"/>
                <w:color w:val="000000"/>
                <w:sz w:val="24"/>
                <w:szCs w:val="24"/>
              </w:rPr>
              <w:t xml:space="preserve">6. </w:t>
            </w:r>
            <w:r w:rsidRPr="00292D60">
              <w:rPr>
                <w:rFonts w:ascii="Times New Roman" w:hAnsi="Times New Roman"/>
                <w:sz w:val="24"/>
                <w:szCs w:val="24"/>
              </w:rPr>
              <w:t>Iemesli, kādēļ netika nodrošināta sabiedrības līdzdalība</w:t>
            </w:r>
          </w:p>
        </w:tc>
        <w:tc>
          <w:tcPr>
            <w:tcW w:w="6237" w:type="dxa"/>
            <w:tcBorders>
              <w:top w:val="single" w:sz="4" w:space="0" w:color="auto"/>
              <w:left w:val="single" w:sz="4" w:space="0" w:color="auto"/>
              <w:bottom w:val="single" w:sz="4" w:space="0" w:color="auto"/>
              <w:right w:val="single" w:sz="4" w:space="0" w:color="auto"/>
            </w:tcBorders>
            <w:hideMark/>
          </w:tcPr>
          <w:p w:rsidR="00292D60" w:rsidRPr="00292D60" w:rsidRDefault="00B72007" w:rsidP="006F60D5">
            <w:pPr>
              <w:adjustRightInd w:val="0"/>
              <w:spacing w:after="0" w:line="240" w:lineRule="auto"/>
              <w:ind w:firstLine="601"/>
              <w:jc w:val="both"/>
              <w:rPr>
                <w:rFonts w:ascii="Times New Roman" w:hAnsi="Times New Roman"/>
                <w:color w:val="000000"/>
                <w:sz w:val="24"/>
                <w:szCs w:val="24"/>
                <w:highlight w:val="lightGray"/>
              </w:rPr>
            </w:pPr>
            <w:r>
              <w:rPr>
                <w:rFonts w:ascii="Times New Roman" w:hAnsi="Times New Roman"/>
                <w:sz w:val="24"/>
                <w:szCs w:val="24"/>
              </w:rPr>
              <w:t>Nav attiecināms</w:t>
            </w:r>
            <w:r w:rsidR="003F3E86">
              <w:rPr>
                <w:rFonts w:ascii="Times New Roman" w:hAnsi="Times New Roman"/>
                <w:sz w:val="24"/>
                <w:szCs w:val="24"/>
              </w:rPr>
              <w:t>.</w:t>
            </w:r>
          </w:p>
        </w:tc>
      </w:tr>
      <w:tr w:rsidR="001772B3" w:rsidRPr="00850B76" w:rsidTr="00BA0394">
        <w:tc>
          <w:tcPr>
            <w:tcW w:w="2835" w:type="dxa"/>
            <w:tcBorders>
              <w:top w:val="single" w:sz="4" w:space="0" w:color="auto"/>
              <w:left w:val="single" w:sz="4" w:space="0" w:color="auto"/>
              <w:bottom w:val="single" w:sz="4" w:space="0" w:color="auto"/>
              <w:right w:val="single" w:sz="4" w:space="0" w:color="auto"/>
            </w:tcBorders>
            <w:hideMark/>
          </w:tcPr>
          <w:p w:rsidR="001772B3" w:rsidRPr="00292D60" w:rsidRDefault="00292D60" w:rsidP="00BA0394">
            <w:pPr>
              <w:spacing w:after="0" w:line="240" w:lineRule="auto"/>
              <w:ind w:firstLine="34"/>
              <w:jc w:val="both"/>
              <w:rPr>
                <w:rFonts w:ascii="Times New Roman" w:hAnsi="Times New Roman"/>
                <w:color w:val="000000"/>
                <w:sz w:val="24"/>
                <w:szCs w:val="24"/>
              </w:rPr>
            </w:pPr>
            <w:r>
              <w:rPr>
                <w:rFonts w:ascii="Times New Roman" w:hAnsi="Times New Roman"/>
                <w:color w:val="000000"/>
                <w:sz w:val="24"/>
                <w:szCs w:val="24"/>
              </w:rPr>
              <w:t>7</w:t>
            </w:r>
            <w:r w:rsidR="001772B3" w:rsidRPr="00292D60">
              <w:rPr>
                <w:rFonts w:ascii="Times New Roman" w:hAnsi="Times New Roman"/>
                <w:color w:val="000000"/>
                <w:sz w:val="24"/>
                <w:szCs w:val="24"/>
              </w:rPr>
              <w:t xml:space="preserve">. </w:t>
            </w:r>
            <w:r>
              <w:rPr>
                <w:rFonts w:ascii="Times New Roman" w:hAnsi="Times New Roman"/>
                <w:sz w:val="24"/>
                <w:szCs w:val="24"/>
              </w:rPr>
              <w:t>Cita informācija</w:t>
            </w:r>
          </w:p>
        </w:tc>
        <w:tc>
          <w:tcPr>
            <w:tcW w:w="6237" w:type="dxa"/>
            <w:tcBorders>
              <w:top w:val="single" w:sz="4" w:space="0" w:color="auto"/>
              <w:left w:val="single" w:sz="4" w:space="0" w:color="auto"/>
              <w:bottom w:val="single" w:sz="4" w:space="0" w:color="auto"/>
              <w:right w:val="single" w:sz="4" w:space="0" w:color="auto"/>
            </w:tcBorders>
            <w:hideMark/>
          </w:tcPr>
          <w:p w:rsidR="00FF779B" w:rsidRDefault="00D857D3" w:rsidP="006F60D5">
            <w:pPr>
              <w:adjustRightInd w:val="0"/>
              <w:spacing w:after="0" w:line="240" w:lineRule="auto"/>
              <w:ind w:firstLine="601"/>
              <w:jc w:val="both"/>
              <w:rPr>
                <w:rFonts w:ascii="Times New Roman" w:hAnsi="Times New Roman"/>
                <w:color w:val="000000" w:themeColor="text1"/>
                <w:sz w:val="24"/>
                <w:szCs w:val="24"/>
              </w:rPr>
            </w:pPr>
            <w:r>
              <w:rPr>
                <w:rFonts w:ascii="Times New Roman" w:hAnsi="Times New Roman"/>
                <w:color w:val="000000" w:themeColor="text1"/>
                <w:sz w:val="24"/>
                <w:szCs w:val="24"/>
              </w:rPr>
              <w:t>I</w:t>
            </w:r>
            <w:r w:rsidR="0095600A">
              <w:rPr>
                <w:rFonts w:ascii="Times New Roman" w:hAnsi="Times New Roman"/>
                <w:color w:val="000000" w:themeColor="text1"/>
                <w:sz w:val="24"/>
                <w:szCs w:val="24"/>
              </w:rPr>
              <w:t xml:space="preserve">evērojot to, ka sabiedrības vajadzības, kas saistītas ar energoapgādes objektu ierīkošanu un </w:t>
            </w:r>
            <w:r w:rsidR="0083399D">
              <w:rPr>
                <w:rFonts w:ascii="Times New Roman" w:hAnsi="Times New Roman"/>
                <w:color w:val="000000" w:themeColor="text1"/>
                <w:sz w:val="24"/>
                <w:szCs w:val="24"/>
              </w:rPr>
              <w:t>rekonstrukciju</w:t>
            </w:r>
            <w:r w:rsidR="0095600A">
              <w:rPr>
                <w:rFonts w:ascii="Times New Roman" w:hAnsi="Times New Roman"/>
                <w:color w:val="000000" w:themeColor="text1"/>
                <w:sz w:val="24"/>
                <w:szCs w:val="24"/>
              </w:rPr>
              <w:t xml:space="preserve"> </w:t>
            </w:r>
            <w:r w:rsidR="00CB6645">
              <w:rPr>
                <w:rFonts w:ascii="Times New Roman" w:hAnsi="Times New Roman"/>
                <w:color w:val="000000" w:themeColor="text1"/>
                <w:sz w:val="24"/>
                <w:szCs w:val="24"/>
              </w:rPr>
              <w:t xml:space="preserve">pamatā </w:t>
            </w:r>
            <w:r w:rsidR="0095600A">
              <w:rPr>
                <w:rFonts w:ascii="Times New Roman" w:hAnsi="Times New Roman"/>
                <w:color w:val="000000" w:themeColor="text1"/>
                <w:sz w:val="24"/>
                <w:szCs w:val="24"/>
              </w:rPr>
              <w:t xml:space="preserve">nodrošina energoapgādes komersanti, kas ir privāto tiesību </w:t>
            </w:r>
            <w:r w:rsidR="0095600A">
              <w:rPr>
                <w:rFonts w:ascii="Times New Roman" w:hAnsi="Times New Roman"/>
                <w:color w:val="000000" w:themeColor="text1"/>
                <w:sz w:val="24"/>
                <w:szCs w:val="24"/>
              </w:rPr>
              <w:lastRenderedPageBreak/>
              <w:t>subjekti, Sabiedrības vajadzībām nepieciešama nekustamā īpašuma</w:t>
            </w:r>
            <w:r>
              <w:rPr>
                <w:rFonts w:ascii="Times New Roman" w:hAnsi="Times New Roman"/>
                <w:color w:val="000000" w:themeColor="text1"/>
                <w:sz w:val="24"/>
                <w:szCs w:val="24"/>
              </w:rPr>
              <w:t xml:space="preserve"> atsavināšana</w:t>
            </w:r>
            <w:r w:rsidR="0095600A">
              <w:rPr>
                <w:rFonts w:ascii="Times New Roman" w:hAnsi="Times New Roman"/>
                <w:color w:val="000000" w:themeColor="text1"/>
                <w:sz w:val="24"/>
                <w:szCs w:val="24"/>
              </w:rPr>
              <w:t>s</w:t>
            </w:r>
            <w:r>
              <w:rPr>
                <w:rFonts w:ascii="Times New Roman" w:hAnsi="Times New Roman"/>
                <w:color w:val="000000" w:themeColor="text1"/>
                <w:sz w:val="24"/>
                <w:szCs w:val="24"/>
              </w:rPr>
              <w:t xml:space="preserve"> </w:t>
            </w:r>
            <w:r w:rsidR="0095600A">
              <w:rPr>
                <w:rFonts w:ascii="Times New Roman" w:hAnsi="Times New Roman"/>
                <w:color w:val="000000" w:themeColor="text1"/>
                <w:sz w:val="24"/>
                <w:szCs w:val="24"/>
              </w:rPr>
              <w:t>likums un uz tā 20.panta otrajā</w:t>
            </w:r>
            <w:r>
              <w:rPr>
                <w:rFonts w:ascii="Times New Roman" w:hAnsi="Times New Roman"/>
                <w:color w:val="000000" w:themeColor="text1"/>
                <w:sz w:val="24"/>
                <w:szCs w:val="24"/>
              </w:rPr>
              <w:t xml:space="preserve"> </w:t>
            </w:r>
            <w:r w:rsidR="0095600A">
              <w:rPr>
                <w:rFonts w:ascii="Times New Roman" w:hAnsi="Times New Roman"/>
                <w:color w:val="000000" w:themeColor="text1"/>
                <w:sz w:val="24"/>
                <w:szCs w:val="24"/>
              </w:rPr>
              <w:t>daļā pared</w:t>
            </w:r>
            <w:r>
              <w:rPr>
                <w:rFonts w:ascii="Times New Roman" w:hAnsi="Times New Roman"/>
                <w:color w:val="000000" w:themeColor="text1"/>
                <w:sz w:val="24"/>
                <w:szCs w:val="24"/>
              </w:rPr>
              <w:t>zētā deleģējuma pamata izdotie M</w:t>
            </w:r>
            <w:r w:rsidR="0095600A">
              <w:rPr>
                <w:rFonts w:ascii="Times New Roman" w:hAnsi="Times New Roman"/>
                <w:color w:val="000000" w:themeColor="text1"/>
                <w:sz w:val="24"/>
                <w:szCs w:val="24"/>
              </w:rPr>
              <w:t xml:space="preserve">inistru kabineta noteikumi neliedz energoapgādes komersantam </w:t>
            </w:r>
            <w:r w:rsidR="003734CA">
              <w:rPr>
                <w:rFonts w:ascii="Times New Roman" w:hAnsi="Times New Roman"/>
                <w:color w:val="000000" w:themeColor="text1"/>
                <w:sz w:val="24"/>
                <w:szCs w:val="24"/>
              </w:rPr>
              <w:t xml:space="preserve">privāttiesisko attiecību ietvaros </w:t>
            </w:r>
            <w:r w:rsidR="0095600A">
              <w:rPr>
                <w:rFonts w:ascii="Times New Roman" w:hAnsi="Times New Roman"/>
                <w:color w:val="000000" w:themeColor="text1"/>
                <w:sz w:val="24"/>
                <w:szCs w:val="24"/>
              </w:rPr>
              <w:t>atsavināt nekustamo īpašumu, kas nepieciešams energoapgādes objekta ie</w:t>
            </w:r>
            <w:r w:rsidR="0083399D">
              <w:rPr>
                <w:rFonts w:ascii="Times New Roman" w:hAnsi="Times New Roman"/>
                <w:color w:val="000000" w:themeColor="text1"/>
                <w:sz w:val="24"/>
                <w:szCs w:val="24"/>
              </w:rPr>
              <w:t>rīkošanai</w:t>
            </w:r>
            <w:r w:rsidR="0095600A">
              <w:rPr>
                <w:rFonts w:ascii="Times New Roman" w:hAnsi="Times New Roman"/>
                <w:color w:val="000000" w:themeColor="text1"/>
                <w:sz w:val="24"/>
                <w:szCs w:val="24"/>
              </w:rPr>
              <w:t xml:space="preserve"> vai </w:t>
            </w:r>
            <w:r w:rsidR="0083399D">
              <w:rPr>
                <w:rFonts w:ascii="Times New Roman" w:hAnsi="Times New Roman"/>
                <w:color w:val="000000" w:themeColor="text1"/>
                <w:sz w:val="24"/>
                <w:szCs w:val="24"/>
              </w:rPr>
              <w:t>rekonstrukcijai</w:t>
            </w:r>
            <w:r w:rsidR="0095600A">
              <w:rPr>
                <w:rFonts w:ascii="Times New Roman" w:hAnsi="Times New Roman"/>
                <w:color w:val="000000" w:themeColor="text1"/>
                <w:sz w:val="24"/>
                <w:szCs w:val="24"/>
              </w:rPr>
              <w:t xml:space="preserve"> uz vienošanās pamata ar nekustamā īpašuma īpašnieku, vienojoties arī par atlīdzības apmēru</w:t>
            </w:r>
            <w:r w:rsidR="00940152">
              <w:rPr>
                <w:rFonts w:ascii="Times New Roman" w:hAnsi="Times New Roman"/>
                <w:color w:val="000000" w:themeColor="text1"/>
                <w:sz w:val="24"/>
                <w:szCs w:val="24"/>
              </w:rPr>
              <w:t xml:space="preserve"> (ciktāl attiecīgā komersanta akciju vai kapitāldaļu turētājus neierobežo </w:t>
            </w:r>
            <w:r w:rsidR="00171832">
              <w:rPr>
                <w:rFonts w:ascii="Times New Roman" w:hAnsi="Times New Roman"/>
                <w:color w:val="000000" w:themeColor="text1"/>
                <w:sz w:val="24"/>
                <w:szCs w:val="24"/>
              </w:rPr>
              <w:t>likums</w:t>
            </w:r>
            <w:r w:rsidR="00940152">
              <w:rPr>
                <w:rFonts w:ascii="Times New Roman" w:hAnsi="Times New Roman"/>
                <w:color w:val="000000" w:themeColor="text1"/>
                <w:sz w:val="24"/>
                <w:szCs w:val="24"/>
              </w:rPr>
              <w:t xml:space="preserve"> „Par valsts un pašvaldību finanšu līdzekļu un mantas izšķērdēšanas novēršanu”)</w:t>
            </w:r>
            <w:r w:rsidR="0095600A">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0095600A">
              <w:rPr>
                <w:rFonts w:ascii="Times New Roman" w:hAnsi="Times New Roman"/>
                <w:color w:val="000000" w:themeColor="text1"/>
                <w:sz w:val="24"/>
                <w:szCs w:val="24"/>
              </w:rPr>
              <w:t>Sabiedrības vajadzībām nepieciešama nekustamā īpašuma atsavināšanas likums nekustamā īpašuma</w:t>
            </w:r>
            <w:r w:rsidR="00621100">
              <w:rPr>
                <w:rFonts w:ascii="Times New Roman" w:hAnsi="Times New Roman"/>
                <w:color w:val="000000" w:themeColor="text1"/>
                <w:sz w:val="24"/>
                <w:szCs w:val="24"/>
              </w:rPr>
              <w:t xml:space="preserve"> atsavināšanai (</w:t>
            </w:r>
            <w:r>
              <w:rPr>
                <w:rFonts w:ascii="Times New Roman" w:hAnsi="Times New Roman"/>
                <w:color w:val="000000" w:themeColor="text1"/>
                <w:sz w:val="24"/>
                <w:szCs w:val="24"/>
              </w:rPr>
              <w:t>lai ene</w:t>
            </w:r>
            <w:r w:rsidR="0095600A">
              <w:rPr>
                <w:rFonts w:ascii="Times New Roman" w:hAnsi="Times New Roman"/>
                <w:color w:val="000000" w:themeColor="text1"/>
                <w:sz w:val="24"/>
                <w:szCs w:val="24"/>
              </w:rPr>
              <w:t>rgoapgādes komersants varētu realizēt savus uzdevumu</w:t>
            </w:r>
            <w:r>
              <w:rPr>
                <w:rFonts w:ascii="Times New Roman" w:hAnsi="Times New Roman"/>
                <w:color w:val="000000" w:themeColor="text1"/>
                <w:sz w:val="24"/>
                <w:szCs w:val="24"/>
              </w:rPr>
              <w:t>s, kas saistīti ar sabiedrības v</w:t>
            </w:r>
            <w:r w:rsidR="0095600A">
              <w:rPr>
                <w:rFonts w:ascii="Times New Roman" w:hAnsi="Times New Roman"/>
                <w:color w:val="000000" w:themeColor="text1"/>
                <w:sz w:val="24"/>
                <w:szCs w:val="24"/>
              </w:rPr>
              <w:t>ajadzību nodrošināšanu</w:t>
            </w:r>
            <w:r w:rsidR="00621100">
              <w:rPr>
                <w:rFonts w:ascii="Times New Roman" w:hAnsi="Times New Roman"/>
                <w:color w:val="000000" w:themeColor="text1"/>
                <w:sz w:val="24"/>
                <w:szCs w:val="24"/>
              </w:rPr>
              <w:t>)</w:t>
            </w:r>
            <w:r w:rsidR="001E420B">
              <w:rPr>
                <w:rFonts w:ascii="Times New Roman" w:hAnsi="Times New Roman"/>
                <w:color w:val="000000" w:themeColor="text1"/>
                <w:sz w:val="24"/>
                <w:szCs w:val="24"/>
              </w:rPr>
              <w:t xml:space="preserve"> piemērojams tikai tad, ja sabiedrības vajadz</w:t>
            </w:r>
            <w:r w:rsidR="00F01FD2">
              <w:rPr>
                <w:rFonts w:ascii="Times New Roman" w:hAnsi="Times New Roman"/>
                <w:color w:val="000000" w:themeColor="text1"/>
                <w:sz w:val="24"/>
                <w:szCs w:val="24"/>
              </w:rPr>
              <w:t>ību nodrošināšanu energoapgādes komersants nevar</w:t>
            </w:r>
            <w:r w:rsidR="001E420B">
              <w:rPr>
                <w:rFonts w:ascii="Times New Roman" w:hAnsi="Times New Roman"/>
                <w:color w:val="000000" w:themeColor="text1"/>
                <w:sz w:val="24"/>
                <w:szCs w:val="24"/>
              </w:rPr>
              <w:t xml:space="preserve"> panākt īpašuma tiesības mazāk ierobežojošā veidā, piemēram, atlīdzinot nekustamā īpašuma īpašniekam lietošanas tiesību ierobežojumus </w:t>
            </w:r>
            <w:r w:rsidR="00F01FD2">
              <w:rPr>
                <w:rFonts w:ascii="Times New Roman" w:hAnsi="Times New Roman"/>
                <w:color w:val="000000" w:themeColor="text1"/>
                <w:sz w:val="24"/>
                <w:szCs w:val="24"/>
              </w:rPr>
              <w:t>vai nav iespējams panākt vienošanos par samaksu par nekustamo īpašumu (ja līgumu slēdz energoapgādes komersants un nekustamā īpašuma īpašnieks). Vienīgi šajos gadījumos var tikt virzīta nekustamā īpašuma atsavināšana Sab</w:t>
            </w:r>
            <w:r w:rsidR="009242CD">
              <w:rPr>
                <w:rFonts w:ascii="Times New Roman" w:hAnsi="Times New Roman"/>
                <w:color w:val="000000" w:themeColor="text1"/>
                <w:sz w:val="24"/>
                <w:szCs w:val="24"/>
              </w:rPr>
              <w:t>iedrības vajadzībām nepieciešamā</w:t>
            </w:r>
            <w:r w:rsidR="00F01FD2">
              <w:rPr>
                <w:rFonts w:ascii="Times New Roman" w:hAnsi="Times New Roman"/>
                <w:color w:val="000000" w:themeColor="text1"/>
                <w:sz w:val="24"/>
                <w:szCs w:val="24"/>
              </w:rPr>
              <w:t xml:space="preserve"> nekustamā īpašuma atsavināšanas likumā paredzētajā kārtībā un saskaņā ar minētā likuma 3.pantu šo atsavināšanu veic valsts vai pašvaldības iestāde, kuras kompetencē ir attiecīgo sabiedrības vajadzību nodrošināšana.</w:t>
            </w:r>
          </w:p>
          <w:p w:rsidR="00812033" w:rsidRPr="008A6F0D" w:rsidRDefault="00812033" w:rsidP="006F60D5">
            <w:pPr>
              <w:adjustRightInd w:val="0"/>
              <w:spacing w:after="0" w:line="240" w:lineRule="auto"/>
              <w:ind w:firstLine="601"/>
              <w:jc w:val="both"/>
              <w:rPr>
                <w:rFonts w:ascii="Times New Roman" w:hAnsi="Times New Roman"/>
                <w:color w:val="000000" w:themeColor="text1"/>
                <w:sz w:val="24"/>
                <w:szCs w:val="24"/>
                <w:highlight w:val="lightGray"/>
              </w:rPr>
            </w:pPr>
          </w:p>
        </w:tc>
      </w:tr>
      <w:tr w:rsidR="001772B3" w:rsidRPr="00850B76" w:rsidTr="00BA0394">
        <w:tc>
          <w:tcPr>
            <w:tcW w:w="9072" w:type="dxa"/>
            <w:gridSpan w:val="2"/>
            <w:tcBorders>
              <w:top w:val="single" w:sz="4" w:space="0" w:color="auto"/>
              <w:left w:val="single" w:sz="4" w:space="0" w:color="auto"/>
              <w:bottom w:val="single" w:sz="4" w:space="0" w:color="auto"/>
              <w:right w:val="single" w:sz="4" w:space="0" w:color="auto"/>
            </w:tcBorders>
            <w:hideMark/>
          </w:tcPr>
          <w:p w:rsidR="00D054BC" w:rsidRDefault="001772B3" w:rsidP="009242CD">
            <w:pPr>
              <w:spacing w:after="0" w:line="240" w:lineRule="auto"/>
              <w:jc w:val="center"/>
              <w:rPr>
                <w:rFonts w:ascii="Times New Roman" w:hAnsi="Times New Roman"/>
                <w:b/>
                <w:sz w:val="24"/>
                <w:szCs w:val="24"/>
              </w:rPr>
            </w:pPr>
            <w:r w:rsidRPr="00850B76">
              <w:rPr>
                <w:rFonts w:ascii="Times New Roman" w:hAnsi="Times New Roman"/>
                <w:b/>
                <w:color w:val="000000"/>
                <w:sz w:val="24"/>
                <w:szCs w:val="24"/>
              </w:rPr>
              <w:lastRenderedPageBreak/>
              <w:t xml:space="preserve">II. </w:t>
            </w:r>
            <w:r w:rsidR="00C60FF7" w:rsidRPr="00C60FF7">
              <w:rPr>
                <w:rFonts w:ascii="Times New Roman" w:hAnsi="Times New Roman"/>
                <w:b/>
                <w:sz w:val="24"/>
                <w:szCs w:val="24"/>
              </w:rPr>
              <w:t>Tiesību akta projekta ietekme uz sabiedrību</w:t>
            </w:r>
          </w:p>
          <w:p w:rsidR="00262F64" w:rsidRPr="00850B76" w:rsidRDefault="00262F64" w:rsidP="009242CD">
            <w:pPr>
              <w:spacing w:after="0" w:line="240" w:lineRule="auto"/>
              <w:jc w:val="center"/>
              <w:rPr>
                <w:rFonts w:ascii="Times New Roman" w:hAnsi="Times New Roman"/>
                <w:b/>
                <w:color w:val="000000"/>
                <w:sz w:val="24"/>
                <w:szCs w:val="24"/>
              </w:rPr>
            </w:pPr>
          </w:p>
        </w:tc>
      </w:tr>
      <w:tr w:rsidR="001772B3" w:rsidRPr="00850B76" w:rsidTr="00BA0394">
        <w:tc>
          <w:tcPr>
            <w:tcW w:w="2835" w:type="dxa"/>
            <w:tcBorders>
              <w:top w:val="single" w:sz="4" w:space="0" w:color="auto"/>
              <w:left w:val="single" w:sz="4" w:space="0" w:color="auto"/>
              <w:bottom w:val="single" w:sz="4" w:space="0" w:color="auto"/>
              <w:right w:val="single" w:sz="4" w:space="0" w:color="auto"/>
            </w:tcBorders>
            <w:hideMark/>
          </w:tcPr>
          <w:p w:rsidR="001772B3" w:rsidRPr="00056DF2" w:rsidRDefault="001772B3" w:rsidP="00BA0394">
            <w:pPr>
              <w:spacing w:after="0" w:line="240" w:lineRule="auto"/>
              <w:ind w:firstLine="34"/>
              <w:jc w:val="both"/>
              <w:rPr>
                <w:rFonts w:ascii="Times New Roman" w:hAnsi="Times New Roman"/>
                <w:color w:val="000000"/>
                <w:sz w:val="24"/>
                <w:szCs w:val="24"/>
              </w:rPr>
            </w:pPr>
            <w:r w:rsidRPr="00056DF2">
              <w:rPr>
                <w:rFonts w:ascii="Times New Roman" w:hAnsi="Times New Roman"/>
                <w:color w:val="000000"/>
                <w:sz w:val="24"/>
                <w:szCs w:val="24"/>
              </w:rPr>
              <w:t xml:space="preserve">1. </w:t>
            </w:r>
            <w:r w:rsidR="00C60FF7" w:rsidRPr="00056DF2">
              <w:rPr>
                <w:rFonts w:ascii="Times New Roman" w:hAnsi="Times New Roman"/>
                <w:sz w:val="24"/>
                <w:szCs w:val="24"/>
              </w:rPr>
              <w:t>Sabiedrības mērķgrupa</w:t>
            </w:r>
          </w:p>
        </w:tc>
        <w:tc>
          <w:tcPr>
            <w:tcW w:w="6237" w:type="dxa"/>
            <w:tcBorders>
              <w:top w:val="single" w:sz="4" w:space="0" w:color="auto"/>
              <w:left w:val="single" w:sz="4" w:space="0" w:color="auto"/>
              <w:bottom w:val="single" w:sz="4" w:space="0" w:color="auto"/>
              <w:right w:val="single" w:sz="4" w:space="0" w:color="auto"/>
            </w:tcBorders>
            <w:vAlign w:val="center"/>
            <w:hideMark/>
          </w:tcPr>
          <w:p w:rsidR="00812033" w:rsidRDefault="00517FDA" w:rsidP="009242CD">
            <w:pPr>
              <w:spacing w:after="0" w:line="240" w:lineRule="auto"/>
              <w:ind w:firstLine="601"/>
              <w:jc w:val="both"/>
              <w:rPr>
                <w:rFonts w:ascii="Times New Roman" w:hAnsi="Times New Roman"/>
                <w:sz w:val="24"/>
                <w:szCs w:val="24"/>
              </w:rPr>
            </w:pPr>
            <w:r>
              <w:rPr>
                <w:rFonts w:ascii="Times New Roman" w:hAnsi="Times New Roman"/>
                <w:sz w:val="24"/>
                <w:szCs w:val="24"/>
              </w:rPr>
              <w:t>Noteikumu p</w:t>
            </w:r>
            <w:r w:rsidR="0018196A">
              <w:rPr>
                <w:rFonts w:ascii="Times New Roman" w:hAnsi="Times New Roman"/>
                <w:sz w:val="24"/>
                <w:szCs w:val="24"/>
              </w:rPr>
              <w:t xml:space="preserve">rojekts </w:t>
            </w:r>
            <w:r w:rsidR="0018196A" w:rsidRPr="00B30FB5">
              <w:rPr>
                <w:rFonts w:ascii="Times New Roman" w:hAnsi="Times New Roman"/>
                <w:sz w:val="24"/>
                <w:szCs w:val="24"/>
              </w:rPr>
              <w:t>attie</w:t>
            </w:r>
            <w:r w:rsidR="0018196A">
              <w:rPr>
                <w:rFonts w:ascii="Times New Roman" w:hAnsi="Times New Roman"/>
                <w:sz w:val="24"/>
                <w:szCs w:val="24"/>
              </w:rPr>
              <w:t>cas</w:t>
            </w:r>
            <w:r w:rsidR="0018196A" w:rsidRPr="00B30FB5">
              <w:rPr>
                <w:rFonts w:ascii="Times New Roman" w:hAnsi="Times New Roman"/>
                <w:sz w:val="24"/>
                <w:szCs w:val="24"/>
              </w:rPr>
              <w:t xml:space="preserve"> </w:t>
            </w:r>
            <w:r w:rsidR="0018196A">
              <w:rPr>
                <w:rFonts w:ascii="Times New Roman" w:hAnsi="Times New Roman"/>
                <w:sz w:val="24"/>
                <w:szCs w:val="24"/>
              </w:rPr>
              <w:t xml:space="preserve">uz </w:t>
            </w:r>
            <w:r w:rsidR="0020727F">
              <w:rPr>
                <w:rFonts w:ascii="Times New Roman" w:hAnsi="Times New Roman"/>
                <w:sz w:val="24"/>
                <w:szCs w:val="24"/>
              </w:rPr>
              <w:t xml:space="preserve">energoapgādes komersantiem, </w:t>
            </w:r>
            <w:r w:rsidR="00C44F37">
              <w:rPr>
                <w:rFonts w:ascii="Times New Roman" w:hAnsi="Times New Roman"/>
                <w:sz w:val="24"/>
                <w:szCs w:val="24"/>
              </w:rPr>
              <w:t>tajā skaitā</w:t>
            </w:r>
            <w:r w:rsidR="00CB4E22">
              <w:rPr>
                <w:rFonts w:ascii="Times New Roman" w:hAnsi="Times New Roman"/>
                <w:sz w:val="24"/>
                <w:szCs w:val="24"/>
              </w:rPr>
              <w:t>, valsts pārvaldes iestādēm</w:t>
            </w:r>
            <w:r w:rsidR="00C44F37">
              <w:rPr>
                <w:rFonts w:ascii="Times New Roman" w:hAnsi="Times New Roman"/>
                <w:sz w:val="24"/>
                <w:szCs w:val="24"/>
              </w:rPr>
              <w:t xml:space="preserve"> un pašvaldībām kā šo komersantu kapitāla daļu vai akciju turētājiem.</w:t>
            </w:r>
            <w:r w:rsidR="002936BF">
              <w:rPr>
                <w:rFonts w:ascii="Times New Roman" w:hAnsi="Times New Roman"/>
                <w:sz w:val="24"/>
                <w:szCs w:val="24"/>
              </w:rPr>
              <w:t xml:space="preserve"> Mērķauditorijas skaitlisko lielumu nav iespējams noteikt, jo nav prognozējams, cik nekustamos īpašumus nākotnē būs nepieciešams atsavināt Sabiedrības vajadzībām nepieciešamā nekustamā īpašuma atsavināšanas likumā paredzētajā kārtībā energoapgādes objektu ierīkošanai vai rekonstrukcijai.</w:t>
            </w:r>
          </w:p>
          <w:p w:rsidR="00262F64" w:rsidRPr="00247B3C" w:rsidRDefault="00262F64" w:rsidP="009242CD">
            <w:pPr>
              <w:spacing w:after="0" w:line="240" w:lineRule="auto"/>
              <w:ind w:firstLine="601"/>
              <w:jc w:val="both"/>
              <w:rPr>
                <w:rFonts w:ascii="Times New Roman" w:hAnsi="Times New Roman"/>
                <w:sz w:val="24"/>
                <w:szCs w:val="24"/>
              </w:rPr>
            </w:pPr>
          </w:p>
        </w:tc>
      </w:tr>
      <w:tr w:rsidR="001772B3" w:rsidRPr="00850B76" w:rsidTr="00BA0394">
        <w:tc>
          <w:tcPr>
            <w:tcW w:w="2835" w:type="dxa"/>
            <w:tcBorders>
              <w:top w:val="single" w:sz="4" w:space="0" w:color="auto"/>
              <w:left w:val="single" w:sz="4" w:space="0" w:color="auto"/>
              <w:bottom w:val="single" w:sz="4" w:space="0" w:color="auto"/>
              <w:right w:val="single" w:sz="4" w:space="0" w:color="auto"/>
            </w:tcBorders>
            <w:hideMark/>
          </w:tcPr>
          <w:p w:rsidR="001772B3" w:rsidRPr="00056DF2" w:rsidRDefault="001772B3" w:rsidP="00BA0394">
            <w:pPr>
              <w:spacing w:after="0" w:line="240" w:lineRule="auto"/>
              <w:ind w:firstLine="34"/>
              <w:jc w:val="both"/>
              <w:rPr>
                <w:rFonts w:ascii="Times New Roman" w:hAnsi="Times New Roman"/>
                <w:color w:val="000000"/>
                <w:sz w:val="24"/>
                <w:szCs w:val="24"/>
              </w:rPr>
            </w:pPr>
            <w:r w:rsidRPr="00056DF2">
              <w:rPr>
                <w:rFonts w:ascii="Times New Roman" w:hAnsi="Times New Roman"/>
                <w:color w:val="000000"/>
                <w:sz w:val="24"/>
                <w:szCs w:val="24"/>
              </w:rPr>
              <w:t xml:space="preserve">2. </w:t>
            </w:r>
            <w:r w:rsidR="00C60FF7" w:rsidRPr="00056DF2">
              <w:rPr>
                <w:rFonts w:ascii="Times New Roman" w:hAnsi="Times New Roman"/>
                <w:sz w:val="24"/>
                <w:szCs w:val="24"/>
              </w:rPr>
              <w:t>Citas sabiedrības grupas (bez mērķgrupas), kuras tiesiskais regulējums arī ietekmē vai varētu ietekm</w:t>
            </w:r>
            <w:r w:rsidR="00056DF2" w:rsidRPr="00056DF2">
              <w:rPr>
                <w:rFonts w:ascii="Times New Roman" w:hAnsi="Times New Roman"/>
                <w:sz w:val="24"/>
                <w:szCs w:val="24"/>
              </w:rPr>
              <w:t>ēt</w:t>
            </w:r>
          </w:p>
        </w:tc>
        <w:tc>
          <w:tcPr>
            <w:tcW w:w="6237" w:type="dxa"/>
            <w:tcBorders>
              <w:top w:val="single" w:sz="4" w:space="0" w:color="auto"/>
              <w:left w:val="single" w:sz="4" w:space="0" w:color="auto"/>
              <w:bottom w:val="single" w:sz="4" w:space="0" w:color="auto"/>
              <w:right w:val="single" w:sz="4" w:space="0" w:color="auto"/>
            </w:tcBorders>
            <w:vAlign w:val="center"/>
            <w:hideMark/>
          </w:tcPr>
          <w:p w:rsidR="00812033" w:rsidRDefault="00234C9F" w:rsidP="009242CD">
            <w:pPr>
              <w:spacing w:after="0" w:line="240" w:lineRule="auto"/>
              <w:ind w:firstLine="601"/>
              <w:jc w:val="both"/>
              <w:rPr>
                <w:rFonts w:ascii="Times New Roman" w:hAnsi="Times New Roman"/>
                <w:sz w:val="24"/>
                <w:szCs w:val="24"/>
              </w:rPr>
            </w:pPr>
            <w:r w:rsidRPr="00234C9F">
              <w:rPr>
                <w:rFonts w:ascii="Times New Roman" w:hAnsi="Times New Roman"/>
                <w:color w:val="000000"/>
                <w:sz w:val="24"/>
                <w:szCs w:val="24"/>
              </w:rPr>
              <w:t>Noteikumu projektā</w:t>
            </w:r>
            <w:r>
              <w:rPr>
                <w:rFonts w:ascii="Times New Roman" w:hAnsi="Times New Roman"/>
                <w:color w:val="000000"/>
                <w:sz w:val="24"/>
                <w:szCs w:val="24"/>
              </w:rPr>
              <w:t xml:space="preserve"> iekļautais regulējums ietekmē arī tās personas, no kurām tiks atsavināti nekustamie īpašumi energoapgādes objektu ierīkošanai vai rekonstrukcijai</w:t>
            </w:r>
            <w:r w:rsidR="0083399D">
              <w:rPr>
                <w:rFonts w:ascii="Times New Roman" w:hAnsi="Times New Roman"/>
                <w:color w:val="000000"/>
                <w:sz w:val="24"/>
                <w:szCs w:val="24"/>
              </w:rPr>
              <w:t xml:space="preserve">. </w:t>
            </w:r>
            <w:r w:rsidR="00517FDA">
              <w:rPr>
                <w:rFonts w:ascii="Times New Roman" w:hAnsi="Times New Roman"/>
                <w:sz w:val="24"/>
                <w:szCs w:val="24"/>
              </w:rPr>
              <w:t xml:space="preserve">Mērķauditorijas skaitlisko lielumu nav iespējams noteikt, jo nav prognozējams, cik nekustamos īpašumus nākotnē būs nepieciešams atsavināt Sabiedrības vajadzībām nepieciešamā nekustamā īpašuma atsavināšanas likumā paredzētajā kārtībā energoapgādes objektu ierīkošanai vai rekonstrukcijai. </w:t>
            </w:r>
          </w:p>
          <w:p w:rsidR="00262F64" w:rsidRPr="009242CD" w:rsidRDefault="00262F64" w:rsidP="009242CD">
            <w:pPr>
              <w:spacing w:after="0" w:line="240" w:lineRule="auto"/>
              <w:ind w:firstLine="601"/>
              <w:jc w:val="both"/>
              <w:rPr>
                <w:rFonts w:ascii="Times New Roman" w:hAnsi="Times New Roman"/>
                <w:sz w:val="24"/>
                <w:szCs w:val="24"/>
              </w:rPr>
            </w:pPr>
          </w:p>
        </w:tc>
      </w:tr>
      <w:tr w:rsidR="001772B3" w:rsidRPr="00850B76" w:rsidTr="00BA0394">
        <w:tc>
          <w:tcPr>
            <w:tcW w:w="2835" w:type="dxa"/>
            <w:tcBorders>
              <w:top w:val="single" w:sz="4" w:space="0" w:color="auto"/>
              <w:left w:val="single" w:sz="4" w:space="0" w:color="auto"/>
              <w:bottom w:val="single" w:sz="4" w:space="0" w:color="auto"/>
              <w:right w:val="single" w:sz="4" w:space="0" w:color="auto"/>
            </w:tcBorders>
            <w:hideMark/>
          </w:tcPr>
          <w:p w:rsidR="001772B3" w:rsidRPr="00056DF2" w:rsidRDefault="001772B3" w:rsidP="00BA0394">
            <w:pPr>
              <w:spacing w:after="0" w:line="240" w:lineRule="auto"/>
              <w:ind w:firstLine="34"/>
              <w:jc w:val="both"/>
              <w:rPr>
                <w:rFonts w:ascii="Times New Roman" w:hAnsi="Times New Roman"/>
                <w:color w:val="000000"/>
                <w:sz w:val="24"/>
                <w:szCs w:val="24"/>
              </w:rPr>
            </w:pPr>
            <w:r w:rsidRPr="00056DF2">
              <w:rPr>
                <w:rFonts w:ascii="Times New Roman" w:hAnsi="Times New Roman"/>
                <w:color w:val="000000"/>
                <w:sz w:val="24"/>
                <w:szCs w:val="24"/>
              </w:rPr>
              <w:t xml:space="preserve">3. </w:t>
            </w:r>
            <w:r w:rsidR="00056DF2" w:rsidRPr="00056DF2">
              <w:rPr>
                <w:rFonts w:ascii="Times New Roman" w:hAnsi="Times New Roman"/>
                <w:sz w:val="24"/>
                <w:szCs w:val="24"/>
              </w:rPr>
              <w:t xml:space="preserve">Tiesiskā regulējuma </w:t>
            </w:r>
            <w:r w:rsidR="00056DF2" w:rsidRPr="00056DF2">
              <w:rPr>
                <w:rFonts w:ascii="Times New Roman" w:hAnsi="Times New Roman"/>
                <w:sz w:val="24"/>
                <w:szCs w:val="24"/>
              </w:rPr>
              <w:lastRenderedPageBreak/>
              <w:t>finansiālā ietekme</w:t>
            </w:r>
          </w:p>
        </w:tc>
        <w:tc>
          <w:tcPr>
            <w:tcW w:w="6237" w:type="dxa"/>
            <w:tcBorders>
              <w:top w:val="single" w:sz="4" w:space="0" w:color="auto"/>
              <w:left w:val="single" w:sz="4" w:space="0" w:color="auto"/>
              <w:bottom w:val="single" w:sz="4" w:space="0" w:color="auto"/>
              <w:right w:val="single" w:sz="4" w:space="0" w:color="auto"/>
            </w:tcBorders>
            <w:vAlign w:val="center"/>
            <w:hideMark/>
          </w:tcPr>
          <w:p w:rsidR="00812033" w:rsidRDefault="003163C8" w:rsidP="009242CD">
            <w:pPr>
              <w:spacing w:after="0" w:line="240" w:lineRule="auto"/>
              <w:ind w:firstLine="601"/>
              <w:jc w:val="both"/>
              <w:rPr>
                <w:rFonts w:ascii="Times New Roman" w:hAnsi="Times New Roman"/>
                <w:color w:val="000000"/>
                <w:sz w:val="24"/>
                <w:szCs w:val="24"/>
              </w:rPr>
            </w:pPr>
            <w:r>
              <w:rPr>
                <w:rFonts w:ascii="Times New Roman" w:hAnsi="Times New Roman"/>
                <w:color w:val="000000"/>
                <w:sz w:val="24"/>
                <w:szCs w:val="24"/>
              </w:rPr>
              <w:lastRenderedPageBreak/>
              <w:t xml:space="preserve">Nav iespējams noteikt. </w:t>
            </w:r>
            <w:r w:rsidR="00A77D17">
              <w:rPr>
                <w:rFonts w:ascii="Times New Roman" w:hAnsi="Times New Roman"/>
                <w:color w:val="000000"/>
                <w:sz w:val="24"/>
                <w:szCs w:val="24"/>
              </w:rPr>
              <w:t xml:space="preserve">Finansiālā ietekme ir atkarīga no </w:t>
            </w:r>
            <w:r w:rsidR="00A77D17">
              <w:rPr>
                <w:rFonts w:ascii="Times New Roman" w:hAnsi="Times New Roman"/>
                <w:color w:val="000000"/>
                <w:sz w:val="24"/>
                <w:szCs w:val="24"/>
              </w:rPr>
              <w:lastRenderedPageBreak/>
              <w:t xml:space="preserve">tā, cik daudz nekustamos īpašumus būs nepieciešams atsavināt. </w:t>
            </w:r>
            <w:r>
              <w:rPr>
                <w:rFonts w:ascii="Times New Roman" w:hAnsi="Times New Roman"/>
                <w:color w:val="000000"/>
                <w:sz w:val="24"/>
                <w:szCs w:val="24"/>
              </w:rPr>
              <w:t>Atlīdzība par atsavināmo nekustamo īpašumu būs atkarīga no konkrētā nekustamā īpašuma vērtības un nekustamā īpašuma īpašniekam ar nekustamā īpašuma atsavināšanu nodarīto zaudējumu apmēra.</w:t>
            </w:r>
          </w:p>
          <w:p w:rsidR="00262F64" w:rsidRPr="0018196A" w:rsidRDefault="00262F64" w:rsidP="009242CD">
            <w:pPr>
              <w:spacing w:after="0" w:line="240" w:lineRule="auto"/>
              <w:ind w:firstLine="601"/>
              <w:jc w:val="both"/>
              <w:rPr>
                <w:rFonts w:ascii="Times New Roman" w:hAnsi="Times New Roman"/>
                <w:color w:val="000000"/>
                <w:sz w:val="24"/>
                <w:szCs w:val="24"/>
              </w:rPr>
            </w:pPr>
          </w:p>
        </w:tc>
      </w:tr>
      <w:tr w:rsidR="001772B3" w:rsidRPr="00850B76" w:rsidTr="00BA0394">
        <w:tc>
          <w:tcPr>
            <w:tcW w:w="2835" w:type="dxa"/>
            <w:tcBorders>
              <w:top w:val="single" w:sz="4" w:space="0" w:color="auto"/>
              <w:left w:val="single" w:sz="4" w:space="0" w:color="auto"/>
              <w:bottom w:val="single" w:sz="4" w:space="0" w:color="auto"/>
              <w:right w:val="single" w:sz="4" w:space="0" w:color="auto"/>
            </w:tcBorders>
            <w:hideMark/>
          </w:tcPr>
          <w:p w:rsidR="001772B3" w:rsidRPr="00056DF2" w:rsidRDefault="001772B3" w:rsidP="00BA0394">
            <w:pPr>
              <w:spacing w:after="0" w:line="240" w:lineRule="auto"/>
              <w:ind w:firstLine="34"/>
              <w:jc w:val="both"/>
              <w:rPr>
                <w:rFonts w:ascii="Times New Roman" w:hAnsi="Times New Roman"/>
                <w:color w:val="000000"/>
                <w:sz w:val="24"/>
                <w:szCs w:val="24"/>
              </w:rPr>
            </w:pPr>
            <w:r w:rsidRPr="00056DF2">
              <w:rPr>
                <w:rFonts w:ascii="Times New Roman" w:hAnsi="Times New Roman"/>
                <w:color w:val="000000"/>
                <w:sz w:val="24"/>
                <w:szCs w:val="24"/>
              </w:rPr>
              <w:lastRenderedPageBreak/>
              <w:t xml:space="preserve">4. </w:t>
            </w:r>
            <w:r w:rsidR="00056DF2" w:rsidRPr="00056DF2">
              <w:rPr>
                <w:rFonts w:ascii="Times New Roman" w:hAnsi="Times New Roman"/>
                <w:sz w:val="24"/>
                <w:szCs w:val="24"/>
              </w:rPr>
              <w:t>Tiesiskā regulējuma nefinansiālā ietekme</w:t>
            </w:r>
          </w:p>
        </w:tc>
        <w:tc>
          <w:tcPr>
            <w:tcW w:w="6237" w:type="dxa"/>
            <w:tcBorders>
              <w:top w:val="single" w:sz="4" w:space="0" w:color="auto"/>
              <w:left w:val="single" w:sz="4" w:space="0" w:color="auto"/>
              <w:bottom w:val="single" w:sz="4" w:space="0" w:color="auto"/>
              <w:right w:val="single" w:sz="4" w:space="0" w:color="auto"/>
            </w:tcBorders>
            <w:vAlign w:val="center"/>
            <w:hideMark/>
          </w:tcPr>
          <w:p w:rsidR="00812033" w:rsidRDefault="00387806" w:rsidP="009242CD">
            <w:pPr>
              <w:spacing w:after="0" w:line="240" w:lineRule="auto"/>
              <w:ind w:firstLine="601"/>
              <w:jc w:val="both"/>
              <w:rPr>
                <w:rFonts w:ascii="Times New Roman" w:hAnsi="Times New Roman"/>
                <w:iCs/>
                <w:sz w:val="24"/>
                <w:szCs w:val="24"/>
              </w:rPr>
            </w:pPr>
            <w:r>
              <w:rPr>
                <w:rFonts w:ascii="Times New Roman" w:hAnsi="Times New Roman"/>
                <w:iCs/>
                <w:sz w:val="24"/>
                <w:szCs w:val="24"/>
              </w:rPr>
              <w:t>Tiks paredzēta jauna kārtība, kādā nosakāma atlīdzība par nekustamā īpašuma atsavināšanu</w:t>
            </w:r>
            <w:r w:rsidR="00FE68C2">
              <w:rPr>
                <w:rFonts w:ascii="Times New Roman" w:hAnsi="Times New Roman"/>
                <w:iCs/>
                <w:sz w:val="24"/>
                <w:szCs w:val="24"/>
              </w:rPr>
              <w:t xml:space="preserve"> sabiedrības vajadzībām</w:t>
            </w:r>
            <w:r>
              <w:rPr>
                <w:rFonts w:ascii="Times New Roman" w:hAnsi="Times New Roman"/>
                <w:iCs/>
                <w:sz w:val="24"/>
                <w:szCs w:val="24"/>
              </w:rPr>
              <w:t>, kas nodrošinās</w:t>
            </w:r>
            <w:r w:rsidR="000270CD">
              <w:rPr>
                <w:rFonts w:ascii="Times New Roman" w:hAnsi="Times New Roman"/>
                <w:iCs/>
                <w:sz w:val="24"/>
                <w:szCs w:val="24"/>
              </w:rPr>
              <w:t xml:space="preserve"> arī nekustamā īpašuma īpašnieka iesaistīšanu atlīdzības noteikšanā</w:t>
            </w:r>
            <w:r w:rsidR="00A7629C">
              <w:rPr>
                <w:rFonts w:ascii="Times New Roman" w:hAnsi="Times New Roman"/>
                <w:iCs/>
                <w:sz w:val="24"/>
                <w:szCs w:val="24"/>
              </w:rPr>
              <w:t xml:space="preserve">, garantējot </w:t>
            </w:r>
            <w:r w:rsidR="0098127F">
              <w:rPr>
                <w:rFonts w:ascii="Times New Roman" w:hAnsi="Times New Roman"/>
                <w:iCs/>
                <w:sz w:val="24"/>
                <w:szCs w:val="24"/>
              </w:rPr>
              <w:t>taisnīgas atlīdz</w:t>
            </w:r>
            <w:r w:rsidR="0007389E">
              <w:rPr>
                <w:rFonts w:ascii="Times New Roman" w:hAnsi="Times New Roman"/>
                <w:iCs/>
                <w:sz w:val="24"/>
                <w:szCs w:val="24"/>
              </w:rPr>
              <w:t>ība</w:t>
            </w:r>
            <w:r w:rsidR="0098127F">
              <w:rPr>
                <w:rFonts w:ascii="Times New Roman" w:hAnsi="Times New Roman"/>
                <w:iCs/>
                <w:sz w:val="24"/>
                <w:szCs w:val="24"/>
              </w:rPr>
              <w:t>s</w:t>
            </w:r>
            <w:r w:rsidR="0007389E">
              <w:rPr>
                <w:rFonts w:ascii="Times New Roman" w:hAnsi="Times New Roman"/>
                <w:iCs/>
                <w:sz w:val="24"/>
                <w:szCs w:val="24"/>
              </w:rPr>
              <w:t xml:space="preserve"> </w:t>
            </w:r>
            <w:r w:rsidR="0098127F">
              <w:rPr>
                <w:rFonts w:ascii="Times New Roman" w:hAnsi="Times New Roman"/>
                <w:iCs/>
                <w:sz w:val="24"/>
                <w:szCs w:val="24"/>
              </w:rPr>
              <w:t>noteikšanu.</w:t>
            </w:r>
          </w:p>
          <w:p w:rsidR="00262F64" w:rsidRPr="009242CD" w:rsidRDefault="00262F64" w:rsidP="009242CD">
            <w:pPr>
              <w:spacing w:after="0" w:line="240" w:lineRule="auto"/>
              <w:ind w:firstLine="601"/>
              <w:jc w:val="both"/>
              <w:rPr>
                <w:rFonts w:ascii="Times New Roman" w:hAnsi="Times New Roman"/>
                <w:iCs/>
                <w:sz w:val="24"/>
                <w:szCs w:val="24"/>
              </w:rPr>
            </w:pPr>
          </w:p>
        </w:tc>
      </w:tr>
      <w:tr w:rsidR="00056DF2" w:rsidRPr="00850B76" w:rsidTr="00BA0394">
        <w:tc>
          <w:tcPr>
            <w:tcW w:w="2835" w:type="dxa"/>
            <w:tcBorders>
              <w:top w:val="single" w:sz="4" w:space="0" w:color="auto"/>
              <w:left w:val="single" w:sz="4" w:space="0" w:color="auto"/>
              <w:bottom w:val="single" w:sz="4" w:space="0" w:color="auto"/>
              <w:right w:val="single" w:sz="4" w:space="0" w:color="auto"/>
            </w:tcBorders>
            <w:hideMark/>
          </w:tcPr>
          <w:p w:rsidR="00056DF2" w:rsidRPr="00056DF2" w:rsidRDefault="00056DF2" w:rsidP="00BA0394">
            <w:pPr>
              <w:spacing w:after="0" w:line="240" w:lineRule="auto"/>
              <w:ind w:firstLine="34"/>
              <w:jc w:val="both"/>
              <w:rPr>
                <w:rFonts w:ascii="Times New Roman" w:hAnsi="Times New Roman"/>
                <w:color w:val="000000"/>
                <w:sz w:val="24"/>
                <w:szCs w:val="24"/>
              </w:rPr>
            </w:pPr>
            <w:r w:rsidRPr="00056DF2">
              <w:rPr>
                <w:rFonts w:ascii="Times New Roman" w:hAnsi="Times New Roman"/>
                <w:color w:val="000000"/>
                <w:sz w:val="24"/>
                <w:szCs w:val="24"/>
              </w:rPr>
              <w:t>5.</w:t>
            </w:r>
            <w:r w:rsidR="00DB08A5">
              <w:rPr>
                <w:rFonts w:ascii="Times New Roman" w:hAnsi="Times New Roman"/>
                <w:color w:val="000000"/>
                <w:sz w:val="24"/>
                <w:szCs w:val="24"/>
              </w:rPr>
              <w:t> </w:t>
            </w:r>
            <w:r w:rsidRPr="00056DF2">
              <w:rPr>
                <w:rFonts w:ascii="Times New Roman" w:hAnsi="Times New Roman"/>
                <w:sz w:val="24"/>
                <w:szCs w:val="24"/>
              </w:rPr>
              <w:t>Administratīvās procedūras raksturojums</w:t>
            </w:r>
          </w:p>
        </w:tc>
        <w:tc>
          <w:tcPr>
            <w:tcW w:w="6237" w:type="dxa"/>
            <w:tcBorders>
              <w:top w:val="single" w:sz="4" w:space="0" w:color="auto"/>
              <w:left w:val="single" w:sz="4" w:space="0" w:color="auto"/>
              <w:bottom w:val="single" w:sz="4" w:space="0" w:color="auto"/>
              <w:right w:val="single" w:sz="4" w:space="0" w:color="auto"/>
            </w:tcBorders>
            <w:vAlign w:val="center"/>
            <w:hideMark/>
          </w:tcPr>
          <w:p w:rsidR="00812033" w:rsidRDefault="006515BC" w:rsidP="009242CD">
            <w:pPr>
              <w:spacing w:after="0" w:line="240" w:lineRule="auto"/>
              <w:ind w:firstLine="601"/>
              <w:jc w:val="both"/>
              <w:rPr>
                <w:rFonts w:ascii="Times New Roman" w:hAnsi="Times New Roman"/>
                <w:iCs/>
                <w:sz w:val="24"/>
                <w:szCs w:val="24"/>
              </w:rPr>
            </w:pPr>
            <w:r>
              <w:rPr>
                <w:rFonts w:ascii="Times New Roman" w:hAnsi="Times New Roman"/>
                <w:iCs/>
                <w:sz w:val="24"/>
                <w:szCs w:val="24"/>
              </w:rPr>
              <w:t>Ja energoapgādes komersants nevarēs vienoties ar nekustamā īpašuma īpašnieku par nekustamā īpašuma atsavināšanu energoapg</w:t>
            </w:r>
            <w:r w:rsidR="00905736">
              <w:rPr>
                <w:rFonts w:ascii="Times New Roman" w:hAnsi="Times New Roman"/>
                <w:iCs/>
                <w:sz w:val="24"/>
                <w:szCs w:val="24"/>
              </w:rPr>
              <w:t>ādes komersantam, valsts pārvaldes iestāde</w:t>
            </w:r>
            <w:r>
              <w:rPr>
                <w:rFonts w:ascii="Times New Roman" w:hAnsi="Times New Roman"/>
                <w:iCs/>
                <w:sz w:val="24"/>
                <w:szCs w:val="24"/>
              </w:rPr>
              <w:t xml:space="preserve"> vai pašvaldība, kuras kompetencē ietilpst attiecīgo sabiedrības vajadzību (kuras realizē konkrētais energoapgādes komersants) </w:t>
            </w:r>
            <w:r w:rsidR="001477CD">
              <w:rPr>
                <w:rFonts w:ascii="Times New Roman" w:hAnsi="Times New Roman"/>
                <w:iCs/>
                <w:sz w:val="24"/>
                <w:szCs w:val="24"/>
              </w:rPr>
              <w:t>nodrošināšana, varēs virzīt nekustamā īpašuma atsavināšanu Sabiedrības vajadzībām nepiecie</w:t>
            </w:r>
            <w:r w:rsidR="00E738B0">
              <w:rPr>
                <w:rFonts w:ascii="Times New Roman" w:hAnsi="Times New Roman"/>
                <w:iCs/>
                <w:sz w:val="24"/>
                <w:szCs w:val="24"/>
              </w:rPr>
              <w:t>šamā</w:t>
            </w:r>
            <w:r w:rsidR="001477CD">
              <w:rPr>
                <w:rFonts w:ascii="Times New Roman" w:hAnsi="Times New Roman"/>
                <w:iCs/>
                <w:sz w:val="24"/>
                <w:szCs w:val="24"/>
              </w:rPr>
              <w:t xml:space="preserve"> nekustamā īpašuma atsavināšanas likumā paredzētajā kārtībā un attiecīgi šajā likumā un uz tā 20.panta otrās da</w:t>
            </w:r>
            <w:r w:rsidR="00E738B0">
              <w:rPr>
                <w:rFonts w:ascii="Times New Roman" w:hAnsi="Times New Roman"/>
                <w:iCs/>
                <w:sz w:val="24"/>
                <w:szCs w:val="24"/>
              </w:rPr>
              <w:t>ļas pamata izdotajos M</w:t>
            </w:r>
            <w:r w:rsidR="001477CD">
              <w:rPr>
                <w:rFonts w:ascii="Times New Roman" w:hAnsi="Times New Roman"/>
                <w:iCs/>
                <w:sz w:val="24"/>
                <w:szCs w:val="24"/>
              </w:rPr>
              <w:t xml:space="preserve">inistru kabineta noteikumos </w:t>
            </w:r>
            <w:r w:rsidR="00E738B0">
              <w:rPr>
                <w:rFonts w:ascii="Times New Roman" w:hAnsi="Times New Roman"/>
                <w:iCs/>
                <w:sz w:val="24"/>
                <w:szCs w:val="24"/>
              </w:rPr>
              <w:t>paredzētajā kārtīb</w:t>
            </w:r>
            <w:r w:rsidR="00905736">
              <w:rPr>
                <w:rFonts w:ascii="Times New Roman" w:hAnsi="Times New Roman"/>
                <w:iCs/>
                <w:sz w:val="24"/>
                <w:szCs w:val="24"/>
              </w:rPr>
              <w:t xml:space="preserve">ā noteikt </w:t>
            </w:r>
            <w:r w:rsidR="00E738B0">
              <w:rPr>
                <w:rFonts w:ascii="Times New Roman" w:hAnsi="Times New Roman"/>
                <w:iCs/>
                <w:sz w:val="24"/>
                <w:szCs w:val="24"/>
              </w:rPr>
              <w:t xml:space="preserve">un izmaksāt atlīdzību par </w:t>
            </w:r>
            <w:r w:rsidR="00905736">
              <w:rPr>
                <w:rFonts w:ascii="Times New Roman" w:hAnsi="Times New Roman"/>
                <w:iCs/>
                <w:sz w:val="24"/>
                <w:szCs w:val="24"/>
              </w:rPr>
              <w:t xml:space="preserve">atsavināmo </w:t>
            </w:r>
            <w:r w:rsidR="00E738B0">
              <w:rPr>
                <w:rFonts w:ascii="Times New Roman" w:hAnsi="Times New Roman"/>
                <w:iCs/>
                <w:sz w:val="24"/>
                <w:szCs w:val="24"/>
              </w:rPr>
              <w:t xml:space="preserve">nekustamo īpašumu. Atlīdzības noteikšanai būs nepieciešams izveidot komisiju, kas uzdos sertificētam nekustamā īpašuma vērtētājam novērtēt nekustamo īpašumu, kā arī uzdos speciālistiem vai pati aprēķinās ar atsavināšanu nodarītos zaudējumus. </w:t>
            </w:r>
            <w:r w:rsidR="00D66B34">
              <w:rPr>
                <w:rFonts w:ascii="Times New Roman" w:hAnsi="Times New Roman"/>
                <w:iCs/>
                <w:sz w:val="24"/>
                <w:szCs w:val="24"/>
              </w:rPr>
              <w:t>Gadījumā, ja atsavināšanu būs iespējams pabeigt uz vienošanās pamata ar nekustamā īpašuma īpašniek</w:t>
            </w:r>
            <w:r w:rsidR="00613EDB">
              <w:rPr>
                <w:rFonts w:ascii="Times New Roman" w:hAnsi="Times New Roman"/>
                <w:iCs/>
                <w:sz w:val="24"/>
                <w:szCs w:val="24"/>
              </w:rPr>
              <w:t>u</w:t>
            </w:r>
            <w:r w:rsidR="00613EDB">
              <w:t> –</w:t>
            </w:r>
            <w:r w:rsidR="00D66B34">
              <w:rPr>
                <w:rFonts w:ascii="Times New Roman" w:hAnsi="Times New Roman"/>
                <w:iCs/>
                <w:sz w:val="24"/>
                <w:szCs w:val="24"/>
              </w:rPr>
              <w:t xml:space="preserve"> atlīdzība tiks izmaksāta noslēgtajā līgumā paredzētajā kārtībā, bet ja nekustamā īpašuma atsavināšana notiks piespiedu kārtā uz atsevišķa</w:t>
            </w:r>
            <w:r w:rsidR="00E54E07">
              <w:rPr>
                <w:rFonts w:ascii="Times New Roman" w:hAnsi="Times New Roman"/>
                <w:iCs/>
                <w:sz w:val="24"/>
                <w:szCs w:val="24"/>
              </w:rPr>
              <w:t xml:space="preserve"> </w:t>
            </w:r>
            <w:r w:rsidR="00D9517F">
              <w:rPr>
                <w:rFonts w:ascii="Times New Roman" w:hAnsi="Times New Roman"/>
                <w:iCs/>
                <w:sz w:val="24"/>
                <w:szCs w:val="24"/>
              </w:rPr>
              <w:t xml:space="preserve">likuma </w:t>
            </w:r>
            <w:r w:rsidR="00E54E07">
              <w:rPr>
                <w:rFonts w:ascii="Times New Roman" w:hAnsi="Times New Roman"/>
                <w:iCs/>
                <w:sz w:val="24"/>
                <w:szCs w:val="24"/>
              </w:rPr>
              <w:t>pamata –</w:t>
            </w:r>
            <w:r w:rsidR="00D66B34">
              <w:rPr>
                <w:rFonts w:ascii="Times New Roman" w:hAnsi="Times New Roman"/>
                <w:iCs/>
                <w:sz w:val="24"/>
                <w:szCs w:val="24"/>
              </w:rPr>
              <w:t xml:space="preserve"> atlīdzība tiks izmaksāta Sabiedrības vajadzībām nepieciešama nekustamā īpašuma IV nodaļā paredzētajā kārtībā.</w:t>
            </w:r>
          </w:p>
          <w:p w:rsidR="00262F64" w:rsidRPr="009242CD" w:rsidRDefault="00262F64" w:rsidP="009242CD">
            <w:pPr>
              <w:spacing w:after="0" w:line="240" w:lineRule="auto"/>
              <w:ind w:firstLine="601"/>
              <w:jc w:val="both"/>
              <w:rPr>
                <w:rFonts w:ascii="Times New Roman" w:hAnsi="Times New Roman"/>
                <w:iCs/>
                <w:sz w:val="24"/>
                <w:szCs w:val="24"/>
              </w:rPr>
            </w:pPr>
          </w:p>
        </w:tc>
      </w:tr>
      <w:tr w:rsidR="00056DF2" w:rsidRPr="00850B76" w:rsidTr="00BA0394">
        <w:tc>
          <w:tcPr>
            <w:tcW w:w="2835" w:type="dxa"/>
            <w:tcBorders>
              <w:top w:val="single" w:sz="4" w:space="0" w:color="auto"/>
              <w:left w:val="single" w:sz="4" w:space="0" w:color="auto"/>
              <w:bottom w:val="single" w:sz="4" w:space="0" w:color="auto"/>
              <w:right w:val="single" w:sz="4" w:space="0" w:color="auto"/>
            </w:tcBorders>
            <w:hideMark/>
          </w:tcPr>
          <w:p w:rsidR="00056DF2" w:rsidRPr="00056DF2" w:rsidRDefault="00056DF2" w:rsidP="00BA0394">
            <w:pPr>
              <w:spacing w:after="0" w:line="240" w:lineRule="auto"/>
              <w:ind w:firstLine="34"/>
              <w:jc w:val="both"/>
              <w:rPr>
                <w:rFonts w:ascii="Times New Roman" w:hAnsi="Times New Roman"/>
                <w:color w:val="000000"/>
                <w:sz w:val="24"/>
                <w:szCs w:val="24"/>
              </w:rPr>
            </w:pPr>
            <w:r w:rsidRPr="00056DF2">
              <w:rPr>
                <w:rFonts w:ascii="Times New Roman" w:hAnsi="Times New Roman"/>
                <w:color w:val="000000"/>
                <w:sz w:val="24"/>
                <w:szCs w:val="24"/>
              </w:rPr>
              <w:t xml:space="preserve">6. </w:t>
            </w:r>
            <w:r w:rsidRPr="00056DF2">
              <w:rPr>
                <w:rFonts w:ascii="Times New Roman" w:hAnsi="Times New Roman"/>
                <w:sz w:val="24"/>
                <w:szCs w:val="24"/>
              </w:rPr>
              <w:t>Administratīvo izmaksu monetārs novērtējums</w:t>
            </w:r>
          </w:p>
        </w:tc>
        <w:tc>
          <w:tcPr>
            <w:tcW w:w="6237" w:type="dxa"/>
            <w:tcBorders>
              <w:top w:val="single" w:sz="4" w:space="0" w:color="auto"/>
              <w:left w:val="single" w:sz="4" w:space="0" w:color="auto"/>
              <w:bottom w:val="single" w:sz="4" w:space="0" w:color="auto"/>
              <w:right w:val="single" w:sz="4" w:space="0" w:color="auto"/>
            </w:tcBorders>
            <w:vAlign w:val="center"/>
            <w:hideMark/>
          </w:tcPr>
          <w:p w:rsidR="00056DF2" w:rsidRPr="0018196A" w:rsidRDefault="0018196A" w:rsidP="006F60D5">
            <w:pPr>
              <w:spacing w:after="0" w:line="240" w:lineRule="auto"/>
              <w:ind w:firstLine="459"/>
              <w:rPr>
                <w:rFonts w:ascii="Times New Roman" w:hAnsi="Times New Roman"/>
                <w:color w:val="000000"/>
                <w:sz w:val="24"/>
                <w:szCs w:val="24"/>
              </w:rPr>
            </w:pPr>
            <w:r w:rsidRPr="0018196A">
              <w:rPr>
                <w:rFonts w:ascii="Times New Roman" w:hAnsi="Times New Roman"/>
                <w:color w:val="000000"/>
                <w:sz w:val="24"/>
                <w:szCs w:val="24"/>
              </w:rPr>
              <w:t>Nav attiecināms</w:t>
            </w:r>
            <w:r w:rsidRPr="0018196A">
              <w:rPr>
                <w:rFonts w:ascii="Times New Roman" w:hAnsi="Times New Roman"/>
                <w:sz w:val="24"/>
                <w:szCs w:val="24"/>
              </w:rPr>
              <w:t>.</w:t>
            </w:r>
          </w:p>
        </w:tc>
      </w:tr>
      <w:tr w:rsidR="00056DF2" w:rsidRPr="00850B76" w:rsidTr="00BA0394">
        <w:tc>
          <w:tcPr>
            <w:tcW w:w="2835" w:type="dxa"/>
            <w:tcBorders>
              <w:top w:val="single" w:sz="4" w:space="0" w:color="auto"/>
              <w:left w:val="single" w:sz="4" w:space="0" w:color="auto"/>
              <w:bottom w:val="single" w:sz="4" w:space="0" w:color="auto"/>
              <w:right w:val="single" w:sz="4" w:space="0" w:color="auto"/>
            </w:tcBorders>
            <w:hideMark/>
          </w:tcPr>
          <w:p w:rsidR="00056DF2" w:rsidRPr="00056DF2" w:rsidRDefault="00056DF2" w:rsidP="00BA0394">
            <w:pPr>
              <w:spacing w:after="0" w:line="240" w:lineRule="auto"/>
              <w:ind w:firstLine="34"/>
              <w:jc w:val="both"/>
              <w:rPr>
                <w:rFonts w:ascii="Times New Roman" w:hAnsi="Times New Roman"/>
                <w:color w:val="000000"/>
                <w:sz w:val="24"/>
                <w:szCs w:val="24"/>
              </w:rPr>
            </w:pPr>
            <w:r w:rsidRPr="00056DF2">
              <w:rPr>
                <w:rFonts w:ascii="Times New Roman" w:hAnsi="Times New Roman"/>
                <w:color w:val="000000"/>
                <w:sz w:val="24"/>
                <w:szCs w:val="24"/>
              </w:rPr>
              <w:t xml:space="preserve">7. </w:t>
            </w:r>
            <w:r w:rsidRPr="00056DF2">
              <w:rPr>
                <w:rFonts w:ascii="Times New Roman" w:hAnsi="Times New Roman"/>
                <w:sz w:val="24"/>
                <w:szCs w:val="24"/>
              </w:rPr>
              <w:t>Cita informācija</w:t>
            </w:r>
          </w:p>
        </w:tc>
        <w:tc>
          <w:tcPr>
            <w:tcW w:w="6237" w:type="dxa"/>
            <w:tcBorders>
              <w:top w:val="single" w:sz="4" w:space="0" w:color="auto"/>
              <w:left w:val="single" w:sz="4" w:space="0" w:color="auto"/>
              <w:bottom w:val="single" w:sz="4" w:space="0" w:color="auto"/>
              <w:right w:val="single" w:sz="4" w:space="0" w:color="auto"/>
            </w:tcBorders>
            <w:vAlign w:val="center"/>
            <w:hideMark/>
          </w:tcPr>
          <w:p w:rsidR="00056DF2" w:rsidRPr="009C5391" w:rsidRDefault="0018196A" w:rsidP="006F60D5">
            <w:pPr>
              <w:spacing w:after="0" w:line="240" w:lineRule="auto"/>
              <w:ind w:firstLine="459"/>
              <w:rPr>
                <w:rFonts w:ascii="Times New Roman" w:hAnsi="Times New Roman"/>
                <w:color w:val="000000"/>
                <w:sz w:val="24"/>
                <w:szCs w:val="24"/>
              </w:rPr>
            </w:pPr>
            <w:r>
              <w:rPr>
                <w:rFonts w:ascii="Times New Roman" w:hAnsi="Times New Roman"/>
                <w:color w:val="000000"/>
                <w:sz w:val="24"/>
                <w:szCs w:val="24"/>
              </w:rPr>
              <w:t>Nav</w:t>
            </w:r>
            <w:r w:rsidRPr="00850B76">
              <w:rPr>
                <w:rFonts w:ascii="Times New Roman" w:hAnsi="Times New Roman"/>
                <w:sz w:val="24"/>
                <w:szCs w:val="24"/>
              </w:rPr>
              <w:t>.</w:t>
            </w:r>
          </w:p>
        </w:tc>
      </w:tr>
    </w:tbl>
    <w:p w:rsidR="00DB08A5" w:rsidRDefault="00DB08A5" w:rsidP="00DB08A5">
      <w:pPr>
        <w:pStyle w:val="naisf"/>
        <w:tabs>
          <w:tab w:val="left" w:pos="5760"/>
        </w:tabs>
        <w:spacing w:before="0" w:after="0"/>
        <w:ind w:right="140" w:firstLine="720"/>
      </w:pPr>
    </w:p>
    <w:p w:rsidR="00DB08A5" w:rsidRDefault="00DB08A5" w:rsidP="00DB08A5">
      <w:pPr>
        <w:pStyle w:val="naisf"/>
        <w:tabs>
          <w:tab w:val="left" w:pos="5760"/>
        </w:tabs>
        <w:spacing w:before="0" w:after="0"/>
        <w:ind w:right="140" w:firstLine="720"/>
      </w:pPr>
      <w:r w:rsidRPr="00520BD0">
        <w:t>Anotācijas II</w:t>
      </w:r>
      <w:r>
        <w:t>I</w:t>
      </w:r>
      <w:r w:rsidRPr="00520BD0">
        <w:t xml:space="preserve"> sadaļa - nav attiecināms.</w:t>
      </w:r>
    </w:p>
    <w:p w:rsidR="005D3354" w:rsidRDefault="005D3354" w:rsidP="00DB08A5">
      <w:pPr>
        <w:pStyle w:val="naisf"/>
        <w:tabs>
          <w:tab w:val="left" w:pos="5760"/>
        </w:tabs>
        <w:spacing w:before="0" w:after="0"/>
        <w:ind w:right="140" w:firstLine="720"/>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41"/>
        <w:gridCol w:w="1916"/>
        <w:gridCol w:w="6974"/>
      </w:tblGrid>
      <w:tr w:rsidR="005D3354" w:rsidRPr="005D3354">
        <w:tc>
          <w:tcPr>
            <w:tcW w:w="0" w:type="auto"/>
            <w:gridSpan w:val="3"/>
            <w:tcBorders>
              <w:top w:val="single" w:sz="6" w:space="0" w:color="auto"/>
              <w:left w:val="single" w:sz="6" w:space="0" w:color="auto"/>
              <w:bottom w:val="outset" w:sz="6" w:space="0" w:color="000000"/>
              <w:right w:val="single" w:sz="6" w:space="0" w:color="auto"/>
            </w:tcBorders>
            <w:hideMark/>
          </w:tcPr>
          <w:p w:rsidR="005D3354" w:rsidRPr="005D3354" w:rsidRDefault="005D3354" w:rsidP="005D3354">
            <w:pPr>
              <w:spacing w:before="100" w:beforeAutospacing="1" w:after="100" w:afterAutospacing="1" w:line="240" w:lineRule="auto"/>
              <w:jc w:val="center"/>
              <w:rPr>
                <w:rFonts w:ascii="Times New Roman" w:eastAsia="Times New Roman" w:hAnsi="Times New Roman"/>
                <w:b/>
                <w:bCs/>
                <w:sz w:val="24"/>
                <w:szCs w:val="24"/>
                <w:lang w:eastAsia="lv-LV"/>
              </w:rPr>
            </w:pPr>
            <w:r w:rsidRPr="005D3354">
              <w:rPr>
                <w:rFonts w:ascii="Times New Roman" w:eastAsia="Times New Roman" w:hAnsi="Times New Roman"/>
                <w:b/>
                <w:bCs/>
                <w:sz w:val="24"/>
                <w:szCs w:val="24"/>
                <w:lang w:eastAsia="lv-LV"/>
              </w:rPr>
              <w:t>IV. Tiesību akta projekta ietekme uz spēkā esošo tiesību normu sistēmu</w:t>
            </w:r>
          </w:p>
        </w:tc>
      </w:tr>
      <w:tr w:rsidR="005D3354" w:rsidRPr="005D3354" w:rsidTr="006F60D5">
        <w:tc>
          <w:tcPr>
            <w:tcW w:w="0" w:type="auto"/>
            <w:tcBorders>
              <w:top w:val="outset" w:sz="6" w:space="0" w:color="000000"/>
              <w:left w:val="outset" w:sz="6" w:space="0" w:color="000000"/>
              <w:bottom w:val="outset" w:sz="6" w:space="0" w:color="000000"/>
              <w:right w:val="outset" w:sz="6" w:space="0" w:color="000000"/>
            </w:tcBorders>
            <w:hideMark/>
          </w:tcPr>
          <w:p w:rsidR="005D3354" w:rsidRPr="005D3354" w:rsidRDefault="005D3354" w:rsidP="005D3354">
            <w:pPr>
              <w:spacing w:before="100" w:beforeAutospacing="1" w:after="100" w:afterAutospacing="1" w:line="240" w:lineRule="auto"/>
              <w:rPr>
                <w:rFonts w:ascii="Times New Roman" w:eastAsia="Times New Roman" w:hAnsi="Times New Roman"/>
                <w:sz w:val="24"/>
                <w:szCs w:val="24"/>
                <w:lang w:eastAsia="lv-LV"/>
              </w:rPr>
            </w:pPr>
            <w:r w:rsidRPr="005D3354">
              <w:rPr>
                <w:rFonts w:ascii="Times New Roman" w:eastAsia="Times New Roman" w:hAnsi="Times New Roman"/>
                <w:sz w:val="24"/>
                <w:szCs w:val="24"/>
                <w:lang w:eastAsia="lv-LV"/>
              </w:rPr>
              <w:t>1.</w:t>
            </w:r>
          </w:p>
        </w:tc>
        <w:tc>
          <w:tcPr>
            <w:tcW w:w="1049" w:type="pct"/>
            <w:tcBorders>
              <w:top w:val="outset" w:sz="6" w:space="0" w:color="000000"/>
              <w:left w:val="outset" w:sz="6" w:space="0" w:color="000000"/>
              <w:bottom w:val="outset" w:sz="6" w:space="0" w:color="000000"/>
              <w:right w:val="outset" w:sz="6" w:space="0" w:color="000000"/>
            </w:tcBorders>
            <w:hideMark/>
          </w:tcPr>
          <w:p w:rsidR="005D3354" w:rsidRPr="005D3354" w:rsidRDefault="005D3354" w:rsidP="005D3354">
            <w:pPr>
              <w:spacing w:before="100" w:beforeAutospacing="1" w:after="100" w:afterAutospacing="1" w:line="240" w:lineRule="auto"/>
              <w:rPr>
                <w:rFonts w:ascii="Times New Roman" w:eastAsia="Times New Roman" w:hAnsi="Times New Roman"/>
                <w:sz w:val="24"/>
                <w:szCs w:val="24"/>
                <w:lang w:eastAsia="lv-LV"/>
              </w:rPr>
            </w:pPr>
            <w:r w:rsidRPr="005D3354">
              <w:rPr>
                <w:rFonts w:ascii="Times New Roman" w:eastAsia="Times New Roman" w:hAnsi="Times New Roman"/>
                <w:sz w:val="24"/>
                <w:szCs w:val="24"/>
                <w:lang w:eastAsia="lv-LV"/>
              </w:rPr>
              <w:t>Nepieciešamie saistītie tiesību aktu projekti</w:t>
            </w:r>
          </w:p>
        </w:tc>
        <w:tc>
          <w:tcPr>
            <w:tcW w:w="3819" w:type="pct"/>
            <w:tcBorders>
              <w:top w:val="outset" w:sz="6" w:space="0" w:color="000000"/>
              <w:left w:val="outset" w:sz="6" w:space="0" w:color="000000"/>
              <w:bottom w:val="outset" w:sz="6" w:space="0" w:color="000000"/>
              <w:right w:val="outset" w:sz="6" w:space="0" w:color="000000"/>
            </w:tcBorders>
            <w:hideMark/>
          </w:tcPr>
          <w:p w:rsidR="005D3354" w:rsidRDefault="005D3354" w:rsidP="006F60D5">
            <w:pPr>
              <w:spacing w:after="0" w:line="240" w:lineRule="auto"/>
              <w:ind w:firstLine="53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Vienlaikus ar noteikumu projektu </w:t>
            </w:r>
            <w:r w:rsidR="00D9517F">
              <w:rPr>
                <w:rFonts w:ascii="Times New Roman" w:eastAsia="Times New Roman" w:hAnsi="Times New Roman"/>
                <w:sz w:val="24"/>
                <w:szCs w:val="24"/>
                <w:lang w:eastAsia="lv-LV"/>
              </w:rPr>
              <w:t>izskatīšanai Ministru kabinetā virzāms</w:t>
            </w:r>
            <w:r>
              <w:rPr>
                <w:rFonts w:ascii="Times New Roman" w:eastAsia="Times New Roman" w:hAnsi="Times New Roman"/>
                <w:sz w:val="24"/>
                <w:szCs w:val="24"/>
                <w:lang w:eastAsia="lv-LV"/>
              </w:rPr>
              <w:t xml:space="preserve"> Ministru kabineta noteikumu projekts „Taisnīgas atlīdzības par sabiedrības vajadzībām atsavināmo nekustamo īpašumu noteikšanas kārtība”, kas sagatavots, izpildot Sabiedrības vajadzībām nepieciešamā nekustamā īpašuma atsavināšanas likuma 20.panta otrajā daļā Ministru kabinetam doto deleģējumu. </w:t>
            </w:r>
          </w:p>
          <w:p w:rsidR="00812033" w:rsidRDefault="005D3354" w:rsidP="005D3354">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Par minēto </w:t>
            </w:r>
            <w:r w:rsidR="00713EBF">
              <w:rPr>
                <w:rFonts w:ascii="Times New Roman" w:eastAsia="Times New Roman" w:hAnsi="Times New Roman"/>
                <w:sz w:val="24"/>
                <w:szCs w:val="24"/>
                <w:lang w:eastAsia="lv-LV"/>
              </w:rPr>
              <w:t xml:space="preserve">Ministru kabineta </w:t>
            </w:r>
            <w:r>
              <w:rPr>
                <w:rFonts w:ascii="Times New Roman" w:eastAsia="Times New Roman" w:hAnsi="Times New Roman"/>
                <w:sz w:val="24"/>
                <w:szCs w:val="24"/>
                <w:lang w:eastAsia="lv-LV"/>
              </w:rPr>
              <w:t xml:space="preserve">noteikumu projekta izstrādi ir </w:t>
            </w:r>
            <w:r w:rsidR="00713EBF">
              <w:rPr>
                <w:rFonts w:ascii="Times New Roman" w:eastAsia="Times New Roman" w:hAnsi="Times New Roman"/>
                <w:sz w:val="24"/>
                <w:szCs w:val="24"/>
                <w:lang w:eastAsia="lv-LV"/>
              </w:rPr>
              <w:t>atbild</w:t>
            </w:r>
            <w:r>
              <w:rPr>
                <w:rFonts w:ascii="Times New Roman" w:eastAsia="Times New Roman" w:hAnsi="Times New Roman"/>
                <w:sz w:val="24"/>
                <w:szCs w:val="24"/>
                <w:lang w:eastAsia="lv-LV"/>
              </w:rPr>
              <w:t xml:space="preserve">īga </w:t>
            </w:r>
            <w:r>
              <w:rPr>
                <w:rFonts w:ascii="Times New Roman" w:eastAsia="Times New Roman" w:hAnsi="Times New Roman"/>
                <w:sz w:val="24"/>
                <w:szCs w:val="24"/>
                <w:lang w:eastAsia="lv-LV"/>
              </w:rPr>
              <w:lastRenderedPageBreak/>
              <w:t>Tieslietu ministrija.</w:t>
            </w:r>
          </w:p>
          <w:p w:rsidR="00262F64" w:rsidRPr="005D3354" w:rsidRDefault="00262F64" w:rsidP="005D3354">
            <w:pPr>
              <w:spacing w:after="0" w:line="240" w:lineRule="auto"/>
              <w:jc w:val="both"/>
              <w:rPr>
                <w:rFonts w:ascii="Times New Roman" w:eastAsia="Times New Roman" w:hAnsi="Times New Roman"/>
                <w:sz w:val="24"/>
                <w:szCs w:val="24"/>
                <w:lang w:eastAsia="lv-LV"/>
              </w:rPr>
            </w:pPr>
          </w:p>
        </w:tc>
      </w:tr>
      <w:tr w:rsidR="005D3354" w:rsidRPr="005D3354" w:rsidTr="006F60D5">
        <w:tc>
          <w:tcPr>
            <w:tcW w:w="0" w:type="auto"/>
            <w:tcBorders>
              <w:top w:val="outset" w:sz="6" w:space="0" w:color="000000"/>
              <w:left w:val="outset" w:sz="6" w:space="0" w:color="000000"/>
              <w:bottom w:val="outset" w:sz="6" w:space="0" w:color="000000"/>
              <w:right w:val="outset" w:sz="6" w:space="0" w:color="000000"/>
            </w:tcBorders>
            <w:hideMark/>
          </w:tcPr>
          <w:p w:rsidR="005D3354" w:rsidRPr="005D3354" w:rsidRDefault="005D3354" w:rsidP="005D3354">
            <w:pPr>
              <w:spacing w:before="100" w:beforeAutospacing="1" w:after="100" w:afterAutospacing="1" w:line="240" w:lineRule="auto"/>
              <w:rPr>
                <w:rFonts w:ascii="Times New Roman" w:eastAsia="Times New Roman" w:hAnsi="Times New Roman"/>
                <w:sz w:val="24"/>
                <w:szCs w:val="24"/>
                <w:lang w:eastAsia="lv-LV"/>
              </w:rPr>
            </w:pPr>
            <w:r w:rsidRPr="005D3354">
              <w:rPr>
                <w:rFonts w:ascii="Times New Roman" w:eastAsia="Times New Roman" w:hAnsi="Times New Roman"/>
                <w:sz w:val="24"/>
                <w:szCs w:val="24"/>
                <w:lang w:eastAsia="lv-LV"/>
              </w:rPr>
              <w:lastRenderedPageBreak/>
              <w:t>2.</w:t>
            </w:r>
          </w:p>
        </w:tc>
        <w:tc>
          <w:tcPr>
            <w:tcW w:w="1049" w:type="pct"/>
            <w:tcBorders>
              <w:top w:val="outset" w:sz="6" w:space="0" w:color="000000"/>
              <w:left w:val="outset" w:sz="6" w:space="0" w:color="000000"/>
              <w:bottom w:val="outset" w:sz="6" w:space="0" w:color="000000"/>
              <w:right w:val="outset" w:sz="6" w:space="0" w:color="000000"/>
            </w:tcBorders>
            <w:hideMark/>
          </w:tcPr>
          <w:p w:rsidR="005D3354" w:rsidRPr="005D3354" w:rsidRDefault="005D3354" w:rsidP="005D3354">
            <w:pPr>
              <w:spacing w:before="100" w:beforeAutospacing="1" w:after="100" w:afterAutospacing="1" w:line="240" w:lineRule="auto"/>
              <w:rPr>
                <w:rFonts w:ascii="Times New Roman" w:eastAsia="Times New Roman" w:hAnsi="Times New Roman"/>
                <w:sz w:val="24"/>
                <w:szCs w:val="24"/>
                <w:lang w:eastAsia="lv-LV"/>
              </w:rPr>
            </w:pPr>
            <w:r w:rsidRPr="005D3354">
              <w:rPr>
                <w:rFonts w:ascii="Times New Roman" w:eastAsia="Times New Roman" w:hAnsi="Times New Roman"/>
                <w:sz w:val="24"/>
                <w:szCs w:val="24"/>
                <w:lang w:eastAsia="lv-LV"/>
              </w:rPr>
              <w:t>Cita informācija</w:t>
            </w:r>
          </w:p>
        </w:tc>
        <w:tc>
          <w:tcPr>
            <w:tcW w:w="3819" w:type="pct"/>
            <w:tcBorders>
              <w:top w:val="outset" w:sz="6" w:space="0" w:color="000000"/>
              <w:left w:val="outset" w:sz="6" w:space="0" w:color="000000"/>
              <w:bottom w:val="outset" w:sz="6" w:space="0" w:color="000000"/>
              <w:right w:val="outset" w:sz="6" w:space="0" w:color="000000"/>
            </w:tcBorders>
            <w:hideMark/>
          </w:tcPr>
          <w:p w:rsidR="005D3354" w:rsidRPr="005D3354" w:rsidRDefault="00FA77FC" w:rsidP="006F60D5">
            <w:pPr>
              <w:spacing w:before="100" w:beforeAutospacing="1" w:after="100" w:afterAutospacing="1" w:line="240" w:lineRule="auto"/>
              <w:ind w:firstLine="537"/>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rsidR="00DB08A5" w:rsidRDefault="00DB08A5" w:rsidP="00DB08A5">
      <w:pPr>
        <w:spacing w:after="12"/>
        <w:rPr>
          <w:i/>
          <w:iCs/>
          <w:sz w:val="28"/>
          <w:szCs w:val="28"/>
        </w:rPr>
      </w:pPr>
    </w:p>
    <w:p w:rsidR="00F24941" w:rsidRDefault="00F24941" w:rsidP="00F24941">
      <w:pPr>
        <w:pStyle w:val="naisf"/>
        <w:tabs>
          <w:tab w:val="left" w:pos="5760"/>
        </w:tabs>
        <w:spacing w:before="0" w:after="0"/>
        <w:ind w:right="140" w:firstLine="720"/>
      </w:pPr>
      <w:r>
        <w:t>Anotācijas V</w:t>
      </w:r>
      <w:r w:rsidRPr="00520BD0">
        <w:t xml:space="preserve"> sadaļa - nav attiecināms.</w:t>
      </w:r>
    </w:p>
    <w:p w:rsidR="009242CD" w:rsidRPr="00D264A1" w:rsidRDefault="009242CD" w:rsidP="00DB08A5">
      <w:pPr>
        <w:spacing w:after="12"/>
        <w:rPr>
          <w:i/>
          <w:iCs/>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
        <w:gridCol w:w="3052"/>
        <w:gridCol w:w="664"/>
        <w:gridCol w:w="4864"/>
      </w:tblGrid>
      <w:tr w:rsidR="00DB08A5" w:rsidRPr="005A6C54" w:rsidTr="005A6C54">
        <w:trPr>
          <w:trHeight w:val="329"/>
        </w:trPr>
        <w:tc>
          <w:tcPr>
            <w:tcW w:w="9072" w:type="dxa"/>
            <w:gridSpan w:val="4"/>
            <w:hideMark/>
          </w:tcPr>
          <w:p w:rsidR="00DB08A5" w:rsidRPr="005A6C54" w:rsidRDefault="00DB08A5" w:rsidP="00DB08A5">
            <w:pPr>
              <w:spacing w:after="12"/>
              <w:jc w:val="center"/>
              <w:rPr>
                <w:rFonts w:ascii="Times New Roman" w:hAnsi="Times New Roman"/>
                <w:sz w:val="24"/>
                <w:szCs w:val="24"/>
              </w:rPr>
            </w:pPr>
            <w:r w:rsidRPr="005A6C54">
              <w:rPr>
                <w:rFonts w:ascii="Times New Roman" w:hAnsi="Times New Roman"/>
                <w:b/>
                <w:bCs/>
                <w:sz w:val="24"/>
                <w:szCs w:val="24"/>
              </w:rPr>
              <w:t>VI. Sabiedrības līdzdalība un šīs līdzdalības rezultāti</w:t>
            </w:r>
          </w:p>
        </w:tc>
      </w:tr>
      <w:tr w:rsidR="00DB08A5" w:rsidRPr="005A6C54" w:rsidTr="005A6C54">
        <w:trPr>
          <w:trHeight w:val="553"/>
        </w:trPr>
        <w:tc>
          <w:tcPr>
            <w:tcW w:w="492" w:type="dxa"/>
            <w:tcBorders>
              <w:top w:val="single" w:sz="4" w:space="0" w:color="auto"/>
              <w:left w:val="single" w:sz="4" w:space="0" w:color="auto"/>
              <w:bottom w:val="single" w:sz="4" w:space="0" w:color="auto"/>
              <w:right w:val="single" w:sz="4" w:space="0" w:color="auto"/>
            </w:tcBorders>
            <w:hideMark/>
          </w:tcPr>
          <w:p w:rsidR="00DB08A5" w:rsidRPr="005A6C54" w:rsidRDefault="00DB08A5" w:rsidP="00DB08A5">
            <w:pPr>
              <w:spacing w:after="12"/>
              <w:rPr>
                <w:rFonts w:ascii="Times New Roman" w:hAnsi="Times New Roman"/>
                <w:sz w:val="24"/>
                <w:szCs w:val="24"/>
              </w:rPr>
            </w:pPr>
            <w:r w:rsidRPr="005A6C54">
              <w:rPr>
                <w:rFonts w:ascii="Times New Roman" w:hAnsi="Times New Roman"/>
                <w:sz w:val="24"/>
                <w:szCs w:val="24"/>
              </w:rPr>
              <w:t> 1.</w:t>
            </w:r>
          </w:p>
        </w:tc>
        <w:tc>
          <w:tcPr>
            <w:tcW w:w="3716" w:type="dxa"/>
            <w:gridSpan w:val="2"/>
            <w:tcBorders>
              <w:top w:val="single" w:sz="4" w:space="0" w:color="auto"/>
              <w:left w:val="single" w:sz="4" w:space="0" w:color="auto"/>
              <w:bottom w:val="single" w:sz="4" w:space="0" w:color="auto"/>
              <w:right w:val="single" w:sz="4" w:space="0" w:color="auto"/>
            </w:tcBorders>
            <w:hideMark/>
          </w:tcPr>
          <w:p w:rsidR="00DB08A5" w:rsidRPr="005A6C54" w:rsidRDefault="00DB08A5" w:rsidP="00DB08A5">
            <w:pPr>
              <w:spacing w:after="12"/>
              <w:rPr>
                <w:rFonts w:ascii="Times New Roman" w:hAnsi="Times New Roman"/>
                <w:sz w:val="24"/>
                <w:szCs w:val="24"/>
              </w:rPr>
            </w:pPr>
            <w:r w:rsidRPr="005A6C54">
              <w:rPr>
                <w:rFonts w:ascii="Times New Roman" w:hAnsi="Times New Roman"/>
                <w:sz w:val="24"/>
                <w:szCs w:val="24"/>
              </w:rPr>
              <w:t> Sabiedrības informēšana par projekta izstrādes uzsākšanu</w:t>
            </w:r>
          </w:p>
        </w:tc>
        <w:tc>
          <w:tcPr>
            <w:tcW w:w="4864" w:type="dxa"/>
            <w:tcBorders>
              <w:top w:val="single" w:sz="4" w:space="0" w:color="auto"/>
              <w:left w:val="single" w:sz="4" w:space="0" w:color="auto"/>
              <w:bottom w:val="single" w:sz="4" w:space="0" w:color="auto"/>
              <w:right w:val="single" w:sz="4" w:space="0" w:color="auto"/>
            </w:tcBorders>
            <w:hideMark/>
          </w:tcPr>
          <w:p w:rsidR="00DB08A5" w:rsidRPr="005A6C54" w:rsidRDefault="00B409D2" w:rsidP="00812033">
            <w:pPr>
              <w:spacing w:after="12"/>
              <w:ind w:firstLine="504"/>
              <w:jc w:val="both"/>
              <w:rPr>
                <w:rFonts w:ascii="Times New Roman" w:hAnsi="Times New Roman"/>
                <w:sz w:val="24"/>
                <w:szCs w:val="24"/>
              </w:rPr>
            </w:pPr>
            <w:r>
              <w:rPr>
                <w:rFonts w:ascii="Times New Roman" w:hAnsi="Times New Roman"/>
                <w:sz w:val="24"/>
                <w:szCs w:val="24"/>
              </w:rPr>
              <w:t>Informēšanas pasākumi nav veikti.</w:t>
            </w:r>
          </w:p>
        </w:tc>
      </w:tr>
      <w:tr w:rsidR="00DB08A5" w:rsidRPr="005A6C54" w:rsidTr="005A6C54">
        <w:trPr>
          <w:trHeight w:val="339"/>
        </w:trPr>
        <w:tc>
          <w:tcPr>
            <w:tcW w:w="492" w:type="dxa"/>
            <w:tcBorders>
              <w:top w:val="single" w:sz="4" w:space="0" w:color="auto"/>
            </w:tcBorders>
            <w:hideMark/>
          </w:tcPr>
          <w:p w:rsidR="00DB08A5" w:rsidRPr="005A6C54" w:rsidRDefault="00DB08A5" w:rsidP="00DB08A5">
            <w:pPr>
              <w:spacing w:after="12"/>
              <w:rPr>
                <w:rFonts w:ascii="Times New Roman" w:hAnsi="Times New Roman"/>
                <w:sz w:val="24"/>
                <w:szCs w:val="24"/>
              </w:rPr>
            </w:pPr>
            <w:r w:rsidRPr="005A6C54">
              <w:rPr>
                <w:rFonts w:ascii="Times New Roman" w:hAnsi="Times New Roman"/>
                <w:sz w:val="24"/>
                <w:szCs w:val="24"/>
              </w:rPr>
              <w:t> 2.</w:t>
            </w:r>
          </w:p>
        </w:tc>
        <w:tc>
          <w:tcPr>
            <w:tcW w:w="3716" w:type="dxa"/>
            <w:gridSpan w:val="2"/>
            <w:tcBorders>
              <w:top w:val="single" w:sz="4" w:space="0" w:color="auto"/>
            </w:tcBorders>
            <w:hideMark/>
          </w:tcPr>
          <w:p w:rsidR="00DB08A5" w:rsidRPr="005A6C54" w:rsidRDefault="00DB08A5" w:rsidP="00DB08A5">
            <w:pPr>
              <w:spacing w:after="12"/>
              <w:rPr>
                <w:rFonts w:ascii="Times New Roman" w:hAnsi="Times New Roman"/>
                <w:sz w:val="24"/>
                <w:szCs w:val="24"/>
              </w:rPr>
            </w:pPr>
            <w:r w:rsidRPr="005A6C54">
              <w:rPr>
                <w:rFonts w:ascii="Times New Roman" w:hAnsi="Times New Roman"/>
                <w:sz w:val="24"/>
                <w:szCs w:val="24"/>
              </w:rPr>
              <w:t> Sabiedrības līdzdalība projekta izstrādē</w:t>
            </w:r>
          </w:p>
        </w:tc>
        <w:tc>
          <w:tcPr>
            <w:tcW w:w="4864" w:type="dxa"/>
            <w:tcBorders>
              <w:top w:val="single" w:sz="4" w:space="0" w:color="auto"/>
            </w:tcBorders>
            <w:hideMark/>
          </w:tcPr>
          <w:p w:rsidR="00DB08A5" w:rsidRPr="005A6C54" w:rsidRDefault="00EF386D" w:rsidP="00812033">
            <w:pPr>
              <w:spacing w:after="12"/>
              <w:ind w:firstLine="504"/>
              <w:jc w:val="both"/>
              <w:rPr>
                <w:rFonts w:ascii="Times New Roman" w:hAnsi="Times New Roman"/>
                <w:sz w:val="24"/>
                <w:szCs w:val="24"/>
              </w:rPr>
            </w:pPr>
            <w:r>
              <w:rPr>
                <w:rFonts w:ascii="Times New Roman" w:hAnsi="Times New Roman"/>
                <w:sz w:val="24"/>
                <w:szCs w:val="24"/>
              </w:rPr>
              <w:t>Nav attiecināms.</w:t>
            </w:r>
          </w:p>
        </w:tc>
      </w:tr>
      <w:tr w:rsidR="00DB08A5" w:rsidRPr="005A6C54" w:rsidTr="005A6C54">
        <w:trPr>
          <w:trHeight w:val="375"/>
        </w:trPr>
        <w:tc>
          <w:tcPr>
            <w:tcW w:w="492" w:type="dxa"/>
            <w:hideMark/>
          </w:tcPr>
          <w:p w:rsidR="00DB08A5" w:rsidRPr="005A6C54" w:rsidRDefault="00DB08A5" w:rsidP="00DB08A5">
            <w:pPr>
              <w:spacing w:after="12"/>
              <w:rPr>
                <w:rFonts w:ascii="Times New Roman" w:hAnsi="Times New Roman"/>
                <w:sz w:val="24"/>
                <w:szCs w:val="24"/>
              </w:rPr>
            </w:pPr>
            <w:r w:rsidRPr="005A6C54">
              <w:rPr>
                <w:rFonts w:ascii="Times New Roman" w:hAnsi="Times New Roman"/>
                <w:sz w:val="24"/>
                <w:szCs w:val="24"/>
              </w:rPr>
              <w:t> 3.</w:t>
            </w:r>
          </w:p>
        </w:tc>
        <w:tc>
          <w:tcPr>
            <w:tcW w:w="3716" w:type="dxa"/>
            <w:gridSpan w:val="2"/>
            <w:hideMark/>
          </w:tcPr>
          <w:p w:rsidR="00DB08A5" w:rsidRPr="005A6C54" w:rsidRDefault="00DB08A5" w:rsidP="00DB08A5">
            <w:pPr>
              <w:spacing w:after="12"/>
              <w:rPr>
                <w:rFonts w:ascii="Times New Roman" w:hAnsi="Times New Roman"/>
                <w:sz w:val="24"/>
                <w:szCs w:val="24"/>
              </w:rPr>
            </w:pPr>
            <w:r w:rsidRPr="005A6C54">
              <w:rPr>
                <w:rFonts w:ascii="Times New Roman" w:hAnsi="Times New Roman"/>
                <w:sz w:val="24"/>
                <w:szCs w:val="24"/>
              </w:rPr>
              <w:t> Sabiedrības līdzdalības rezultāti</w:t>
            </w:r>
          </w:p>
        </w:tc>
        <w:tc>
          <w:tcPr>
            <w:tcW w:w="4864" w:type="dxa"/>
            <w:hideMark/>
          </w:tcPr>
          <w:p w:rsidR="00DB08A5" w:rsidRPr="005A6C54" w:rsidRDefault="00EF386D" w:rsidP="00812033">
            <w:pPr>
              <w:spacing w:after="12"/>
              <w:ind w:firstLine="504"/>
              <w:jc w:val="both"/>
              <w:rPr>
                <w:rFonts w:ascii="Times New Roman" w:hAnsi="Times New Roman"/>
                <w:sz w:val="24"/>
                <w:szCs w:val="24"/>
              </w:rPr>
            </w:pPr>
            <w:r>
              <w:rPr>
                <w:rFonts w:ascii="Times New Roman" w:hAnsi="Times New Roman"/>
                <w:sz w:val="24"/>
                <w:szCs w:val="24"/>
              </w:rPr>
              <w:t>Nav attiecināms.</w:t>
            </w:r>
          </w:p>
        </w:tc>
      </w:tr>
      <w:tr w:rsidR="00DB08A5" w:rsidRPr="005A6C54" w:rsidTr="005A6C54">
        <w:trPr>
          <w:trHeight w:val="397"/>
        </w:trPr>
        <w:tc>
          <w:tcPr>
            <w:tcW w:w="492" w:type="dxa"/>
            <w:hideMark/>
          </w:tcPr>
          <w:p w:rsidR="00DB08A5" w:rsidRPr="005A6C54" w:rsidRDefault="00DB08A5" w:rsidP="00DB08A5">
            <w:pPr>
              <w:spacing w:after="12"/>
              <w:rPr>
                <w:rFonts w:ascii="Times New Roman" w:hAnsi="Times New Roman"/>
                <w:sz w:val="24"/>
                <w:szCs w:val="24"/>
              </w:rPr>
            </w:pPr>
            <w:r w:rsidRPr="005A6C54">
              <w:rPr>
                <w:rFonts w:ascii="Times New Roman" w:hAnsi="Times New Roman"/>
                <w:sz w:val="24"/>
                <w:szCs w:val="24"/>
              </w:rPr>
              <w:t> 4.</w:t>
            </w:r>
          </w:p>
        </w:tc>
        <w:tc>
          <w:tcPr>
            <w:tcW w:w="3716" w:type="dxa"/>
            <w:gridSpan w:val="2"/>
            <w:hideMark/>
          </w:tcPr>
          <w:p w:rsidR="00DB08A5" w:rsidRPr="005A6C54" w:rsidRDefault="00DB08A5" w:rsidP="00DB08A5">
            <w:pPr>
              <w:spacing w:after="12"/>
              <w:rPr>
                <w:rFonts w:ascii="Times New Roman" w:hAnsi="Times New Roman"/>
                <w:sz w:val="24"/>
                <w:szCs w:val="24"/>
              </w:rPr>
            </w:pPr>
            <w:r w:rsidRPr="005A6C54">
              <w:rPr>
                <w:rFonts w:ascii="Times New Roman" w:hAnsi="Times New Roman"/>
                <w:sz w:val="24"/>
                <w:szCs w:val="24"/>
              </w:rPr>
              <w:t> Saeimas un ekspertu līdzdalība</w:t>
            </w:r>
          </w:p>
        </w:tc>
        <w:tc>
          <w:tcPr>
            <w:tcW w:w="4864" w:type="dxa"/>
            <w:hideMark/>
          </w:tcPr>
          <w:p w:rsidR="00DB08A5" w:rsidRDefault="00EF386D" w:rsidP="006F60D5">
            <w:pPr>
              <w:spacing w:after="0" w:line="240" w:lineRule="auto"/>
              <w:ind w:firstLine="504"/>
              <w:jc w:val="both"/>
              <w:rPr>
                <w:rFonts w:ascii="Times New Roman" w:hAnsi="Times New Roman"/>
                <w:sz w:val="24"/>
                <w:szCs w:val="24"/>
              </w:rPr>
            </w:pPr>
            <w:r>
              <w:rPr>
                <w:rFonts w:ascii="Times New Roman" w:hAnsi="Times New Roman"/>
                <w:sz w:val="24"/>
                <w:szCs w:val="24"/>
              </w:rPr>
              <w:t>Projekta izstrādes g</w:t>
            </w:r>
            <w:r w:rsidR="00161CFB">
              <w:rPr>
                <w:rFonts w:ascii="Times New Roman" w:hAnsi="Times New Roman"/>
                <w:sz w:val="24"/>
                <w:szCs w:val="24"/>
              </w:rPr>
              <w:t xml:space="preserve">aitā konsultācijas notikušas ar </w:t>
            </w:r>
            <w:r w:rsidR="00161CFB" w:rsidRPr="001D1198">
              <w:rPr>
                <w:rFonts w:ascii="Times New Roman" w:hAnsi="Times New Roman"/>
                <w:sz w:val="24"/>
                <w:szCs w:val="24"/>
              </w:rPr>
              <w:t xml:space="preserve">akciju sabiedrības „Latvenergo” un </w:t>
            </w:r>
            <w:r w:rsidR="00625C1D">
              <w:rPr>
                <w:rFonts w:ascii="Times New Roman" w:hAnsi="Times New Roman"/>
                <w:sz w:val="24"/>
                <w:szCs w:val="24"/>
              </w:rPr>
              <w:t>biedrības „</w:t>
            </w:r>
            <w:r w:rsidR="00625C1D" w:rsidRPr="001D1198">
              <w:rPr>
                <w:rFonts w:ascii="Times New Roman" w:hAnsi="Times New Roman"/>
                <w:sz w:val="24"/>
                <w:szCs w:val="24"/>
              </w:rPr>
              <w:t xml:space="preserve">Latvijas </w:t>
            </w:r>
            <w:r w:rsidR="00625C1D">
              <w:rPr>
                <w:rFonts w:ascii="Times New Roman" w:hAnsi="Times New Roman"/>
                <w:sz w:val="24"/>
                <w:szCs w:val="24"/>
              </w:rPr>
              <w:t xml:space="preserve">Īpašumu Vērtētāju asociācija” </w:t>
            </w:r>
            <w:r w:rsidR="00161CFB" w:rsidRPr="001D1198">
              <w:rPr>
                <w:rFonts w:ascii="Times New Roman" w:hAnsi="Times New Roman"/>
                <w:sz w:val="24"/>
                <w:szCs w:val="24"/>
              </w:rPr>
              <w:t>speciālistiem.</w:t>
            </w:r>
            <w:r w:rsidR="00161CFB">
              <w:rPr>
                <w:rFonts w:ascii="Times New Roman" w:hAnsi="Times New Roman"/>
                <w:sz w:val="24"/>
                <w:szCs w:val="24"/>
              </w:rPr>
              <w:t xml:space="preserve"> Minētie speciālisti atbalsta noteikumu projektu.</w:t>
            </w:r>
          </w:p>
          <w:p w:rsidR="00812033" w:rsidRPr="005A6C54" w:rsidRDefault="00812033" w:rsidP="006F60D5">
            <w:pPr>
              <w:spacing w:after="0" w:line="240" w:lineRule="auto"/>
              <w:ind w:firstLine="504"/>
              <w:jc w:val="both"/>
              <w:rPr>
                <w:rFonts w:ascii="Times New Roman" w:hAnsi="Times New Roman"/>
                <w:sz w:val="24"/>
                <w:szCs w:val="24"/>
              </w:rPr>
            </w:pPr>
          </w:p>
        </w:tc>
      </w:tr>
      <w:tr w:rsidR="00DB08A5" w:rsidRPr="005A6C54" w:rsidTr="005A6C54">
        <w:trPr>
          <w:trHeight w:val="476"/>
        </w:trPr>
        <w:tc>
          <w:tcPr>
            <w:tcW w:w="492" w:type="dxa"/>
            <w:hideMark/>
          </w:tcPr>
          <w:p w:rsidR="00DB08A5" w:rsidRPr="005A6C54" w:rsidRDefault="00DB08A5" w:rsidP="00DB08A5">
            <w:pPr>
              <w:spacing w:after="12"/>
              <w:rPr>
                <w:rFonts w:ascii="Times New Roman" w:hAnsi="Times New Roman"/>
                <w:sz w:val="24"/>
                <w:szCs w:val="24"/>
              </w:rPr>
            </w:pPr>
            <w:r w:rsidRPr="005A6C54">
              <w:rPr>
                <w:rFonts w:ascii="Times New Roman" w:hAnsi="Times New Roman"/>
                <w:sz w:val="24"/>
                <w:szCs w:val="24"/>
              </w:rPr>
              <w:t> 5.</w:t>
            </w:r>
          </w:p>
        </w:tc>
        <w:tc>
          <w:tcPr>
            <w:tcW w:w="3716" w:type="dxa"/>
            <w:gridSpan w:val="2"/>
            <w:hideMark/>
          </w:tcPr>
          <w:p w:rsidR="00DB08A5" w:rsidRPr="005A6C54" w:rsidRDefault="00DB08A5" w:rsidP="00DB08A5">
            <w:pPr>
              <w:spacing w:after="12"/>
              <w:rPr>
                <w:rFonts w:ascii="Times New Roman" w:hAnsi="Times New Roman"/>
                <w:sz w:val="24"/>
                <w:szCs w:val="24"/>
              </w:rPr>
            </w:pPr>
            <w:r w:rsidRPr="005A6C54">
              <w:rPr>
                <w:rFonts w:ascii="Times New Roman" w:hAnsi="Times New Roman"/>
                <w:sz w:val="24"/>
                <w:szCs w:val="24"/>
              </w:rPr>
              <w:t> Cita informācija</w:t>
            </w:r>
          </w:p>
          <w:p w:rsidR="00DB08A5" w:rsidRPr="005A6C54" w:rsidRDefault="00DB08A5" w:rsidP="00DB08A5">
            <w:pPr>
              <w:spacing w:after="12"/>
              <w:rPr>
                <w:rFonts w:ascii="Times New Roman" w:hAnsi="Times New Roman"/>
                <w:sz w:val="24"/>
                <w:szCs w:val="24"/>
              </w:rPr>
            </w:pPr>
            <w:r w:rsidRPr="005A6C54">
              <w:rPr>
                <w:rFonts w:ascii="Times New Roman" w:hAnsi="Times New Roman"/>
                <w:sz w:val="24"/>
                <w:szCs w:val="24"/>
              </w:rPr>
              <w:t> </w:t>
            </w:r>
          </w:p>
        </w:tc>
        <w:tc>
          <w:tcPr>
            <w:tcW w:w="4864" w:type="dxa"/>
            <w:hideMark/>
          </w:tcPr>
          <w:p w:rsidR="00DB08A5" w:rsidRDefault="00B85EB2" w:rsidP="006F60D5">
            <w:pPr>
              <w:spacing w:after="0" w:line="240" w:lineRule="auto"/>
              <w:ind w:firstLine="646"/>
              <w:jc w:val="both"/>
              <w:rPr>
                <w:rFonts w:ascii="Times New Roman" w:hAnsi="Times New Roman"/>
                <w:sz w:val="24"/>
                <w:szCs w:val="24"/>
              </w:rPr>
            </w:pPr>
            <w:r>
              <w:rPr>
                <w:rFonts w:ascii="Times New Roman" w:hAnsi="Times New Roman"/>
                <w:sz w:val="24"/>
                <w:szCs w:val="24"/>
              </w:rPr>
              <w:t xml:space="preserve">2010.gada 3.novembrī portālā </w:t>
            </w:r>
            <w:r w:rsidR="00625C1D">
              <w:rPr>
                <w:rFonts w:ascii="Times New Roman" w:hAnsi="Times New Roman"/>
                <w:sz w:val="24"/>
                <w:szCs w:val="24"/>
              </w:rPr>
              <w:t>www.l</w:t>
            </w:r>
            <w:r>
              <w:rPr>
                <w:rFonts w:ascii="Times New Roman" w:hAnsi="Times New Roman"/>
                <w:sz w:val="24"/>
                <w:szCs w:val="24"/>
              </w:rPr>
              <w:t>v.lv rakstā „Īpašuma atsavināšanu regulēs jauns likums” ir publicēts Tieslietu ministrijas skaidrojums par Sabiedrības vajadzībām nepieciešamā nekustamā īpašuma atsavināšanas likumu, tajā skaitā skaidrot</w:t>
            </w:r>
            <w:r w:rsidR="00891C7B">
              <w:rPr>
                <w:rFonts w:ascii="Times New Roman" w:hAnsi="Times New Roman"/>
                <w:sz w:val="24"/>
                <w:szCs w:val="24"/>
              </w:rPr>
              <w:t>s</w:t>
            </w:r>
            <w:r>
              <w:rPr>
                <w:rFonts w:ascii="Times New Roman" w:hAnsi="Times New Roman"/>
                <w:sz w:val="24"/>
                <w:szCs w:val="24"/>
              </w:rPr>
              <w:t>, kādēļ nepieciešama skaidra, vienota un caurskatāma nekustamā īpašuma atsavināšanas un atlīdz</w:t>
            </w:r>
            <w:r w:rsidR="001A0525">
              <w:rPr>
                <w:rFonts w:ascii="Times New Roman" w:hAnsi="Times New Roman"/>
                <w:sz w:val="24"/>
                <w:szCs w:val="24"/>
              </w:rPr>
              <w:t>ība</w:t>
            </w:r>
            <w:r>
              <w:rPr>
                <w:rFonts w:ascii="Times New Roman" w:hAnsi="Times New Roman"/>
                <w:sz w:val="24"/>
                <w:szCs w:val="24"/>
              </w:rPr>
              <w:t>s</w:t>
            </w:r>
            <w:r w:rsidR="001A0525">
              <w:rPr>
                <w:rFonts w:ascii="Times New Roman" w:hAnsi="Times New Roman"/>
                <w:sz w:val="24"/>
                <w:szCs w:val="24"/>
              </w:rPr>
              <w:t xml:space="preserve"> </w:t>
            </w:r>
            <w:r>
              <w:rPr>
                <w:rFonts w:ascii="Times New Roman" w:hAnsi="Times New Roman"/>
                <w:sz w:val="24"/>
                <w:szCs w:val="24"/>
              </w:rPr>
              <w:t>noteikšanas kārtība.</w:t>
            </w:r>
          </w:p>
          <w:p w:rsidR="00812033" w:rsidRPr="005A6C54" w:rsidRDefault="00812033" w:rsidP="006F60D5">
            <w:pPr>
              <w:spacing w:after="0" w:line="240" w:lineRule="auto"/>
              <w:ind w:firstLine="646"/>
              <w:jc w:val="both"/>
              <w:rPr>
                <w:rFonts w:ascii="Times New Roman" w:hAnsi="Times New Roman"/>
                <w:sz w:val="24"/>
                <w:szCs w:val="24"/>
              </w:rPr>
            </w:pPr>
          </w:p>
        </w:tc>
      </w:tr>
      <w:tr w:rsidR="001772B3" w:rsidRPr="005A6C54" w:rsidTr="00DB08A5">
        <w:tblPrEx>
          <w:tblBorders>
            <w:insideH w:val="none" w:sz="0" w:space="0" w:color="auto"/>
            <w:insideV w:val="none" w:sz="0" w:space="0" w:color="auto"/>
          </w:tblBorders>
        </w:tblPrEx>
        <w:tc>
          <w:tcPr>
            <w:tcW w:w="9072" w:type="dxa"/>
            <w:gridSpan w:val="4"/>
            <w:tcBorders>
              <w:top w:val="single" w:sz="4" w:space="0" w:color="auto"/>
              <w:left w:val="single" w:sz="4" w:space="0" w:color="auto"/>
              <w:bottom w:val="single" w:sz="4" w:space="0" w:color="auto"/>
              <w:right w:val="single" w:sz="4" w:space="0" w:color="auto"/>
            </w:tcBorders>
            <w:hideMark/>
          </w:tcPr>
          <w:p w:rsidR="002936BF" w:rsidRDefault="002936BF" w:rsidP="001E447C">
            <w:pPr>
              <w:spacing w:after="0" w:line="240" w:lineRule="auto"/>
              <w:jc w:val="center"/>
              <w:rPr>
                <w:rFonts w:ascii="Times New Roman" w:hAnsi="Times New Roman"/>
                <w:sz w:val="24"/>
                <w:szCs w:val="24"/>
              </w:rPr>
            </w:pPr>
          </w:p>
          <w:p w:rsidR="00D054BC" w:rsidRPr="005A6C54" w:rsidRDefault="00DB08A5" w:rsidP="001E447C">
            <w:pPr>
              <w:spacing w:after="0" w:line="240" w:lineRule="auto"/>
              <w:jc w:val="center"/>
              <w:rPr>
                <w:rFonts w:ascii="Times New Roman" w:hAnsi="Times New Roman"/>
                <w:b/>
                <w:color w:val="000000"/>
                <w:sz w:val="24"/>
                <w:szCs w:val="24"/>
              </w:rPr>
            </w:pPr>
            <w:r w:rsidRPr="005A6C54">
              <w:rPr>
                <w:rFonts w:ascii="Times New Roman" w:hAnsi="Times New Roman"/>
                <w:sz w:val="24"/>
                <w:szCs w:val="24"/>
              </w:rPr>
              <w:t> </w:t>
            </w:r>
          </w:p>
          <w:p w:rsidR="00D054BC" w:rsidRPr="005A6C54" w:rsidRDefault="001772B3" w:rsidP="001E447C">
            <w:pPr>
              <w:spacing w:after="0" w:line="240" w:lineRule="auto"/>
              <w:jc w:val="center"/>
              <w:rPr>
                <w:rFonts w:ascii="Times New Roman" w:hAnsi="Times New Roman"/>
                <w:b/>
                <w:color w:val="000000"/>
                <w:sz w:val="24"/>
                <w:szCs w:val="24"/>
              </w:rPr>
            </w:pPr>
            <w:r w:rsidRPr="005A6C54">
              <w:rPr>
                <w:rFonts w:ascii="Times New Roman" w:hAnsi="Times New Roman"/>
                <w:b/>
                <w:color w:val="000000"/>
                <w:sz w:val="24"/>
                <w:szCs w:val="24"/>
              </w:rPr>
              <w:t xml:space="preserve">VII. </w:t>
            </w:r>
            <w:r w:rsidR="001E447C" w:rsidRPr="005A6C54">
              <w:rPr>
                <w:rFonts w:ascii="Times New Roman" w:hAnsi="Times New Roman"/>
                <w:b/>
                <w:sz w:val="24"/>
                <w:szCs w:val="24"/>
              </w:rPr>
              <w:t>Tiesību akta projekta izpildes nodrošināšana un tās ietekme uz institūcijām</w:t>
            </w:r>
          </w:p>
        </w:tc>
      </w:tr>
      <w:tr w:rsidR="001772B3" w:rsidRPr="005A6C54" w:rsidTr="00DB08A5">
        <w:tblPrEx>
          <w:tblBorders>
            <w:insideH w:val="none" w:sz="0" w:space="0" w:color="auto"/>
            <w:insideV w:val="none" w:sz="0" w:space="0" w:color="auto"/>
          </w:tblBorders>
        </w:tblPrEx>
        <w:tc>
          <w:tcPr>
            <w:tcW w:w="3544" w:type="dxa"/>
            <w:gridSpan w:val="2"/>
            <w:tcBorders>
              <w:top w:val="single" w:sz="4" w:space="0" w:color="auto"/>
              <w:left w:val="single" w:sz="4" w:space="0" w:color="auto"/>
              <w:bottom w:val="single" w:sz="4" w:space="0" w:color="auto"/>
              <w:right w:val="single" w:sz="4" w:space="0" w:color="auto"/>
            </w:tcBorders>
            <w:hideMark/>
          </w:tcPr>
          <w:p w:rsidR="001772B3" w:rsidRPr="005A6C54" w:rsidRDefault="001772B3" w:rsidP="001E447C">
            <w:pPr>
              <w:spacing w:after="0" w:line="240" w:lineRule="auto"/>
              <w:ind w:left="176" w:hanging="176"/>
              <w:rPr>
                <w:rFonts w:ascii="Times New Roman" w:hAnsi="Times New Roman"/>
                <w:color w:val="000000"/>
                <w:sz w:val="24"/>
                <w:szCs w:val="24"/>
              </w:rPr>
            </w:pPr>
            <w:r w:rsidRPr="005A6C54">
              <w:rPr>
                <w:rFonts w:ascii="Times New Roman" w:hAnsi="Times New Roman"/>
                <w:color w:val="000000"/>
                <w:sz w:val="24"/>
                <w:szCs w:val="24"/>
              </w:rPr>
              <w:t>1.</w:t>
            </w:r>
            <w:r w:rsidR="001E447C" w:rsidRPr="005A6C54">
              <w:rPr>
                <w:rFonts w:ascii="Times New Roman" w:hAnsi="Times New Roman"/>
                <w:sz w:val="24"/>
                <w:szCs w:val="24"/>
              </w:rPr>
              <w:t xml:space="preserve"> Projekta izpildē iesaistītās institūcijas</w:t>
            </w:r>
          </w:p>
        </w:tc>
        <w:tc>
          <w:tcPr>
            <w:tcW w:w="5528" w:type="dxa"/>
            <w:gridSpan w:val="2"/>
            <w:tcBorders>
              <w:top w:val="single" w:sz="4" w:space="0" w:color="auto"/>
              <w:left w:val="single" w:sz="4" w:space="0" w:color="auto"/>
              <w:bottom w:val="single" w:sz="4" w:space="0" w:color="auto"/>
              <w:right w:val="single" w:sz="4" w:space="0" w:color="auto"/>
            </w:tcBorders>
            <w:hideMark/>
          </w:tcPr>
          <w:p w:rsidR="001772B3" w:rsidRDefault="00110B90" w:rsidP="006F60D5">
            <w:pPr>
              <w:spacing w:after="0" w:line="240" w:lineRule="auto"/>
              <w:ind w:firstLine="459"/>
              <w:jc w:val="both"/>
              <w:rPr>
                <w:rFonts w:ascii="Times New Roman" w:hAnsi="Times New Roman"/>
                <w:color w:val="000000"/>
                <w:sz w:val="24"/>
                <w:szCs w:val="24"/>
              </w:rPr>
            </w:pPr>
            <w:r>
              <w:rPr>
                <w:rFonts w:ascii="Times New Roman" w:hAnsi="Times New Roman"/>
                <w:color w:val="000000"/>
                <w:sz w:val="24"/>
                <w:szCs w:val="24"/>
              </w:rPr>
              <w:t>No noteikumu projekta pieņemšanas izrietošos pienākumus</w:t>
            </w:r>
            <w:r w:rsidR="009019FB">
              <w:rPr>
                <w:rFonts w:ascii="Times New Roman" w:hAnsi="Times New Roman"/>
                <w:color w:val="000000"/>
                <w:sz w:val="24"/>
                <w:szCs w:val="24"/>
              </w:rPr>
              <w:t>, kas saistīti ar</w:t>
            </w:r>
            <w:r>
              <w:rPr>
                <w:rFonts w:ascii="Times New Roman" w:hAnsi="Times New Roman"/>
                <w:color w:val="000000"/>
                <w:sz w:val="24"/>
                <w:szCs w:val="24"/>
              </w:rPr>
              <w:softHyphen/>
              <w:t xml:space="preserve"> atlīdzības noteikšanu un izmaksāšanu </w:t>
            </w:r>
            <w:r w:rsidR="009019FB">
              <w:rPr>
                <w:rFonts w:ascii="Times New Roman" w:hAnsi="Times New Roman"/>
                <w:color w:val="000000"/>
                <w:sz w:val="24"/>
                <w:szCs w:val="24"/>
              </w:rPr>
              <w:t>par nekustamā īpašuma atsavināšanu</w:t>
            </w:r>
            <w:r w:rsidR="006017E4">
              <w:rPr>
                <w:rFonts w:ascii="Times New Roman" w:hAnsi="Times New Roman"/>
                <w:color w:val="000000"/>
                <w:sz w:val="24"/>
                <w:szCs w:val="24"/>
              </w:rPr>
              <w:t>,</w:t>
            </w:r>
            <w:r w:rsidR="009019FB">
              <w:rPr>
                <w:rFonts w:ascii="Times New Roman" w:hAnsi="Times New Roman"/>
                <w:color w:val="000000"/>
                <w:sz w:val="24"/>
                <w:szCs w:val="24"/>
              </w:rPr>
              <w:t xml:space="preserve"> </w:t>
            </w:r>
            <w:r>
              <w:rPr>
                <w:rFonts w:ascii="Times New Roman" w:hAnsi="Times New Roman"/>
                <w:color w:val="000000"/>
                <w:sz w:val="24"/>
                <w:szCs w:val="24"/>
              </w:rPr>
              <w:t>saskaņā ar Sabiedrības vajadzībām nepieciešamā nekustamā īpašuma atsavinā</w:t>
            </w:r>
            <w:r w:rsidR="009019FB">
              <w:rPr>
                <w:rFonts w:ascii="Times New Roman" w:hAnsi="Times New Roman"/>
                <w:color w:val="000000"/>
                <w:sz w:val="24"/>
                <w:szCs w:val="24"/>
              </w:rPr>
              <w:t>šanas likumā</w:t>
            </w:r>
            <w:r>
              <w:rPr>
                <w:rFonts w:ascii="Times New Roman" w:hAnsi="Times New Roman"/>
                <w:color w:val="000000"/>
                <w:sz w:val="24"/>
                <w:szCs w:val="24"/>
              </w:rPr>
              <w:t xml:space="preserve"> un uz tā 20.panta otrajā daļā paredzētā deleģējuma izdoto Ministru kabineta noteikumu projekt</w:t>
            </w:r>
            <w:r w:rsidR="009019FB">
              <w:rPr>
                <w:rFonts w:ascii="Times New Roman" w:hAnsi="Times New Roman"/>
                <w:color w:val="000000"/>
                <w:sz w:val="24"/>
                <w:szCs w:val="24"/>
              </w:rPr>
              <w:t>ā iekļauto regulējumu nodrošinās valsts pārvaldes iestāde vai pašvaldība, kuras kompetencē ir no attiecīgā energoapgādes objekta</w:t>
            </w:r>
            <w:r w:rsidR="00992E63">
              <w:rPr>
                <w:rFonts w:ascii="Times New Roman" w:hAnsi="Times New Roman"/>
                <w:color w:val="000000"/>
                <w:sz w:val="24"/>
                <w:szCs w:val="24"/>
              </w:rPr>
              <w:t xml:space="preserve"> ierīkošanas vai rekonstrukcijas izrietošo sabiedrības vajadzību nodrošināšana.</w:t>
            </w:r>
          </w:p>
          <w:p w:rsidR="00812033" w:rsidRPr="0096187F" w:rsidRDefault="00812033" w:rsidP="006F60D5">
            <w:pPr>
              <w:spacing w:after="0" w:line="240" w:lineRule="auto"/>
              <w:ind w:firstLine="459"/>
              <w:jc w:val="both"/>
              <w:rPr>
                <w:rFonts w:ascii="Times New Roman" w:hAnsi="Times New Roman"/>
                <w:color w:val="000000"/>
                <w:sz w:val="24"/>
                <w:szCs w:val="24"/>
              </w:rPr>
            </w:pPr>
          </w:p>
        </w:tc>
      </w:tr>
      <w:tr w:rsidR="001772B3" w:rsidRPr="00850B76" w:rsidTr="00DB08A5">
        <w:tblPrEx>
          <w:tblBorders>
            <w:insideH w:val="none" w:sz="0" w:space="0" w:color="auto"/>
            <w:insideV w:val="none" w:sz="0" w:space="0" w:color="auto"/>
          </w:tblBorders>
        </w:tblPrEx>
        <w:tc>
          <w:tcPr>
            <w:tcW w:w="3544" w:type="dxa"/>
            <w:gridSpan w:val="2"/>
            <w:tcBorders>
              <w:top w:val="single" w:sz="4" w:space="0" w:color="auto"/>
              <w:left w:val="single" w:sz="4" w:space="0" w:color="auto"/>
              <w:bottom w:val="single" w:sz="4" w:space="0" w:color="auto"/>
              <w:right w:val="single" w:sz="4" w:space="0" w:color="auto"/>
            </w:tcBorders>
            <w:hideMark/>
          </w:tcPr>
          <w:p w:rsidR="001772B3" w:rsidRPr="001E447C" w:rsidRDefault="001772B3" w:rsidP="001E447C">
            <w:pPr>
              <w:spacing w:after="0" w:line="240" w:lineRule="auto"/>
              <w:ind w:left="176" w:hanging="176"/>
              <w:rPr>
                <w:rFonts w:ascii="Times New Roman" w:hAnsi="Times New Roman"/>
                <w:color w:val="000000"/>
                <w:sz w:val="24"/>
                <w:szCs w:val="24"/>
              </w:rPr>
            </w:pPr>
            <w:r w:rsidRPr="001E447C">
              <w:rPr>
                <w:rFonts w:ascii="Times New Roman" w:hAnsi="Times New Roman"/>
                <w:color w:val="000000"/>
                <w:sz w:val="24"/>
                <w:szCs w:val="24"/>
              </w:rPr>
              <w:t xml:space="preserve">2. </w:t>
            </w:r>
            <w:r w:rsidR="001E447C" w:rsidRPr="001E447C">
              <w:rPr>
                <w:rFonts w:ascii="Times New Roman" w:hAnsi="Times New Roman"/>
                <w:sz w:val="24"/>
                <w:szCs w:val="24"/>
              </w:rPr>
              <w:t>Projekta izpildes ietekme uz pārvaldes funkcijām</w:t>
            </w:r>
          </w:p>
        </w:tc>
        <w:tc>
          <w:tcPr>
            <w:tcW w:w="5528" w:type="dxa"/>
            <w:gridSpan w:val="2"/>
            <w:tcBorders>
              <w:top w:val="single" w:sz="4" w:space="0" w:color="auto"/>
              <w:left w:val="single" w:sz="4" w:space="0" w:color="auto"/>
              <w:bottom w:val="single" w:sz="4" w:space="0" w:color="auto"/>
              <w:right w:val="single" w:sz="4" w:space="0" w:color="auto"/>
            </w:tcBorders>
            <w:hideMark/>
          </w:tcPr>
          <w:p w:rsidR="006327B6" w:rsidRDefault="00077599" w:rsidP="006F60D5">
            <w:pPr>
              <w:spacing w:after="0" w:line="240" w:lineRule="auto"/>
              <w:ind w:firstLine="459"/>
              <w:jc w:val="both"/>
              <w:rPr>
                <w:rFonts w:ascii="Times New Roman" w:hAnsi="Times New Roman"/>
                <w:sz w:val="24"/>
                <w:szCs w:val="24"/>
              </w:rPr>
            </w:pPr>
            <w:r>
              <w:rPr>
                <w:rFonts w:ascii="Times New Roman" w:hAnsi="Times New Roman"/>
                <w:sz w:val="24"/>
                <w:szCs w:val="24"/>
              </w:rPr>
              <w:t>Institūciju funkcijas un uzdevumi netiek paplašināti, bet institūcijām atlīdzības noteikšanā un izmaksāšanā būs jāpiemēro cita kārtība.</w:t>
            </w:r>
          </w:p>
          <w:p w:rsidR="00812033" w:rsidRPr="0096187F" w:rsidRDefault="00812033" w:rsidP="006F60D5">
            <w:pPr>
              <w:spacing w:after="0" w:line="240" w:lineRule="auto"/>
              <w:ind w:firstLine="459"/>
              <w:jc w:val="both"/>
              <w:rPr>
                <w:rFonts w:ascii="Times New Roman" w:hAnsi="Times New Roman"/>
                <w:sz w:val="24"/>
                <w:szCs w:val="24"/>
              </w:rPr>
            </w:pPr>
          </w:p>
        </w:tc>
      </w:tr>
      <w:tr w:rsidR="001E447C" w:rsidRPr="00850B76" w:rsidTr="00DB08A5">
        <w:tblPrEx>
          <w:tblBorders>
            <w:insideH w:val="none" w:sz="0" w:space="0" w:color="auto"/>
            <w:insideV w:val="none" w:sz="0" w:space="0" w:color="auto"/>
          </w:tblBorders>
        </w:tblPrEx>
        <w:tc>
          <w:tcPr>
            <w:tcW w:w="3544" w:type="dxa"/>
            <w:gridSpan w:val="2"/>
            <w:tcBorders>
              <w:top w:val="single" w:sz="4" w:space="0" w:color="auto"/>
              <w:left w:val="single" w:sz="4" w:space="0" w:color="auto"/>
              <w:bottom w:val="single" w:sz="4" w:space="0" w:color="auto"/>
              <w:right w:val="single" w:sz="4" w:space="0" w:color="auto"/>
            </w:tcBorders>
            <w:hideMark/>
          </w:tcPr>
          <w:p w:rsidR="001E447C" w:rsidRDefault="001E447C" w:rsidP="001E447C">
            <w:pPr>
              <w:spacing w:after="0" w:line="240" w:lineRule="auto"/>
              <w:ind w:left="176" w:hanging="176"/>
              <w:rPr>
                <w:rFonts w:ascii="Times New Roman" w:hAnsi="Times New Roman"/>
                <w:sz w:val="24"/>
                <w:szCs w:val="24"/>
              </w:rPr>
            </w:pPr>
            <w:r w:rsidRPr="001E447C">
              <w:rPr>
                <w:rFonts w:ascii="Times New Roman" w:hAnsi="Times New Roman"/>
                <w:color w:val="000000"/>
                <w:sz w:val="24"/>
                <w:szCs w:val="24"/>
              </w:rPr>
              <w:lastRenderedPageBreak/>
              <w:t xml:space="preserve">3. </w:t>
            </w:r>
            <w:r w:rsidRPr="001E447C">
              <w:rPr>
                <w:rFonts w:ascii="Times New Roman" w:hAnsi="Times New Roman"/>
                <w:sz w:val="24"/>
                <w:szCs w:val="24"/>
              </w:rPr>
              <w:t xml:space="preserve">Projekta izpildes ietekme uz pārvaldes institucionālo struktūru. </w:t>
            </w:r>
          </w:p>
          <w:p w:rsidR="001E447C" w:rsidRPr="001E447C" w:rsidRDefault="001E447C" w:rsidP="001E447C">
            <w:pPr>
              <w:spacing w:after="0" w:line="240" w:lineRule="auto"/>
              <w:ind w:left="176"/>
              <w:rPr>
                <w:rFonts w:ascii="Times New Roman" w:hAnsi="Times New Roman"/>
                <w:color w:val="000000"/>
                <w:sz w:val="24"/>
                <w:szCs w:val="24"/>
              </w:rPr>
            </w:pPr>
            <w:r w:rsidRPr="001E447C">
              <w:rPr>
                <w:rFonts w:ascii="Times New Roman" w:hAnsi="Times New Roman"/>
                <w:sz w:val="24"/>
                <w:szCs w:val="24"/>
              </w:rPr>
              <w:t>Jaunu institūciju izveide</w:t>
            </w:r>
          </w:p>
        </w:tc>
        <w:tc>
          <w:tcPr>
            <w:tcW w:w="5528" w:type="dxa"/>
            <w:gridSpan w:val="2"/>
            <w:tcBorders>
              <w:top w:val="single" w:sz="4" w:space="0" w:color="auto"/>
              <w:left w:val="single" w:sz="4" w:space="0" w:color="auto"/>
              <w:bottom w:val="single" w:sz="4" w:space="0" w:color="auto"/>
              <w:right w:val="single" w:sz="4" w:space="0" w:color="auto"/>
            </w:tcBorders>
            <w:hideMark/>
          </w:tcPr>
          <w:p w:rsidR="001E447C" w:rsidRPr="0096187F" w:rsidRDefault="0096187F" w:rsidP="006F60D5">
            <w:pPr>
              <w:spacing w:after="0" w:line="240" w:lineRule="auto"/>
              <w:ind w:firstLine="459"/>
              <w:jc w:val="both"/>
              <w:rPr>
                <w:rFonts w:ascii="Times New Roman" w:hAnsi="Times New Roman"/>
                <w:color w:val="000000"/>
                <w:sz w:val="24"/>
                <w:szCs w:val="24"/>
              </w:rPr>
            </w:pPr>
            <w:r>
              <w:rPr>
                <w:rFonts w:ascii="Times New Roman" w:hAnsi="Times New Roman"/>
                <w:sz w:val="24"/>
                <w:szCs w:val="24"/>
              </w:rPr>
              <w:t xml:space="preserve">Jaunu institūciju izveidi </w:t>
            </w:r>
            <w:r w:rsidR="00077599">
              <w:rPr>
                <w:rFonts w:ascii="Times New Roman" w:hAnsi="Times New Roman"/>
                <w:sz w:val="24"/>
                <w:szCs w:val="24"/>
              </w:rPr>
              <w:t xml:space="preserve">noteikumu </w:t>
            </w:r>
            <w:r>
              <w:rPr>
                <w:rFonts w:ascii="Times New Roman" w:hAnsi="Times New Roman"/>
                <w:sz w:val="24"/>
                <w:szCs w:val="24"/>
              </w:rPr>
              <w:t>projekts neparedz</w:t>
            </w:r>
            <w:r w:rsidR="001E447C" w:rsidRPr="0096187F">
              <w:rPr>
                <w:rFonts w:ascii="Times New Roman" w:hAnsi="Times New Roman"/>
                <w:sz w:val="24"/>
                <w:szCs w:val="24"/>
              </w:rPr>
              <w:t>.</w:t>
            </w:r>
          </w:p>
        </w:tc>
      </w:tr>
      <w:tr w:rsidR="001E447C" w:rsidRPr="00850B76" w:rsidTr="00DB08A5">
        <w:tblPrEx>
          <w:tblBorders>
            <w:insideH w:val="none" w:sz="0" w:space="0" w:color="auto"/>
            <w:insideV w:val="none" w:sz="0" w:space="0" w:color="auto"/>
          </w:tblBorders>
        </w:tblPrEx>
        <w:tc>
          <w:tcPr>
            <w:tcW w:w="3544" w:type="dxa"/>
            <w:gridSpan w:val="2"/>
            <w:tcBorders>
              <w:top w:val="single" w:sz="4" w:space="0" w:color="auto"/>
              <w:left w:val="single" w:sz="4" w:space="0" w:color="auto"/>
              <w:bottom w:val="single" w:sz="4" w:space="0" w:color="auto"/>
              <w:right w:val="single" w:sz="4" w:space="0" w:color="auto"/>
            </w:tcBorders>
            <w:hideMark/>
          </w:tcPr>
          <w:p w:rsidR="001E447C" w:rsidRDefault="001E447C" w:rsidP="001E447C">
            <w:pPr>
              <w:spacing w:after="0" w:line="240" w:lineRule="auto"/>
              <w:ind w:left="176" w:hanging="176"/>
              <w:rPr>
                <w:rFonts w:ascii="Times New Roman" w:hAnsi="Times New Roman"/>
                <w:sz w:val="24"/>
                <w:szCs w:val="24"/>
              </w:rPr>
            </w:pPr>
            <w:r w:rsidRPr="001E447C">
              <w:rPr>
                <w:rFonts w:ascii="Times New Roman" w:hAnsi="Times New Roman"/>
                <w:color w:val="000000"/>
                <w:sz w:val="24"/>
                <w:szCs w:val="24"/>
              </w:rPr>
              <w:t xml:space="preserve">4. </w:t>
            </w:r>
            <w:r w:rsidRPr="001E447C">
              <w:rPr>
                <w:rFonts w:ascii="Times New Roman" w:hAnsi="Times New Roman"/>
                <w:sz w:val="24"/>
                <w:szCs w:val="24"/>
              </w:rPr>
              <w:t xml:space="preserve">Projekta izpildes ietekme uz pārvaldes institucionālo struktūru. </w:t>
            </w:r>
          </w:p>
          <w:p w:rsidR="001E447C" w:rsidRPr="001E447C" w:rsidRDefault="001E447C" w:rsidP="001E447C">
            <w:pPr>
              <w:spacing w:after="0" w:line="240" w:lineRule="auto"/>
              <w:ind w:left="176"/>
              <w:rPr>
                <w:rFonts w:ascii="Times New Roman" w:hAnsi="Times New Roman"/>
                <w:color w:val="000000"/>
                <w:sz w:val="24"/>
                <w:szCs w:val="24"/>
              </w:rPr>
            </w:pPr>
            <w:r w:rsidRPr="001E447C">
              <w:rPr>
                <w:rFonts w:ascii="Times New Roman" w:hAnsi="Times New Roman"/>
                <w:sz w:val="24"/>
                <w:szCs w:val="24"/>
              </w:rPr>
              <w:t>Esošu institūciju likvidācija</w:t>
            </w:r>
          </w:p>
        </w:tc>
        <w:tc>
          <w:tcPr>
            <w:tcW w:w="5528" w:type="dxa"/>
            <w:gridSpan w:val="2"/>
            <w:tcBorders>
              <w:top w:val="single" w:sz="4" w:space="0" w:color="auto"/>
              <w:left w:val="single" w:sz="4" w:space="0" w:color="auto"/>
              <w:bottom w:val="single" w:sz="4" w:space="0" w:color="auto"/>
              <w:right w:val="single" w:sz="4" w:space="0" w:color="auto"/>
            </w:tcBorders>
            <w:hideMark/>
          </w:tcPr>
          <w:p w:rsidR="001E447C" w:rsidRPr="001E447C" w:rsidRDefault="0096187F" w:rsidP="006F60D5">
            <w:pPr>
              <w:spacing w:after="0" w:line="240" w:lineRule="auto"/>
              <w:ind w:firstLine="459"/>
              <w:jc w:val="both"/>
              <w:rPr>
                <w:rFonts w:ascii="Times New Roman" w:hAnsi="Times New Roman"/>
                <w:color w:val="000000"/>
                <w:sz w:val="24"/>
                <w:szCs w:val="24"/>
                <w:highlight w:val="lightGray"/>
              </w:rPr>
            </w:pPr>
            <w:r>
              <w:rPr>
                <w:rFonts w:ascii="Times New Roman" w:hAnsi="Times New Roman"/>
                <w:sz w:val="24"/>
                <w:szCs w:val="24"/>
              </w:rPr>
              <w:t xml:space="preserve">Esošās institūcijas </w:t>
            </w:r>
            <w:r w:rsidR="00077599">
              <w:rPr>
                <w:rFonts w:ascii="Times New Roman" w:hAnsi="Times New Roman"/>
                <w:sz w:val="24"/>
                <w:szCs w:val="24"/>
              </w:rPr>
              <w:t xml:space="preserve">noteikumu </w:t>
            </w:r>
            <w:r>
              <w:rPr>
                <w:rFonts w:ascii="Times New Roman" w:hAnsi="Times New Roman"/>
                <w:sz w:val="24"/>
                <w:szCs w:val="24"/>
              </w:rPr>
              <w:t xml:space="preserve">projekts neparedz likvidēt. </w:t>
            </w:r>
          </w:p>
        </w:tc>
      </w:tr>
      <w:tr w:rsidR="001E447C" w:rsidRPr="00850B76" w:rsidTr="00DB08A5">
        <w:tblPrEx>
          <w:tblBorders>
            <w:insideH w:val="none" w:sz="0" w:space="0" w:color="auto"/>
            <w:insideV w:val="none" w:sz="0" w:space="0" w:color="auto"/>
          </w:tblBorders>
        </w:tblPrEx>
        <w:tc>
          <w:tcPr>
            <w:tcW w:w="3544" w:type="dxa"/>
            <w:gridSpan w:val="2"/>
            <w:tcBorders>
              <w:top w:val="single" w:sz="4" w:space="0" w:color="auto"/>
              <w:left w:val="single" w:sz="4" w:space="0" w:color="auto"/>
              <w:bottom w:val="single" w:sz="4" w:space="0" w:color="auto"/>
              <w:right w:val="single" w:sz="4" w:space="0" w:color="auto"/>
            </w:tcBorders>
            <w:hideMark/>
          </w:tcPr>
          <w:p w:rsidR="001E447C" w:rsidRDefault="001E447C" w:rsidP="001E447C">
            <w:pPr>
              <w:spacing w:after="0" w:line="240" w:lineRule="auto"/>
              <w:ind w:left="176" w:hanging="176"/>
              <w:rPr>
                <w:rFonts w:ascii="Times New Roman" w:hAnsi="Times New Roman"/>
                <w:sz w:val="24"/>
                <w:szCs w:val="24"/>
              </w:rPr>
            </w:pPr>
            <w:r w:rsidRPr="001E447C">
              <w:rPr>
                <w:rFonts w:ascii="Times New Roman" w:hAnsi="Times New Roman"/>
                <w:color w:val="000000"/>
                <w:sz w:val="24"/>
                <w:szCs w:val="24"/>
              </w:rPr>
              <w:t xml:space="preserve">5. </w:t>
            </w:r>
            <w:r w:rsidRPr="001E447C">
              <w:rPr>
                <w:rFonts w:ascii="Times New Roman" w:hAnsi="Times New Roman"/>
                <w:sz w:val="24"/>
                <w:szCs w:val="24"/>
              </w:rPr>
              <w:t xml:space="preserve">Projekta izpildes ietekme uz pārvaldes institucionālo struktūru. </w:t>
            </w:r>
          </w:p>
          <w:p w:rsidR="001E447C" w:rsidRPr="001E447C" w:rsidRDefault="001E447C" w:rsidP="001E447C">
            <w:pPr>
              <w:spacing w:after="0" w:line="240" w:lineRule="auto"/>
              <w:ind w:left="176"/>
              <w:rPr>
                <w:rFonts w:ascii="Times New Roman" w:hAnsi="Times New Roman"/>
                <w:color w:val="000000"/>
                <w:sz w:val="24"/>
                <w:szCs w:val="24"/>
              </w:rPr>
            </w:pPr>
            <w:r w:rsidRPr="001E447C">
              <w:rPr>
                <w:rFonts w:ascii="Times New Roman" w:hAnsi="Times New Roman"/>
                <w:sz w:val="24"/>
                <w:szCs w:val="24"/>
              </w:rPr>
              <w:t>Esošu institūciju reorganizācija</w:t>
            </w:r>
          </w:p>
        </w:tc>
        <w:tc>
          <w:tcPr>
            <w:tcW w:w="5528" w:type="dxa"/>
            <w:gridSpan w:val="2"/>
            <w:tcBorders>
              <w:top w:val="single" w:sz="4" w:space="0" w:color="auto"/>
              <w:left w:val="single" w:sz="4" w:space="0" w:color="auto"/>
              <w:bottom w:val="single" w:sz="4" w:space="0" w:color="auto"/>
              <w:right w:val="single" w:sz="4" w:space="0" w:color="auto"/>
            </w:tcBorders>
            <w:hideMark/>
          </w:tcPr>
          <w:p w:rsidR="001E447C" w:rsidRPr="001E447C" w:rsidRDefault="0096187F" w:rsidP="006F60D5">
            <w:pPr>
              <w:spacing w:after="0" w:line="240" w:lineRule="auto"/>
              <w:ind w:firstLine="459"/>
              <w:jc w:val="both"/>
              <w:rPr>
                <w:rFonts w:ascii="Times New Roman" w:hAnsi="Times New Roman"/>
                <w:color w:val="000000"/>
                <w:sz w:val="24"/>
                <w:szCs w:val="24"/>
                <w:highlight w:val="lightGray"/>
              </w:rPr>
            </w:pPr>
            <w:r>
              <w:rPr>
                <w:rFonts w:ascii="Times New Roman" w:hAnsi="Times New Roman"/>
                <w:sz w:val="24"/>
                <w:szCs w:val="24"/>
              </w:rPr>
              <w:t xml:space="preserve">Esošās institūcijas </w:t>
            </w:r>
            <w:r w:rsidR="00077599">
              <w:rPr>
                <w:rFonts w:ascii="Times New Roman" w:hAnsi="Times New Roman"/>
                <w:sz w:val="24"/>
                <w:szCs w:val="24"/>
              </w:rPr>
              <w:t xml:space="preserve">noteikumu </w:t>
            </w:r>
            <w:r>
              <w:rPr>
                <w:rFonts w:ascii="Times New Roman" w:hAnsi="Times New Roman"/>
                <w:sz w:val="24"/>
                <w:szCs w:val="24"/>
              </w:rPr>
              <w:t>projekts neparedz reorganizēt.</w:t>
            </w:r>
          </w:p>
        </w:tc>
      </w:tr>
      <w:tr w:rsidR="001772B3" w:rsidRPr="00850B76" w:rsidTr="00DB08A5">
        <w:tblPrEx>
          <w:tblBorders>
            <w:insideH w:val="none" w:sz="0" w:space="0" w:color="auto"/>
            <w:insideV w:val="none" w:sz="0" w:space="0" w:color="auto"/>
          </w:tblBorders>
        </w:tblPrEx>
        <w:tc>
          <w:tcPr>
            <w:tcW w:w="3544" w:type="dxa"/>
            <w:gridSpan w:val="2"/>
            <w:tcBorders>
              <w:top w:val="single" w:sz="4" w:space="0" w:color="auto"/>
              <w:left w:val="single" w:sz="4" w:space="0" w:color="auto"/>
              <w:bottom w:val="single" w:sz="4" w:space="0" w:color="auto"/>
              <w:right w:val="single" w:sz="4" w:space="0" w:color="auto"/>
            </w:tcBorders>
            <w:hideMark/>
          </w:tcPr>
          <w:p w:rsidR="001772B3" w:rsidRPr="001E447C" w:rsidRDefault="001E447C" w:rsidP="001E447C">
            <w:pPr>
              <w:spacing w:after="0" w:line="240" w:lineRule="auto"/>
              <w:ind w:left="176" w:hanging="176"/>
              <w:rPr>
                <w:rFonts w:ascii="Times New Roman" w:hAnsi="Times New Roman"/>
                <w:color w:val="000000"/>
                <w:sz w:val="24"/>
                <w:szCs w:val="24"/>
              </w:rPr>
            </w:pPr>
            <w:r w:rsidRPr="001E447C">
              <w:rPr>
                <w:rFonts w:ascii="Times New Roman" w:hAnsi="Times New Roman"/>
                <w:color w:val="000000"/>
                <w:sz w:val="24"/>
                <w:szCs w:val="24"/>
              </w:rPr>
              <w:t xml:space="preserve">5. </w:t>
            </w:r>
            <w:r>
              <w:rPr>
                <w:rFonts w:ascii="Times New Roman" w:hAnsi="Times New Roman"/>
                <w:sz w:val="24"/>
                <w:szCs w:val="24"/>
              </w:rPr>
              <w:t>Cita informācija</w:t>
            </w:r>
          </w:p>
        </w:tc>
        <w:tc>
          <w:tcPr>
            <w:tcW w:w="5528" w:type="dxa"/>
            <w:gridSpan w:val="2"/>
            <w:tcBorders>
              <w:top w:val="single" w:sz="4" w:space="0" w:color="auto"/>
              <w:left w:val="single" w:sz="4" w:space="0" w:color="auto"/>
              <w:bottom w:val="single" w:sz="4" w:space="0" w:color="auto"/>
              <w:right w:val="single" w:sz="4" w:space="0" w:color="auto"/>
            </w:tcBorders>
            <w:hideMark/>
          </w:tcPr>
          <w:p w:rsidR="001772B3" w:rsidRPr="001E447C" w:rsidRDefault="001E447C" w:rsidP="006F60D5">
            <w:pPr>
              <w:spacing w:after="0" w:line="240" w:lineRule="auto"/>
              <w:ind w:firstLine="459"/>
              <w:jc w:val="both"/>
              <w:rPr>
                <w:rFonts w:ascii="Times New Roman" w:hAnsi="Times New Roman"/>
                <w:color w:val="000000"/>
                <w:sz w:val="24"/>
                <w:szCs w:val="24"/>
                <w:highlight w:val="lightGray"/>
              </w:rPr>
            </w:pPr>
            <w:r w:rsidRPr="001E447C">
              <w:rPr>
                <w:rFonts w:ascii="Times New Roman" w:hAnsi="Times New Roman"/>
                <w:sz w:val="24"/>
                <w:szCs w:val="24"/>
              </w:rPr>
              <w:t>Nav.</w:t>
            </w:r>
          </w:p>
        </w:tc>
      </w:tr>
    </w:tbl>
    <w:p w:rsidR="0018196A" w:rsidRDefault="0018196A" w:rsidP="001E447C">
      <w:pPr>
        <w:spacing w:after="0" w:line="240" w:lineRule="auto"/>
        <w:ind w:firstLine="567"/>
        <w:jc w:val="both"/>
        <w:rPr>
          <w:rFonts w:ascii="Times New Roman" w:eastAsia="Times New Roman" w:hAnsi="Times New Roman"/>
          <w:color w:val="000000"/>
          <w:sz w:val="24"/>
          <w:szCs w:val="24"/>
          <w:lang w:eastAsia="lv-LV"/>
        </w:rPr>
      </w:pPr>
    </w:p>
    <w:p w:rsidR="002936BF" w:rsidRDefault="002936BF" w:rsidP="001E447C">
      <w:pPr>
        <w:spacing w:after="0" w:line="240" w:lineRule="auto"/>
        <w:ind w:firstLine="567"/>
        <w:jc w:val="both"/>
        <w:rPr>
          <w:rFonts w:ascii="Times New Roman" w:eastAsia="Times New Roman" w:hAnsi="Times New Roman"/>
          <w:color w:val="000000"/>
          <w:sz w:val="24"/>
          <w:szCs w:val="24"/>
          <w:lang w:eastAsia="lv-LV"/>
        </w:rPr>
      </w:pPr>
    </w:p>
    <w:p w:rsidR="00E11FA1" w:rsidRDefault="009D6DDD" w:rsidP="00CC445A">
      <w:pPr>
        <w:spacing w:after="0" w:line="240" w:lineRule="auto"/>
        <w:jc w:val="both"/>
        <w:rPr>
          <w:rFonts w:ascii="Times New Roman" w:hAnsi="Times New Roman"/>
          <w:color w:val="000000"/>
          <w:sz w:val="24"/>
          <w:szCs w:val="24"/>
        </w:rPr>
      </w:pPr>
      <w:r w:rsidRPr="009D6DDD">
        <w:rPr>
          <w:rFonts w:ascii="Times New Roman" w:hAnsi="Times New Roman"/>
          <w:color w:val="000000"/>
          <w:sz w:val="24"/>
          <w:szCs w:val="24"/>
        </w:rPr>
        <w:t>Tieslietu ministrs</w:t>
      </w:r>
      <w:r w:rsidRPr="009D6DDD">
        <w:rPr>
          <w:rFonts w:ascii="Times New Roman" w:hAnsi="Times New Roman"/>
          <w:color w:val="000000"/>
          <w:sz w:val="24"/>
          <w:szCs w:val="24"/>
        </w:rPr>
        <w:tab/>
      </w:r>
      <w:r w:rsidR="00050492">
        <w:rPr>
          <w:rFonts w:ascii="Times New Roman" w:hAnsi="Times New Roman"/>
          <w:color w:val="000000"/>
          <w:sz w:val="24"/>
          <w:szCs w:val="24"/>
        </w:rPr>
        <w:tab/>
      </w:r>
      <w:r w:rsidR="00050492">
        <w:rPr>
          <w:rFonts w:ascii="Times New Roman" w:hAnsi="Times New Roman"/>
          <w:color w:val="000000"/>
          <w:sz w:val="24"/>
          <w:szCs w:val="24"/>
        </w:rPr>
        <w:tab/>
      </w:r>
      <w:r w:rsidR="00050492">
        <w:rPr>
          <w:rFonts w:ascii="Times New Roman" w:hAnsi="Times New Roman"/>
          <w:color w:val="000000"/>
          <w:sz w:val="24"/>
          <w:szCs w:val="24"/>
        </w:rPr>
        <w:tab/>
      </w:r>
      <w:r w:rsidR="00050492">
        <w:rPr>
          <w:rFonts w:ascii="Times New Roman" w:hAnsi="Times New Roman"/>
          <w:color w:val="000000"/>
          <w:sz w:val="24"/>
          <w:szCs w:val="24"/>
        </w:rPr>
        <w:tab/>
      </w:r>
      <w:r w:rsidR="00050492">
        <w:rPr>
          <w:rFonts w:ascii="Times New Roman" w:hAnsi="Times New Roman"/>
          <w:color w:val="000000"/>
          <w:sz w:val="24"/>
          <w:szCs w:val="24"/>
        </w:rPr>
        <w:tab/>
      </w:r>
      <w:r w:rsidR="00050492">
        <w:rPr>
          <w:rFonts w:ascii="Times New Roman" w:hAnsi="Times New Roman"/>
          <w:color w:val="000000"/>
          <w:sz w:val="24"/>
          <w:szCs w:val="24"/>
        </w:rPr>
        <w:tab/>
      </w:r>
      <w:r w:rsidR="00050492">
        <w:rPr>
          <w:rFonts w:ascii="Times New Roman" w:hAnsi="Times New Roman"/>
          <w:color w:val="000000"/>
          <w:sz w:val="24"/>
          <w:szCs w:val="24"/>
        </w:rPr>
        <w:tab/>
        <w:t>A. Štokenbergs</w:t>
      </w:r>
    </w:p>
    <w:p w:rsidR="00E11FA1" w:rsidRDefault="00E11FA1" w:rsidP="00CC445A">
      <w:pPr>
        <w:spacing w:after="0" w:line="240" w:lineRule="auto"/>
        <w:jc w:val="both"/>
        <w:rPr>
          <w:rFonts w:ascii="Times New Roman" w:hAnsi="Times New Roman"/>
          <w:color w:val="000000"/>
          <w:sz w:val="24"/>
          <w:szCs w:val="24"/>
        </w:rPr>
      </w:pPr>
    </w:p>
    <w:p w:rsidR="00E11FA1" w:rsidRDefault="00E11FA1" w:rsidP="00CC445A">
      <w:pPr>
        <w:spacing w:after="0" w:line="240" w:lineRule="auto"/>
        <w:jc w:val="both"/>
        <w:rPr>
          <w:rFonts w:ascii="Times New Roman" w:hAnsi="Times New Roman"/>
          <w:color w:val="000000"/>
          <w:sz w:val="24"/>
          <w:szCs w:val="24"/>
        </w:rPr>
      </w:pPr>
    </w:p>
    <w:p w:rsidR="002E34C9" w:rsidRPr="00CC445A" w:rsidRDefault="009D6DDD" w:rsidP="00CC445A">
      <w:pPr>
        <w:spacing w:after="0" w:line="240" w:lineRule="auto"/>
        <w:jc w:val="both"/>
        <w:rPr>
          <w:rFonts w:ascii="Times New Roman" w:hAnsi="Times New Roman"/>
          <w:color w:val="000000"/>
          <w:sz w:val="24"/>
          <w:szCs w:val="24"/>
        </w:rPr>
      </w:pPr>
      <w:r w:rsidRPr="009D6DDD">
        <w:rPr>
          <w:rFonts w:ascii="Times New Roman" w:hAnsi="Times New Roman"/>
          <w:color w:val="000000"/>
          <w:sz w:val="24"/>
          <w:szCs w:val="24"/>
        </w:rPr>
        <w:tab/>
      </w:r>
      <w:r w:rsidRPr="009D6DDD">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9D6DDD">
        <w:rPr>
          <w:rFonts w:ascii="Times New Roman" w:hAnsi="Times New Roman"/>
          <w:color w:val="000000"/>
          <w:sz w:val="24"/>
          <w:szCs w:val="24"/>
        </w:rPr>
        <w:t xml:space="preserve"> </w:t>
      </w:r>
    </w:p>
    <w:p w:rsidR="00050492" w:rsidRPr="00050492" w:rsidRDefault="00262F64" w:rsidP="00050492">
      <w:pPr>
        <w:spacing w:after="0"/>
        <w:rPr>
          <w:rFonts w:ascii="Times New Roman" w:hAnsi="Times New Roman"/>
          <w:sz w:val="20"/>
          <w:szCs w:val="20"/>
        </w:rPr>
      </w:pPr>
      <w:r>
        <w:rPr>
          <w:rFonts w:ascii="Times New Roman" w:hAnsi="Times New Roman"/>
          <w:sz w:val="20"/>
          <w:szCs w:val="20"/>
        </w:rPr>
        <w:t>07.02.2011</w:t>
      </w:r>
      <w:r w:rsidR="00050492" w:rsidRPr="00050492">
        <w:rPr>
          <w:rFonts w:ascii="Times New Roman" w:hAnsi="Times New Roman"/>
          <w:sz w:val="20"/>
          <w:szCs w:val="20"/>
        </w:rPr>
        <w:t xml:space="preserve">. </w:t>
      </w:r>
      <w:r>
        <w:rPr>
          <w:rFonts w:ascii="Times New Roman" w:hAnsi="Times New Roman"/>
          <w:sz w:val="20"/>
          <w:szCs w:val="20"/>
        </w:rPr>
        <w:t>12:15</w:t>
      </w:r>
    </w:p>
    <w:p w:rsidR="00050492" w:rsidRPr="00050492" w:rsidRDefault="00CC445A" w:rsidP="00050492">
      <w:pPr>
        <w:spacing w:after="0"/>
        <w:rPr>
          <w:rFonts w:ascii="Times New Roman" w:hAnsi="Times New Roman"/>
          <w:sz w:val="20"/>
          <w:szCs w:val="20"/>
        </w:rPr>
      </w:pPr>
      <w:r>
        <w:rPr>
          <w:rFonts w:ascii="Times New Roman" w:hAnsi="Times New Roman"/>
          <w:sz w:val="20"/>
          <w:szCs w:val="20"/>
        </w:rPr>
        <w:t>1</w:t>
      </w:r>
      <w:r w:rsidR="002936BF">
        <w:rPr>
          <w:rFonts w:ascii="Times New Roman" w:hAnsi="Times New Roman"/>
          <w:sz w:val="20"/>
          <w:szCs w:val="20"/>
        </w:rPr>
        <w:t>7</w:t>
      </w:r>
      <w:r w:rsidR="00262F64">
        <w:rPr>
          <w:rFonts w:ascii="Times New Roman" w:hAnsi="Times New Roman"/>
          <w:sz w:val="20"/>
          <w:szCs w:val="20"/>
        </w:rPr>
        <w:t>45</w:t>
      </w:r>
    </w:p>
    <w:p w:rsidR="00050492" w:rsidRPr="00050492" w:rsidRDefault="00050492" w:rsidP="00050492">
      <w:pPr>
        <w:tabs>
          <w:tab w:val="left" w:pos="3060"/>
        </w:tabs>
        <w:spacing w:after="0"/>
        <w:rPr>
          <w:rFonts w:ascii="Times New Roman" w:hAnsi="Times New Roman"/>
          <w:sz w:val="20"/>
          <w:szCs w:val="20"/>
        </w:rPr>
      </w:pPr>
      <w:r w:rsidRPr="00050492">
        <w:rPr>
          <w:rFonts w:ascii="Times New Roman" w:hAnsi="Times New Roman"/>
          <w:sz w:val="20"/>
          <w:szCs w:val="20"/>
        </w:rPr>
        <w:t>Sanita Pieķe,</w:t>
      </w:r>
    </w:p>
    <w:p w:rsidR="00050492" w:rsidRPr="00050492" w:rsidRDefault="00262F64" w:rsidP="00050492">
      <w:pPr>
        <w:tabs>
          <w:tab w:val="left" w:pos="3060"/>
        </w:tabs>
        <w:spacing w:after="0"/>
        <w:rPr>
          <w:rFonts w:ascii="Times New Roman" w:hAnsi="Times New Roman"/>
          <w:sz w:val="20"/>
          <w:szCs w:val="20"/>
        </w:rPr>
      </w:pPr>
      <w:r>
        <w:rPr>
          <w:rFonts w:ascii="Times New Roman" w:hAnsi="Times New Roman"/>
          <w:sz w:val="20"/>
          <w:szCs w:val="20"/>
        </w:rPr>
        <w:t xml:space="preserve">Tieslietu ministrijas </w:t>
      </w:r>
      <w:r w:rsidR="00050492" w:rsidRPr="00050492">
        <w:rPr>
          <w:rFonts w:ascii="Times New Roman" w:hAnsi="Times New Roman"/>
          <w:sz w:val="20"/>
          <w:szCs w:val="20"/>
        </w:rPr>
        <w:t>Civiltiesību departamenta</w:t>
      </w:r>
    </w:p>
    <w:p w:rsidR="00050492" w:rsidRPr="00050492" w:rsidRDefault="00050492" w:rsidP="00050492">
      <w:pPr>
        <w:tabs>
          <w:tab w:val="left" w:pos="3060"/>
        </w:tabs>
        <w:spacing w:after="0"/>
        <w:rPr>
          <w:rFonts w:ascii="Times New Roman" w:hAnsi="Times New Roman"/>
          <w:sz w:val="20"/>
          <w:szCs w:val="20"/>
        </w:rPr>
      </w:pPr>
      <w:r w:rsidRPr="00050492">
        <w:rPr>
          <w:rFonts w:ascii="Times New Roman" w:hAnsi="Times New Roman"/>
          <w:sz w:val="20"/>
          <w:szCs w:val="20"/>
        </w:rPr>
        <w:t>Vispārējo civiltiesību nodaļas juriskonsulte</w:t>
      </w:r>
      <w:r w:rsidRPr="00050492">
        <w:rPr>
          <w:rFonts w:ascii="Times New Roman" w:hAnsi="Times New Roman"/>
          <w:sz w:val="20"/>
          <w:szCs w:val="20"/>
        </w:rPr>
        <w:tab/>
      </w:r>
    </w:p>
    <w:p w:rsidR="00050492" w:rsidRPr="00050492" w:rsidRDefault="00050492" w:rsidP="00050492">
      <w:pPr>
        <w:spacing w:after="0"/>
        <w:rPr>
          <w:rFonts w:ascii="Times New Roman" w:hAnsi="Times New Roman"/>
          <w:sz w:val="20"/>
          <w:szCs w:val="20"/>
        </w:rPr>
      </w:pPr>
      <w:r w:rsidRPr="00050492">
        <w:rPr>
          <w:rFonts w:ascii="Times New Roman" w:hAnsi="Times New Roman"/>
          <w:sz w:val="20"/>
          <w:szCs w:val="20"/>
        </w:rPr>
        <w:t xml:space="preserve">67046107, </w:t>
      </w:r>
      <w:hyperlink r:id="rId8" w:history="1">
        <w:r w:rsidRPr="00050492">
          <w:rPr>
            <w:rStyle w:val="Hipersaite"/>
            <w:rFonts w:ascii="Times New Roman" w:hAnsi="Times New Roman"/>
            <w:sz w:val="20"/>
            <w:szCs w:val="20"/>
          </w:rPr>
          <w:t>Sanita.Pieke@tm.gov.lv</w:t>
        </w:r>
      </w:hyperlink>
    </w:p>
    <w:p w:rsidR="00655593" w:rsidRPr="0044449A" w:rsidRDefault="00655593" w:rsidP="00050492">
      <w:pPr>
        <w:spacing w:after="0" w:line="240" w:lineRule="auto"/>
        <w:rPr>
          <w:rFonts w:ascii="Times New Roman" w:eastAsia="Times New Roman" w:hAnsi="Times New Roman"/>
          <w:color w:val="000000"/>
          <w:sz w:val="28"/>
          <w:szCs w:val="28"/>
        </w:rPr>
      </w:pPr>
    </w:p>
    <w:sectPr w:rsidR="00655593" w:rsidRPr="0044449A" w:rsidSect="00BA0394">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2CD" w:rsidRDefault="009242CD" w:rsidP="00415B9D">
      <w:pPr>
        <w:spacing w:after="0" w:line="240" w:lineRule="auto"/>
      </w:pPr>
      <w:r>
        <w:separator/>
      </w:r>
    </w:p>
  </w:endnote>
  <w:endnote w:type="continuationSeparator" w:id="0">
    <w:p w:rsidR="009242CD" w:rsidRDefault="009242CD" w:rsidP="00415B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2CD" w:rsidRPr="00050492" w:rsidRDefault="009242CD" w:rsidP="00050492">
    <w:pPr>
      <w:pStyle w:val="Kjene"/>
      <w:jc w:val="both"/>
      <w:rPr>
        <w:rFonts w:ascii="Times New Roman" w:hAnsi="Times New Roman"/>
        <w:sz w:val="20"/>
        <w:szCs w:val="20"/>
      </w:rPr>
    </w:pPr>
    <w:r>
      <w:rPr>
        <w:rFonts w:ascii="Times New Roman" w:hAnsi="Times New Roman"/>
        <w:sz w:val="20"/>
        <w:szCs w:val="20"/>
      </w:rPr>
      <w:t>TMAnot_070211</w:t>
    </w:r>
    <w:r w:rsidRPr="00050492">
      <w:rPr>
        <w:rFonts w:ascii="Times New Roman" w:hAnsi="Times New Roman"/>
        <w:sz w:val="20"/>
        <w:szCs w:val="20"/>
      </w:rPr>
      <w:t>_MK603; Mini</w:t>
    </w:r>
    <w:r>
      <w:rPr>
        <w:rFonts w:ascii="Times New Roman" w:hAnsi="Times New Roman"/>
        <w:sz w:val="20"/>
        <w:szCs w:val="20"/>
      </w:rPr>
      <w:t>stru kabineta noteikumu projekta</w:t>
    </w:r>
    <w:r w:rsidRPr="00050492">
      <w:rPr>
        <w:rFonts w:ascii="Times New Roman" w:hAnsi="Times New Roman"/>
        <w:sz w:val="20"/>
        <w:szCs w:val="20"/>
      </w:rPr>
      <w:t xml:space="preserve"> „Grozījums Ministru kabineta 2006.gada 25.jūlija noteikumos Nr.603 „Kārtība, kādā aprēķināma un izmaksājama atlīdzība par energoapgādes objekta ierīkošanai vai rekonstrukcijai nepieciešamā zemes īpašuma atsavināšanu vai lietošanas tiesību ierobežošanu”</w:t>
    </w:r>
  </w:p>
  <w:p w:rsidR="009242CD" w:rsidRPr="00441389" w:rsidRDefault="009242CD" w:rsidP="00441389">
    <w:pPr>
      <w:spacing w:after="0" w:line="240" w:lineRule="auto"/>
      <w:jc w:val="both"/>
      <w:rPr>
        <w:rFonts w:ascii="Times New Roman" w:hAnsi="Times New Roman"/>
        <w:sz w:val="20"/>
        <w:szCs w:val="20"/>
      </w:rPr>
    </w:pPr>
    <w:r w:rsidRPr="00050492">
      <w:rPr>
        <w:rFonts w:ascii="Times New Roman" w:hAnsi="Times New Roman"/>
        <w:sz w:val="20"/>
        <w:szCs w:val="20"/>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2CD" w:rsidRPr="00050492" w:rsidRDefault="009242CD" w:rsidP="00050492">
    <w:pPr>
      <w:pStyle w:val="Kjene"/>
      <w:jc w:val="both"/>
      <w:rPr>
        <w:rFonts w:ascii="Times New Roman" w:hAnsi="Times New Roman"/>
        <w:sz w:val="20"/>
        <w:szCs w:val="20"/>
      </w:rPr>
    </w:pPr>
    <w:r>
      <w:rPr>
        <w:rFonts w:ascii="Times New Roman" w:hAnsi="Times New Roman"/>
        <w:sz w:val="20"/>
        <w:szCs w:val="20"/>
      </w:rPr>
      <w:t>TMAnot_070211</w:t>
    </w:r>
    <w:r w:rsidRPr="00050492">
      <w:rPr>
        <w:rFonts w:ascii="Times New Roman" w:hAnsi="Times New Roman"/>
        <w:sz w:val="20"/>
        <w:szCs w:val="20"/>
      </w:rPr>
      <w:t>_MK603; Mini</w:t>
    </w:r>
    <w:r>
      <w:rPr>
        <w:rFonts w:ascii="Times New Roman" w:hAnsi="Times New Roman"/>
        <w:sz w:val="20"/>
        <w:szCs w:val="20"/>
      </w:rPr>
      <w:t>stru kabineta noteikumu projekta</w:t>
    </w:r>
    <w:r w:rsidRPr="00050492">
      <w:rPr>
        <w:rFonts w:ascii="Times New Roman" w:hAnsi="Times New Roman"/>
        <w:sz w:val="20"/>
        <w:szCs w:val="20"/>
      </w:rPr>
      <w:t xml:space="preserve"> „Grozījums Ministru kabineta 2006.gada 25.jūlija noteikumos Nr.603 „Kārtība, kādā aprēķināma un izmaksājama atlīdzība par energoapgādes objekta ierīkošanai vai rekonstrukcijai nepieciešamā zemes īpašuma atsavināšanu vai lietošanas tiesību ierobežošanu”</w:t>
    </w:r>
  </w:p>
  <w:p w:rsidR="009242CD" w:rsidRPr="00050492" w:rsidRDefault="009242CD" w:rsidP="00441389">
    <w:pPr>
      <w:spacing w:after="0" w:line="240" w:lineRule="auto"/>
      <w:jc w:val="both"/>
      <w:rPr>
        <w:rFonts w:ascii="Times New Roman" w:hAnsi="Times New Roman"/>
        <w:sz w:val="20"/>
        <w:szCs w:val="20"/>
      </w:rPr>
    </w:pPr>
    <w:r w:rsidRPr="00050492">
      <w:rPr>
        <w:rFonts w:ascii="Times New Roman" w:hAnsi="Times New Roman"/>
        <w:sz w:val="20"/>
        <w:szCs w:val="20"/>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2CD" w:rsidRDefault="009242CD" w:rsidP="00415B9D">
      <w:pPr>
        <w:spacing w:after="0" w:line="240" w:lineRule="auto"/>
      </w:pPr>
      <w:r>
        <w:separator/>
      </w:r>
    </w:p>
  </w:footnote>
  <w:footnote w:type="continuationSeparator" w:id="0">
    <w:p w:rsidR="009242CD" w:rsidRDefault="009242CD" w:rsidP="00415B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2CD" w:rsidRDefault="009242CD">
    <w:pPr>
      <w:pStyle w:val="Galvene"/>
      <w:jc w:val="center"/>
    </w:pPr>
    <w:r w:rsidRPr="00415B9D">
      <w:rPr>
        <w:rFonts w:ascii="Times New Roman" w:hAnsi="Times New Roman"/>
        <w:sz w:val="24"/>
        <w:szCs w:val="24"/>
      </w:rPr>
      <w:fldChar w:fldCharType="begin"/>
    </w:r>
    <w:r w:rsidRPr="00415B9D">
      <w:rPr>
        <w:rFonts w:ascii="Times New Roman" w:hAnsi="Times New Roman"/>
        <w:sz w:val="24"/>
        <w:szCs w:val="24"/>
      </w:rPr>
      <w:instrText xml:space="preserve"> PAGE   \* MERGEFORMAT </w:instrText>
    </w:r>
    <w:r w:rsidRPr="00415B9D">
      <w:rPr>
        <w:rFonts w:ascii="Times New Roman" w:hAnsi="Times New Roman"/>
        <w:sz w:val="24"/>
        <w:szCs w:val="24"/>
      </w:rPr>
      <w:fldChar w:fldCharType="separate"/>
    </w:r>
    <w:r w:rsidR="00262F64">
      <w:rPr>
        <w:rFonts w:ascii="Times New Roman" w:hAnsi="Times New Roman"/>
        <w:noProof/>
        <w:sz w:val="24"/>
        <w:szCs w:val="24"/>
      </w:rPr>
      <w:t>7</w:t>
    </w:r>
    <w:r w:rsidRPr="00415B9D">
      <w:rPr>
        <w:rFonts w:ascii="Times New Roman" w:hAnsi="Times New Roman"/>
        <w:sz w:val="24"/>
        <w:szCs w:val="24"/>
      </w:rPr>
      <w:fldChar w:fldCharType="end"/>
    </w:r>
  </w:p>
  <w:p w:rsidR="009242CD" w:rsidRDefault="009242CD">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5306F"/>
    <w:multiLevelType w:val="hybridMultilevel"/>
    <w:tmpl w:val="5A5861BE"/>
    <w:lvl w:ilvl="0" w:tplc="30F0C788">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1">
    <w:nsid w:val="1DAB4F3D"/>
    <w:multiLevelType w:val="hybridMultilevel"/>
    <w:tmpl w:val="6AACD248"/>
    <w:lvl w:ilvl="0" w:tplc="611A9E18">
      <w:start w:val="3"/>
      <w:numFmt w:val="bullet"/>
      <w:lvlText w:val="-"/>
      <w:lvlJc w:val="left"/>
      <w:pPr>
        <w:ind w:left="405" w:hanging="360"/>
      </w:pPr>
      <w:rPr>
        <w:rFonts w:ascii="Times New Roman" w:eastAsia="Times New Roman" w:hAnsi="Times New Roman" w:cs="Times New Roman" w:hint="default"/>
        <w:color w:val="000000"/>
        <w:sz w:val="15"/>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2">
    <w:nsid w:val="5ADD2A04"/>
    <w:multiLevelType w:val="hybridMultilevel"/>
    <w:tmpl w:val="AD261F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3771B03"/>
    <w:multiLevelType w:val="hybridMultilevel"/>
    <w:tmpl w:val="E062D42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3B52BFE"/>
    <w:multiLevelType w:val="hybridMultilevel"/>
    <w:tmpl w:val="B5AC1392"/>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
  </w:num>
  <w:num w:numId="2">
    <w:abstractNumId w:val="2"/>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rsids>
    <w:rsidRoot w:val="00CE5EA4"/>
    <w:rsid w:val="0000330D"/>
    <w:rsid w:val="00012FEA"/>
    <w:rsid w:val="00022035"/>
    <w:rsid w:val="000270CD"/>
    <w:rsid w:val="00033EC7"/>
    <w:rsid w:val="000346C7"/>
    <w:rsid w:val="0004100D"/>
    <w:rsid w:val="00050492"/>
    <w:rsid w:val="00056DF2"/>
    <w:rsid w:val="00066D31"/>
    <w:rsid w:val="0007389E"/>
    <w:rsid w:val="00077599"/>
    <w:rsid w:val="0008067F"/>
    <w:rsid w:val="00083F30"/>
    <w:rsid w:val="00096061"/>
    <w:rsid w:val="000A16AD"/>
    <w:rsid w:val="000A2932"/>
    <w:rsid w:val="000A5B0C"/>
    <w:rsid w:val="000B29F4"/>
    <w:rsid w:val="000D0141"/>
    <w:rsid w:val="000D384A"/>
    <w:rsid w:val="000F5BE5"/>
    <w:rsid w:val="000F7E05"/>
    <w:rsid w:val="00100B8C"/>
    <w:rsid w:val="00102DAD"/>
    <w:rsid w:val="00110B90"/>
    <w:rsid w:val="00116657"/>
    <w:rsid w:val="00127A77"/>
    <w:rsid w:val="00131E28"/>
    <w:rsid w:val="00132E71"/>
    <w:rsid w:val="00135798"/>
    <w:rsid w:val="00135D3F"/>
    <w:rsid w:val="00146C24"/>
    <w:rsid w:val="001477CD"/>
    <w:rsid w:val="001606A0"/>
    <w:rsid w:val="00161CFB"/>
    <w:rsid w:val="00171832"/>
    <w:rsid w:val="001772B3"/>
    <w:rsid w:val="00177B1D"/>
    <w:rsid w:val="0018196A"/>
    <w:rsid w:val="00184186"/>
    <w:rsid w:val="0019013F"/>
    <w:rsid w:val="0019418C"/>
    <w:rsid w:val="00197653"/>
    <w:rsid w:val="001A0525"/>
    <w:rsid w:val="001B096B"/>
    <w:rsid w:val="001B17B0"/>
    <w:rsid w:val="001C089D"/>
    <w:rsid w:val="001E420B"/>
    <w:rsid w:val="001E447C"/>
    <w:rsid w:val="0020727F"/>
    <w:rsid w:val="0021159A"/>
    <w:rsid w:val="002121F0"/>
    <w:rsid w:val="0021679F"/>
    <w:rsid w:val="00225E30"/>
    <w:rsid w:val="0023481F"/>
    <w:rsid w:val="00234C9F"/>
    <w:rsid w:val="00243E3C"/>
    <w:rsid w:val="00247B3C"/>
    <w:rsid w:val="00255602"/>
    <w:rsid w:val="00260263"/>
    <w:rsid w:val="002610F9"/>
    <w:rsid w:val="00262F64"/>
    <w:rsid w:val="00265999"/>
    <w:rsid w:val="00265C47"/>
    <w:rsid w:val="002678CC"/>
    <w:rsid w:val="00280857"/>
    <w:rsid w:val="00282FCB"/>
    <w:rsid w:val="002904AA"/>
    <w:rsid w:val="00292D60"/>
    <w:rsid w:val="002936BF"/>
    <w:rsid w:val="002A337C"/>
    <w:rsid w:val="002C45F7"/>
    <w:rsid w:val="002D0487"/>
    <w:rsid w:val="002E34C9"/>
    <w:rsid w:val="002F3866"/>
    <w:rsid w:val="002F75AC"/>
    <w:rsid w:val="00304A6B"/>
    <w:rsid w:val="003163C8"/>
    <w:rsid w:val="00316DFA"/>
    <w:rsid w:val="0033526B"/>
    <w:rsid w:val="00346FFA"/>
    <w:rsid w:val="003619B2"/>
    <w:rsid w:val="00364424"/>
    <w:rsid w:val="003734CA"/>
    <w:rsid w:val="0038105C"/>
    <w:rsid w:val="00387806"/>
    <w:rsid w:val="003A1624"/>
    <w:rsid w:val="003A1FB8"/>
    <w:rsid w:val="003B3047"/>
    <w:rsid w:val="003B5784"/>
    <w:rsid w:val="003C51DA"/>
    <w:rsid w:val="003C6D95"/>
    <w:rsid w:val="003E62F1"/>
    <w:rsid w:val="003F33D0"/>
    <w:rsid w:val="003F3E86"/>
    <w:rsid w:val="00401994"/>
    <w:rsid w:val="00411452"/>
    <w:rsid w:val="00411C57"/>
    <w:rsid w:val="00415B9D"/>
    <w:rsid w:val="00421209"/>
    <w:rsid w:val="00423997"/>
    <w:rsid w:val="00434C1D"/>
    <w:rsid w:val="00441007"/>
    <w:rsid w:val="00441389"/>
    <w:rsid w:val="00445DA4"/>
    <w:rsid w:val="004463DE"/>
    <w:rsid w:val="00447508"/>
    <w:rsid w:val="00472D7D"/>
    <w:rsid w:val="00475C09"/>
    <w:rsid w:val="00480EFC"/>
    <w:rsid w:val="00490472"/>
    <w:rsid w:val="00491115"/>
    <w:rsid w:val="00491A14"/>
    <w:rsid w:val="00491D13"/>
    <w:rsid w:val="004A6D3C"/>
    <w:rsid w:val="004B02EE"/>
    <w:rsid w:val="004B0D7A"/>
    <w:rsid w:val="004B1B54"/>
    <w:rsid w:val="004D7DAC"/>
    <w:rsid w:val="004E1DC2"/>
    <w:rsid w:val="004F1F08"/>
    <w:rsid w:val="00512103"/>
    <w:rsid w:val="00517FDA"/>
    <w:rsid w:val="00532DB3"/>
    <w:rsid w:val="00533E2D"/>
    <w:rsid w:val="00536840"/>
    <w:rsid w:val="0056138C"/>
    <w:rsid w:val="005640FD"/>
    <w:rsid w:val="005775F3"/>
    <w:rsid w:val="00587590"/>
    <w:rsid w:val="00591F46"/>
    <w:rsid w:val="00597210"/>
    <w:rsid w:val="005977DD"/>
    <w:rsid w:val="005A6C54"/>
    <w:rsid w:val="005A727F"/>
    <w:rsid w:val="005B1D79"/>
    <w:rsid w:val="005B2BB5"/>
    <w:rsid w:val="005D3354"/>
    <w:rsid w:val="005F1456"/>
    <w:rsid w:val="006000CC"/>
    <w:rsid w:val="006017E4"/>
    <w:rsid w:val="00603C0E"/>
    <w:rsid w:val="006047C2"/>
    <w:rsid w:val="0061178C"/>
    <w:rsid w:val="00613EDB"/>
    <w:rsid w:val="00621100"/>
    <w:rsid w:val="0062176D"/>
    <w:rsid w:val="00625C1D"/>
    <w:rsid w:val="006327B6"/>
    <w:rsid w:val="0064709D"/>
    <w:rsid w:val="00650222"/>
    <w:rsid w:val="00650EF2"/>
    <w:rsid w:val="006515BC"/>
    <w:rsid w:val="00655593"/>
    <w:rsid w:val="00667403"/>
    <w:rsid w:val="00684612"/>
    <w:rsid w:val="006950AC"/>
    <w:rsid w:val="006A6620"/>
    <w:rsid w:val="006B5359"/>
    <w:rsid w:val="006C1857"/>
    <w:rsid w:val="006C3A6F"/>
    <w:rsid w:val="006C5D81"/>
    <w:rsid w:val="006D71F6"/>
    <w:rsid w:val="006E7D3E"/>
    <w:rsid w:val="006F3A50"/>
    <w:rsid w:val="006F5530"/>
    <w:rsid w:val="006F60D5"/>
    <w:rsid w:val="007112C4"/>
    <w:rsid w:val="00713EBF"/>
    <w:rsid w:val="00724DA2"/>
    <w:rsid w:val="00726AC7"/>
    <w:rsid w:val="00727597"/>
    <w:rsid w:val="00727B66"/>
    <w:rsid w:val="00741C83"/>
    <w:rsid w:val="00745F74"/>
    <w:rsid w:val="0075053E"/>
    <w:rsid w:val="00774759"/>
    <w:rsid w:val="00774CB6"/>
    <w:rsid w:val="00776223"/>
    <w:rsid w:val="00781A6E"/>
    <w:rsid w:val="007B64A1"/>
    <w:rsid w:val="007C3F4A"/>
    <w:rsid w:val="007C44EF"/>
    <w:rsid w:val="007C657B"/>
    <w:rsid w:val="007C69B6"/>
    <w:rsid w:val="007E13E7"/>
    <w:rsid w:val="007E7F89"/>
    <w:rsid w:val="007F0738"/>
    <w:rsid w:val="007F2DE0"/>
    <w:rsid w:val="00812033"/>
    <w:rsid w:val="008216B0"/>
    <w:rsid w:val="008300A7"/>
    <w:rsid w:val="0083399D"/>
    <w:rsid w:val="00841179"/>
    <w:rsid w:val="008439D3"/>
    <w:rsid w:val="00844F1C"/>
    <w:rsid w:val="008467FD"/>
    <w:rsid w:val="00850B76"/>
    <w:rsid w:val="008626AA"/>
    <w:rsid w:val="008651C9"/>
    <w:rsid w:val="00872CFC"/>
    <w:rsid w:val="008736F9"/>
    <w:rsid w:val="00875618"/>
    <w:rsid w:val="008765D2"/>
    <w:rsid w:val="008802B2"/>
    <w:rsid w:val="008805F7"/>
    <w:rsid w:val="008842E5"/>
    <w:rsid w:val="00886570"/>
    <w:rsid w:val="008914C7"/>
    <w:rsid w:val="008918F8"/>
    <w:rsid w:val="00891C7B"/>
    <w:rsid w:val="008A2094"/>
    <w:rsid w:val="008A6F0D"/>
    <w:rsid w:val="008A7814"/>
    <w:rsid w:val="008C3CE8"/>
    <w:rsid w:val="008D41E9"/>
    <w:rsid w:val="008F55A8"/>
    <w:rsid w:val="009019FB"/>
    <w:rsid w:val="00902AE6"/>
    <w:rsid w:val="00903A0D"/>
    <w:rsid w:val="00905736"/>
    <w:rsid w:val="00916F31"/>
    <w:rsid w:val="0092244A"/>
    <w:rsid w:val="009242CD"/>
    <w:rsid w:val="009300E0"/>
    <w:rsid w:val="009331A9"/>
    <w:rsid w:val="00940152"/>
    <w:rsid w:val="0094079C"/>
    <w:rsid w:val="009422F0"/>
    <w:rsid w:val="0095600A"/>
    <w:rsid w:val="0096187F"/>
    <w:rsid w:val="00962072"/>
    <w:rsid w:val="00971672"/>
    <w:rsid w:val="00976C91"/>
    <w:rsid w:val="00980EBF"/>
    <w:rsid w:val="0098127F"/>
    <w:rsid w:val="00992E63"/>
    <w:rsid w:val="0099576A"/>
    <w:rsid w:val="009A0E3E"/>
    <w:rsid w:val="009C17F8"/>
    <w:rsid w:val="009C5391"/>
    <w:rsid w:val="009D212E"/>
    <w:rsid w:val="009D6DDD"/>
    <w:rsid w:val="009E072C"/>
    <w:rsid w:val="009E5493"/>
    <w:rsid w:val="009F16CE"/>
    <w:rsid w:val="009F642F"/>
    <w:rsid w:val="00A0088F"/>
    <w:rsid w:val="00A04AED"/>
    <w:rsid w:val="00A15A9B"/>
    <w:rsid w:val="00A2036D"/>
    <w:rsid w:val="00A35806"/>
    <w:rsid w:val="00A42EA1"/>
    <w:rsid w:val="00A437EA"/>
    <w:rsid w:val="00A437F3"/>
    <w:rsid w:val="00A4523E"/>
    <w:rsid w:val="00A51F13"/>
    <w:rsid w:val="00A610BE"/>
    <w:rsid w:val="00A63345"/>
    <w:rsid w:val="00A6563E"/>
    <w:rsid w:val="00A72B6C"/>
    <w:rsid w:val="00A7629C"/>
    <w:rsid w:val="00A77D17"/>
    <w:rsid w:val="00A919A2"/>
    <w:rsid w:val="00A94DB5"/>
    <w:rsid w:val="00A95664"/>
    <w:rsid w:val="00A95C61"/>
    <w:rsid w:val="00AB067F"/>
    <w:rsid w:val="00AB204A"/>
    <w:rsid w:val="00AB36B4"/>
    <w:rsid w:val="00AC3D8B"/>
    <w:rsid w:val="00AC5D64"/>
    <w:rsid w:val="00AD73EB"/>
    <w:rsid w:val="00AE0214"/>
    <w:rsid w:val="00AE42D8"/>
    <w:rsid w:val="00B04A77"/>
    <w:rsid w:val="00B23EE3"/>
    <w:rsid w:val="00B24B8E"/>
    <w:rsid w:val="00B27BCE"/>
    <w:rsid w:val="00B30FB5"/>
    <w:rsid w:val="00B35E88"/>
    <w:rsid w:val="00B409D2"/>
    <w:rsid w:val="00B41918"/>
    <w:rsid w:val="00B41E50"/>
    <w:rsid w:val="00B554A4"/>
    <w:rsid w:val="00B609A9"/>
    <w:rsid w:val="00B61D39"/>
    <w:rsid w:val="00B655B2"/>
    <w:rsid w:val="00B72007"/>
    <w:rsid w:val="00B7644B"/>
    <w:rsid w:val="00B85EB2"/>
    <w:rsid w:val="00B919FF"/>
    <w:rsid w:val="00B96B8A"/>
    <w:rsid w:val="00BA0394"/>
    <w:rsid w:val="00BA1027"/>
    <w:rsid w:val="00BA67C1"/>
    <w:rsid w:val="00BB0753"/>
    <w:rsid w:val="00BC31FD"/>
    <w:rsid w:val="00BC7E08"/>
    <w:rsid w:val="00BE2405"/>
    <w:rsid w:val="00BE6403"/>
    <w:rsid w:val="00BF3653"/>
    <w:rsid w:val="00C06539"/>
    <w:rsid w:val="00C33C8C"/>
    <w:rsid w:val="00C3432D"/>
    <w:rsid w:val="00C44F37"/>
    <w:rsid w:val="00C51645"/>
    <w:rsid w:val="00C5394C"/>
    <w:rsid w:val="00C60FF7"/>
    <w:rsid w:val="00C636DD"/>
    <w:rsid w:val="00C642F4"/>
    <w:rsid w:val="00C67857"/>
    <w:rsid w:val="00C747F8"/>
    <w:rsid w:val="00C75653"/>
    <w:rsid w:val="00CB4E22"/>
    <w:rsid w:val="00CB6645"/>
    <w:rsid w:val="00CC445A"/>
    <w:rsid w:val="00CD22C5"/>
    <w:rsid w:val="00CD58DE"/>
    <w:rsid w:val="00CE09BF"/>
    <w:rsid w:val="00CE10A6"/>
    <w:rsid w:val="00CE5EA4"/>
    <w:rsid w:val="00CF5995"/>
    <w:rsid w:val="00CF7B3E"/>
    <w:rsid w:val="00D01F79"/>
    <w:rsid w:val="00D054BC"/>
    <w:rsid w:val="00D108EC"/>
    <w:rsid w:val="00D14E0B"/>
    <w:rsid w:val="00D27C02"/>
    <w:rsid w:val="00D47C7B"/>
    <w:rsid w:val="00D61021"/>
    <w:rsid w:val="00D66B34"/>
    <w:rsid w:val="00D730EA"/>
    <w:rsid w:val="00D857D3"/>
    <w:rsid w:val="00D86AD2"/>
    <w:rsid w:val="00D9398D"/>
    <w:rsid w:val="00D9460D"/>
    <w:rsid w:val="00D9517F"/>
    <w:rsid w:val="00D951F3"/>
    <w:rsid w:val="00D96852"/>
    <w:rsid w:val="00DA72B0"/>
    <w:rsid w:val="00DB0013"/>
    <w:rsid w:val="00DB08A5"/>
    <w:rsid w:val="00DC4B89"/>
    <w:rsid w:val="00DD3802"/>
    <w:rsid w:val="00DD43C0"/>
    <w:rsid w:val="00DD6655"/>
    <w:rsid w:val="00DE6C3B"/>
    <w:rsid w:val="00DF104E"/>
    <w:rsid w:val="00DF313D"/>
    <w:rsid w:val="00E00B62"/>
    <w:rsid w:val="00E052C4"/>
    <w:rsid w:val="00E11FA1"/>
    <w:rsid w:val="00E154B5"/>
    <w:rsid w:val="00E223B8"/>
    <w:rsid w:val="00E45F4D"/>
    <w:rsid w:val="00E46727"/>
    <w:rsid w:val="00E535A1"/>
    <w:rsid w:val="00E53EFF"/>
    <w:rsid w:val="00E54E07"/>
    <w:rsid w:val="00E54E1A"/>
    <w:rsid w:val="00E55A8C"/>
    <w:rsid w:val="00E738B0"/>
    <w:rsid w:val="00E73A23"/>
    <w:rsid w:val="00E81C44"/>
    <w:rsid w:val="00E827A8"/>
    <w:rsid w:val="00E83653"/>
    <w:rsid w:val="00E86FF1"/>
    <w:rsid w:val="00E91CC8"/>
    <w:rsid w:val="00E95F4C"/>
    <w:rsid w:val="00EA1354"/>
    <w:rsid w:val="00EB225D"/>
    <w:rsid w:val="00EB6602"/>
    <w:rsid w:val="00EC6E9C"/>
    <w:rsid w:val="00ED6891"/>
    <w:rsid w:val="00EF1388"/>
    <w:rsid w:val="00EF386D"/>
    <w:rsid w:val="00F01FD2"/>
    <w:rsid w:val="00F17B30"/>
    <w:rsid w:val="00F238ED"/>
    <w:rsid w:val="00F24941"/>
    <w:rsid w:val="00F26E39"/>
    <w:rsid w:val="00F61E96"/>
    <w:rsid w:val="00F8083A"/>
    <w:rsid w:val="00F80FA6"/>
    <w:rsid w:val="00F83702"/>
    <w:rsid w:val="00F85AA3"/>
    <w:rsid w:val="00F9647D"/>
    <w:rsid w:val="00FA2EA7"/>
    <w:rsid w:val="00FA550F"/>
    <w:rsid w:val="00FA77FC"/>
    <w:rsid w:val="00FA7BBD"/>
    <w:rsid w:val="00FB48B9"/>
    <w:rsid w:val="00FB7200"/>
    <w:rsid w:val="00FC1938"/>
    <w:rsid w:val="00FC288E"/>
    <w:rsid w:val="00FC6B6B"/>
    <w:rsid w:val="00FD5769"/>
    <w:rsid w:val="00FE418A"/>
    <w:rsid w:val="00FE68C2"/>
    <w:rsid w:val="00FF4260"/>
    <w:rsid w:val="00FF779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F4260"/>
    <w:pPr>
      <w:spacing w:after="200" w:line="276" w:lineRule="auto"/>
    </w:pPr>
    <w:rPr>
      <w:sz w:val="22"/>
      <w:szCs w:val="22"/>
      <w:lang w:eastAsia="en-US"/>
    </w:rPr>
  </w:style>
  <w:style w:type="paragraph" w:styleId="Virsraksts2">
    <w:name w:val="heading 2"/>
    <w:basedOn w:val="Parastais"/>
    <w:next w:val="Parastais"/>
    <w:link w:val="Virsraksts2Rakstz"/>
    <w:uiPriority w:val="9"/>
    <w:semiHidden/>
    <w:unhideWhenUsed/>
    <w:qFormat/>
    <w:rsid w:val="00490472"/>
    <w:pPr>
      <w:keepNext/>
      <w:spacing w:before="240" w:after="60"/>
      <w:outlineLvl w:val="1"/>
    </w:pPr>
    <w:rPr>
      <w:rFonts w:ascii="Cambria" w:eastAsia="Times New Roman" w:hAnsi="Cambria"/>
      <w:b/>
      <w:bCs/>
      <w:i/>
      <w:iCs/>
      <w:sz w:val="28"/>
      <w:szCs w:val="28"/>
    </w:rPr>
  </w:style>
  <w:style w:type="paragraph" w:styleId="Virsraksts4">
    <w:name w:val="heading 4"/>
    <w:basedOn w:val="Parastais"/>
    <w:next w:val="Parastais"/>
    <w:link w:val="Virsraksts4Rakstz"/>
    <w:uiPriority w:val="9"/>
    <w:unhideWhenUsed/>
    <w:qFormat/>
    <w:rsid w:val="00225E30"/>
    <w:pPr>
      <w:keepNext/>
      <w:spacing w:before="240" w:after="60"/>
      <w:outlineLvl w:val="3"/>
    </w:pPr>
    <w:rPr>
      <w:rFonts w:eastAsia="Times New Roman"/>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aisWeb">
    <w:name w:val="Normal (Web)"/>
    <w:basedOn w:val="Parastais"/>
    <w:uiPriority w:val="99"/>
    <w:unhideWhenUsed/>
    <w:rsid w:val="00CE5EA4"/>
    <w:pPr>
      <w:spacing w:before="100" w:beforeAutospacing="1" w:after="100" w:afterAutospacing="1" w:line="240" w:lineRule="auto"/>
      <w:jc w:val="both"/>
    </w:pPr>
    <w:rPr>
      <w:rFonts w:ascii="Times New Roman" w:eastAsia="Times New Roman" w:hAnsi="Times New Roman"/>
      <w:color w:val="000000"/>
      <w:sz w:val="19"/>
      <w:szCs w:val="19"/>
      <w:lang w:eastAsia="lv-LV"/>
    </w:rPr>
  </w:style>
  <w:style w:type="paragraph" w:styleId="Sarakstarindkopa">
    <w:name w:val="List Paragraph"/>
    <w:basedOn w:val="Parastais"/>
    <w:uiPriority w:val="34"/>
    <w:qFormat/>
    <w:rsid w:val="00CE5EA4"/>
    <w:pPr>
      <w:ind w:left="720"/>
      <w:contextualSpacing/>
    </w:pPr>
  </w:style>
  <w:style w:type="paragraph" w:styleId="Galvene">
    <w:name w:val="header"/>
    <w:basedOn w:val="Parastais"/>
    <w:link w:val="GalveneRakstz"/>
    <w:uiPriority w:val="99"/>
    <w:unhideWhenUsed/>
    <w:rsid w:val="00415B9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15B9D"/>
  </w:style>
  <w:style w:type="paragraph" w:styleId="Kjene">
    <w:name w:val="footer"/>
    <w:basedOn w:val="Parastais"/>
    <w:link w:val="KjeneRakstz"/>
    <w:unhideWhenUsed/>
    <w:rsid w:val="00415B9D"/>
    <w:pPr>
      <w:tabs>
        <w:tab w:val="center" w:pos="4153"/>
        <w:tab w:val="right" w:pos="8306"/>
      </w:tabs>
      <w:spacing w:after="0" w:line="240" w:lineRule="auto"/>
    </w:pPr>
  </w:style>
  <w:style w:type="character" w:customStyle="1" w:styleId="KjeneRakstz">
    <w:name w:val="Kājene Rakstz."/>
    <w:basedOn w:val="Noklusjumarindkopasfonts"/>
    <w:link w:val="Kjene"/>
    <w:rsid w:val="00415B9D"/>
  </w:style>
  <w:style w:type="character" w:styleId="Hipersaite">
    <w:name w:val="Hyperlink"/>
    <w:basedOn w:val="Noklusjumarindkopasfonts"/>
    <w:uiPriority w:val="99"/>
    <w:semiHidden/>
    <w:unhideWhenUsed/>
    <w:rsid w:val="006327B6"/>
    <w:rPr>
      <w:color w:val="0000FF"/>
      <w:u w:val="single"/>
    </w:rPr>
  </w:style>
  <w:style w:type="paragraph" w:styleId="Pamatteksts">
    <w:name w:val="Body Text"/>
    <w:basedOn w:val="Parastais"/>
    <w:link w:val="PamattekstsRakstz"/>
    <w:rsid w:val="00655593"/>
    <w:pPr>
      <w:spacing w:after="120" w:line="240" w:lineRule="auto"/>
    </w:pPr>
    <w:rPr>
      <w:rFonts w:ascii="Times New Roman" w:eastAsia="Times New Roman" w:hAnsi="Times New Roman"/>
      <w:sz w:val="28"/>
      <w:szCs w:val="28"/>
      <w:lang w:eastAsia="lv-LV"/>
    </w:rPr>
  </w:style>
  <w:style w:type="character" w:customStyle="1" w:styleId="PamattekstsRakstz">
    <w:name w:val="Pamatteksts Rakstz."/>
    <w:basedOn w:val="Noklusjumarindkopasfonts"/>
    <w:link w:val="Pamatteksts"/>
    <w:rsid w:val="00655593"/>
    <w:rPr>
      <w:rFonts w:ascii="Times New Roman" w:eastAsia="Times New Roman" w:hAnsi="Times New Roman" w:cs="Times New Roman"/>
      <w:sz w:val="28"/>
      <w:szCs w:val="28"/>
      <w:lang w:eastAsia="lv-LV"/>
    </w:rPr>
  </w:style>
  <w:style w:type="character" w:styleId="Komentraatsauce">
    <w:name w:val="annotation reference"/>
    <w:basedOn w:val="Noklusjumarindkopasfonts"/>
    <w:uiPriority w:val="99"/>
    <w:semiHidden/>
    <w:unhideWhenUsed/>
    <w:rsid w:val="00F8083A"/>
    <w:rPr>
      <w:sz w:val="16"/>
      <w:szCs w:val="16"/>
    </w:rPr>
  </w:style>
  <w:style w:type="paragraph" w:styleId="Komentrateksts">
    <w:name w:val="annotation text"/>
    <w:basedOn w:val="Parastais"/>
    <w:link w:val="KomentratekstsRakstz"/>
    <w:uiPriority w:val="99"/>
    <w:semiHidden/>
    <w:unhideWhenUsed/>
    <w:rsid w:val="00F8083A"/>
    <w:rPr>
      <w:sz w:val="20"/>
      <w:szCs w:val="20"/>
    </w:rPr>
  </w:style>
  <w:style w:type="character" w:customStyle="1" w:styleId="KomentratekstsRakstz">
    <w:name w:val="Komentāra teksts Rakstz."/>
    <w:basedOn w:val="Noklusjumarindkopasfonts"/>
    <w:link w:val="Komentrateksts"/>
    <w:uiPriority w:val="99"/>
    <w:semiHidden/>
    <w:rsid w:val="00F8083A"/>
    <w:rPr>
      <w:lang w:eastAsia="en-US"/>
    </w:rPr>
  </w:style>
  <w:style w:type="paragraph" w:styleId="Komentratma">
    <w:name w:val="annotation subject"/>
    <w:basedOn w:val="Komentrateksts"/>
    <w:next w:val="Komentrateksts"/>
    <w:link w:val="KomentratmaRakstz"/>
    <w:uiPriority w:val="99"/>
    <w:semiHidden/>
    <w:unhideWhenUsed/>
    <w:rsid w:val="00F8083A"/>
    <w:rPr>
      <w:b/>
      <w:bCs/>
    </w:rPr>
  </w:style>
  <w:style w:type="character" w:customStyle="1" w:styleId="KomentratmaRakstz">
    <w:name w:val="Komentāra tēma Rakstz."/>
    <w:basedOn w:val="KomentratekstsRakstz"/>
    <w:link w:val="Komentratma"/>
    <w:uiPriority w:val="99"/>
    <w:semiHidden/>
    <w:rsid w:val="00F8083A"/>
    <w:rPr>
      <w:b/>
      <w:bCs/>
    </w:rPr>
  </w:style>
  <w:style w:type="paragraph" w:styleId="Balonteksts">
    <w:name w:val="Balloon Text"/>
    <w:basedOn w:val="Parastais"/>
    <w:link w:val="BalontekstsRakstz"/>
    <w:uiPriority w:val="99"/>
    <w:semiHidden/>
    <w:unhideWhenUsed/>
    <w:rsid w:val="00F8083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8083A"/>
    <w:rPr>
      <w:rFonts w:ascii="Tahoma" w:hAnsi="Tahoma" w:cs="Tahoma"/>
      <w:sz w:val="16"/>
      <w:szCs w:val="16"/>
      <w:lang w:eastAsia="en-US"/>
    </w:rPr>
  </w:style>
  <w:style w:type="paragraph" w:customStyle="1" w:styleId="naisf">
    <w:name w:val="naisf"/>
    <w:basedOn w:val="Parastais"/>
    <w:rsid w:val="00056DF2"/>
    <w:pPr>
      <w:spacing w:before="75" w:after="75" w:line="240" w:lineRule="auto"/>
      <w:ind w:firstLine="375"/>
      <w:jc w:val="both"/>
    </w:pPr>
    <w:rPr>
      <w:rFonts w:ascii="Times New Roman" w:eastAsia="Times New Roman" w:hAnsi="Times New Roman"/>
      <w:sz w:val="24"/>
      <w:szCs w:val="24"/>
      <w:lang w:eastAsia="lv-LV"/>
    </w:rPr>
  </w:style>
  <w:style w:type="character" w:customStyle="1" w:styleId="Virsraksts4Rakstz">
    <w:name w:val="Virsraksts 4 Rakstz."/>
    <w:basedOn w:val="Noklusjumarindkopasfonts"/>
    <w:link w:val="Virsraksts4"/>
    <w:uiPriority w:val="9"/>
    <w:rsid w:val="00225E30"/>
    <w:rPr>
      <w:rFonts w:eastAsia="Times New Roman"/>
      <w:b/>
      <w:bCs/>
      <w:sz w:val="28"/>
      <w:szCs w:val="28"/>
      <w:lang w:eastAsia="en-US"/>
    </w:rPr>
  </w:style>
  <w:style w:type="character" w:customStyle="1" w:styleId="Virsraksts2Rakstz">
    <w:name w:val="Virsraksts 2 Rakstz."/>
    <w:basedOn w:val="Noklusjumarindkopasfonts"/>
    <w:link w:val="Virsraksts2"/>
    <w:uiPriority w:val="9"/>
    <w:semiHidden/>
    <w:rsid w:val="00490472"/>
    <w:rPr>
      <w:rFonts w:ascii="Cambria" w:eastAsia="Times New Roman" w:hAnsi="Cambria" w:cs="Times New Roman"/>
      <w:b/>
      <w:bCs/>
      <w:i/>
      <w:iCs/>
      <w:sz w:val="28"/>
      <w:szCs w:val="28"/>
      <w:lang w:eastAsia="en-US"/>
    </w:rPr>
  </w:style>
</w:styles>
</file>

<file path=word/webSettings.xml><?xml version="1.0" encoding="utf-8"?>
<w:webSettings xmlns:r="http://schemas.openxmlformats.org/officeDocument/2006/relationships" xmlns:w="http://schemas.openxmlformats.org/wordprocessingml/2006/main">
  <w:divs>
    <w:div w:id="74015164">
      <w:bodyDiv w:val="1"/>
      <w:marLeft w:val="0"/>
      <w:marRight w:val="0"/>
      <w:marTop w:val="0"/>
      <w:marBottom w:val="0"/>
      <w:divBdr>
        <w:top w:val="none" w:sz="0" w:space="0" w:color="auto"/>
        <w:left w:val="none" w:sz="0" w:space="0" w:color="auto"/>
        <w:bottom w:val="none" w:sz="0" w:space="0" w:color="auto"/>
        <w:right w:val="none" w:sz="0" w:space="0" w:color="auto"/>
      </w:divBdr>
    </w:div>
    <w:div w:id="825583972">
      <w:bodyDiv w:val="1"/>
      <w:marLeft w:val="0"/>
      <w:marRight w:val="0"/>
      <w:marTop w:val="0"/>
      <w:marBottom w:val="0"/>
      <w:divBdr>
        <w:top w:val="none" w:sz="0" w:space="0" w:color="auto"/>
        <w:left w:val="none" w:sz="0" w:space="0" w:color="auto"/>
        <w:bottom w:val="none" w:sz="0" w:space="0" w:color="auto"/>
        <w:right w:val="none" w:sz="0" w:space="0" w:color="auto"/>
      </w:divBdr>
      <w:divsChild>
        <w:div w:id="1226380811">
          <w:marLeft w:val="0"/>
          <w:marRight w:val="0"/>
          <w:marTop w:val="0"/>
          <w:marBottom w:val="0"/>
          <w:divBdr>
            <w:top w:val="none" w:sz="0" w:space="0" w:color="auto"/>
            <w:left w:val="none" w:sz="0" w:space="0" w:color="auto"/>
            <w:bottom w:val="none" w:sz="0" w:space="0" w:color="auto"/>
            <w:right w:val="none" w:sz="0" w:space="0" w:color="auto"/>
          </w:divBdr>
          <w:divsChild>
            <w:div w:id="77202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14170">
      <w:bodyDiv w:val="1"/>
      <w:marLeft w:val="0"/>
      <w:marRight w:val="0"/>
      <w:marTop w:val="0"/>
      <w:marBottom w:val="0"/>
      <w:divBdr>
        <w:top w:val="none" w:sz="0" w:space="0" w:color="auto"/>
        <w:left w:val="none" w:sz="0" w:space="0" w:color="auto"/>
        <w:bottom w:val="none" w:sz="0" w:space="0" w:color="auto"/>
        <w:right w:val="none" w:sz="0" w:space="0" w:color="auto"/>
      </w:divBdr>
      <w:divsChild>
        <w:div w:id="427846905">
          <w:marLeft w:val="0"/>
          <w:marRight w:val="0"/>
          <w:marTop w:val="0"/>
          <w:marBottom w:val="0"/>
          <w:divBdr>
            <w:top w:val="none" w:sz="0" w:space="0" w:color="auto"/>
            <w:left w:val="none" w:sz="0" w:space="0" w:color="auto"/>
            <w:bottom w:val="none" w:sz="0" w:space="0" w:color="auto"/>
            <w:right w:val="none" w:sz="0" w:space="0" w:color="auto"/>
          </w:divBdr>
          <w:divsChild>
            <w:div w:id="14024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2949">
      <w:bodyDiv w:val="1"/>
      <w:marLeft w:val="44"/>
      <w:marRight w:val="44"/>
      <w:marTop w:val="87"/>
      <w:marBottom w:val="87"/>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ita.Pieke@t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790D5-C46D-4058-BC19-2F3615779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9884</Words>
  <Characters>5635</Characters>
  <Application>Microsoft Office Word</Application>
  <DocSecurity>0</DocSecurity>
  <Lines>46</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"Grozījums Ministru kabineta 2006.gada 27.jūlija noteikumos Nr.603 "Kārtība, kādā aprēķināma un izmaksājama atlīdzība par energoapgādes objekta ierīkošanai vai rekonstrukcijai nepieciešamā zemes īpašuma atsavināšanu va</vt:lpstr>
      <vt:lpstr>Ministru kabineta noteikumu projekts „Dokumentu izstrādāšanas un noformēšanas kārtība” </vt:lpstr>
    </vt:vector>
  </TitlesOfParts>
  <Company>Tieslietu Ministrija</Company>
  <LinksUpToDate>false</LinksUpToDate>
  <CharactersWithSpaces>15489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2006.gada 27.jūlija noteikumos Nr.603 "Kārtība, kādā aprēķināma un izmaksājama atlīdzība par energoapgādes objekta ierīkošanai vai rekonstrukcijai nepieciešamā zemes īpašuma atsavināšanu vai lietošanas tiesību ierobežošanu"" sākotnējās ietekmes novērtējuma ziņojums (anotācija)</dc:title>
  <dc:subject>Sākotnējās ietekmes novērtējuma ziņojums (anotācija) </dc:subject>
  <dc:creator>Sanita Pieķe</dc:creator>
  <cp:keywords/>
  <dc:description>sanita.pieke@tm.gov.lv
67046107</dc:description>
  <cp:lastModifiedBy>sanita skulte</cp:lastModifiedBy>
  <cp:revision>7</cp:revision>
  <cp:lastPrinted>2010-11-25T07:26:00Z</cp:lastPrinted>
  <dcterms:created xsi:type="dcterms:W3CDTF">2010-11-25T07:27:00Z</dcterms:created>
  <dcterms:modified xsi:type="dcterms:W3CDTF">2011-02-07T10:15:00Z</dcterms:modified>
</cp:coreProperties>
</file>