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2F" w:rsidRPr="008B4684" w:rsidRDefault="0089782F" w:rsidP="0089782F">
      <w:pPr>
        <w:pStyle w:val="naislab"/>
        <w:spacing w:before="0" w:after="0"/>
        <w:jc w:val="center"/>
        <w:outlineLvl w:val="0"/>
        <w:rPr>
          <w:b/>
          <w:sz w:val="28"/>
          <w:szCs w:val="28"/>
        </w:rPr>
      </w:pPr>
      <w:bookmarkStart w:id="0" w:name="OLE_LINK7"/>
      <w:bookmarkStart w:id="1" w:name="OLE_LINK8"/>
      <w:r w:rsidRPr="008B4684">
        <w:rPr>
          <w:b/>
          <w:sz w:val="28"/>
          <w:szCs w:val="28"/>
        </w:rPr>
        <w:t>Ministru kabineta noteikumu projekta „</w:t>
      </w:r>
      <w:r w:rsidRPr="008B4684">
        <w:rPr>
          <w:b/>
          <w:bCs/>
          <w:sz w:val="28"/>
          <w:szCs w:val="28"/>
        </w:rPr>
        <w:t>Noteikumi par zvērināta t</w:t>
      </w:r>
      <w:r w:rsidR="00995C92" w:rsidRPr="008B4684">
        <w:rPr>
          <w:b/>
          <w:bCs/>
          <w:sz w:val="28"/>
          <w:szCs w:val="28"/>
        </w:rPr>
        <w:t>iesu izpildītāja palīga amata apliecības veidu un lietošanas kārtību</w:t>
      </w:r>
      <w:r w:rsidRPr="008B4684">
        <w:rPr>
          <w:b/>
          <w:sz w:val="28"/>
          <w:szCs w:val="28"/>
        </w:rPr>
        <w:t xml:space="preserve">” sākotnējās ietekmes novērtējuma </w:t>
      </w:r>
      <w:smartTag w:uri="schemas-tilde-lv/tildestengine" w:element="veidnes">
        <w:smartTagPr>
          <w:attr w:name="text" w:val="ziņojums"/>
          <w:attr w:name="id" w:val="-1"/>
          <w:attr w:name="baseform" w:val="ziņojum|s"/>
        </w:smartTagPr>
        <w:r w:rsidRPr="008B4684">
          <w:rPr>
            <w:b/>
            <w:sz w:val="28"/>
            <w:szCs w:val="28"/>
          </w:rPr>
          <w:t>ziņojums</w:t>
        </w:r>
      </w:smartTag>
      <w:r w:rsidRPr="008B4684">
        <w:rPr>
          <w:b/>
          <w:sz w:val="28"/>
          <w:szCs w:val="28"/>
        </w:rPr>
        <w:t xml:space="preserve"> (anotācija)</w:t>
      </w:r>
      <w:bookmarkEnd w:id="0"/>
      <w:bookmarkEnd w:id="1"/>
    </w:p>
    <w:tbl>
      <w:tblPr>
        <w:tblpPr w:leftFromText="180" w:rightFromText="180" w:bottomFromText="200" w:vertAnchor="text" w:horzAnchor="margin" w:tblpXSpec="center" w:tblpY="149"/>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3141"/>
        <w:gridCol w:w="6034"/>
        <w:gridCol w:w="47"/>
      </w:tblGrid>
      <w:tr w:rsidR="0089782F" w:rsidRPr="008B4684" w:rsidTr="0089782F">
        <w:trPr>
          <w:gridAfter w:val="1"/>
          <w:wAfter w:w="47" w:type="dxa"/>
        </w:trPr>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89782F" w:rsidRPr="008B4684" w:rsidRDefault="0089782F">
            <w:pPr>
              <w:pStyle w:val="naisnod"/>
              <w:spacing w:before="0" w:after="0" w:line="276" w:lineRule="auto"/>
              <w:rPr>
                <w:sz w:val="28"/>
                <w:szCs w:val="28"/>
              </w:rPr>
            </w:pPr>
            <w:r w:rsidRPr="008B4684">
              <w:rPr>
                <w:sz w:val="28"/>
                <w:szCs w:val="28"/>
              </w:rPr>
              <w:t>I. Tiesību akta projekta izstrādes nepieciešamība</w:t>
            </w:r>
          </w:p>
        </w:tc>
      </w:tr>
      <w:tr w:rsidR="0089782F" w:rsidRPr="008B4684" w:rsidTr="008357C9">
        <w:trPr>
          <w:gridAfter w:val="1"/>
          <w:wAfter w:w="47" w:type="dxa"/>
          <w:trHeight w:val="630"/>
        </w:trPr>
        <w:tc>
          <w:tcPr>
            <w:tcW w:w="550" w:type="dxa"/>
            <w:tcBorders>
              <w:top w:val="single" w:sz="4" w:space="0" w:color="auto"/>
              <w:left w:val="single" w:sz="4" w:space="0" w:color="auto"/>
              <w:bottom w:val="single" w:sz="4" w:space="0" w:color="auto"/>
              <w:right w:val="single" w:sz="4" w:space="0" w:color="auto"/>
            </w:tcBorders>
            <w:vAlign w:val="center"/>
            <w:hideMark/>
          </w:tcPr>
          <w:p w:rsidR="0089782F" w:rsidRPr="008B4684" w:rsidRDefault="0089782F" w:rsidP="008357C9">
            <w:pPr>
              <w:pStyle w:val="naiskr"/>
              <w:spacing w:before="0" w:after="0" w:line="276" w:lineRule="auto"/>
              <w:jc w:val="center"/>
              <w:rPr>
                <w:sz w:val="28"/>
                <w:szCs w:val="28"/>
              </w:rPr>
            </w:pPr>
            <w:r w:rsidRPr="008B4684">
              <w:rPr>
                <w:sz w:val="28"/>
                <w:szCs w:val="28"/>
              </w:rPr>
              <w:t>1.</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EC451F">
            <w:pPr>
              <w:pStyle w:val="naiskr"/>
              <w:spacing w:before="0" w:after="0" w:line="276" w:lineRule="auto"/>
              <w:ind w:hanging="10"/>
              <w:rPr>
                <w:sz w:val="28"/>
                <w:szCs w:val="28"/>
              </w:rPr>
            </w:pPr>
            <w:r w:rsidRPr="008B4684">
              <w:rPr>
                <w:sz w:val="28"/>
                <w:szCs w:val="28"/>
              </w:rPr>
              <w:t>Pamatojums</w:t>
            </w:r>
          </w:p>
        </w:tc>
        <w:tc>
          <w:tcPr>
            <w:tcW w:w="6034" w:type="dxa"/>
            <w:tcBorders>
              <w:top w:val="single" w:sz="4" w:space="0" w:color="auto"/>
              <w:left w:val="single" w:sz="4" w:space="0" w:color="auto"/>
              <w:bottom w:val="single" w:sz="4" w:space="0" w:color="auto"/>
              <w:right w:val="single" w:sz="4" w:space="0" w:color="auto"/>
            </w:tcBorders>
          </w:tcPr>
          <w:p w:rsidR="0089782F" w:rsidRPr="008B4684" w:rsidRDefault="0089782F" w:rsidP="006F5D7E">
            <w:pPr>
              <w:pStyle w:val="BodyText"/>
              <w:spacing w:after="0"/>
              <w:ind w:firstLine="425"/>
              <w:jc w:val="both"/>
              <w:rPr>
                <w:sz w:val="28"/>
                <w:szCs w:val="28"/>
              </w:rPr>
            </w:pPr>
            <w:r w:rsidRPr="008B4684">
              <w:rPr>
                <w:sz w:val="28"/>
                <w:szCs w:val="28"/>
              </w:rPr>
              <w:t xml:space="preserve">Ministru kabineta noteikumu projekts „Noteikumi par zvērināta tiesu izpildītāja palīga </w:t>
            </w:r>
            <w:r w:rsidR="00EC451F" w:rsidRPr="008B4684">
              <w:rPr>
                <w:sz w:val="28"/>
                <w:szCs w:val="28"/>
              </w:rPr>
              <w:t>amata apliecības veidu un lietošanas kārtību</w:t>
            </w:r>
            <w:r w:rsidRPr="008B4684">
              <w:rPr>
                <w:sz w:val="28"/>
                <w:szCs w:val="28"/>
              </w:rPr>
              <w:t>” (turpmāk – Noteikumu projekts) izstrādāts, izpildot Tiesu izpildītāju likuma 111.</w:t>
            </w:r>
            <w:r w:rsidR="00EC451F" w:rsidRPr="008B4684">
              <w:rPr>
                <w:sz w:val="28"/>
                <w:szCs w:val="28"/>
                <w:vertAlign w:val="superscript"/>
              </w:rPr>
              <w:t>2</w:t>
            </w:r>
            <w:r w:rsidRPr="008B4684">
              <w:rPr>
                <w:sz w:val="28"/>
                <w:szCs w:val="28"/>
              </w:rPr>
              <w:t xml:space="preserve"> panta </w:t>
            </w:r>
            <w:r w:rsidR="00EC451F" w:rsidRPr="008B4684">
              <w:rPr>
                <w:sz w:val="28"/>
                <w:szCs w:val="28"/>
              </w:rPr>
              <w:t>otrajā</w:t>
            </w:r>
            <w:r w:rsidRPr="008B4684">
              <w:rPr>
                <w:sz w:val="28"/>
                <w:szCs w:val="28"/>
              </w:rPr>
              <w:t xml:space="preserve"> daļā ietverto deleģējumu Ministru kabinetam noteikt zvērināta tiesu izpildītāja</w:t>
            </w:r>
            <w:r w:rsidR="00EC451F" w:rsidRPr="008B4684">
              <w:rPr>
                <w:sz w:val="28"/>
                <w:szCs w:val="28"/>
              </w:rPr>
              <w:t xml:space="preserve"> palīga amata apliecības veidu un lietošanas kārtību</w:t>
            </w:r>
            <w:r w:rsidRPr="008B4684">
              <w:rPr>
                <w:sz w:val="28"/>
                <w:szCs w:val="28"/>
              </w:rPr>
              <w:t>.</w:t>
            </w:r>
          </w:p>
        </w:tc>
      </w:tr>
      <w:tr w:rsidR="0089782F" w:rsidRPr="008B4684" w:rsidTr="008357C9">
        <w:trPr>
          <w:gridAfter w:val="1"/>
          <w:wAfter w:w="47" w:type="dxa"/>
          <w:trHeight w:val="472"/>
        </w:trPr>
        <w:tc>
          <w:tcPr>
            <w:tcW w:w="550" w:type="dxa"/>
            <w:tcBorders>
              <w:top w:val="single" w:sz="4" w:space="0" w:color="auto"/>
              <w:left w:val="single" w:sz="4" w:space="0" w:color="auto"/>
              <w:bottom w:val="single" w:sz="4" w:space="0" w:color="auto"/>
              <w:right w:val="single" w:sz="4" w:space="0" w:color="auto"/>
            </w:tcBorders>
            <w:vAlign w:val="center"/>
            <w:hideMark/>
          </w:tcPr>
          <w:p w:rsidR="0089782F" w:rsidRPr="008B4684" w:rsidRDefault="0089782F" w:rsidP="008357C9">
            <w:pPr>
              <w:pStyle w:val="naiskr"/>
              <w:spacing w:before="0" w:after="0" w:line="276" w:lineRule="auto"/>
              <w:jc w:val="center"/>
              <w:rPr>
                <w:sz w:val="28"/>
                <w:szCs w:val="28"/>
              </w:rPr>
            </w:pPr>
            <w:r w:rsidRPr="008B4684">
              <w:rPr>
                <w:sz w:val="28"/>
                <w:szCs w:val="28"/>
              </w:rPr>
              <w:t>2.</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EC451F">
            <w:pPr>
              <w:pStyle w:val="naiskr"/>
              <w:tabs>
                <w:tab w:val="left" w:pos="170"/>
              </w:tabs>
              <w:spacing w:before="0" w:after="0" w:line="276" w:lineRule="auto"/>
              <w:rPr>
                <w:sz w:val="28"/>
                <w:szCs w:val="28"/>
              </w:rPr>
            </w:pPr>
            <w:r w:rsidRPr="008B4684">
              <w:rPr>
                <w:sz w:val="28"/>
                <w:szCs w:val="28"/>
              </w:rPr>
              <w:t>Pašreizējā situācija un problēmas</w:t>
            </w:r>
          </w:p>
        </w:tc>
        <w:tc>
          <w:tcPr>
            <w:tcW w:w="6034" w:type="dxa"/>
            <w:tcBorders>
              <w:top w:val="single" w:sz="4" w:space="0" w:color="auto"/>
              <w:left w:val="single" w:sz="4" w:space="0" w:color="auto"/>
              <w:bottom w:val="single" w:sz="4" w:space="0" w:color="auto"/>
              <w:right w:val="single" w:sz="4" w:space="0" w:color="auto"/>
            </w:tcBorders>
          </w:tcPr>
          <w:p w:rsidR="00C96C53" w:rsidRPr="008B4684" w:rsidRDefault="00FA6970" w:rsidP="00C96C53">
            <w:pPr>
              <w:pStyle w:val="BodyText"/>
              <w:spacing w:after="0"/>
              <w:ind w:firstLine="425"/>
              <w:jc w:val="both"/>
              <w:rPr>
                <w:sz w:val="28"/>
                <w:szCs w:val="28"/>
              </w:rPr>
            </w:pPr>
            <w:r w:rsidRPr="008B4684">
              <w:rPr>
                <w:sz w:val="28"/>
                <w:szCs w:val="28"/>
              </w:rPr>
              <w:t>Līdz 2011. gada 28</w:t>
            </w:r>
            <w:r w:rsidR="004A0A23" w:rsidRPr="008B4684">
              <w:rPr>
                <w:sz w:val="28"/>
                <w:szCs w:val="28"/>
              </w:rPr>
              <w:t>. </w:t>
            </w:r>
            <w:r w:rsidRPr="008B4684">
              <w:rPr>
                <w:sz w:val="28"/>
                <w:szCs w:val="28"/>
              </w:rPr>
              <w:t xml:space="preserve">februārim </w:t>
            </w:r>
            <w:r w:rsidR="004A0A23" w:rsidRPr="008B4684">
              <w:rPr>
                <w:sz w:val="28"/>
                <w:szCs w:val="28"/>
              </w:rPr>
              <w:t>saskaņā ar Tiesu izpildītāju likuma 98.panta otro daļu z</w:t>
            </w:r>
            <w:r w:rsidR="008627DF" w:rsidRPr="008B4684">
              <w:rPr>
                <w:sz w:val="28"/>
                <w:szCs w:val="28"/>
              </w:rPr>
              <w:t xml:space="preserve">vērināta tiesu izpildītāja palīgs pēc zvērināta tiesu izpildītāja palīga eksāmena nokārtošanas saņēma tieslietu ministra apstiprinātu zvērināta tiesu izpildītāja palīga amata apliecību. </w:t>
            </w:r>
          </w:p>
          <w:p w:rsidR="00C96C53" w:rsidRPr="008B4684" w:rsidRDefault="008627DF" w:rsidP="00C96C53">
            <w:pPr>
              <w:pStyle w:val="BodyText"/>
              <w:spacing w:after="0"/>
              <w:ind w:firstLine="425"/>
              <w:jc w:val="both"/>
              <w:rPr>
                <w:sz w:val="28"/>
                <w:szCs w:val="28"/>
              </w:rPr>
            </w:pPr>
            <w:r w:rsidRPr="008B4684">
              <w:rPr>
                <w:sz w:val="28"/>
                <w:szCs w:val="28"/>
              </w:rPr>
              <w:t xml:space="preserve">2011. gada 16. februārī izsludināts likums „Grozījumi Tiesu izpildītāju likumā” (likums stājies spēkā 2011. gada 1. martā). Ar minēto likumu </w:t>
            </w:r>
            <w:r w:rsidR="00FA6970" w:rsidRPr="008B4684">
              <w:rPr>
                <w:sz w:val="28"/>
                <w:szCs w:val="28"/>
              </w:rPr>
              <w:t xml:space="preserve">cita starp noteikts, ka zvērināta tiesu izpildītāja palīga amata apliecības veidu un lietošanas kārtību nosaka Ministru kabinets. </w:t>
            </w:r>
          </w:p>
          <w:p w:rsidR="00565543" w:rsidRPr="008B4684" w:rsidRDefault="00FA6970" w:rsidP="006F5D7E">
            <w:pPr>
              <w:pStyle w:val="BodyText"/>
              <w:spacing w:after="0"/>
              <w:ind w:firstLine="425"/>
              <w:jc w:val="both"/>
              <w:rPr>
                <w:sz w:val="28"/>
                <w:szCs w:val="28"/>
              </w:rPr>
            </w:pPr>
            <w:r w:rsidRPr="008B4684">
              <w:rPr>
                <w:sz w:val="28"/>
                <w:szCs w:val="28"/>
              </w:rPr>
              <w:t>Atbilstoši Tiesu izpildītāju likuma Pārejas noteikumu 29. punktam zvērināta tiesu izpildītāja palīgi, kuri nokārtojuši zvērināta tiesu izpildītāja palīga eksāmenu līdz Ministru kabineta noteikumu spēkā stāšanās dienai, saņem tieslietu ministra apstiprinātu zvērināta tiesu izpildītāja palīga amata apliecību atbilstoši kārtībai, kāda bija noteikta līdz 2011. gada 28. februārim, un saņemtās apliecības ir derīgas līdz 2011. gada 31. maijam. Līdz ar to, Noteikumu projekta pieņemšanu nepieciešams nodrošināt līdz 2011. gada 31. maijam.</w:t>
            </w:r>
          </w:p>
        </w:tc>
      </w:tr>
      <w:tr w:rsidR="0089782F" w:rsidRPr="008B4684" w:rsidTr="008357C9">
        <w:trPr>
          <w:gridAfter w:val="1"/>
          <w:wAfter w:w="47" w:type="dxa"/>
          <w:trHeight w:val="834"/>
        </w:trPr>
        <w:tc>
          <w:tcPr>
            <w:tcW w:w="550" w:type="dxa"/>
            <w:tcBorders>
              <w:top w:val="single" w:sz="4" w:space="0" w:color="auto"/>
              <w:left w:val="single" w:sz="4" w:space="0" w:color="auto"/>
              <w:bottom w:val="single" w:sz="4" w:space="0" w:color="auto"/>
              <w:right w:val="single" w:sz="4" w:space="0" w:color="auto"/>
            </w:tcBorders>
            <w:vAlign w:val="center"/>
            <w:hideMark/>
          </w:tcPr>
          <w:p w:rsidR="0089782F" w:rsidRPr="008B4684" w:rsidRDefault="0089782F" w:rsidP="008357C9">
            <w:pPr>
              <w:pStyle w:val="naiskr"/>
              <w:spacing w:before="0" w:after="0"/>
              <w:jc w:val="center"/>
              <w:rPr>
                <w:sz w:val="28"/>
                <w:szCs w:val="28"/>
              </w:rPr>
            </w:pPr>
            <w:r w:rsidRPr="008B4684">
              <w:rPr>
                <w:sz w:val="28"/>
                <w:szCs w:val="28"/>
              </w:rPr>
              <w:t>3.</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Saistītie politikas ietekmes novērtējumi un pētījumi</w:t>
            </w:r>
          </w:p>
        </w:tc>
        <w:tc>
          <w:tcPr>
            <w:tcW w:w="6034"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FootnoteText"/>
              <w:ind w:firstLine="425"/>
              <w:rPr>
                <w:sz w:val="28"/>
                <w:szCs w:val="28"/>
              </w:rPr>
            </w:pPr>
            <w:r w:rsidRPr="008B4684">
              <w:rPr>
                <w:sz w:val="28"/>
                <w:szCs w:val="28"/>
              </w:rPr>
              <w:t>Nav attiecināms.</w:t>
            </w:r>
          </w:p>
        </w:tc>
      </w:tr>
      <w:tr w:rsidR="0089782F" w:rsidRPr="008B4684" w:rsidTr="008357C9">
        <w:trPr>
          <w:gridAfter w:val="1"/>
          <w:wAfter w:w="47" w:type="dxa"/>
          <w:trHeight w:val="384"/>
        </w:trPr>
        <w:tc>
          <w:tcPr>
            <w:tcW w:w="550" w:type="dxa"/>
            <w:tcBorders>
              <w:top w:val="single" w:sz="4" w:space="0" w:color="auto"/>
              <w:left w:val="single" w:sz="4" w:space="0" w:color="auto"/>
              <w:bottom w:val="single" w:sz="4" w:space="0" w:color="auto"/>
              <w:right w:val="single" w:sz="4" w:space="0" w:color="auto"/>
            </w:tcBorders>
            <w:vAlign w:val="center"/>
            <w:hideMark/>
          </w:tcPr>
          <w:p w:rsidR="0089782F" w:rsidRPr="008B4684" w:rsidRDefault="0089782F" w:rsidP="008357C9">
            <w:pPr>
              <w:pStyle w:val="naiskr"/>
              <w:spacing w:before="0" w:after="0"/>
              <w:jc w:val="center"/>
              <w:rPr>
                <w:sz w:val="28"/>
                <w:szCs w:val="28"/>
              </w:rPr>
            </w:pPr>
            <w:r w:rsidRPr="008B4684">
              <w:rPr>
                <w:sz w:val="28"/>
                <w:szCs w:val="28"/>
              </w:rPr>
              <w:t>4.</w:t>
            </w:r>
          </w:p>
        </w:tc>
        <w:tc>
          <w:tcPr>
            <w:tcW w:w="3141" w:type="dxa"/>
            <w:tcBorders>
              <w:top w:val="single" w:sz="4" w:space="0" w:color="auto"/>
              <w:left w:val="single" w:sz="4" w:space="0" w:color="auto"/>
              <w:bottom w:val="single" w:sz="4" w:space="0" w:color="auto"/>
              <w:right w:val="single" w:sz="4" w:space="0" w:color="auto"/>
            </w:tcBorders>
          </w:tcPr>
          <w:p w:rsidR="0089782F" w:rsidRPr="008B4684" w:rsidRDefault="0089782F" w:rsidP="00C96C53">
            <w:pPr>
              <w:pStyle w:val="naiskr"/>
              <w:spacing w:before="0" w:after="0"/>
              <w:rPr>
                <w:sz w:val="28"/>
                <w:szCs w:val="28"/>
              </w:rPr>
            </w:pPr>
            <w:r w:rsidRPr="008B4684">
              <w:rPr>
                <w:sz w:val="28"/>
                <w:szCs w:val="28"/>
              </w:rPr>
              <w:t>Tiesiskā regulējuma mērķis un būtība</w:t>
            </w:r>
          </w:p>
          <w:p w:rsidR="0089782F" w:rsidRPr="008B4684" w:rsidRDefault="0089782F" w:rsidP="00C96C53">
            <w:pPr>
              <w:pStyle w:val="naiskr"/>
              <w:spacing w:before="0" w:after="0"/>
              <w:rPr>
                <w:sz w:val="28"/>
                <w:szCs w:val="28"/>
              </w:rPr>
            </w:pPr>
          </w:p>
        </w:tc>
        <w:tc>
          <w:tcPr>
            <w:tcW w:w="6034" w:type="dxa"/>
            <w:tcBorders>
              <w:top w:val="single" w:sz="4" w:space="0" w:color="auto"/>
              <w:left w:val="single" w:sz="4" w:space="0" w:color="auto"/>
              <w:bottom w:val="single" w:sz="4" w:space="0" w:color="auto"/>
              <w:right w:val="single" w:sz="4" w:space="0" w:color="auto"/>
            </w:tcBorders>
          </w:tcPr>
          <w:p w:rsidR="00FA6970" w:rsidRPr="008B4684" w:rsidRDefault="00FA6970" w:rsidP="00995656">
            <w:pPr>
              <w:pStyle w:val="BodyText"/>
              <w:spacing w:after="0"/>
              <w:ind w:firstLine="425"/>
              <w:jc w:val="both"/>
              <w:rPr>
                <w:sz w:val="28"/>
                <w:szCs w:val="28"/>
              </w:rPr>
            </w:pPr>
            <w:r w:rsidRPr="008B4684">
              <w:rPr>
                <w:sz w:val="28"/>
                <w:szCs w:val="28"/>
              </w:rPr>
              <w:t>Noteikumu projekts nosaka zvērināta tiesu izpildītāja palīga apliecības</w:t>
            </w:r>
            <w:r w:rsidR="00995656" w:rsidRPr="008B4684">
              <w:rPr>
                <w:sz w:val="28"/>
                <w:szCs w:val="28"/>
              </w:rPr>
              <w:t>, kuru zvērināta tiesu izpildītāja palīgs</w:t>
            </w:r>
            <w:r w:rsidRPr="008B4684">
              <w:rPr>
                <w:sz w:val="28"/>
                <w:szCs w:val="28"/>
              </w:rPr>
              <w:t xml:space="preserve"> uzrāda, veicot amata pienākumus, </w:t>
            </w:r>
            <w:r w:rsidR="00995656" w:rsidRPr="008B4684">
              <w:rPr>
                <w:sz w:val="28"/>
                <w:szCs w:val="28"/>
              </w:rPr>
              <w:t>veidu</w:t>
            </w:r>
            <w:r w:rsidR="006F5D7E" w:rsidRPr="008B4684">
              <w:rPr>
                <w:sz w:val="28"/>
                <w:szCs w:val="28"/>
              </w:rPr>
              <w:t>, proti, apliecības vizuālo noformējumu un tajā iekļaujamās informācijas apjomu,</w:t>
            </w:r>
            <w:r w:rsidR="00995656" w:rsidRPr="008B4684">
              <w:rPr>
                <w:sz w:val="28"/>
                <w:szCs w:val="28"/>
              </w:rPr>
              <w:t xml:space="preserve"> un tās</w:t>
            </w:r>
            <w:r w:rsidRPr="008B4684">
              <w:rPr>
                <w:sz w:val="28"/>
                <w:szCs w:val="28"/>
              </w:rPr>
              <w:t xml:space="preserve"> lietošanas </w:t>
            </w:r>
            <w:r w:rsidRPr="008B4684">
              <w:rPr>
                <w:sz w:val="28"/>
                <w:szCs w:val="28"/>
              </w:rPr>
              <w:lastRenderedPageBreak/>
              <w:t>kārtību.</w:t>
            </w:r>
          </w:p>
          <w:p w:rsidR="0089782F" w:rsidRPr="008B4684" w:rsidRDefault="00995656" w:rsidP="006F5D7E">
            <w:pPr>
              <w:pStyle w:val="BodyText"/>
              <w:spacing w:after="0"/>
              <w:ind w:firstLine="425"/>
              <w:jc w:val="both"/>
              <w:rPr>
                <w:sz w:val="28"/>
                <w:szCs w:val="28"/>
              </w:rPr>
            </w:pPr>
            <w:r w:rsidRPr="008B4684">
              <w:rPr>
                <w:sz w:val="28"/>
                <w:szCs w:val="28"/>
              </w:rPr>
              <w:t>Noteikumu projektam pievienots</w:t>
            </w:r>
            <w:r w:rsidR="00FA6970" w:rsidRPr="008B4684">
              <w:rPr>
                <w:sz w:val="28"/>
                <w:szCs w:val="28"/>
              </w:rPr>
              <w:t xml:space="preserve"> </w:t>
            </w:r>
            <w:r w:rsidR="006F5D7E" w:rsidRPr="008B4684">
              <w:rPr>
                <w:sz w:val="28"/>
                <w:szCs w:val="28"/>
              </w:rPr>
              <w:t>pielikums </w:t>
            </w:r>
            <w:r w:rsidR="00FA6970" w:rsidRPr="008B4684">
              <w:rPr>
                <w:sz w:val="28"/>
                <w:szCs w:val="28"/>
              </w:rPr>
              <w:t xml:space="preserve">– „Zvērināta tiesu izpildītāja </w:t>
            </w:r>
            <w:r w:rsidRPr="008B4684">
              <w:rPr>
                <w:sz w:val="28"/>
                <w:szCs w:val="28"/>
              </w:rPr>
              <w:t xml:space="preserve">palīga </w:t>
            </w:r>
            <w:r w:rsidR="00FA6970" w:rsidRPr="008B4684">
              <w:rPr>
                <w:sz w:val="28"/>
                <w:szCs w:val="28"/>
              </w:rPr>
              <w:t>amata apliecība</w:t>
            </w:r>
            <w:r w:rsidRPr="008B4684">
              <w:rPr>
                <w:sz w:val="28"/>
                <w:szCs w:val="28"/>
              </w:rPr>
              <w:t>s paraugs”.</w:t>
            </w:r>
          </w:p>
        </w:tc>
      </w:tr>
      <w:tr w:rsidR="0089782F" w:rsidRPr="008B4684" w:rsidTr="008357C9">
        <w:trPr>
          <w:gridAfter w:val="1"/>
          <w:wAfter w:w="47" w:type="dxa"/>
          <w:trHeight w:val="476"/>
        </w:trPr>
        <w:tc>
          <w:tcPr>
            <w:tcW w:w="550" w:type="dxa"/>
            <w:tcBorders>
              <w:top w:val="single" w:sz="4" w:space="0" w:color="auto"/>
              <w:left w:val="single" w:sz="4" w:space="0" w:color="auto"/>
              <w:bottom w:val="single" w:sz="4" w:space="0" w:color="auto"/>
              <w:right w:val="single" w:sz="4" w:space="0" w:color="auto"/>
            </w:tcBorders>
            <w:vAlign w:val="center"/>
            <w:hideMark/>
          </w:tcPr>
          <w:p w:rsidR="0089782F" w:rsidRPr="008B4684" w:rsidRDefault="0089782F" w:rsidP="008357C9">
            <w:pPr>
              <w:pStyle w:val="naiskr"/>
              <w:spacing w:before="0" w:after="0"/>
              <w:jc w:val="center"/>
              <w:rPr>
                <w:sz w:val="28"/>
                <w:szCs w:val="28"/>
              </w:rPr>
            </w:pPr>
            <w:r w:rsidRPr="008B4684">
              <w:rPr>
                <w:sz w:val="28"/>
                <w:szCs w:val="28"/>
              </w:rPr>
              <w:lastRenderedPageBreak/>
              <w:t>5.</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Projekta izstrādē iesaistītās institūcijas</w:t>
            </w:r>
          </w:p>
        </w:tc>
        <w:tc>
          <w:tcPr>
            <w:tcW w:w="6034"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ind w:firstLine="425"/>
              <w:rPr>
                <w:sz w:val="28"/>
                <w:szCs w:val="28"/>
              </w:rPr>
            </w:pPr>
            <w:r w:rsidRPr="008B4684">
              <w:rPr>
                <w:sz w:val="28"/>
                <w:szCs w:val="28"/>
              </w:rPr>
              <w:t>Tieslietu ministrija</w:t>
            </w:r>
            <w:r w:rsidR="00FE6485" w:rsidRPr="008B4684">
              <w:rPr>
                <w:sz w:val="28"/>
                <w:szCs w:val="28"/>
              </w:rPr>
              <w:t xml:space="preserve"> un Latvijas Zvērinātu tiesu izpildītāju padome.</w:t>
            </w:r>
          </w:p>
        </w:tc>
      </w:tr>
      <w:tr w:rsidR="0089782F" w:rsidRPr="008B4684" w:rsidTr="008357C9">
        <w:trPr>
          <w:gridAfter w:val="1"/>
          <w:wAfter w:w="47" w:type="dxa"/>
          <w:trHeight w:val="1083"/>
        </w:trPr>
        <w:tc>
          <w:tcPr>
            <w:tcW w:w="550" w:type="dxa"/>
            <w:tcBorders>
              <w:top w:val="single" w:sz="4" w:space="0" w:color="auto"/>
              <w:left w:val="single" w:sz="4" w:space="0" w:color="auto"/>
              <w:bottom w:val="single" w:sz="4" w:space="0" w:color="auto"/>
              <w:right w:val="single" w:sz="4" w:space="0" w:color="auto"/>
            </w:tcBorders>
            <w:vAlign w:val="center"/>
            <w:hideMark/>
          </w:tcPr>
          <w:p w:rsidR="0089782F" w:rsidRPr="008B4684" w:rsidRDefault="0089782F" w:rsidP="008357C9">
            <w:pPr>
              <w:pStyle w:val="naiskr"/>
              <w:spacing w:before="0" w:after="0"/>
              <w:jc w:val="center"/>
              <w:rPr>
                <w:sz w:val="28"/>
                <w:szCs w:val="28"/>
              </w:rPr>
            </w:pPr>
            <w:r w:rsidRPr="008B4684">
              <w:rPr>
                <w:sz w:val="28"/>
                <w:szCs w:val="28"/>
              </w:rPr>
              <w:t>6.</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i/>
                <w:sz w:val="28"/>
                <w:szCs w:val="28"/>
                <w:highlight w:val="yellow"/>
              </w:rPr>
            </w:pPr>
            <w:r w:rsidRPr="008B4684">
              <w:rPr>
                <w:sz w:val="28"/>
                <w:szCs w:val="28"/>
              </w:rPr>
              <w:t>Iemesli, kādēļ netika nodrošināta sabiedrības līdzdalība</w:t>
            </w:r>
          </w:p>
        </w:tc>
        <w:tc>
          <w:tcPr>
            <w:tcW w:w="6034"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FootnoteText"/>
              <w:ind w:firstLine="425"/>
              <w:jc w:val="both"/>
              <w:rPr>
                <w:sz w:val="28"/>
                <w:szCs w:val="28"/>
              </w:rPr>
            </w:pPr>
            <w:r w:rsidRPr="008B4684">
              <w:rPr>
                <w:sz w:val="28"/>
                <w:szCs w:val="28"/>
              </w:rPr>
              <w:t>Konsultācijas nav notikušas, jo Noteikumu projekts neierobežo un nesašaurina nevienas personu grupas vai indivīda tiesības, kā arī nenosaka pienākumus sabiedrībai</w:t>
            </w:r>
            <w:r w:rsidRPr="008B4684">
              <w:rPr>
                <w:bCs/>
                <w:iCs/>
                <w:sz w:val="28"/>
                <w:szCs w:val="28"/>
              </w:rPr>
              <w:t>.</w:t>
            </w:r>
          </w:p>
        </w:tc>
      </w:tr>
      <w:tr w:rsidR="0089782F" w:rsidRPr="008B4684" w:rsidTr="008357C9">
        <w:trPr>
          <w:gridAfter w:val="1"/>
          <w:wAfter w:w="47" w:type="dxa"/>
        </w:trPr>
        <w:tc>
          <w:tcPr>
            <w:tcW w:w="550" w:type="dxa"/>
            <w:tcBorders>
              <w:top w:val="single" w:sz="4" w:space="0" w:color="auto"/>
              <w:left w:val="single" w:sz="4" w:space="0" w:color="auto"/>
              <w:bottom w:val="single" w:sz="4" w:space="0" w:color="auto"/>
              <w:right w:val="single" w:sz="4" w:space="0" w:color="auto"/>
            </w:tcBorders>
            <w:vAlign w:val="center"/>
            <w:hideMark/>
          </w:tcPr>
          <w:p w:rsidR="0089782F" w:rsidRPr="008B4684" w:rsidRDefault="0089782F" w:rsidP="008357C9">
            <w:pPr>
              <w:pStyle w:val="naiskr"/>
              <w:spacing w:before="0" w:after="0"/>
              <w:jc w:val="center"/>
              <w:rPr>
                <w:sz w:val="28"/>
                <w:szCs w:val="28"/>
              </w:rPr>
            </w:pPr>
            <w:r w:rsidRPr="008B4684">
              <w:rPr>
                <w:sz w:val="28"/>
                <w:szCs w:val="28"/>
              </w:rPr>
              <w:t>7.</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Cita informācija</w:t>
            </w:r>
          </w:p>
        </w:tc>
        <w:tc>
          <w:tcPr>
            <w:tcW w:w="6034"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Nav.</w:t>
            </w:r>
          </w:p>
          <w:p w:rsidR="008357C9" w:rsidRPr="008B4684" w:rsidRDefault="008357C9" w:rsidP="00C96C53">
            <w:pPr>
              <w:pStyle w:val="naiskr"/>
              <w:spacing w:before="0" w:after="0"/>
              <w:rPr>
                <w:sz w:val="28"/>
                <w:szCs w:val="28"/>
              </w:rPr>
            </w:pPr>
          </w:p>
          <w:p w:rsidR="008357C9" w:rsidRPr="008B4684" w:rsidRDefault="008357C9" w:rsidP="00C96C53">
            <w:pPr>
              <w:pStyle w:val="naiskr"/>
              <w:spacing w:before="0" w:after="0"/>
              <w:rPr>
                <w:sz w:val="28"/>
                <w:szCs w:val="28"/>
              </w:rPr>
            </w:pPr>
          </w:p>
        </w:tc>
      </w:tr>
      <w:tr w:rsidR="0089782F" w:rsidRPr="008B4684" w:rsidTr="0089782F">
        <w:tc>
          <w:tcPr>
            <w:tcW w:w="9772" w:type="dxa"/>
            <w:gridSpan w:val="4"/>
            <w:tcBorders>
              <w:top w:val="single" w:sz="4" w:space="0" w:color="auto"/>
              <w:left w:val="single" w:sz="4" w:space="0" w:color="auto"/>
              <w:bottom w:val="single" w:sz="4" w:space="0" w:color="auto"/>
              <w:right w:val="single" w:sz="4" w:space="0" w:color="auto"/>
            </w:tcBorders>
            <w:vAlign w:val="center"/>
            <w:hideMark/>
          </w:tcPr>
          <w:p w:rsidR="0089782F" w:rsidRPr="008B4684" w:rsidRDefault="0089782F" w:rsidP="00C96C53">
            <w:pPr>
              <w:pStyle w:val="naisnod"/>
              <w:spacing w:before="0" w:after="0"/>
              <w:rPr>
                <w:sz w:val="28"/>
                <w:szCs w:val="28"/>
              </w:rPr>
            </w:pPr>
            <w:r w:rsidRPr="008B4684">
              <w:rPr>
                <w:sz w:val="28"/>
                <w:szCs w:val="28"/>
              </w:rPr>
              <w:t>II. Tiesību akta projekta ietekme uz sabiedrību</w:t>
            </w:r>
          </w:p>
        </w:tc>
      </w:tr>
      <w:tr w:rsidR="0089782F" w:rsidRPr="008B4684" w:rsidTr="0089782F">
        <w:trPr>
          <w:trHeight w:val="467"/>
        </w:trPr>
        <w:tc>
          <w:tcPr>
            <w:tcW w:w="550"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1.</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Sabiedrības mērķgrupa</w:t>
            </w:r>
          </w:p>
        </w:tc>
        <w:tc>
          <w:tcPr>
            <w:tcW w:w="6081" w:type="dxa"/>
            <w:gridSpan w:val="2"/>
            <w:tcBorders>
              <w:top w:val="single" w:sz="4" w:space="0" w:color="auto"/>
              <w:left w:val="single" w:sz="4" w:space="0" w:color="auto"/>
              <w:bottom w:val="single" w:sz="4" w:space="0" w:color="auto"/>
              <w:right w:val="single" w:sz="4" w:space="0" w:color="auto"/>
            </w:tcBorders>
            <w:hideMark/>
          </w:tcPr>
          <w:p w:rsidR="0089782F" w:rsidRPr="008B4684" w:rsidRDefault="0089782F" w:rsidP="00995656">
            <w:pPr>
              <w:pStyle w:val="naiskr"/>
              <w:tabs>
                <w:tab w:val="left" w:pos="0"/>
              </w:tabs>
              <w:spacing w:before="0" w:after="0"/>
              <w:ind w:right="142" w:firstLine="567"/>
              <w:jc w:val="both"/>
              <w:rPr>
                <w:sz w:val="28"/>
                <w:szCs w:val="28"/>
              </w:rPr>
            </w:pPr>
            <w:r w:rsidRPr="008B4684">
              <w:rPr>
                <w:iCs/>
                <w:sz w:val="28"/>
                <w:szCs w:val="28"/>
              </w:rPr>
              <w:t xml:space="preserve">Noteikumu projekta regulējums attiecināms uz zvērināta tiesu izpildītāja palīga kandidātiem, kuri </w:t>
            </w:r>
            <w:r w:rsidR="00995656" w:rsidRPr="008B4684">
              <w:rPr>
                <w:iCs/>
                <w:sz w:val="28"/>
                <w:szCs w:val="28"/>
              </w:rPr>
              <w:t>nokārtojuši zvērināta tiesu izpildītāja palīga eksāmenu</w:t>
            </w:r>
            <w:r w:rsidRPr="008B4684">
              <w:rPr>
                <w:iCs/>
                <w:sz w:val="28"/>
                <w:szCs w:val="28"/>
              </w:rPr>
              <w:t xml:space="preserve">. </w:t>
            </w:r>
          </w:p>
        </w:tc>
      </w:tr>
      <w:tr w:rsidR="0089782F" w:rsidRPr="008B4684" w:rsidTr="0089782F">
        <w:trPr>
          <w:trHeight w:val="523"/>
        </w:trPr>
        <w:tc>
          <w:tcPr>
            <w:tcW w:w="550"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2.</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Citas sabiedrības grupas (bez mērķgrupas), kuras tiesiskais regulējums arī ietekmē vai varētu ietekmēt</w:t>
            </w:r>
          </w:p>
        </w:tc>
        <w:tc>
          <w:tcPr>
            <w:tcW w:w="6081" w:type="dxa"/>
            <w:gridSpan w:val="2"/>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ind w:right="142" w:firstLine="440"/>
              <w:jc w:val="both"/>
              <w:rPr>
                <w:sz w:val="28"/>
                <w:szCs w:val="28"/>
              </w:rPr>
            </w:pPr>
            <w:r w:rsidRPr="008B4684">
              <w:rPr>
                <w:sz w:val="28"/>
                <w:szCs w:val="28"/>
              </w:rPr>
              <w:t>Nav attiecināms.</w:t>
            </w:r>
          </w:p>
        </w:tc>
      </w:tr>
      <w:tr w:rsidR="0089782F" w:rsidRPr="008B4684" w:rsidTr="0089782F">
        <w:trPr>
          <w:trHeight w:val="517"/>
        </w:trPr>
        <w:tc>
          <w:tcPr>
            <w:tcW w:w="550"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3.</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Tiesiskā regulējuma finansiālā ietekme</w:t>
            </w:r>
          </w:p>
        </w:tc>
        <w:tc>
          <w:tcPr>
            <w:tcW w:w="6081" w:type="dxa"/>
            <w:gridSpan w:val="2"/>
            <w:tcBorders>
              <w:top w:val="single" w:sz="4" w:space="0" w:color="auto"/>
              <w:left w:val="single" w:sz="4" w:space="0" w:color="auto"/>
              <w:bottom w:val="single" w:sz="4" w:space="0" w:color="auto"/>
              <w:right w:val="single" w:sz="4" w:space="0" w:color="auto"/>
            </w:tcBorders>
          </w:tcPr>
          <w:p w:rsidR="0089782F" w:rsidRPr="008B4684" w:rsidRDefault="0089782F" w:rsidP="00C96C53">
            <w:pPr>
              <w:pStyle w:val="PlainText"/>
              <w:ind w:firstLine="440"/>
              <w:jc w:val="both"/>
              <w:rPr>
                <w:rFonts w:ascii="Times New Roman" w:hAnsi="Times New Roman"/>
                <w:sz w:val="28"/>
                <w:szCs w:val="28"/>
              </w:rPr>
            </w:pPr>
            <w:r w:rsidRPr="008B4684">
              <w:rPr>
                <w:rFonts w:ascii="Times New Roman" w:hAnsi="Times New Roman"/>
                <w:sz w:val="28"/>
                <w:szCs w:val="28"/>
              </w:rPr>
              <w:t>Nav attiecināms.</w:t>
            </w:r>
          </w:p>
          <w:p w:rsidR="0089782F" w:rsidRPr="008B4684" w:rsidRDefault="0089782F" w:rsidP="00C96C53">
            <w:pPr>
              <w:pStyle w:val="PlainText"/>
              <w:ind w:firstLine="567"/>
              <w:jc w:val="both"/>
              <w:rPr>
                <w:sz w:val="28"/>
                <w:szCs w:val="28"/>
              </w:rPr>
            </w:pPr>
          </w:p>
        </w:tc>
      </w:tr>
      <w:tr w:rsidR="0089782F" w:rsidRPr="008B4684" w:rsidTr="0089782F">
        <w:trPr>
          <w:trHeight w:val="517"/>
        </w:trPr>
        <w:tc>
          <w:tcPr>
            <w:tcW w:w="550"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4.</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Tiesiskā regulējuma nefinansiālā ietekme</w:t>
            </w:r>
          </w:p>
        </w:tc>
        <w:tc>
          <w:tcPr>
            <w:tcW w:w="6081" w:type="dxa"/>
            <w:gridSpan w:val="2"/>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ind w:firstLine="440"/>
              <w:jc w:val="both"/>
              <w:rPr>
                <w:sz w:val="28"/>
                <w:szCs w:val="28"/>
              </w:rPr>
            </w:pPr>
            <w:r w:rsidRPr="008B4684">
              <w:rPr>
                <w:sz w:val="28"/>
                <w:szCs w:val="28"/>
              </w:rPr>
              <w:t>Nav attiecināms.</w:t>
            </w:r>
          </w:p>
        </w:tc>
      </w:tr>
      <w:tr w:rsidR="0089782F" w:rsidRPr="008B4684" w:rsidTr="0089782F">
        <w:trPr>
          <w:trHeight w:val="531"/>
        </w:trPr>
        <w:tc>
          <w:tcPr>
            <w:tcW w:w="550"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5.</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rPr>
                <w:sz w:val="28"/>
                <w:szCs w:val="28"/>
              </w:rPr>
            </w:pPr>
            <w:r w:rsidRPr="008B4684">
              <w:rPr>
                <w:sz w:val="28"/>
                <w:szCs w:val="28"/>
              </w:rPr>
              <w:t>Administratīvās procedūras raksturojums</w:t>
            </w:r>
          </w:p>
        </w:tc>
        <w:tc>
          <w:tcPr>
            <w:tcW w:w="6081" w:type="dxa"/>
            <w:gridSpan w:val="2"/>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ind w:firstLine="440"/>
              <w:jc w:val="both"/>
              <w:rPr>
                <w:sz w:val="28"/>
                <w:szCs w:val="28"/>
              </w:rPr>
            </w:pPr>
            <w:r w:rsidRPr="008B4684">
              <w:rPr>
                <w:sz w:val="28"/>
                <w:szCs w:val="28"/>
              </w:rPr>
              <w:t>Nav attiecināms.</w:t>
            </w:r>
          </w:p>
        </w:tc>
      </w:tr>
      <w:tr w:rsidR="0089782F" w:rsidRPr="008B4684" w:rsidTr="0089782F">
        <w:trPr>
          <w:trHeight w:val="357"/>
        </w:trPr>
        <w:tc>
          <w:tcPr>
            <w:tcW w:w="550" w:type="dxa"/>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kr"/>
              <w:spacing w:before="0" w:after="0"/>
              <w:rPr>
                <w:sz w:val="28"/>
                <w:szCs w:val="28"/>
              </w:rPr>
            </w:pPr>
            <w:r w:rsidRPr="008B4684">
              <w:rPr>
                <w:sz w:val="28"/>
                <w:szCs w:val="28"/>
              </w:rPr>
              <w:t>6.</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kr"/>
              <w:spacing w:before="0" w:after="0"/>
              <w:rPr>
                <w:sz w:val="28"/>
                <w:szCs w:val="28"/>
              </w:rPr>
            </w:pPr>
            <w:r w:rsidRPr="008B4684">
              <w:rPr>
                <w:sz w:val="28"/>
                <w:szCs w:val="28"/>
              </w:rPr>
              <w:t>Administratīvo izmaksu monetārs novērtējums</w:t>
            </w:r>
          </w:p>
        </w:tc>
        <w:tc>
          <w:tcPr>
            <w:tcW w:w="6081" w:type="dxa"/>
            <w:gridSpan w:val="2"/>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kr"/>
              <w:spacing w:before="0" w:after="0"/>
              <w:ind w:firstLine="440"/>
              <w:rPr>
                <w:sz w:val="28"/>
                <w:szCs w:val="28"/>
              </w:rPr>
            </w:pPr>
            <w:r w:rsidRPr="008B4684">
              <w:rPr>
                <w:iCs/>
                <w:sz w:val="28"/>
                <w:szCs w:val="28"/>
              </w:rPr>
              <w:t>Nav attiecināms.</w:t>
            </w:r>
          </w:p>
        </w:tc>
      </w:tr>
      <w:tr w:rsidR="0089782F" w:rsidRPr="008B4684" w:rsidTr="0089782F">
        <w:tc>
          <w:tcPr>
            <w:tcW w:w="550" w:type="dxa"/>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kr"/>
              <w:spacing w:before="0" w:after="0"/>
              <w:rPr>
                <w:sz w:val="28"/>
                <w:szCs w:val="28"/>
              </w:rPr>
            </w:pPr>
            <w:r w:rsidRPr="008B4684">
              <w:rPr>
                <w:sz w:val="28"/>
                <w:szCs w:val="28"/>
              </w:rPr>
              <w:t>7.</w:t>
            </w:r>
          </w:p>
        </w:tc>
        <w:tc>
          <w:tcPr>
            <w:tcW w:w="3141" w:type="dxa"/>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kr"/>
              <w:spacing w:before="0" w:after="0"/>
              <w:rPr>
                <w:sz w:val="28"/>
                <w:szCs w:val="28"/>
              </w:rPr>
            </w:pPr>
            <w:r w:rsidRPr="008B4684">
              <w:rPr>
                <w:sz w:val="28"/>
                <w:szCs w:val="28"/>
              </w:rPr>
              <w:t>Cita informācija</w:t>
            </w:r>
          </w:p>
        </w:tc>
        <w:tc>
          <w:tcPr>
            <w:tcW w:w="6081" w:type="dxa"/>
            <w:gridSpan w:val="2"/>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kr"/>
              <w:spacing w:before="0" w:after="0"/>
              <w:ind w:firstLine="567"/>
              <w:rPr>
                <w:sz w:val="28"/>
                <w:szCs w:val="28"/>
              </w:rPr>
            </w:pPr>
            <w:r w:rsidRPr="008B4684">
              <w:rPr>
                <w:sz w:val="28"/>
                <w:szCs w:val="28"/>
              </w:rPr>
              <w:t xml:space="preserve">Nav </w:t>
            </w:r>
          </w:p>
        </w:tc>
      </w:tr>
    </w:tbl>
    <w:p w:rsidR="0089782F" w:rsidRPr="008B4684" w:rsidRDefault="0089782F" w:rsidP="00286ED6">
      <w:pPr>
        <w:pStyle w:val="naisf"/>
        <w:spacing w:before="0" w:after="0"/>
        <w:rPr>
          <w:i/>
          <w:sz w:val="28"/>
          <w:szCs w:val="28"/>
        </w:rPr>
      </w:pPr>
      <w:r w:rsidRPr="008B4684">
        <w:rPr>
          <w:i/>
          <w:sz w:val="28"/>
          <w:szCs w:val="28"/>
        </w:rPr>
        <w:t>Anotācijas III., IV., V un VI. sadaļa – nav attiecināms</w:t>
      </w:r>
    </w:p>
    <w:p w:rsidR="0089782F" w:rsidRPr="008B4684" w:rsidRDefault="0089782F" w:rsidP="00286ED6">
      <w:pPr>
        <w:pStyle w:val="naisf"/>
        <w:spacing w:before="0" w:after="0"/>
        <w:ind w:firstLine="0"/>
        <w:rPr>
          <w:i/>
          <w:sz w:val="28"/>
          <w:szCs w:val="28"/>
        </w:rPr>
      </w:pPr>
    </w:p>
    <w:tbl>
      <w:tblPr>
        <w:tblW w:w="969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77"/>
        <w:gridCol w:w="3379"/>
        <w:gridCol w:w="5835"/>
      </w:tblGrid>
      <w:tr w:rsidR="0089782F" w:rsidRPr="008B4684" w:rsidTr="006F5D7E">
        <w:tc>
          <w:tcPr>
            <w:tcW w:w="9691" w:type="dxa"/>
            <w:gridSpan w:val="3"/>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nod"/>
              <w:spacing w:before="0" w:after="0"/>
              <w:ind w:left="57" w:right="57"/>
              <w:rPr>
                <w:sz w:val="28"/>
                <w:szCs w:val="28"/>
              </w:rPr>
            </w:pPr>
            <w:r w:rsidRPr="008B4684">
              <w:rPr>
                <w:sz w:val="28"/>
                <w:szCs w:val="28"/>
              </w:rPr>
              <w:t xml:space="preserve">VII. </w:t>
            </w:r>
            <w:r w:rsidRPr="008B4684">
              <w:rPr>
                <w:bCs w:val="0"/>
                <w:sz w:val="28"/>
                <w:szCs w:val="28"/>
              </w:rPr>
              <w:t>Tiesību akta projekta izpildes nodrošināšana un tās ietekme uz institūcijām</w:t>
            </w:r>
          </w:p>
        </w:tc>
      </w:tr>
      <w:tr w:rsidR="0089782F" w:rsidRPr="008B4684" w:rsidTr="006F5D7E">
        <w:trPr>
          <w:trHeight w:val="427"/>
        </w:trPr>
        <w:tc>
          <w:tcPr>
            <w:tcW w:w="477" w:type="dxa"/>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nod"/>
              <w:spacing w:before="0" w:after="0"/>
              <w:ind w:left="57" w:right="57"/>
              <w:jc w:val="left"/>
              <w:rPr>
                <w:b w:val="0"/>
                <w:sz w:val="28"/>
                <w:szCs w:val="28"/>
              </w:rPr>
            </w:pPr>
            <w:r w:rsidRPr="008B4684">
              <w:rPr>
                <w:b w:val="0"/>
                <w:sz w:val="28"/>
                <w:szCs w:val="28"/>
              </w:rPr>
              <w:t>1.</w:t>
            </w:r>
          </w:p>
        </w:tc>
        <w:tc>
          <w:tcPr>
            <w:tcW w:w="3379" w:type="dxa"/>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f"/>
              <w:spacing w:before="0" w:after="0"/>
              <w:ind w:left="57" w:right="57" w:firstLine="0"/>
              <w:jc w:val="left"/>
              <w:rPr>
                <w:sz w:val="28"/>
                <w:szCs w:val="28"/>
              </w:rPr>
            </w:pPr>
            <w:r w:rsidRPr="008B4684">
              <w:rPr>
                <w:sz w:val="28"/>
                <w:szCs w:val="28"/>
              </w:rPr>
              <w:t xml:space="preserve">Projekta izpildē iesaistītās institūcijas </w:t>
            </w:r>
          </w:p>
        </w:tc>
        <w:tc>
          <w:tcPr>
            <w:tcW w:w="5835" w:type="dxa"/>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nod"/>
              <w:spacing w:before="0" w:after="0"/>
              <w:ind w:left="57" w:right="57" w:firstLine="341"/>
              <w:jc w:val="both"/>
              <w:rPr>
                <w:b w:val="0"/>
                <w:sz w:val="28"/>
                <w:szCs w:val="28"/>
              </w:rPr>
            </w:pPr>
            <w:r w:rsidRPr="008B4684">
              <w:rPr>
                <w:b w:val="0"/>
                <w:iCs/>
                <w:sz w:val="28"/>
                <w:szCs w:val="28"/>
              </w:rPr>
              <w:t xml:space="preserve">Latvijas Zvērinātu tiesu izpildītāju padome. </w:t>
            </w:r>
          </w:p>
        </w:tc>
      </w:tr>
      <w:tr w:rsidR="0089782F" w:rsidRPr="008B4684" w:rsidTr="006F5D7E">
        <w:trPr>
          <w:trHeight w:val="463"/>
        </w:trPr>
        <w:tc>
          <w:tcPr>
            <w:tcW w:w="477"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nod"/>
              <w:spacing w:before="0" w:after="0"/>
              <w:ind w:left="57" w:right="57"/>
              <w:jc w:val="left"/>
              <w:rPr>
                <w:b w:val="0"/>
                <w:sz w:val="28"/>
                <w:szCs w:val="28"/>
              </w:rPr>
            </w:pPr>
            <w:r w:rsidRPr="008B4684">
              <w:rPr>
                <w:b w:val="0"/>
                <w:sz w:val="28"/>
                <w:szCs w:val="28"/>
              </w:rPr>
              <w:t>2.</w:t>
            </w:r>
          </w:p>
        </w:tc>
        <w:tc>
          <w:tcPr>
            <w:tcW w:w="3379"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f"/>
              <w:spacing w:before="0" w:after="0"/>
              <w:ind w:left="57" w:right="57" w:firstLine="0"/>
              <w:jc w:val="left"/>
              <w:rPr>
                <w:sz w:val="28"/>
                <w:szCs w:val="28"/>
              </w:rPr>
            </w:pPr>
            <w:r w:rsidRPr="008B4684">
              <w:rPr>
                <w:sz w:val="28"/>
                <w:szCs w:val="28"/>
              </w:rPr>
              <w:t xml:space="preserve">Projekta izpildes ietekme uz pārvaldes funkcijām </w:t>
            </w:r>
          </w:p>
        </w:tc>
        <w:tc>
          <w:tcPr>
            <w:tcW w:w="5835" w:type="dxa"/>
            <w:tcBorders>
              <w:top w:val="single" w:sz="4" w:space="0" w:color="auto"/>
              <w:left w:val="single" w:sz="4" w:space="0" w:color="auto"/>
              <w:bottom w:val="single" w:sz="4" w:space="0" w:color="auto"/>
              <w:right w:val="single" w:sz="4" w:space="0" w:color="auto"/>
            </w:tcBorders>
            <w:hideMark/>
          </w:tcPr>
          <w:p w:rsidR="0089782F" w:rsidRPr="008B4684" w:rsidRDefault="0089782F" w:rsidP="006F5D7E">
            <w:pPr>
              <w:pStyle w:val="naisnod"/>
              <w:spacing w:before="0" w:after="0"/>
              <w:ind w:left="57" w:right="57" w:firstLine="341"/>
              <w:jc w:val="both"/>
              <w:rPr>
                <w:b w:val="0"/>
                <w:sz w:val="28"/>
                <w:szCs w:val="28"/>
              </w:rPr>
            </w:pPr>
            <w:r w:rsidRPr="008B4684">
              <w:rPr>
                <w:b w:val="0"/>
                <w:sz w:val="28"/>
                <w:szCs w:val="28"/>
              </w:rPr>
              <w:t xml:space="preserve">Ņemot vērā šobrīd noteikto kārtību, kādā tiek nodrošināta zvērināta tiesu izpildītāja palīga </w:t>
            </w:r>
            <w:r w:rsidR="006F5D7E" w:rsidRPr="008B4684">
              <w:rPr>
                <w:b w:val="0"/>
                <w:sz w:val="28"/>
                <w:szCs w:val="28"/>
              </w:rPr>
              <w:t xml:space="preserve">apliecības izsniegšanas kārtība, </w:t>
            </w:r>
            <w:r w:rsidRPr="008B4684">
              <w:rPr>
                <w:b w:val="0"/>
                <w:sz w:val="28"/>
                <w:szCs w:val="28"/>
              </w:rPr>
              <w:t xml:space="preserve">ar Noteikumu </w:t>
            </w:r>
            <w:r w:rsidRPr="008B4684">
              <w:rPr>
                <w:b w:val="0"/>
                <w:sz w:val="28"/>
                <w:szCs w:val="28"/>
              </w:rPr>
              <w:lastRenderedPageBreak/>
              <w:t>projektu paredzētās fu</w:t>
            </w:r>
            <w:r w:rsidR="006F5D7E" w:rsidRPr="008B4684">
              <w:rPr>
                <w:b w:val="0"/>
                <w:sz w:val="28"/>
                <w:szCs w:val="28"/>
              </w:rPr>
              <w:t>nkcijas tiks veiktas institūcijas</w:t>
            </w:r>
            <w:r w:rsidRPr="008B4684">
              <w:rPr>
                <w:b w:val="0"/>
                <w:sz w:val="28"/>
                <w:szCs w:val="28"/>
              </w:rPr>
              <w:t xml:space="preserve"> esošās kompetences ietvaros.</w:t>
            </w:r>
          </w:p>
        </w:tc>
      </w:tr>
      <w:tr w:rsidR="0089782F" w:rsidRPr="008B4684" w:rsidTr="006F5D7E">
        <w:trPr>
          <w:trHeight w:val="725"/>
        </w:trPr>
        <w:tc>
          <w:tcPr>
            <w:tcW w:w="477"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nod"/>
              <w:spacing w:before="0" w:after="0"/>
              <w:ind w:left="57" w:right="57"/>
              <w:jc w:val="left"/>
              <w:rPr>
                <w:b w:val="0"/>
                <w:sz w:val="28"/>
                <w:szCs w:val="28"/>
              </w:rPr>
            </w:pPr>
            <w:r w:rsidRPr="008B4684">
              <w:rPr>
                <w:b w:val="0"/>
                <w:sz w:val="28"/>
                <w:szCs w:val="28"/>
              </w:rPr>
              <w:lastRenderedPageBreak/>
              <w:t>3.</w:t>
            </w:r>
          </w:p>
        </w:tc>
        <w:tc>
          <w:tcPr>
            <w:tcW w:w="3379"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tvhtml"/>
              <w:spacing w:before="0" w:beforeAutospacing="0" w:after="0" w:afterAutospacing="0"/>
              <w:rPr>
                <w:rFonts w:ascii="Times New Roman" w:hAnsi="Times New Roman"/>
                <w:sz w:val="28"/>
                <w:szCs w:val="28"/>
              </w:rPr>
            </w:pPr>
            <w:r w:rsidRPr="008B4684">
              <w:rPr>
                <w:rFonts w:ascii="Times New Roman" w:hAnsi="Times New Roman"/>
                <w:sz w:val="28"/>
                <w:szCs w:val="28"/>
              </w:rPr>
              <w:t>Projekta izpildes ietekme uz pārvaldes institucionālo struktūru.</w:t>
            </w:r>
          </w:p>
          <w:p w:rsidR="0089782F" w:rsidRPr="008B4684" w:rsidRDefault="0089782F" w:rsidP="00C96C53">
            <w:pPr>
              <w:pStyle w:val="tvhtml"/>
              <w:spacing w:before="0" w:beforeAutospacing="0" w:after="0" w:afterAutospacing="0"/>
              <w:rPr>
                <w:sz w:val="28"/>
                <w:szCs w:val="28"/>
              </w:rPr>
            </w:pPr>
            <w:r w:rsidRPr="008B4684">
              <w:rPr>
                <w:rFonts w:ascii="Times New Roman" w:hAnsi="Times New Roman"/>
                <w:sz w:val="28"/>
                <w:szCs w:val="28"/>
              </w:rPr>
              <w:t>Jaunu institūciju izveide</w:t>
            </w:r>
          </w:p>
        </w:tc>
        <w:tc>
          <w:tcPr>
            <w:tcW w:w="5835"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nod"/>
              <w:spacing w:before="0" w:after="0"/>
              <w:ind w:left="57" w:right="57" w:firstLine="341"/>
              <w:jc w:val="left"/>
              <w:rPr>
                <w:b w:val="0"/>
                <w:sz w:val="28"/>
                <w:szCs w:val="28"/>
              </w:rPr>
            </w:pPr>
            <w:r w:rsidRPr="008B4684">
              <w:rPr>
                <w:b w:val="0"/>
                <w:iCs/>
                <w:sz w:val="28"/>
                <w:szCs w:val="28"/>
              </w:rPr>
              <w:t>Nav attiecināms.</w:t>
            </w:r>
          </w:p>
        </w:tc>
      </w:tr>
      <w:tr w:rsidR="0089782F" w:rsidRPr="008B4684" w:rsidTr="006F5D7E">
        <w:trPr>
          <w:trHeight w:val="780"/>
        </w:trPr>
        <w:tc>
          <w:tcPr>
            <w:tcW w:w="477"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nod"/>
              <w:spacing w:before="0" w:after="0"/>
              <w:ind w:left="57" w:right="57"/>
              <w:jc w:val="left"/>
              <w:rPr>
                <w:b w:val="0"/>
                <w:sz w:val="28"/>
                <w:szCs w:val="28"/>
              </w:rPr>
            </w:pPr>
            <w:r w:rsidRPr="008B4684">
              <w:rPr>
                <w:b w:val="0"/>
                <w:sz w:val="28"/>
                <w:szCs w:val="28"/>
              </w:rPr>
              <w:t>4.</w:t>
            </w:r>
          </w:p>
        </w:tc>
        <w:tc>
          <w:tcPr>
            <w:tcW w:w="3379"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tvhtml"/>
              <w:spacing w:before="0" w:beforeAutospacing="0" w:after="0" w:afterAutospacing="0"/>
              <w:rPr>
                <w:rFonts w:ascii="Times New Roman" w:hAnsi="Times New Roman"/>
                <w:sz w:val="28"/>
                <w:szCs w:val="28"/>
              </w:rPr>
            </w:pPr>
            <w:r w:rsidRPr="008B4684">
              <w:rPr>
                <w:rFonts w:ascii="Times New Roman" w:hAnsi="Times New Roman"/>
                <w:sz w:val="28"/>
                <w:szCs w:val="28"/>
              </w:rPr>
              <w:t>Projekta izpildes ietekme uz pārvaldes institucionālo struktūru.</w:t>
            </w:r>
          </w:p>
          <w:p w:rsidR="0089782F" w:rsidRPr="008B4684" w:rsidRDefault="0089782F" w:rsidP="00C96C53">
            <w:pPr>
              <w:pStyle w:val="tvhtml"/>
              <w:spacing w:before="0" w:beforeAutospacing="0" w:after="0" w:afterAutospacing="0"/>
              <w:rPr>
                <w:sz w:val="28"/>
                <w:szCs w:val="28"/>
              </w:rPr>
            </w:pPr>
            <w:r w:rsidRPr="008B4684">
              <w:rPr>
                <w:rFonts w:ascii="Times New Roman" w:hAnsi="Times New Roman"/>
                <w:sz w:val="28"/>
                <w:szCs w:val="28"/>
              </w:rPr>
              <w:t>Esošu institūciju likvidācija</w:t>
            </w:r>
          </w:p>
        </w:tc>
        <w:tc>
          <w:tcPr>
            <w:tcW w:w="5835"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nod"/>
              <w:spacing w:before="0" w:after="0"/>
              <w:ind w:left="57" w:right="57" w:firstLine="341"/>
              <w:jc w:val="left"/>
              <w:rPr>
                <w:b w:val="0"/>
                <w:sz w:val="28"/>
                <w:szCs w:val="28"/>
              </w:rPr>
            </w:pPr>
            <w:r w:rsidRPr="008B4684">
              <w:rPr>
                <w:b w:val="0"/>
                <w:iCs/>
                <w:sz w:val="28"/>
                <w:szCs w:val="28"/>
              </w:rPr>
              <w:t>Nav attiecināms.</w:t>
            </w:r>
          </w:p>
        </w:tc>
      </w:tr>
      <w:tr w:rsidR="0089782F" w:rsidRPr="008B4684" w:rsidTr="006F5D7E">
        <w:trPr>
          <w:trHeight w:val="703"/>
        </w:trPr>
        <w:tc>
          <w:tcPr>
            <w:tcW w:w="477"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nod"/>
              <w:spacing w:before="0" w:after="0"/>
              <w:ind w:left="57" w:right="57"/>
              <w:jc w:val="left"/>
              <w:rPr>
                <w:b w:val="0"/>
                <w:sz w:val="28"/>
                <w:szCs w:val="28"/>
              </w:rPr>
            </w:pPr>
            <w:r w:rsidRPr="008B4684">
              <w:rPr>
                <w:b w:val="0"/>
                <w:sz w:val="28"/>
                <w:szCs w:val="28"/>
              </w:rPr>
              <w:t>5.</w:t>
            </w:r>
          </w:p>
        </w:tc>
        <w:tc>
          <w:tcPr>
            <w:tcW w:w="3379"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tvhtml"/>
              <w:spacing w:before="0" w:beforeAutospacing="0" w:after="0" w:afterAutospacing="0"/>
              <w:rPr>
                <w:rFonts w:ascii="Times New Roman" w:hAnsi="Times New Roman"/>
                <w:sz w:val="28"/>
                <w:szCs w:val="28"/>
              </w:rPr>
            </w:pPr>
            <w:r w:rsidRPr="008B4684">
              <w:rPr>
                <w:rFonts w:ascii="Times New Roman" w:hAnsi="Times New Roman"/>
                <w:sz w:val="28"/>
                <w:szCs w:val="28"/>
              </w:rPr>
              <w:t>Projekta izpildes ietekme uz pārvaldes institucionālo struktūru.</w:t>
            </w:r>
          </w:p>
          <w:p w:rsidR="0089782F" w:rsidRPr="008B4684" w:rsidRDefault="0089782F" w:rsidP="00C96C53">
            <w:pPr>
              <w:pStyle w:val="tvhtml"/>
              <w:spacing w:before="0" w:beforeAutospacing="0" w:after="0" w:afterAutospacing="0"/>
              <w:rPr>
                <w:sz w:val="28"/>
                <w:szCs w:val="28"/>
              </w:rPr>
            </w:pPr>
            <w:r w:rsidRPr="008B4684">
              <w:rPr>
                <w:rFonts w:ascii="Times New Roman" w:hAnsi="Times New Roman"/>
                <w:sz w:val="28"/>
                <w:szCs w:val="28"/>
              </w:rPr>
              <w:t>Esošu institūciju reorganizācija</w:t>
            </w:r>
          </w:p>
        </w:tc>
        <w:tc>
          <w:tcPr>
            <w:tcW w:w="5835"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nod"/>
              <w:spacing w:before="0" w:after="0"/>
              <w:ind w:left="57" w:right="57" w:firstLine="341"/>
              <w:jc w:val="left"/>
              <w:rPr>
                <w:b w:val="0"/>
                <w:sz w:val="28"/>
                <w:szCs w:val="28"/>
              </w:rPr>
            </w:pPr>
            <w:r w:rsidRPr="008B4684">
              <w:rPr>
                <w:b w:val="0"/>
                <w:iCs/>
                <w:sz w:val="28"/>
                <w:szCs w:val="28"/>
              </w:rPr>
              <w:t>Nav attiecināms.</w:t>
            </w:r>
          </w:p>
        </w:tc>
      </w:tr>
      <w:tr w:rsidR="0089782F" w:rsidRPr="008B4684" w:rsidTr="006F5D7E">
        <w:trPr>
          <w:trHeight w:val="476"/>
        </w:trPr>
        <w:tc>
          <w:tcPr>
            <w:tcW w:w="477"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ind w:left="57" w:right="57"/>
              <w:rPr>
                <w:sz w:val="28"/>
                <w:szCs w:val="28"/>
              </w:rPr>
            </w:pPr>
            <w:r w:rsidRPr="008B4684">
              <w:rPr>
                <w:sz w:val="28"/>
                <w:szCs w:val="28"/>
              </w:rPr>
              <w:t>6.</w:t>
            </w:r>
          </w:p>
        </w:tc>
        <w:tc>
          <w:tcPr>
            <w:tcW w:w="3379"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ind w:left="57" w:right="57"/>
              <w:rPr>
                <w:sz w:val="28"/>
                <w:szCs w:val="28"/>
              </w:rPr>
            </w:pPr>
            <w:r w:rsidRPr="008B4684">
              <w:rPr>
                <w:sz w:val="28"/>
                <w:szCs w:val="28"/>
              </w:rPr>
              <w:t>Cita informācija</w:t>
            </w:r>
          </w:p>
        </w:tc>
        <w:tc>
          <w:tcPr>
            <w:tcW w:w="5835" w:type="dxa"/>
            <w:tcBorders>
              <w:top w:val="single" w:sz="4" w:space="0" w:color="auto"/>
              <w:left w:val="single" w:sz="4" w:space="0" w:color="auto"/>
              <w:bottom w:val="single" w:sz="4" w:space="0" w:color="auto"/>
              <w:right w:val="single" w:sz="4" w:space="0" w:color="auto"/>
            </w:tcBorders>
            <w:hideMark/>
          </w:tcPr>
          <w:p w:rsidR="0089782F" w:rsidRPr="008B4684" w:rsidRDefault="0089782F" w:rsidP="00C96C53">
            <w:pPr>
              <w:pStyle w:val="naiskr"/>
              <w:spacing w:before="0" w:after="0"/>
              <w:ind w:left="57" w:right="57" w:firstLine="341"/>
              <w:rPr>
                <w:sz w:val="28"/>
                <w:szCs w:val="28"/>
              </w:rPr>
            </w:pPr>
            <w:r w:rsidRPr="008B4684">
              <w:rPr>
                <w:iCs/>
                <w:sz w:val="28"/>
                <w:szCs w:val="28"/>
              </w:rPr>
              <w:t>Nav.</w:t>
            </w:r>
          </w:p>
        </w:tc>
      </w:tr>
    </w:tbl>
    <w:p w:rsidR="0089782F" w:rsidRPr="008B4684" w:rsidRDefault="0089782F" w:rsidP="00286ED6">
      <w:pPr>
        <w:pStyle w:val="naisf"/>
        <w:tabs>
          <w:tab w:val="left" w:pos="6804"/>
        </w:tabs>
        <w:spacing w:before="0" w:after="0"/>
        <w:ind w:firstLine="0"/>
        <w:rPr>
          <w:sz w:val="28"/>
          <w:szCs w:val="28"/>
        </w:rPr>
      </w:pPr>
    </w:p>
    <w:p w:rsidR="00382B6F" w:rsidRPr="008B4684" w:rsidRDefault="0089782F" w:rsidP="00382B6F">
      <w:pPr>
        <w:pStyle w:val="BodyTextIndent"/>
        <w:tabs>
          <w:tab w:val="left" w:pos="6840"/>
        </w:tabs>
        <w:spacing w:after="0"/>
        <w:ind w:left="0" w:right="-51"/>
        <w:rPr>
          <w:sz w:val="28"/>
          <w:szCs w:val="28"/>
        </w:rPr>
      </w:pPr>
      <w:r w:rsidRPr="008B4684">
        <w:rPr>
          <w:sz w:val="28"/>
          <w:szCs w:val="28"/>
        </w:rPr>
        <w:t>Ties</w:t>
      </w:r>
      <w:r w:rsidR="00382B6F" w:rsidRPr="008B4684">
        <w:rPr>
          <w:sz w:val="28"/>
          <w:szCs w:val="28"/>
        </w:rPr>
        <w:t>lietu ministrs</w:t>
      </w:r>
      <w:r w:rsidR="00382B6F" w:rsidRPr="008B4684">
        <w:rPr>
          <w:sz w:val="28"/>
          <w:szCs w:val="28"/>
        </w:rPr>
        <w:tab/>
      </w:r>
      <w:r w:rsidR="00382B6F" w:rsidRPr="008B4684">
        <w:rPr>
          <w:sz w:val="28"/>
          <w:szCs w:val="28"/>
        </w:rPr>
        <w:tab/>
        <w:t>A. </w:t>
      </w:r>
      <w:proofErr w:type="spellStart"/>
      <w:r w:rsidR="00382B6F" w:rsidRPr="008B4684">
        <w:rPr>
          <w:sz w:val="28"/>
          <w:szCs w:val="28"/>
        </w:rPr>
        <w:t>Štokenbergs</w:t>
      </w:r>
      <w:proofErr w:type="spellEnd"/>
    </w:p>
    <w:p w:rsidR="00382B6F" w:rsidRPr="008B4684" w:rsidRDefault="00382B6F" w:rsidP="00382B6F">
      <w:pPr>
        <w:pStyle w:val="BodyTextIndent"/>
        <w:tabs>
          <w:tab w:val="left" w:pos="6840"/>
        </w:tabs>
        <w:spacing w:after="0"/>
        <w:ind w:left="0" w:right="-51"/>
        <w:rPr>
          <w:sz w:val="28"/>
          <w:szCs w:val="28"/>
        </w:rPr>
      </w:pPr>
    </w:p>
    <w:p w:rsidR="0089782F" w:rsidRDefault="0089782F"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B4684" w:rsidRDefault="008B4684" w:rsidP="00286ED6">
      <w:pPr>
        <w:pStyle w:val="naisf"/>
        <w:tabs>
          <w:tab w:val="left" w:pos="6480"/>
        </w:tabs>
        <w:spacing w:before="0" w:after="0"/>
        <w:ind w:firstLine="0"/>
      </w:pPr>
    </w:p>
    <w:p w:rsidR="0089782F" w:rsidRDefault="007053F7" w:rsidP="00C96C53">
      <w:pPr>
        <w:rPr>
          <w:sz w:val="20"/>
          <w:szCs w:val="20"/>
        </w:rPr>
      </w:pPr>
      <w:r>
        <w:rPr>
          <w:sz w:val="20"/>
          <w:szCs w:val="20"/>
        </w:rPr>
        <w:t>09</w:t>
      </w:r>
      <w:r w:rsidR="008B4684">
        <w:rPr>
          <w:sz w:val="20"/>
          <w:szCs w:val="20"/>
        </w:rPr>
        <w:t>.0</w:t>
      </w:r>
      <w:r>
        <w:rPr>
          <w:sz w:val="20"/>
          <w:szCs w:val="20"/>
        </w:rPr>
        <w:t>5</w:t>
      </w:r>
      <w:r w:rsidR="008B4684">
        <w:rPr>
          <w:sz w:val="20"/>
          <w:szCs w:val="20"/>
        </w:rPr>
        <w:t>.2011 12:4</w:t>
      </w:r>
      <w:r>
        <w:rPr>
          <w:sz w:val="20"/>
          <w:szCs w:val="20"/>
        </w:rPr>
        <w:t>0</w:t>
      </w:r>
    </w:p>
    <w:p w:rsidR="0089782F" w:rsidRDefault="00F50F73" w:rsidP="00C96C53">
      <w:pPr>
        <w:rPr>
          <w:sz w:val="20"/>
          <w:szCs w:val="20"/>
        </w:rPr>
      </w:pPr>
      <w:r>
        <w:rPr>
          <w:sz w:val="20"/>
          <w:szCs w:val="20"/>
        </w:rPr>
        <w:t>509</w:t>
      </w:r>
    </w:p>
    <w:p w:rsidR="0089782F" w:rsidRDefault="0089782F" w:rsidP="00C96C53">
      <w:pPr>
        <w:rPr>
          <w:sz w:val="20"/>
          <w:szCs w:val="20"/>
        </w:rPr>
      </w:pPr>
      <w:r>
        <w:rPr>
          <w:sz w:val="20"/>
          <w:szCs w:val="20"/>
        </w:rPr>
        <w:t>E. Timpare</w:t>
      </w:r>
    </w:p>
    <w:p w:rsidR="00F236FB" w:rsidRPr="00052991" w:rsidRDefault="0089782F" w:rsidP="00C96C53">
      <w:pPr>
        <w:rPr>
          <w:sz w:val="20"/>
          <w:szCs w:val="20"/>
        </w:rPr>
      </w:pPr>
      <w:r>
        <w:rPr>
          <w:sz w:val="20"/>
          <w:szCs w:val="20"/>
        </w:rPr>
        <w:t>67036829, evija.timpare@tm.gov.lv</w:t>
      </w:r>
    </w:p>
    <w:sectPr w:rsidR="00F236FB" w:rsidRPr="00052991" w:rsidSect="00995656">
      <w:headerReference w:type="default" r:id="rId6"/>
      <w:footerReference w:type="default" r:id="rId7"/>
      <w:footerReference w:type="first" r:id="rId8"/>
      <w:pgSz w:w="11906" w:h="16838" w:code="9"/>
      <w:pgMar w:top="1134" w:right="851"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1E" w:rsidRDefault="00C1471E" w:rsidP="00995656">
      <w:r>
        <w:separator/>
      </w:r>
    </w:p>
  </w:endnote>
  <w:endnote w:type="continuationSeparator" w:id="0">
    <w:p w:rsidR="00C1471E" w:rsidRDefault="00C1471E" w:rsidP="00995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D6" w:rsidRPr="00C70807" w:rsidRDefault="00052991" w:rsidP="00286ED6">
    <w:pPr>
      <w:pStyle w:val="Footer"/>
      <w:jc w:val="both"/>
    </w:pPr>
    <w:r w:rsidRPr="002B5EDC">
      <w:rPr>
        <w:sz w:val="20"/>
        <w:szCs w:val="20"/>
      </w:rPr>
      <w:t>TMAnot_</w:t>
    </w:r>
    <w:r w:rsidR="007053F7">
      <w:rPr>
        <w:sz w:val="20"/>
        <w:szCs w:val="20"/>
      </w:rPr>
      <w:t>0905</w:t>
    </w:r>
    <w:r w:rsidR="007053F7" w:rsidRPr="002B5EDC">
      <w:rPr>
        <w:sz w:val="20"/>
        <w:szCs w:val="20"/>
      </w:rPr>
      <w:t>11</w:t>
    </w:r>
    <w:r w:rsidRPr="002B5EDC">
      <w:rPr>
        <w:sz w:val="20"/>
        <w:szCs w:val="20"/>
      </w:rPr>
      <w:t>_</w:t>
    </w:r>
    <w:r>
      <w:rPr>
        <w:sz w:val="20"/>
        <w:szCs w:val="20"/>
      </w:rPr>
      <w:t>aplieciba</w:t>
    </w:r>
    <w:r w:rsidRPr="002B5EDC">
      <w:rPr>
        <w:sz w:val="20"/>
        <w:szCs w:val="20"/>
      </w:rPr>
      <w:t>; Ministru kabineta noteikumu projekta „</w:t>
    </w:r>
    <w:r w:rsidRPr="002B5EDC">
      <w:rPr>
        <w:bCs/>
        <w:sz w:val="20"/>
        <w:szCs w:val="20"/>
      </w:rPr>
      <w:t xml:space="preserve">Noteikumi par </w:t>
    </w:r>
    <w:r>
      <w:rPr>
        <w:bCs/>
        <w:sz w:val="20"/>
        <w:szCs w:val="20"/>
      </w:rPr>
      <w:t>zvērināta tiesu izpildītāja palīga amata apliecības veidu un lietošanas kārtību</w:t>
    </w:r>
    <w:r w:rsidRPr="002B5EDC">
      <w:rPr>
        <w:sz w:val="20"/>
        <w:szCs w:val="20"/>
      </w:rPr>
      <w:t xml:space="preserve">” sākotnējās ietekmes novērtējuma </w:t>
    </w:r>
    <w:smartTag w:uri="schemas-tilde-lv/tildestengine" w:element="veidnes">
      <w:smartTagPr>
        <w:attr w:name="text" w:val="ziņojums"/>
        <w:attr w:name="id" w:val="-1"/>
        <w:attr w:name="baseform" w:val="ziņojum|s"/>
      </w:smartTagPr>
      <w:r w:rsidRPr="002B5EDC">
        <w:rPr>
          <w:sz w:val="20"/>
          <w:szCs w:val="20"/>
        </w:rPr>
        <w:t>ziņojums</w:t>
      </w:r>
    </w:smartTag>
    <w:r w:rsidRPr="002B5EDC">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D6" w:rsidRDefault="00052991">
    <w:pPr>
      <w:pStyle w:val="Footer"/>
    </w:pPr>
    <w:r w:rsidRPr="002B5EDC">
      <w:rPr>
        <w:sz w:val="20"/>
        <w:szCs w:val="20"/>
      </w:rPr>
      <w:t>TMAnot_</w:t>
    </w:r>
    <w:r w:rsidR="007053F7">
      <w:rPr>
        <w:sz w:val="20"/>
        <w:szCs w:val="20"/>
      </w:rPr>
      <w:t>0905</w:t>
    </w:r>
    <w:r w:rsidR="007053F7" w:rsidRPr="002B5EDC">
      <w:rPr>
        <w:sz w:val="20"/>
        <w:szCs w:val="20"/>
      </w:rPr>
      <w:t>11</w:t>
    </w:r>
    <w:r w:rsidRPr="002B5EDC">
      <w:rPr>
        <w:sz w:val="20"/>
        <w:szCs w:val="20"/>
      </w:rPr>
      <w:t>_</w:t>
    </w:r>
    <w:r>
      <w:rPr>
        <w:sz w:val="20"/>
        <w:szCs w:val="20"/>
      </w:rPr>
      <w:t>aplieciba</w:t>
    </w:r>
    <w:r w:rsidRPr="002B5EDC">
      <w:rPr>
        <w:sz w:val="20"/>
        <w:szCs w:val="20"/>
      </w:rPr>
      <w:t>; Ministru kabineta noteikumu projekta „</w:t>
    </w:r>
    <w:r w:rsidRPr="002B5EDC">
      <w:rPr>
        <w:bCs/>
        <w:sz w:val="20"/>
        <w:szCs w:val="20"/>
      </w:rPr>
      <w:t xml:space="preserve">Noteikumi par </w:t>
    </w:r>
    <w:r>
      <w:rPr>
        <w:bCs/>
        <w:sz w:val="20"/>
        <w:szCs w:val="20"/>
      </w:rPr>
      <w:t>zvērināta tiesu izpildītāja palīga amata apliecības veidu un lietošanas kārtību</w:t>
    </w:r>
    <w:r w:rsidRPr="002B5EDC">
      <w:rPr>
        <w:sz w:val="20"/>
        <w:szCs w:val="20"/>
      </w:rPr>
      <w:t xml:space="preserve">” sākotnējās ietekmes novērtējuma </w:t>
    </w:r>
    <w:smartTag w:uri="schemas-tilde-lv/tildestengine" w:element="veidnes">
      <w:smartTagPr>
        <w:attr w:name="text" w:val="ziņojums"/>
        <w:attr w:name="id" w:val="-1"/>
        <w:attr w:name="baseform" w:val="ziņojum|s"/>
      </w:smartTagPr>
      <w:r w:rsidRPr="002B5EDC">
        <w:rPr>
          <w:sz w:val="20"/>
          <w:szCs w:val="20"/>
        </w:rPr>
        <w:t>ziņojums</w:t>
      </w:r>
    </w:smartTag>
    <w:r w:rsidRPr="002B5EDC">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1E" w:rsidRDefault="00C1471E" w:rsidP="00995656">
      <w:r>
        <w:separator/>
      </w:r>
    </w:p>
  </w:footnote>
  <w:footnote w:type="continuationSeparator" w:id="0">
    <w:p w:rsidR="00C1471E" w:rsidRDefault="00C1471E" w:rsidP="00995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5751"/>
      <w:docPartObj>
        <w:docPartGallery w:val="Page Numbers (Top of Page)"/>
        <w:docPartUnique/>
      </w:docPartObj>
    </w:sdtPr>
    <w:sdtContent>
      <w:p w:rsidR="00995656" w:rsidRDefault="00D01C81">
        <w:pPr>
          <w:pStyle w:val="Header"/>
          <w:jc w:val="center"/>
        </w:pPr>
        <w:fldSimple w:instr=" PAGE   \* MERGEFORMAT ">
          <w:r w:rsidR="007053F7">
            <w:rPr>
              <w:noProof/>
            </w:rPr>
            <w:t>3</w:t>
          </w:r>
        </w:fldSimple>
      </w:p>
    </w:sdtContent>
  </w:sdt>
  <w:p w:rsidR="00995656" w:rsidRDefault="009956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9782F"/>
    <w:rsid w:val="00052991"/>
    <w:rsid w:val="0006363F"/>
    <w:rsid w:val="000B0B81"/>
    <w:rsid w:val="000C3F02"/>
    <w:rsid w:val="000C46C4"/>
    <w:rsid w:val="000E59A6"/>
    <w:rsid w:val="00110AF7"/>
    <w:rsid w:val="001255FF"/>
    <w:rsid w:val="00163D30"/>
    <w:rsid w:val="00183BFC"/>
    <w:rsid w:val="00197180"/>
    <w:rsid w:val="001D1A31"/>
    <w:rsid w:val="001F17A0"/>
    <w:rsid w:val="0021717E"/>
    <w:rsid w:val="002173AE"/>
    <w:rsid w:val="00225D74"/>
    <w:rsid w:val="002374ED"/>
    <w:rsid w:val="00286447"/>
    <w:rsid w:val="00286ED6"/>
    <w:rsid w:val="002A36E5"/>
    <w:rsid w:val="00307E0E"/>
    <w:rsid w:val="003178F5"/>
    <w:rsid w:val="00332F56"/>
    <w:rsid w:val="00371A4B"/>
    <w:rsid w:val="00375D16"/>
    <w:rsid w:val="00382B6F"/>
    <w:rsid w:val="003840FD"/>
    <w:rsid w:val="003B1E97"/>
    <w:rsid w:val="003B259C"/>
    <w:rsid w:val="003B3B44"/>
    <w:rsid w:val="003C5E0D"/>
    <w:rsid w:val="003E37BD"/>
    <w:rsid w:val="00434044"/>
    <w:rsid w:val="0046300E"/>
    <w:rsid w:val="00484102"/>
    <w:rsid w:val="00485BC7"/>
    <w:rsid w:val="004A0A23"/>
    <w:rsid w:val="004B5F21"/>
    <w:rsid w:val="004C2B0B"/>
    <w:rsid w:val="004C2CF3"/>
    <w:rsid w:val="005069AC"/>
    <w:rsid w:val="0051283B"/>
    <w:rsid w:val="00550AB1"/>
    <w:rsid w:val="00565543"/>
    <w:rsid w:val="00574243"/>
    <w:rsid w:val="005757F8"/>
    <w:rsid w:val="005A63FB"/>
    <w:rsid w:val="005E73AB"/>
    <w:rsid w:val="00614473"/>
    <w:rsid w:val="00620F5B"/>
    <w:rsid w:val="00631C7A"/>
    <w:rsid w:val="006506F4"/>
    <w:rsid w:val="006616EC"/>
    <w:rsid w:val="00666FCF"/>
    <w:rsid w:val="00672839"/>
    <w:rsid w:val="00673C8B"/>
    <w:rsid w:val="006E1335"/>
    <w:rsid w:val="006F48DF"/>
    <w:rsid w:val="006F4C6B"/>
    <w:rsid w:val="006F5D7E"/>
    <w:rsid w:val="007053F7"/>
    <w:rsid w:val="00722CC2"/>
    <w:rsid w:val="00743974"/>
    <w:rsid w:val="0075742C"/>
    <w:rsid w:val="00770C79"/>
    <w:rsid w:val="00794816"/>
    <w:rsid w:val="007A0223"/>
    <w:rsid w:val="007A261C"/>
    <w:rsid w:val="007A64D4"/>
    <w:rsid w:val="007D786D"/>
    <w:rsid w:val="007F12AE"/>
    <w:rsid w:val="007F45E0"/>
    <w:rsid w:val="00815992"/>
    <w:rsid w:val="00825B63"/>
    <w:rsid w:val="008357C9"/>
    <w:rsid w:val="00840156"/>
    <w:rsid w:val="00852C8E"/>
    <w:rsid w:val="008627DF"/>
    <w:rsid w:val="0089782F"/>
    <w:rsid w:val="008B2B47"/>
    <w:rsid w:val="008B4684"/>
    <w:rsid w:val="008B4D66"/>
    <w:rsid w:val="008C5D77"/>
    <w:rsid w:val="008E03E7"/>
    <w:rsid w:val="00902EEF"/>
    <w:rsid w:val="009137A2"/>
    <w:rsid w:val="009158BD"/>
    <w:rsid w:val="009249CC"/>
    <w:rsid w:val="00933D38"/>
    <w:rsid w:val="009351AA"/>
    <w:rsid w:val="0095052D"/>
    <w:rsid w:val="00977BD7"/>
    <w:rsid w:val="00995656"/>
    <w:rsid w:val="00995C92"/>
    <w:rsid w:val="009A1C13"/>
    <w:rsid w:val="009A774D"/>
    <w:rsid w:val="009E0A87"/>
    <w:rsid w:val="009F02F0"/>
    <w:rsid w:val="009F07EA"/>
    <w:rsid w:val="009F709D"/>
    <w:rsid w:val="00A51C39"/>
    <w:rsid w:val="00A53040"/>
    <w:rsid w:val="00A55E91"/>
    <w:rsid w:val="00A86D5E"/>
    <w:rsid w:val="00A9168B"/>
    <w:rsid w:val="00AB3C08"/>
    <w:rsid w:val="00AC27C9"/>
    <w:rsid w:val="00AD60C7"/>
    <w:rsid w:val="00AF622A"/>
    <w:rsid w:val="00B07887"/>
    <w:rsid w:val="00B26876"/>
    <w:rsid w:val="00B3643F"/>
    <w:rsid w:val="00B63952"/>
    <w:rsid w:val="00BA7E38"/>
    <w:rsid w:val="00BB3D77"/>
    <w:rsid w:val="00BC3204"/>
    <w:rsid w:val="00BD190A"/>
    <w:rsid w:val="00BD1B47"/>
    <w:rsid w:val="00BF110F"/>
    <w:rsid w:val="00C1471E"/>
    <w:rsid w:val="00C23A6B"/>
    <w:rsid w:val="00C27732"/>
    <w:rsid w:val="00C3551D"/>
    <w:rsid w:val="00C90E14"/>
    <w:rsid w:val="00C96C53"/>
    <w:rsid w:val="00CA5F4A"/>
    <w:rsid w:val="00CB1780"/>
    <w:rsid w:val="00CC094E"/>
    <w:rsid w:val="00CC3006"/>
    <w:rsid w:val="00CC4DE1"/>
    <w:rsid w:val="00CD0AC5"/>
    <w:rsid w:val="00CD7D04"/>
    <w:rsid w:val="00CE33A0"/>
    <w:rsid w:val="00CF0DC4"/>
    <w:rsid w:val="00D01C81"/>
    <w:rsid w:val="00D01E6A"/>
    <w:rsid w:val="00D16476"/>
    <w:rsid w:val="00D22BE7"/>
    <w:rsid w:val="00D313A8"/>
    <w:rsid w:val="00D651B3"/>
    <w:rsid w:val="00D72247"/>
    <w:rsid w:val="00D82450"/>
    <w:rsid w:val="00D94138"/>
    <w:rsid w:val="00DC684E"/>
    <w:rsid w:val="00DC6E28"/>
    <w:rsid w:val="00E55826"/>
    <w:rsid w:val="00E76AD7"/>
    <w:rsid w:val="00EA07CB"/>
    <w:rsid w:val="00EA577F"/>
    <w:rsid w:val="00EB198E"/>
    <w:rsid w:val="00EC451F"/>
    <w:rsid w:val="00EF75CA"/>
    <w:rsid w:val="00F04904"/>
    <w:rsid w:val="00F227B0"/>
    <w:rsid w:val="00F236FB"/>
    <w:rsid w:val="00F35B4F"/>
    <w:rsid w:val="00F5091F"/>
    <w:rsid w:val="00F50F73"/>
    <w:rsid w:val="00F5181E"/>
    <w:rsid w:val="00F5443E"/>
    <w:rsid w:val="00F546AB"/>
    <w:rsid w:val="00F611BF"/>
    <w:rsid w:val="00F77280"/>
    <w:rsid w:val="00F954DC"/>
    <w:rsid w:val="00FA6970"/>
    <w:rsid w:val="00FC4064"/>
    <w:rsid w:val="00FC6D7B"/>
    <w:rsid w:val="00FE3807"/>
    <w:rsid w:val="00FE6485"/>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2F"/>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9782F"/>
    <w:rPr>
      <w:sz w:val="20"/>
      <w:szCs w:val="20"/>
    </w:rPr>
  </w:style>
  <w:style w:type="character" w:customStyle="1" w:styleId="FootnoteTextChar">
    <w:name w:val="Footnote Text Char"/>
    <w:basedOn w:val="DefaultParagraphFont"/>
    <w:link w:val="FootnoteText"/>
    <w:rsid w:val="0089782F"/>
    <w:rPr>
      <w:rFonts w:eastAsia="Times New Roman"/>
      <w:sz w:val="20"/>
      <w:szCs w:val="20"/>
      <w:lang w:eastAsia="lv-LV"/>
    </w:rPr>
  </w:style>
  <w:style w:type="paragraph" w:styleId="BodyText">
    <w:name w:val="Body Text"/>
    <w:basedOn w:val="Normal"/>
    <w:link w:val="BodyTextChar"/>
    <w:unhideWhenUsed/>
    <w:rsid w:val="0089782F"/>
    <w:pPr>
      <w:spacing w:after="120"/>
    </w:pPr>
  </w:style>
  <w:style w:type="character" w:customStyle="1" w:styleId="BodyTextChar">
    <w:name w:val="Body Text Char"/>
    <w:basedOn w:val="DefaultParagraphFont"/>
    <w:link w:val="BodyText"/>
    <w:rsid w:val="0089782F"/>
    <w:rPr>
      <w:rFonts w:eastAsia="Times New Roman"/>
      <w:szCs w:val="24"/>
      <w:lang w:eastAsia="lv-LV"/>
    </w:rPr>
  </w:style>
  <w:style w:type="paragraph" w:styleId="PlainText">
    <w:name w:val="Plain Text"/>
    <w:basedOn w:val="Normal"/>
    <w:link w:val="PlainTextChar"/>
    <w:uiPriority w:val="99"/>
    <w:unhideWhenUsed/>
    <w:rsid w:val="0089782F"/>
    <w:rPr>
      <w:rFonts w:ascii="Calibri" w:eastAsia="Calibri" w:hAnsi="Calibri"/>
      <w:sz w:val="22"/>
      <w:szCs w:val="22"/>
    </w:rPr>
  </w:style>
  <w:style w:type="character" w:customStyle="1" w:styleId="PlainTextChar">
    <w:name w:val="Plain Text Char"/>
    <w:basedOn w:val="DefaultParagraphFont"/>
    <w:link w:val="PlainText"/>
    <w:uiPriority w:val="99"/>
    <w:rsid w:val="0089782F"/>
    <w:rPr>
      <w:rFonts w:ascii="Calibri" w:eastAsia="Calibri" w:hAnsi="Calibri"/>
      <w:sz w:val="22"/>
      <w:szCs w:val="22"/>
      <w:lang w:eastAsia="lv-LV"/>
    </w:rPr>
  </w:style>
  <w:style w:type="paragraph" w:customStyle="1" w:styleId="naisf">
    <w:name w:val="naisf"/>
    <w:basedOn w:val="Normal"/>
    <w:rsid w:val="0089782F"/>
    <w:pPr>
      <w:spacing w:before="75" w:after="75"/>
      <w:ind w:firstLine="375"/>
      <w:jc w:val="both"/>
    </w:pPr>
  </w:style>
  <w:style w:type="paragraph" w:customStyle="1" w:styleId="naisnod">
    <w:name w:val="naisnod"/>
    <w:basedOn w:val="Normal"/>
    <w:rsid w:val="0089782F"/>
    <w:pPr>
      <w:spacing w:before="150" w:after="150"/>
      <w:jc w:val="center"/>
    </w:pPr>
    <w:rPr>
      <w:b/>
      <w:bCs/>
    </w:rPr>
  </w:style>
  <w:style w:type="paragraph" w:customStyle="1" w:styleId="naislab">
    <w:name w:val="naislab"/>
    <w:basedOn w:val="Normal"/>
    <w:rsid w:val="0089782F"/>
    <w:pPr>
      <w:spacing w:before="75" w:after="75"/>
      <w:jc w:val="right"/>
    </w:pPr>
  </w:style>
  <w:style w:type="paragraph" w:customStyle="1" w:styleId="naiskr">
    <w:name w:val="naiskr"/>
    <w:basedOn w:val="Normal"/>
    <w:rsid w:val="0089782F"/>
    <w:pPr>
      <w:spacing w:before="75" w:after="75"/>
    </w:pPr>
  </w:style>
  <w:style w:type="paragraph" w:customStyle="1" w:styleId="tvhtml">
    <w:name w:val="tv_html"/>
    <w:basedOn w:val="Normal"/>
    <w:rsid w:val="0089782F"/>
    <w:pPr>
      <w:spacing w:before="100" w:beforeAutospacing="1" w:after="100" w:afterAutospacing="1"/>
    </w:pPr>
    <w:rPr>
      <w:rFonts w:ascii="Verdana" w:hAnsi="Verdana"/>
      <w:sz w:val="18"/>
      <w:szCs w:val="18"/>
    </w:rPr>
  </w:style>
  <w:style w:type="paragraph" w:styleId="Header">
    <w:name w:val="header"/>
    <w:basedOn w:val="Normal"/>
    <w:link w:val="HeaderChar"/>
    <w:uiPriority w:val="99"/>
    <w:unhideWhenUsed/>
    <w:rsid w:val="00995656"/>
    <w:pPr>
      <w:tabs>
        <w:tab w:val="center" w:pos="4153"/>
        <w:tab w:val="right" w:pos="8306"/>
      </w:tabs>
    </w:pPr>
  </w:style>
  <w:style w:type="character" w:customStyle="1" w:styleId="HeaderChar">
    <w:name w:val="Header Char"/>
    <w:basedOn w:val="DefaultParagraphFont"/>
    <w:link w:val="Header"/>
    <w:uiPriority w:val="99"/>
    <w:rsid w:val="00995656"/>
    <w:rPr>
      <w:rFonts w:eastAsia="Times New Roman"/>
      <w:szCs w:val="24"/>
      <w:lang w:eastAsia="lv-LV"/>
    </w:rPr>
  </w:style>
  <w:style w:type="paragraph" w:styleId="Footer">
    <w:name w:val="footer"/>
    <w:basedOn w:val="Normal"/>
    <w:link w:val="FooterChar"/>
    <w:uiPriority w:val="99"/>
    <w:unhideWhenUsed/>
    <w:rsid w:val="00995656"/>
    <w:pPr>
      <w:tabs>
        <w:tab w:val="center" w:pos="4153"/>
        <w:tab w:val="right" w:pos="8306"/>
      </w:tabs>
    </w:pPr>
  </w:style>
  <w:style w:type="character" w:customStyle="1" w:styleId="FooterChar">
    <w:name w:val="Footer Char"/>
    <w:basedOn w:val="DefaultParagraphFont"/>
    <w:link w:val="Footer"/>
    <w:uiPriority w:val="99"/>
    <w:rsid w:val="00995656"/>
    <w:rPr>
      <w:rFonts w:eastAsia="Times New Roman"/>
      <w:szCs w:val="24"/>
      <w:lang w:eastAsia="lv-LV"/>
    </w:rPr>
  </w:style>
  <w:style w:type="paragraph" w:styleId="BalloonText">
    <w:name w:val="Balloon Text"/>
    <w:basedOn w:val="Normal"/>
    <w:link w:val="BalloonTextChar"/>
    <w:uiPriority w:val="99"/>
    <w:semiHidden/>
    <w:unhideWhenUsed/>
    <w:rsid w:val="00286ED6"/>
    <w:rPr>
      <w:rFonts w:ascii="Tahoma" w:hAnsi="Tahoma" w:cs="Tahoma"/>
      <w:sz w:val="16"/>
      <w:szCs w:val="16"/>
    </w:rPr>
  </w:style>
  <w:style w:type="character" w:customStyle="1" w:styleId="BalloonTextChar">
    <w:name w:val="Balloon Text Char"/>
    <w:basedOn w:val="DefaultParagraphFont"/>
    <w:link w:val="BalloonText"/>
    <w:uiPriority w:val="99"/>
    <w:semiHidden/>
    <w:rsid w:val="00286ED6"/>
    <w:rPr>
      <w:rFonts w:ascii="Tahoma" w:eastAsia="Times New Roman" w:hAnsi="Tahoma" w:cs="Tahoma"/>
      <w:sz w:val="16"/>
      <w:szCs w:val="16"/>
      <w:lang w:eastAsia="lv-LV"/>
    </w:rPr>
  </w:style>
  <w:style w:type="paragraph" w:styleId="BodyTextIndent">
    <w:name w:val="Body Text Indent"/>
    <w:basedOn w:val="Normal"/>
    <w:link w:val="BodyTextIndentChar"/>
    <w:uiPriority w:val="99"/>
    <w:semiHidden/>
    <w:unhideWhenUsed/>
    <w:rsid w:val="00382B6F"/>
    <w:pPr>
      <w:spacing w:after="120"/>
      <w:ind w:left="283"/>
    </w:pPr>
  </w:style>
  <w:style w:type="character" w:customStyle="1" w:styleId="BodyTextIndentChar">
    <w:name w:val="Body Text Indent Char"/>
    <w:basedOn w:val="DefaultParagraphFont"/>
    <w:link w:val="BodyTextIndent"/>
    <w:uiPriority w:val="99"/>
    <w:semiHidden/>
    <w:rsid w:val="00382B6F"/>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11174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2680</Words>
  <Characters>1529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Noteikumi par zvērināta tiesu izpildītāja palīga amata apliecības veidu un lietošanas kārtību</vt:lpstr>
    </vt:vector>
  </TitlesOfParts>
  <Company>Tieslietu Ministrija</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zvērināta tiesu izpildītāja palīga amata apliecības veidu un lietošanas kārtību</dc:title>
  <dc:subject>MK noteikumu proejtka anotācija</dc:subject>
  <dc:creator>Evija Timpare</dc:creator>
  <cp:keywords/>
  <dc:description>evija.timpare@tm.gov.lv_x000d_
67036829</dc:description>
  <cp:lastModifiedBy>et1401</cp:lastModifiedBy>
  <cp:revision>3</cp:revision>
  <cp:lastPrinted>2011-03-02T07:44:00Z</cp:lastPrinted>
  <dcterms:created xsi:type="dcterms:W3CDTF">2011-05-09T09:38:00Z</dcterms:created>
  <dcterms:modified xsi:type="dcterms:W3CDTF">2011-05-09T09:40:00Z</dcterms:modified>
</cp:coreProperties>
</file>