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25" w:rsidRPr="002C65E7" w:rsidRDefault="009E3E25" w:rsidP="009E3E25">
      <w:pPr>
        <w:pStyle w:val="Pamatteksts"/>
        <w:spacing w:after="0"/>
        <w:rPr>
          <w:sz w:val="24"/>
          <w:szCs w:val="24"/>
        </w:rPr>
      </w:pPr>
      <w:r w:rsidRPr="002C65E7">
        <w:rPr>
          <w:sz w:val="24"/>
          <w:szCs w:val="24"/>
        </w:rPr>
        <w:t>Ministru kabineta rīkojuma projekta „Par valsts sabiedrības ar ierobežotu atbildību „Latvijas Valsts mērnieks” pamatkapitāla daļu pārdošanu”</w:t>
      </w:r>
    </w:p>
    <w:p w:rsidR="009E3E25" w:rsidRPr="002C65E7" w:rsidRDefault="009E3E25" w:rsidP="009E3E25">
      <w:pPr>
        <w:ind w:firstLine="720"/>
        <w:jc w:val="center"/>
        <w:rPr>
          <w:b/>
        </w:rPr>
      </w:pPr>
      <w:r w:rsidRPr="002C65E7">
        <w:rPr>
          <w:b/>
        </w:rPr>
        <w:t>sākotnējās ietekmes novērtējuma ziņojums (anotācija)</w:t>
      </w:r>
    </w:p>
    <w:p w:rsidR="009E3E25" w:rsidRPr="002C65E7" w:rsidRDefault="009E3E25" w:rsidP="009E3E25">
      <w:pPr>
        <w:jc w:val="cente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80"/>
        <w:gridCol w:w="2814"/>
        <w:gridCol w:w="6037"/>
      </w:tblGrid>
      <w:tr w:rsidR="009E3E25" w:rsidRPr="002C65E7" w:rsidTr="00FC6669">
        <w:tc>
          <w:tcPr>
            <w:tcW w:w="0" w:type="auto"/>
            <w:gridSpan w:val="3"/>
            <w:tcBorders>
              <w:top w:val="single" w:sz="6" w:space="0" w:color="auto"/>
              <w:left w:val="single" w:sz="6" w:space="0" w:color="auto"/>
              <w:bottom w:val="outset" w:sz="6" w:space="0" w:color="000000"/>
              <w:right w:val="single" w:sz="6" w:space="0" w:color="auto"/>
            </w:tcBorders>
            <w:vAlign w:val="center"/>
          </w:tcPr>
          <w:p w:rsidR="009E3E25" w:rsidRPr="002C65E7" w:rsidRDefault="009E3E25" w:rsidP="00FC6669">
            <w:pPr>
              <w:jc w:val="center"/>
              <w:rPr>
                <w:b/>
                <w:bCs/>
              </w:rPr>
            </w:pPr>
            <w:r w:rsidRPr="002C65E7">
              <w:rPr>
                <w:b/>
                <w:bCs/>
              </w:rPr>
              <w:t>I. Tiesību akta projekta izstrādes nepieciešamība</w:t>
            </w:r>
          </w:p>
        </w:tc>
      </w:tr>
      <w:tr w:rsidR="009E3E25" w:rsidRPr="002C65E7" w:rsidTr="00FC6669">
        <w:tc>
          <w:tcPr>
            <w:tcW w:w="153"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t>1.</w:t>
            </w:r>
          </w:p>
        </w:tc>
        <w:tc>
          <w:tcPr>
            <w:tcW w:w="1541"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t>Pamatojums</w:t>
            </w:r>
          </w:p>
        </w:tc>
        <w:tc>
          <w:tcPr>
            <w:tcW w:w="3306"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jc w:val="both"/>
            </w:pPr>
            <w:r w:rsidRPr="002C65E7">
              <w:t>Saskaņā ar Valsts pārvaldes iekārtas likuma 10.</w:t>
            </w:r>
            <w:r>
              <w:t> </w:t>
            </w:r>
            <w:r w:rsidRPr="002C65E7">
              <w:t xml:space="preserve">panta desmitajā daļā noteikto, valsts pārvaldi organizē pēc iespējas efektīvi. Valsts pārvaldes institucionālo sistēmu pastāvīgi pārbauda un, ja nepieciešams, pilnveido. </w:t>
            </w:r>
          </w:p>
          <w:p w:rsidR="009E3E25" w:rsidRDefault="009E3E25" w:rsidP="00FC6669">
            <w:pPr>
              <w:jc w:val="both"/>
            </w:pPr>
            <w:r w:rsidRPr="002C65E7">
              <w:t>Ministru kabineta 2009. gada 25. jūnija sēdē (prot. Nr.</w:t>
            </w:r>
            <w:bookmarkStart w:id="0" w:name="62"/>
            <w:r w:rsidRPr="002C65E7">
              <w:t xml:space="preserve"> 44, 62</w:t>
            </w:r>
            <w:bookmarkEnd w:id="0"/>
            <w:r w:rsidRPr="002C65E7">
              <w:t xml:space="preserve">. §) tika atbalstīts attīstības plānošanas dokuments „Pasākumu plāns valsts pārvaldes sistēmas un civildienesta optimizēšanai”. Atbilstoši šī plāna 1.10. apakšpunktam valsts īstenoto funkciju auditu rezultātā notiek regulāra valsts pārvaldes institucionālās un funkciju īstenošanas sistēmas pilnveidošana. </w:t>
            </w:r>
          </w:p>
          <w:p w:rsidR="009E3E25" w:rsidRPr="002C65E7" w:rsidRDefault="009E3E25" w:rsidP="00FC6669">
            <w:pPr>
              <w:jc w:val="both"/>
            </w:pPr>
            <w:r>
              <w:t>Ministru kabineta 2011</w:t>
            </w:r>
            <w:r w:rsidRPr="002C65E7">
              <w:t>. gada</w:t>
            </w:r>
            <w:r>
              <w:t xml:space="preserve"> 24</w:t>
            </w:r>
            <w:r w:rsidRPr="002C65E7">
              <w:t xml:space="preserve">. </w:t>
            </w:r>
            <w:r>
              <w:t>maija</w:t>
            </w:r>
            <w:r w:rsidRPr="002C65E7">
              <w:t xml:space="preserve"> sēdē (prot. Nr. </w:t>
            </w:r>
            <w:r>
              <w:t>32, 13.</w:t>
            </w:r>
            <w:r w:rsidRPr="002C65E7">
              <w:t xml:space="preserve"> §)</w:t>
            </w:r>
            <w:r>
              <w:t xml:space="preserve"> tika konceptuāli atbalstīta valsts sabiedrības ar ierobežotu atbildību „Latvijas Valsts mērnieks” pamatkapitāla daļu pārdošana un dots uzdevums </w:t>
            </w:r>
            <w:r>
              <w:rPr>
                <w:rStyle w:val="spelle"/>
              </w:rPr>
              <w:t>tieslietu ministram pēc likumprojekta „Grozījumi likumā „Par zemes reformu Latvijas Republikas pilsētās”” pieņemšanas Saeimā pirmajā lasījumā iesniegt izskatīšanai Ministru kabinetā rīkojuma projektu par valsts sabiedrības ar ierobežotu atbildību „Latvijas Valsts mērnieks” pamatkapitāla daļu pārdošanu.</w:t>
            </w:r>
          </w:p>
        </w:tc>
      </w:tr>
      <w:tr w:rsidR="009E3E25" w:rsidRPr="002C65E7" w:rsidTr="00FC6669">
        <w:tc>
          <w:tcPr>
            <w:tcW w:w="153"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t>2.</w:t>
            </w:r>
          </w:p>
        </w:tc>
        <w:tc>
          <w:tcPr>
            <w:tcW w:w="1541"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color w:val="000000"/>
              </w:rPr>
            </w:pPr>
            <w:r w:rsidRPr="002C65E7">
              <w:rPr>
                <w:b/>
                <w:color w:val="000000"/>
              </w:rPr>
              <w:t>Pašreizējā situācija un problēmas</w:t>
            </w:r>
          </w:p>
        </w:tc>
        <w:tc>
          <w:tcPr>
            <w:tcW w:w="3306"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jc w:val="both"/>
            </w:pPr>
            <w:r w:rsidRPr="002C65E7">
              <w:t xml:space="preserve">Likuma „Par zemes reformu Latvijas Republikas lauku apvidos” 22. panta otrā daļa noteic, ka par valsts budžeta līdzekļiem veicamos zemes kadastrālās uzmērīšanas darbus normatīvajos aktos noteiktajā kārtībā veic valsts sabiedrība ar ierobežotu atbildību „Latvijas Valsts mērnieks”, kas atrodas Tieslietu ministrijas institucionālā padotībā. Valsts sabiedrība ar ierobežotu atbildību „Latvijas Valsts mērnieks” (turpmāk – VSIA „Latvijas Valsts mērnieks”) pieņem lēmumus par zemes kadastrālo uzmērīšanu par valsts budžeta līdzekļiem, kā arī veic mērniecības darbus, lai novērstu neprecizitātes Valsts zemes dienesta līdz šim veiktajos mērniecības darbos. Tāpat arī likuma „Par zemes reformu Latvijas Republikas pilsētās” 18. panta trešajā daļā ir noteikts, ka par valsts budžeta līdzekļiem veicamos zemes kadastrālās uzmērīšanas darbus normatīvajos aktos noteiktajā kārtībā veic VSIA „Latvijas Valsts mērnieks”, kas atrodas Tieslietu ministrijas institucionālā padotībā. Kārtību un secību, kādā izskatāmi pieteikumi un tiek veikta zemes kadastrālā uzmērīšana par valsts budžeta līdzekļiem, ja tā saistīta ar zemes īpašuma tiesību atjaunošanu vai zemes īpašuma kompensēšanu ar līdzvērtīgu zemi bijušajiem zemes īpašniekiem, kuriem 1940. gada 21. jūlijā piederēja zemes īpašums Latvijas Republikā, un viņus pārdzīvojušiem laulātajiem, bērniem un mazbērniem, politiski represētajiem un 1.grupas invalīdiem, ir noteicis Ministru kabinets, pieņemot 2008.gada 10. marta </w:t>
            </w:r>
            <w:r w:rsidRPr="002C65E7">
              <w:lastRenderedPageBreak/>
              <w:t>noteikumus Nr.169 „Kārtība, kādā veic zemes kadastrālo uzmērīšanu par valsts budžeta līdzekļiem”.</w:t>
            </w:r>
          </w:p>
          <w:p w:rsidR="009E3E25" w:rsidRPr="002C65E7" w:rsidRDefault="009E3E25" w:rsidP="00FC6669">
            <w:pPr>
              <w:pStyle w:val="naispant"/>
              <w:spacing w:before="0" w:beforeAutospacing="0" w:after="0" w:afterAutospacing="0"/>
              <w:jc w:val="both"/>
              <w:rPr>
                <w:lang w:val="lv-LV"/>
              </w:rPr>
            </w:pPr>
            <w:r w:rsidRPr="002C65E7">
              <w:rPr>
                <w:lang w:val="lv-LV"/>
              </w:rPr>
              <w:t xml:space="preserve">Minētajos likumos noteiktā uzdevuma izpildes nodrošināšanai saskaņā ar Ministru kabineta 2005. gada 9. novembra rīkojumu Nr. 725 „Par valsts sabiedrības ar ierobežotu atbildību „Latvijas Valsts mērnieks” dibināšanu” (turpmāk – rīkojums Nr. 725) tika nodibināta VSIA „Latvijas Valsts mērnieks”. </w:t>
            </w:r>
          </w:p>
          <w:p w:rsidR="009E3E25" w:rsidRPr="002C65E7" w:rsidRDefault="009E3E25" w:rsidP="00FC6669">
            <w:pPr>
              <w:pStyle w:val="naispant"/>
              <w:spacing w:before="0" w:beforeAutospacing="0" w:after="0" w:afterAutospacing="0"/>
              <w:jc w:val="both"/>
              <w:rPr>
                <w:lang w:val="lv-LV"/>
              </w:rPr>
            </w:pPr>
            <w:r w:rsidRPr="002C65E7">
              <w:rPr>
                <w:lang w:val="lv-LV"/>
              </w:rPr>
              <w:t>VSIA „Latvijas Valsts mērnieks” (juridiskā adrese: Mārstaļu iela 19, Rīga, LV-1050), ir reģistrēta komercreģistrā 2005.gada 22.novembrī ar vienoto reģistrācijas Nr. 40003783960. Kapitālsabiedrības pamatkapitāls ir 571 900 pamatkapitāla daļas un vienas pamatkapitāla daļas nominālvērtība – 1 lats. Kapitālsabiedrības valstij piederošo pamatkapitāla daļu turētāja (100 procentu apmērā) ir Tieslietu ministrija.</w:t>
            </w:r>
          </w:p>
          <w:p w:rsidR="009E3E25" w:rsidRPr="002C65E7" w:rsidRDefault="009E3E25" w:rsidP="00FC6669">
            <w:pPr>
              <w:pStyle w:val="naispant"/>
              <w:spacing w:before="0" w:beforeAutospacing="0" w:after="0" w:afterAutospacing="0"/>
              <w:jc w:val="both"/>
              <w:rPr>
                <w:lang w:val="lv-LV"/>
              </w:rPr>
            </w:pPr>
            <w:r w:rsidRPr="002C65E7">
              <w:rPr>
                <w:lang w:val="lv-LV"/>
              </w:rPr>
              <w:t>VSIA „Latvijas Valsts mērnieks” dibināšanas mērķis tika noteikts</w:t>
            </w:r>
            <w:r w:rsidR="00523F54">
              <w:rPr>
                <w:lang w:val="lv-LV"/>
              </w:rPr>
              <w:t> </w:t>
            </w:r>
            <w:r w:rsidRPr="002C65E7">
              <w:rPr>
                <w:lang w:val="lv-LV"/>
              </w:rPr>
              <w:t>–</w:t>
            </w:r>
            <w:r w:rsidR="00523F54">
              <w:rPr>
                <w:lang w:val="lv-LV"/>
              </w:rPr>
              <w:t> </w:t>
            </w:r>
            <w:r w:rsidRPr="002C65E7">
              <w:rPr>
                <w:lang w:val="lv-LV"/>
              </w:rPr>
              <w:t xml:space="preserve">zemes ierīcības un mērniecības funkciju īstenošana. Saskaņā ar rīkojuma Nr. 725 3.punktu VSIA „Latvijas Valsts mērnieks” tika noteikti šādi uzdevumi: </w:t>
            </w:r>
            <w:r w:rsidRPr="002C65E7">
              <w:rPr>
                <w:lang w:val="lv-LV"/>
              </w:rPr>
              <w:br/>
              <w:t xml:space="preserve">1) pamatojoties uz Valsts zemes dienesta un VSIA „Latvijas Valsts mērnieks” līgumu, par valsts budžeta līdzekļiem uzmērīt zemes robežas bijušajiem īpašniekiem, mantiniekiem, politiski represētajām personām un cilvēkiem ar īpašām vajadzībām, kā arī veikt mērniecības darbus, lai novērstu neprecizitātes Valsts zemes dienesta līdz šim veiktajos mērniecības darbos, 2) veikt zemes kadastrālo uzmērīšanu, 3) veikt topogrāfisko uzmērīšanu un </w:t>
            </w:r>
          </w:p>
          <w:p w:rsidR="009E3E25" w:rsidRPr="002C65E7" w:rsidRDefault="009E3E25" w:rsidP="00FC6669">
            <w:pPr>
              <w:pStyle w:val="naispant"/>
              <w:spacing w:before="0" w:beforeAutospacing="0" w:after="0" w:afterAutospacing="0"/>
              <w:jc w:val="both"/>
              <w:rPr>
                <w:lang w:val="lv-LV"/>
              </w:rPr>
            </w:pPr>
            <w:r w:rsidRPr="002C65E7">
              <w:rPr>
                <w:lang w:val="lv-LV"/>
              </w:rPr>
              <w:t xml:space="preserve">4) izstrādāt zemes ierīcības projektus. </w:t>
            </w:r>
          </w:p>
          <w:p w:rsidR="009E3E25" w:rsidRPr="002C65E7" w:rsidRDefault="009E3E25" w:rsidP="00FC6669">
            <w:pPr>
              <w:pStyle w:val="naispant"/>
              <w:spacing w:before="0" w:beforeAutospacing="0" w:after="0" w:afterAutospacing="0"/>
              <w:jc w:val="both"/>
              <w:rPr>
                <w:lang w:val="lv-LV"/>
              </w:rPr>
            </w:pPr>
            <w:r w:rsidRPr="002C65E7">
              <w:rPr>
                <w:lang w:val="lv-LV"/>
              </w:rPr>
              <w:t>Saskaņā ar Ministru kabineta 2006. gada 1. augusta rīkojumu Nr. 574 „Par atteikumu nodot privatizācijai valstij piederošās valsts sabiedrības ar ierobežotu atbildību „Latvijas Valsts mērnieks” kapitāla daļas” tika atteikts nodot privatizācijai VSIA „Latvijas Valsts mērnieks” pamatkapitāla daļas, kā pamatojumu norādot, ka VSIA „Latvijas Valsts mērnieks” veic komercdarbību valstij stratēģiski svarīgā nozarē.</w:t>
            </w:r>
          </w:p>
          <w:p w:rsidR="009E3E25" w:rsidRPr="002C65E7" w:rsidRDefault="009E3E25" w:rsidP="00FC6669">
            <w:pPr>
              <w:jc w:val="both"/>
              <w:rPr>
                <w:bCs/>
              </w:rPr>
            </w:pPr>
            <w:r w:rsidRPr="002C65E7">
              <w:t>Likumā „</w:t>
            </w:r>
            <w:r w:rsidRPr="002C65E7">
              <w:rPr>
                <w:bCs/>
              </w:rPr>
              <w:t>Par zemes reformas pabeigšanu pilsētās</w:t>
            </w:r>
            <w:r w:rsidRPr="002C65E7">
              <w:t>”, likumā „</w:t>
            </w:r>
            <w:r w:rsidRPr="002C65E7">
              <w:rPr>
                <w:bCs/>
              </w:rPr>
              <w:t>Par zemes reformas pabeigšanu lauku apvidos”, likumā „Par zemes reformu Latvijas Republikas lauku apvidos” un Valsts un pašvaldību īpašuma privatizācijas un privatizācijas sertifikātu izmantošanas pabeigšanas likumā likumdevējs ir izvirzījis mērķi pabeigt pēc Latvijas Republikas valstiskuma atgūšanas uzsākto zemes reformu pilsētās un lauku apvidos, kā arī noteicis noteiktu kārtību un termiņus šā mērķa sasniegšanai.</w:t>
            </w:r>
          </w:p>
          <w:p w:rsidR="009E3E25" w:rsidRPr="002C65E7" w:rsidRDefault="009E3E25" w:rsidP="00FC6669">
            <w:pPr>
              <w:jc w:val="both"/>
            </w:pPr>
            <w:r w:rsidRPr="002C65E7">
              <w:t xml:space="preserve">Vispusīgākam pārskatam par </w:t>
            </w:r>
            <w:r w:rsidRPr="002C65E7">
              <w:rPr>
                <w:bCs/>
              </w:rPr>
              <w:t>zemes uzmērīšanu par valsts budžeta līdzekļiem</w:t>
            </w:r>
            <w:r w:rsidRPr="002C65E7">
              <w:t xml:space="preserve"> un situācijas analīzei sniedzam šādu  papildus informāciju. Nekustamā īpašuma valsts kadastra informācijas sistēmā (aktuālā informācija uz 2010.gada </w:t>
            </w:r>
            <w:r w:rsidRPr="002C65E7">
              <w:lastRenderedPageBreak/>
              <w:t>8.jūliju), ir reģistrēti 9438 bijušie zemes īpašnieki vai viņu mantinieki, kuriem par pastāvīgā lietošanā piešķirtajām 12973 zemes vienībām 62628 ha platībā tiesa, Centrālā zemes komisija vai pašvaldības zemes komisija atzinusi īpašuma atjaunošanas tiesības. Uz 2010.gada 1.janvārī par valsts budžeta līdzekļiem kadastrāli bija jāuzmēra 7525 zemes vienības.</w:t>
            </w:r>
          </w:p>
          <w:p w:rsidR="009E3E25" w:rsidRPr="002C65E7" w:rsidRDefault="009E3E25" w:rsidP="00FC6669">
            <w:pPr>
              <w:jc w:val="both"/>
            </w:pPr>
            <w:r w:rsidRPr="002C65E7">
              <w:t xml:space="preserve">Likuma „Par zemes reformas pabeigšanu lauku apvidos” 16.panta pirmā daļa nosaka, ka bijušajiem zemes īpašniekiem vai viņu mantiniekiem, kuriem nav atjaunotas īpašuma tiesības uz bijušo nekustamo īpašumu vai par to nav saņemta kompensācija, līdz 2007. gada 28. decembrim Centrālajā zemes komisijā bija jāiesniedz pieprasījums par zemes īpašuma tiesību atjaunošanu uz zemes reformas pabeigšanai paredzēto zemi, bet dokumenti, kas apliecina zemes īpašuma un mantošanas tiesības, – līdz 2008. gada 1.septembrim. </w:t>
            </w:r>
          </w:p>
          <w:p w:rsidR="009E3E25" w:rsidRPr="002C65E7" w:rsidRDefault="009E3E25" w:rsidP="00FC6669">
            <w:pPr>
              <w:jc w:val="both"/>
            </w:pPr>
            <w:r w:rsidRPr="002C65E7">
              <w:t xml:space="preserve">Atbilstoši Centrālās zemes komisijas un Valsts zemes dienesta apkopotajai informācijai, līdz 2008. gada 1.septembrim no gandrīz 2200 iesniegtajiem pieprasījumiem </w:t>
            </w:r>
            <w:r w:rsidR="00523F54">
              <w:t>–</w:t>
            </w:r>
            <w:r w:rsidRPr="002C65E7">
              <w:t xml:space="preserve"> zemes īpašuma un mantošanas tiesības apliecinoši dokumenti, tika iesniegti 1155 gadījumos, tādējādi  pretendējot uz zemes vienībām vairāk kā 14 700 ha platībā. Pēc iesniegto pieprasījumu izvērtēšanas Centrālās zemes komisija īpašuma tiesību pieprasījumus uz zemes reformas pabeigšanai paredzēto zemi atzina 1066 personām gandrīz 12983 ha platībā. Tā kā vidējais vienas zemes vienības īpašumu tiesību atjaunošanai pieprasītās zemes platības lielums ir 12 ha, bet vidējais vienas zemes reformas pabeigšanai paredzētās zemes vienības lielums ir tikai 4 ha, var secināt, ka vidēji vienam bijušajam zemes īpašniekam vai viņa mantiniekam īpašuma tiesības varētu tikt atjaunotas uz trīs zemes vienībām.</w:t>
            </w:r>
          </w:p>
          <w:p w:rsidR="009E3E25" w:rsidRPr="002C65E7" w:rsidRDefault="009E3E25" w:rsidP="00FC6669">
            <w:pPr>
              <w:jc w:val="both"/>
            </w:pPr>
            <w:r w:rsidRPr="002C65E7">
              <w:t>Ņemot vērā iepriekš minēto, kā arī to, ka atbilstoši likuma „Par zemes reformas pabeigšanu lauku apvidos” 16. panta trešajai daļai Centrālā zemes komisija īpašuma tiesības uz zemes reformas pabeigšanai paredzēto zemi atjauno līdz 2011. gada 30. decembrim, par valsts budžeta līdzekļiem uzmērāmo zemes vienību skaits līdz 2012. gadam varētu palielināties gandrīz par 3200 zemes vienībām.</w:t>
            </w:r>
          </w:p>
          <w:p w:rsidR="009E3E25" w:rsidRPr="002C65E7" w:rsidRDefault="009E3E25" w:rsidP="00FC6669">
            <w:pPr>
              <w:jc w:val="both"/>
            </w:pPr>
            <w:r w:rsidRPr="002C65E7">
              <w:t>Zemes kadastrālajai uzmērīšanai VSIA „Latvijas Valsts mērnieks”:</w:t>
            </w:r>
          </w:p>
          <w:p w:rsidR="009E3E25" w:rsidRPr="002C65E7" w:rsidRDefault="009E3E25" w:rsidP="00FC6669">
            <w:pPr>
              <w:jc w:val="both"/>
            </w:pPr>
            <w:r w:rsidRPr="002C65E7">
              <w:t>– 2008. gadā piešķirtais budžeta finansējums bija 65000,00 Ls, uzmērītas tika 188 zemes vienības;</w:t>
            </w:r>
          </w:p>
          <w:p w:rsidR="009E3E25" w:rsidRPr="002C65E7" w:rsidRDefault="009E3E25" w:rsidP="00FC6669">
            <w:pPr>
              <w:jc w:val="both"/>
            </w:pPr>
            <w:r w:rsidRPr="002C65E7">
              <w:t>– 2009. gadā piešķirtais budžeta finansējums bija 48750,00 Ls, uzmērītas tika 147 zemes vienības;</w:t>
            </w:r>
          </w:p>
          <w:p w:rsidR="009E3E25" w:rsidRPr="002C65E7" w:rsidRDefault="009E3E25" w:rsidP="00FC6669">
            <w:pPr>
              <w:jc w:val="both"/>
            </w:pPr>
            <w:r w:rsidRPr="002C65E7">
              <w:t>– 2010. gadā piešķirtais budžeta finansējums bija 48750,00 Ls, plānots uzmērīt ir 146 zemes vienības.</w:t>
            </w:r>
          </w:p>
          <w:p w:rsidR="009E3E25" w:rsidRPr="002C65E7" w:rsidRDefault="009E3E25" w:rsidP="00FC6669">
            <w:pPr>
              <w:jc w:val="both"/>
            </w:pPr>
            <w:r w:rsidRPr="002C65E7">
              <w:t xml:space="preserve">Ņemot vērā to, ka vienas zemes vienības kadastrālā uzmērīšana varētu izmaksāt aptuveni 420 Ls un to, ka </w:t>
            </w:r>
            <w:r w:rsidRPr="002C65E7">
              <w:lastRenderedPageBreak/>
              <w:t>aptuvenais kopējais zemes vienību, kas uzmērāmas par valsts budžeta līdzekļiem, skaits aptuveni varētu sastādīt 10725 zemes vienības, tad, lai uzmērītu visas zemes vienības, nepieciešami apmēram 4,51 miljons latu.</w:t>
            </w:r>
          </w:p>
          <w:p w:rsidR="009E3E25" w:rsidRPr="002C65E7" w:rsidRDefault="009E3E25" w:rsidP="00FC6669">
            <w:pPr>
              <w:jc w:val="both"/>
              <w:rPr>
                <w:b/>
              </w:rPr>
            </w:pPr>
            <w:r w:rsidRPr="002C65E7">
              <w:rPr>
                <w:bCs/>
              </w:rPr>
              <w:t xml:space="preserve">Nodrošināt zemes uzmērīšanu par valsts budžeta līdzekļiem un mērniecības kļūdu labošanu ir iespējams ar citiem līdzekļiem, </w:t>
            </w:r>
            <w:r w:rsidRPr="002C65E7">
              <w:t>veicot publisko iepirkumu un slēdzot līgumu ar zemes kadastrālajā uzmērīšanā sertificētām personām vai komersantiem, kas nodarbina sertificētās personas.</w:t>
            </w:r>
            <w:r w:rsidRPr="002C65E7">
              <w:rPr>
                <w:color w:val="1F497D"/>
              </w:rPr>
              <w:t xml:space="preserve"> </w:t>
            </w:r>
            <w:r w:rsidRPr="002C65E7">
              <w:t>Valsts un pašvaldību īpašuma privatizācijas un privatizācijas sertifikātu izmantošanas pabeigšanas likuma 15. panta trešā daļa noteic, ka valstij vai pašvaldībai piederošas kapitāla daļas un kapitālsabiedrības, par kurām līdz pabeigšanas datumam ir saņemts privatizācijas ierosinājums, bet Ministru kabinets vai pašvaldības dome atbilstoši šā likuma 6. panta trešajai daļai pieņem pamatotu lēmumu par privatizācijas ierosinājuma noraidīšanu, turpmāk nav privatizējamas saskaņā ar likumu „Par valsts un pašvaldību īpašuma objektu privatizāciju”, bet var tikt atsavinātas likumā „Par valsts un pašvaldību kapitāla daļām un kapitālsabiedrībām” noteiktajā kārtībā.</w:t>
            </w:r>
            <w:r w:rsidRPr="002C65E7">
              <w:rPr>
                <w:b/>
              </w:rPr>
              <w:t xml:space="preserve"> </w:t>
            </w:r>
          </w:p>
        </w:tc>
      </w:tr>
      <w:tr w:rsidR="009E3E25" w:rsidRPr="002C65E7" w:rsidTr="00FC6669">
        <w:tc>
          <w:tcPr>
            <w:tcW w:w="153"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lastRenderedPageBreak/>
              <w:t>3.</w:t>
            </w:r>
          </w:p>
        </w:tc>
        <w:tc>
          <w:tcPr>
            <w:tcW w:w="1541"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t>Saistītie politikas ietekmes novērtējumi un pētījumi</w:t>
            </w:r>
          </w:p>
        </w:tc>
        <w:tc>
          <w:tcPr>
            <w:tcW w:w="3306"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r w:rsidRPr="00D404B4">
              <w:t>Projekts šo jomu neskar.</w:t>
            </w:r>
          </w:p>
        </w:tc>
      </w:tr>
      <w:tr w:rsidR="009E3E25" w:rsidRPr="002C65E7" w:rsidTr="00FC6669">
        <w:tc>
          <w:tcPr>
            <w:tcW w:w="153"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t>4.</w:t>
            </w:r>
          </w:p>
        </w:tc>
        <w:tc>
          <w:tcPr>
            <w:tcW w:w="1541"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t>Tiesiskā regulējuma mērķis un būtība</w:t>
            </w:r>
          </w:p>
        </w:tc>
        <w:tc>
          <w:tcPr>
            <w:tcW w:w="3306"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jc w:val="both"/>
            </w:pPr>
            <w:r w:rsidRPr="002C65E7">
              <w:t xml:space="preserve">Lai atsavinātu VSIA „Latvijas Valsts mērnieks” pamatkapitāla daļas, atbilstoši likuma „Par valsts un pašvaldību kapitāla daļām un kapitālsabiedrībām” 118. panta pirmajai daļai, tikai valdības kompetencē ir lemt par valstij piederošu pamatkapitāla daļu pārdošanu. Ņemot vērā minēto, Tieslietu ministrija ir izstrādājusi Ministru kabineta rīkojuma projektu „Par valsts sabiedrības ar ierobežotu atbildību „Latvijas Valsts mērnieks" pamatkapitāla daļu pārdošanu”. </w:t>
            </w:r>
          </w:p>
          <w:p w:rsidR="009E3E25" w:rsidRPr="002C65E7" w:rsidRDefault="009E3E25" w:rsidP="00FC6669">
            <w:pPr>
              <w:jc w:val="both"/>
            </w:pPr>
            <w:r w:rsidRPr="002C65E7">
              <w:t>VSIA „Latvijas Valsts mērnieks” pamatkapitāla daļu atsavināšanas mērķis ir pārtraukt valsts komercdarbību mērniecības jomā un pārdot pamatkapitāla daļas privātpersonai.</w:t>
            </w:r>
          </w:p>
          <w:p w:rsidR="009E3E25" w:rsidRPr="002C65E7" w:rsidRDefault="009E3E25" w:rsidP="00FC6669">
            <w:pPr>
              <w:jc w:val="both"/>
            </w:pPr>
            <w:r w:rsidRPr="002C65E7">
              <w:t>Saskaņā ar likuma „Par valsts un pašvaldību kapitāla daļām un kapitālsabiedrībām” Pārejas noteikumu 5.punktu pamatkapitāla daļu pārdošanu veiks valsts akciju  sabiedrība „Privatizācijas aģentūra”.</w:t>
            </w:r>
          </w:p>
          <w:p w:rsidR="009E3E25" w:rsidRPr="009B56D6" w:rsidRDefault="009E3E25" w:rsidP="00FC6669">
            <w:pPr>
              <w:jc w:val="both"/>
              <w:rPr>
                <w:u w:val="single"/>
              </w:rPr>
            </w:pPr>
            <w:r w:rsidRPr="002C65E7">
              <w:t xml:space="preserve">Obligāts atsavināšanas priekšnoteikums ir valsts pārvaldes uzdevuma deleģēšanas attiecību izbeigšana ar VSIA „Latvijas Valsts mērnieks”. Šī priekšnoteikuma izpildei vienlaikus ir izstrādāts un virzīts likumprojekts „Grozījumi likumā „Par zemes reformu Latvijas Republikas lauku apvidos”” un likumprojekts „Grozījumi likumā „Par zemes reformu Latvijas Republikas pilsētās””. </w:t>
            </w:r>
            <w:r w:rsidRPr="009B56D6">
              <w:rPr>
                <w:u w:val="single"/>
              </w:rPr>
              <w:t xml:space="preserve">Minētajos likumprojektos ir ietverts regulējums, atbilstoši kuram VSIA „Latvijas Valsts mērnieks” pabeidz visus uzsāktos par valsts budžeta līdzekļiem veicamos zemes kadastrālās uzmērīšanas darbus </w:t>
            </w:r>
            <w:r w:rsidRPr="009B56D6">
              <w:rPr>
                <w:u w:val="single"/>
              </w:rPr>
              <w:lastRenderedPageBreak/>
              <w:t>un</w:t>
            </w:r>
            <w:r w:rsidRPr="009B56D6">
              <w:rPr>
                <w:rFonts w:eastAsia="Calibri"/>
                <w:u w:val="single"/>
              </w:rPr>
              <w:t xml:space="preserve"> nodod Valsts zemes dienestam </w:t>
            </w:r>
            <w:r w:rsidR="00523F54">
              <w:rPr>
                <w:rFonts w:eastAsia="Calibri"/>
                <w:u w:val="single"/>
              </w:rPr>
              <w:t>nepie</w:t>
            </w:r>
            <w:r>
              <w:rPr>
                <w:rFonts w:eastAsia="Calibri"/>
                <w:u w:val="single"/>
              </w:rPr>
              <w:t>ciešamas</w:t>
            </w:r>
            <w:r w:rsidRPr="009B56D6">
              <w:rPr>
                <w:rFonts w:eastAsia="Calibri"/>
                <w:u w:val="single"/>
              </w:rPr>
              <w:t xml:space="preserve"> lietas</w:t>
            </w:r>
            <w:r>
              <w:rPr>
                <w:rFonts w:eastAsia="Calibri"/>
                <w:u w:val="single"/>
              </w:rPr>
              <w:t xml:space="preserve"> un dokumentāciju</w:t>
            </w:r>
            <w:r w:rsidRPr="009B56D6">
              <w:rPr>
                <w:rFonts w:eastAsia="Calibri"/>
                <w:u w:val="single"/>
              </w:rPr>
              <w:t xml:space="preserve"> un to izpildei saņemto finansējumu</w:t>
            </w:r>
            <w:r w:rsidRPr="009B56D6">
              <w:rPr>
                <w:u w:val="single"/>
              </w:rPr>
              <w:t xml:space="preserve">. </w:t>
            </w:r>
          </w:p>
          <w:p w:rsidR="009E3E25" w:rsidRPr="002C65E7" w:rsidRDefault="009E3E25" w:rsidP="00FC6669">
            <w:pPr>
              <w:jc w:val="both"/>
            </w:pPr>
            <w:r w:rsidRPr="002C65E7">
              <w:rPr>
                <w:bCs/>
              </w:rPr>
              <w:t xml:space="preserve">Ievērojot likuma „Par valsts un pašvaldību kapitāla daļām un kapitālsabiedrībām” 122.panta trešās un ceturtās daļas noteikumus, </w:t>
            </w:r>
            <w:r w:rsidRPr="002C65E7">
              <w:t>pircējam ir pienākums, norēķinoties par kapitālsabiedrības pamatkapitāla daļām, 100 procentu apmērā veikt maksājumu latos. Vienlaikus kapitālsabiedrības valdei un darbiniekiem pārdodamo pamatkapitāla daļu apjoms nedrīkst pārsniegt 20 procentus no kopējā kapitālsabiedrības pamatkapitāla daļu apjoma.</w:t>
            </w:r>
          </w:p>
        </w:tc>
      </w:tr>
      <w:tr w:rsidR="009E3E25" w:rsidRPr="002C65E7" w:rsidTr="00FC6669">
        <w:tc>
          <w:tcPr>
            <w:tcW w:w="153"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lastRenderedPageBreak/>
              <w:t>5.</w:t>
            </w:r>
          </w:p>
        </w:tc>
        <w:tc>
          <w:tcPr>
            <w:tcW w:w="1541"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t>Projekta izstrādē iesaistītās institūcijas</w:t>
            </w:r>
          </w:p>
        </w:tc>
        <w:tc>
          <w:tcPr>
            <w:tcW w:w="3306"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jc w:val="both"/>
            </w:pPr>
            <w:r w:rsidRPr="002C65E7">
              <w:t>Tieslietu ministrija, Valsts zemes dienests</w:t>
            </w:r>
          </w:p>
        </w:tc>
      </w:tr>
      <w:tr w:rsidR="009E3E25" w:rsidRPr="002C65E7" w:rsidTr="00FC6669">
        <w:tc>
          <w:tcPr>
            <w:tcW w:w="153"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t>6.</w:t>
            </w:r>
          </w:p>
        </w:tc>
        <w:tc>
          <w:tcPr>
            <w:tcW w:w="1541"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rPr>
                <w:b/>
              </w:rPr>
            </w:pPr>
            <w:r w:rsidRPr="002C65E7">
              <w:rPr>
                <w:b/>
              </w:rPr>
              <w:t>Iemesli, kādēļ netika nodrošināta sabiedrības līdzdalība</w:t>
            </w:r>
          </w:p>
        </w:tc>
        <w:tc>
          <w:tcPr>
            <w:tcW w:w="3306"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pPr>
              <w:jc w:val="both"/>
            </w:pPr>
            <w:r w:rsidRPr="002C65E7">
              <w:t>Ministru kabineta rīkojuma projekts „Par valsts sabie</w:t>
            </w:r>
            <w:r>
              <w:t>drības ar ierobežotu atbildību „</w:t>
            </w:r>
            <w:r w:rsidRPr="002C65E7">
              <w:t>Latvijas Valsts mērniek</w:t>
            </w:r>
            <w:r>
              <w:t>s”</w:t>
            </w:r>
            <w:r w:rsidRPr="002C65E7">
              <w:t xml:space="preserve"> pamatkapitāla daļu pārdošanu” ir sagatavots saistībā ar valsts funkciju pārskatīšanu. Sabiedrības intereses saistībā ar zemes uzmērīšanu par budžeta līdzekļiem un kļūdu labošanu netiks aizskartas.</w:t>
            </w:r>
          </w:p>
          <w:p w:rsidR="009E3E25" w:rsidRPr="002C65E7" w:rsidRDefault="009E3E25" w:rsidP="00FC6669">
            <w:pPr>
              <w:jc w:val="both"/>
            </w:pPr>
            <w:r w:rsidRPr="002C65E7">
              <w:t>Zemes uzmērīšana par budžeta līdzekļiem un mērniecības darbu veikšana, lai novērstu neprecizitātes Valsts zemes dienesta līdz šim veiktajos mērniecības darbos tiks nodrošināta, veicot publisko iepirkumu un slēdzot līgumu ar zemes kadastrālajā uzmērīšanā sertificētām personām vai komersantiem, kas nodarbina sertificētās personas.</w:t>
            </w:r>
          </w:p>
        </w:tc>
      </w:tr>
      <w:tr w:rsidR="009E3E25" w:rsidRPr="002C65E7" w:rsidTr="00FC6669">
        <w:tc>
          <w:tcPr>
            <w:tcW w:w="153" w:type="pct"/>
            <w:tcBorders>
              <w:top w:val="outset" w:sz="6" w:space="0" w:color="000000"/>
              <w:left w:val="outset" w:sz="6" w:space="0" w:color="000000"/>
              <w:bottom w:val="outset" w:sz="6" w:space="0" w:color="000000"/>
              <w:right w:val="outset" w:sz="6" w:space="0" w:color="000000"/>
            </w:tcBorders>
          </w:tcPr>
          <w:p w:rsidR="009E3E25" w:rsidRPr="002C65E7" w:rsidRDefault="009E3E25" w:rsidP="00AB1686">
            <w:pPr>
              <w:rPr>
                <w:b/>
              </w:rPr>
            </w:pPr>
            <w:r w:rsidRPr="002C65E7">
              <w:rPr>
                <w:b/>
              </w:rPr>
              <w:t>7.</w:t>
            </w:r>
          </w:p>
        </w:tc>
        <w:tc>
          <w:tcPr>
            <w:tcW w:w="1541" w:type="pct"/>
            <w:tcBorders>
              <w:top w:val="outset" w:sz="6" w:space="0" w:color="000000"/>
              <w:left w:val="outset" w:sz="6" w:space="0" w:color="000000"/>
              <w:bottom w:val="outset" w:sz="6" w:space="0" w:color="000000"/>
              <w:right w:val="outset" w:sz="6" w:space="0" w:color="000000"/>
            </w:tcBorders>
          </w:tcPr>
          <w:p w:rsidR="009E3E25" w:rsidRPr="002C65E7" w:rsidRDefault="009E3E25" w:rsidP="00AB1686">
            <w:pPr>
              <w:rPr>
                <w:b/>
              </w:rPr>
            </w:pPr>
            <w:r w:rsidRPr="002C65E7">
              <w:rPr>
                <w:b/>
              </w:rPr>
              <w:t>Cita informācija</w:t>
            </w:r>
          </w:p>
        </w:tc>
        <w:tc>
          <w:tcPr>
            <w:tcW w:w="3306" w:type="pct"/>
            <w:tcBorders>
              <w:top w:val="outset" w:sz="6" w:space="0" w:color="000000"/>
              <w:left w:val="outset" w:sz="6" w:space="0" w:color="000000"/>
              <w:bottom w:val="outset" w:sz="6" w:space="0" w:color="000000"/>
              <w:right w:val="outset" w:sz="6" w:space="0" w:color="000000"/>
            </w:tcBorders>
          </w:tcPr>
          <w:p w:rsidR="009E3E25" w:rsidRPr="002C65E7" w:rsidRDefault="009E3E25" w:rsidP="00AB1686">
            <w:r w:rsidRPr="002C65E7">
              <w:t>Nav</w:t>
            </w:r>
          </w:p>
        </w:tc>
      </w:tr>
    </w:tbl>
    <w:tbl>
      <w:tblPr>
        <w:tblpPr w:leftFromText="180" w:rightFromText="180" w:vertAnchor="text" w:horzAnchor="margin" w:tblpXSpec="center" w:tblpY="149"/>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01"/>
        <w:gridCol w:w="5074"/>
      </w:tblGrid>
      <w:tr w:rsidR="00AB1686" w:rsidRPr="007C0F2C" w:rsidTr="00AB1686">
        <w:tc>
          <w:tcPr>
            <w:tcW w:w="9175" w:type="dxa"/>
            <w:gridSpan w:val="2"/>
            <w:vAlign w:val="center"/>
          </w:tcPr>
          <w:p w:rsidR="00AB1686" w:rsidRPr="007C0F2C" w:rsidRDefault="00AB1686" w:rsidP="00AB1686">
            <w:pPr>
              <w:pStyle w:val="naisnod"/>
              <w:spacing w:before="0" w:after="0"/>
            </w:pPr>
            <w:r w:rsidRPr="007C0F2C">
              <w:t>II. Tiesību akta projekta ietekme uz sabiedrību</w:t>
            </w:r>
          </w:p>
        </w:tc>
      </w:tr>
      <w:tr w:rsidR="00AB1686" w:rsidRPr="007C0F2C" w:rsidTr="00AB1686">
        <w:trPr>
          <w:trHeight w:val="467"/>
        </w:trPr>
        <w:tc>
          <w:tcPr>
            <w:tcW w:w="4101" w:type="dxa"/>
          </w:tcPr>
          <w:p w:rsidR="00AB1686" w:rsidRPr="00FC6669" w:rsidRDefault="00AB1686" w:rsidP="00AB1686">
            <w:pPr>
              <w:pStyle w:val="naiskr"/>
              <w:spacing w:before="0" w:after="0"/>
              <w:rPr>
                <w:b/>
              </w:rPr>
            </w:pPr>
            <w:r w:rsidRPr="00FC6669">
              <w:rPr>
                <w:b/>
              </w:rPr>
              <w:t>Sabiedrības mērķgrupa</w:t>
            </w:r>
          </w:p>
        </w:tc>
        <w:tc>
          <w:tcPr>
            <w:tcW w:w="5074" w:type="dxa"/>
          </w:tcPr>
          <w:p w:rsidR="00762ABF" w:rsidRPr="00FC6669" w:rsidRDefault="00984DD6" w:rsidP="00984DD6">
            <w:pPr>
              <w:spacing w:before="100" w:beforeAutospacing="1" w:after="100" w:afterAutospacing="1"/>
              <w:jc w:val="both"/>
              <w:rPr>
                <w:color w:val="000000"/>
              </w:rPr>
            </w:pPr>
            <w:r w:rsidRPr="00984DD6">
              <w:rPr>
                <w:color w:val="000000"/>
              </w:rPr>
              <w:t>Bijušie zemes īpašnieki, kuriem 1940.gada 21.jūlijā piederēja zemes īpašums Latvijas Republikā, viņus pārdzīvojušie laulātie, bērni un mazbērni, politiski represētās personas un cilvēki ar īpašām vajadzībām, kam normatīvajos aktos noteiktajā kārtībā pienākas zemes kadastrālā uzmērīšana par valsts budžeta līdzekļiem.</w:t>
            </w:r>
          </w:p>
        </w:tc>
      </w:tr>
      <w:tr w:rsidR="00AB1686" w:rsidRPr="007C0F2C" w:rsidTr="00AB1686">
        <w:trPr>
          <w:trHeight w:val="523"/>
        </w:trPr>
        <w:tc>
          <w:tcPr>
            <w:tcW w:w="4101" w:type="dxa"/>
          </w:tcPr>
          <w:p w:rsidR="00AB1686" w:rsidRPr="00FC6669" w:rsidRDefault="00AB1686" w:rsidP="00FC6669">
            <w:pPr>
              <w:pStyle w:val="naiskr"/>
              <w:spacing w:before="0" w:after="0"/>
              <w:ind w:right="268"/>
              <w:jc w:val="both"/>
              <w:rPr>
                <w:b/>
              </w:rPr>
            </w:pPr>
            <w:r w:rsidRPr="00FC6669">
              <w:rPr>
                <w:b/>
              </w:rPr>
              <w:t>Citas sabiedrības grupas (bez mērķgrupas), kuras tiesiskais regulējums arī ietekmē vai varētu ietekmēt</w:t>
            </w:r>
          </w:p>
        </w:tc>
        <w:tc>
          <w:tcPr>
            <w:tcW w:w="5074" w:type="dxa"/>
          </w:tcPr>
          <w:p w:rsidR="00AB1686" w:rsidRPr="00AB1686" w:rsidRDefault="00FC6669" w:rsidP="00AB1686">
            <w:pPr>
              <w:pStyle w:val="naiskr"/>
              <w:spacing w:before="0" w:after="0"/>
            </w:pPr>
            <w:r>
              <w:rPr>
                <w:iCs/>
              </w:rPr>
              <w:t>Projekts šo jomu neskar</w:t>
            </w:r>
          </w:p>
        </w:tc>
      </w:tr>
      <w:tr w:rsidR="00AB1686" w:rsidRPr="007C0F2C" w:rsidTr="00AB1686">
        <w:trPr>
          <w:trHeight w:val="517"/>
        </w:trPr>
        <w:tc>
          <w:tcPr>
            <w:tcW w:w="4101" w:type="dxa"/>
          </w:tcPr>
          <w:p w:rsidR="00AB1686" w:rsidRPr="00FC6669" w:rsidRDefault="00AB1686" w:rsidP="00AB1686">
            <w:pPr>
              <w:pStyle w:val="naiskr"/>
              <w:spacing w:before="0" w:after="0"/>
              <w:ind w:left="5" w:hanging="5"/>
              <w:rPr>
                <w:b/>
              </w:rPr>
            </w:pPr>
            <w:r w:rsidRPr="00FC6669">
              <w:rPr>
                <w:b/>
              </w:rPr>
              <w:t>Tiesiskā regulējuma finansiālā ietekme</w:t>
            </w:r>
          </w:p>
        </w:tc>
        <w:tc>
          <w:tcPr>
            <w:tcW w:w="5074" w:type="dxa"/>
          </w:tcPr>
          <w:p w:rsidR="00762ABF" w:rsidRPr="00984DD6" w:rsidRDefault="00984DD6" w:rsidP="00984DD6">
            <w:pPr>
              <w:spacing w:before="100" w:beforeAutospacing="1" w:after="100" w:afterAutospacing="1"/>
              <w:jc w:val="both"/>
              <w:rPr>
                <w:color w:val="000000"/>
              </w:rPr>
            </w:pPr>
            <w:r w:rsidRPr="00984DD6">
              <w:rPr>
                <w:color w:val="000000"/>
              </w:rPr>
              <w:t>Sabiedrības mērķgrupai zemes kadastrālās uzmērīšanas darbi un zemes robežu plāna reģistrācija Nekustamā īpašuma valsts kadastra informācijas sistēmā tiek nodrošināta bez maksas (par valsts budžeta līdzekļiem).</w:t>
            </w:r>
          </w:p>
        </w:tc>
      </w:tr>
      <w:tr w:rsidR="00AB1686" w:rsidRPr="007C0F2C" w:rsidTr="00AB1686">
        <w:trPr>
          <w:trHeight w:val="517"/>
        </w:trPr>
        <w:tc>
          <w:tcPr>
            <w:tcW w:w="4101" w:type="dxa"/>
          </w:tcPr>
          <w:p w:rsidR="00AB1686" w:rsidRPr="00FC6669" w:rsidRDefault="00AB1686" w:rsidP="00FC6669">
            <w:pPr>
              <w:pStyle w:val="naiskr"/>
              <w:spacing w:before="0" w:after="0"/>
              <w:ind w:right="268"/>
              <w:jc w:val="both"/>
              <w:rPr>
                <w:b/>
              </w:rPr>
            </w:pPr>
            <w:r w:rsidRPr="00FC6669">
              <w:rPr>
                <w:b/>
              </w:rPr>
              <w:t>Tiesiskā regulējuma nefinansiālā ietekme</w:t>
            </w:r>
          </w:p>
        </w:tc>
        <w:tc>
          <w:tcPr>
            <w:tcW w:w="5074" w:type="dxa"/>
          </w:tcPr>
          <w:p w:rsidR="00984DD6" w:rsidRPr="00984DD6" w:rsidRDefault="00984DD6" w:rsidP="00984DD6">
            <w:pPr>
              <w:jc w:val="both"/>
              <w:rPr>
                <w:color w:val="000000"/>
              </w:rPr>
            </w:pPr>
            <w:r w:rsidRPr="00984DD6">
              <w:rPr>
                <w:color w:val="000000"/>
              </w:rPr>
              <w:t xml:space="preserve">Nododot valsts budžeta finansējumu par valsts budžeta līdzekļiem veicamo mērniecības darbu veikšanai Valsts zemes dienestam un tālāk komersantiem mērniecības jomā, tiks veicināta konkurence un stimulēta privātā sektora </w:t>
            </w:r>
            <w:r w:rsidRPr="00984DD6">
              <w:rPr>
                <w:color w:val="000000"/>
              </w:rPr>
              <w:lastRenderedPageBreak/>
              <w:t>komercdarbība.</w:t>
            </w:r>
          </w:p>
          <w:p w:rsidR="006C3D44" w:rsidRPr="006C3D44" w:rsidRDefault="006C3D44" w:rsidP="00984DD6">
            <w:pPr>
              <w:jc w:val="both"/>
            </w:pPr>
          </w:p>
        </w:tc>
      </w:tr>
      <w:tr w:rsidR="00AB1686" w:rsidRPr="007C0F2C" w:rsidTr="00AB1686">
        <w:trPr>
          <w:trHeight w:val="531"/>
        </w:trPr>
        <w:tc>
          <w:tcPr>
            <w:tcW w:w="4101" w:type="dxa"/>
          </w:tcPr>
          <w:p w:rsidR="00AB1686" w:rsidRPr="00FC6669" w:rsidRDefault="00AB1686" w:rsidP="00FC6669">
            <w:pPr>
              <w:pStyle w:val="naiskr"/>
              <w:spacing w:before="0" w:after="0"/>
              <w:ind w:right="268"/>
              <w:jc w:val="both"/>
              <w:rPr>
                <w:b/>
              </w:rPr>
            </w:pPr>
            <w:r w:rsidRPr="00FC6669">
              <w:rPr>
                <w:b/>
              </w:rPr>
              <w:lastRenderedPageBreak/>
              <w:t>Administratīvās procedūras raksturojums</w:t>
            </w:r>
          </w:p>
        </w:tc>
        <w:tc>
          <w:tcPr>
            <w:tcW w:w="5074" w:type="dxa"/>
          </w:tcPr>
          <w:p w:rsidR="00984DD6" w:rsidRPr="00984DD6" w:rsidRDefault="00984DD6" w:rsidP="00984DD6">
            <w:pPr>
              <w:jc w:val="both"/>
              <w:rPr>
                <w:color w:val="000000"/>
              </w:rPr>
            </w:pPr>
            <w:r w:rsidRPr="00984DD6">
              <w:rPr>
                <w:color w:val="000000"/>
              </w:rPr>
              <w:t>Zemes kadastrālo uzmērīšanu par valsts budžeta līdzekļiem nodrošinās Valsts zemes dienests, kas pārņems budžeta rindas uzturēšanu un iepirks zemes kadastrālās uzmērīšanas pakalpojumus.</w:t>
            </w:r>
          </w:p>
          <w:p w:rsidR="00FC6669" w:rsidRPr="00AB1686" w:rsidRDefault="00FC6669" w:rsidP="00AB1686">
            <w:pPr>
              <w:pStyle w:val="naiskr"/>
              <w:spacing w:before="0" w:after="0"/>
            </w:pPr>
          </w:p>
        </w:tc>
      </w:tr>
      <w:tr w:rsidR="00AB1686" w:rsidRPr="007C0F2C" w:rsidTr="00AB1686">
        <w:trPr>
          <w:trHeight w:val="357"/>
        </w:trPr>
        <w:tc>
          <w:tcPr>
            <w:tcW w:w="4101" w:type="dxa"/>
          </w:tcPr>
          <w:p w:rsidR="00AB1686" w:rsidRPr="00FC6669" w:rsidRDefault="00AB1686" w:rsidP="00FC6669">
            <w:pPr>
              <w:pStyle w:val="naiskr"/>
              <w:spacing w:before="0" w:after="0"/>
              <w:ind w:right="127"/>
              <w:jc w:val="both"/>
              <w:rPr>
                <w:b/>
              </w:rPr>
            </w:pPr>
            <w:r w:rsidRPr="00FC6669">
              <w:rPr>
                <w:b/>
              </w:rPr>
              <w:t>Administratīvo izmaksu monetārs novērtējums</w:t>
            </w:r>
          </w:p>
        </w:tc>
        <w:tc>
          <w:tcPr>
            <w:tcW w:w="5074" w:type="dxa"/>
          </w:tcPr>
          <w:p w:rsidR="00AB1686" w:rsidRPr="00AB1686" w:rsidRDefault="00FC6669" w:rsidP="00AB1686">
            <w:pPr>
              <w:pStyle w:val="naiskr"/>
              <w:spacing w:before="0" w:after="0"/>
            </w:pPr>
            <w:r>
              <w:rPr>
                <w:iCs/>
              </w:rPr>
              <w:t>Projekts šo jomu neskar</w:t>
            </w:r>
          </w:p>
        </w:tc>
      </w:tr>
      <w:tr w:rsidR="00AB1686" w:rsidRPr="007C0F2C" w:rsidTr="00AB1686">
        <w:tc>
          <w:tcPr>
            <w:tcW w:w="4101" w:type="dxa"/>
          </w:tcPr>
          <w:p w:rsidR="00AB1686" w:rsidRPr="00FC6669" w:rsidRDefault="00AB1686" w:rsidP="00FC6669">
            <w:pPr>
              <w:pStyle w:val="naiskr"/>
              <w:spacing w:before="0" w:after="0"/>
              <w:jc w:val="both"/>
              <w:rPr>
                <w:b/>
              </w:rPr>
            </w:pPr>
            <w:r w:rsidRPr="00FC6669">
              <w:rPr>
                <w:b/>
              </w:rPr>
              <w:t>Cita informācija</w:t>
            </w:r>
          </w:p>
        </w:tc>
        <w:tc>
          <w:tcPr>
            <w:tcW w:w="5074" w:type="dxa"/>
          </w:tcPr>
          <w:p w:rsidR="00247921" w:rsidRPr="00247921" w:rsidRDefault="00247921" w:rsidP="00247921">
            <w:pPr>
              <w:pStyle w:val="naispant"/>
              <w:spacing w:before="0" w:beforeAutospacing="0" w:after="0" w:afterAutospacing="0"/>
              <w:jc w:val="both"/>
              <w:rPr>
                <w:lang w:val="lv-LV"/>
              </w:rPr>
            </w:pPr>
            <w:r w:rsidRPr="00247921">
              <w:rPr>
                <w:lang w:val="lv-LV"/>
              </w:rPr>
              <w:t>Atsavinot valsts sabiedrības ar ierobežotu atbildību „Latvijas Valsts mērnieks” kapitāla daļas, valsts mērķis ir izbeigt komercdarbību mērniecības jomā un atsavināt kapitāla daļas personām, kas turpmāk vēlas nodarboties ar šo komercdarbības veidu. Deleģētais valsts pārvaldes uzdevums ir nodalāms no sabiedrības ar ierobežotu atbildību „Latvijas Valsts mērnieks” veicamās komercdarbības, jo valsts pārvaldes uzdevumam ir pavisam cita nozīme un mērķis, un tas nav uzskatāms par daļu no komercdarbības. Līdz ar to valsts pārvaldes uzdevums nevar tik atsavināts un valsts pārvaldes uzdevums nevar būt par atsavināšanas līguma objektu (vai objekta daļu).</w:t>
            </w:r>
          </w:p>
          <w:p w:rsidR="00247921" w:rsidRPr="00130A03" w:rsidRDefault="00247921" w:rsidP="00247921">
            <w:pPr>
              <w:pStyle w:val="naispant"/>
              <w:spacing w:before="0" w:beforeAutospacing="0" w:after="0" w:afterAutospacing="0"/>
              <w:ind w:firstLine="720"/>
              <w:jc w:val="both"/>
              <w:rPr>
                <w:sz w:val="26"/>
                <w:szCs w:val="26"/>
                <w:lang w:val="lv-LV"/>
              </w:rPr>
            </w:pPr>
            <w:r w:rsidRPr="00247921">
              <w:rPr>
                <w:lang w:val="lv-LV"/>
              </w:rPr>
              <w:t>Pēc valsts sabiedrības ar ierobežotu atbildību „Latvijas Valsts mērnieks” atsavināšanas, sabiedrība ar ierobežotu atbildību „Latvijas Valsts mērnieks” var turpināt nodarboties ar komercdarbību, bet nevar turpināt pildīt deleģēto valsts pārvaldes uzdevumu, kā arī nevar saņemt attiecīgu dotāciju no valsts budžeta deleģētā uzdevuma izpildei. Tomēr tas nenozīmē, ka pēc valsts sabiedrības ar ierobežotu atbildību ”Latvijas Valsts mērnieks” atsavināšanas, Valsts zemes dienestam turpmāk pastāvīgi ir jāpilda minētais valsts pārvaldes uzdevums. Valsts pārvaldes uzdevumu – zemes kadastrālo uzmērīšanu par valsts budžeta līdzekļiem, ievērojot Valsts pārvaldes iekārtas likumā noteiktos kritērijus un procedūras, var deleģēt kādam no komersantiem, kas sniedz pakalpojumus mērniecības jomā uz līguma pamata caur publiski izsludinātu konkursu, kur konkursa rezultātā tiks noskaidrots labākais pretendents šā uzdevuma izpildei.</w:t>
            </w:r>
          </w:p>
          <w:p w:rsidR="00FC6669" w:rsidRPr="00AB1686" w:rsidRDefault="00FC6669" w:rsidP="00AB1686">
            <w:pPr>
              <w:pStyle w:val="naiskr"/>
              <w:spacing w:before="0" w:after="0"/>
            </w:pPr>
          </w:p>
        </w:tc>
      </w:tr>
    </w:tbl>
    <w:p w:rsidR="009E3E25" w:rsidRPr="002C65E7" w:rsidRDefault="009E3E25" w:rsidP="009E3E25">
      <w:pPr>
        <w:rPr>
          <w:rFonts w:eastAsia="Calibri"/>
          <w:lang w:eastAsia="en-US"/>
        </w:rPr>
      </w:pPr>
    </w:p>
    <w:tbl>
      <w:tblPr>
        <w:tblW w:w="9115"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1"/>
        <w:gridCol w:w="1317"/>
        <w:gridCol w:w="1342"/>
        <w:gridCol w:w="1342"/>
        <w:gridCol w:w="1343"/>
        <w:gridCol w:w="1150"/>
      </w:tblGrid>
      <w:tr w:rsidR="009E3E25" w:rsidRPr="002C65E7" w:rsidTr="00FC6669">
        <w:trPr>
          <w:trHeight w:val="652"/>
          <w:jc w:val="center"/>
        </w:trPr>
        <w:tc>
          <w:tcPr>
            <w:tcW w:w="9115" w:type="dxa"/>
            <w:gridSpan w:val="6"/>
          </w:tcPr>
          <w:p w:rsidR="009E3E25" w:rsidRPr="002C65E7" w:rsidRDefault="009E3E25" w:rsidP="00FC6669">
            <w:pPr>
              <w:pStyle w:val="naisnod"/>
              <w:spacing w:before="0" w:after="0"/>
              <w:ind w:left="40"/>
              <w:rPr>
                <w:i/>
              </w:rPr>
            </w:pPr>
            <w:r w:rsidRPr="002C65E7">
              <w:br w:type="page"/>
              <w:t>III. Tiesību akta projekta ietekme uz valsts budžetu un pašvaldību budžetiem</w:t>
            </w:r>
          </w:p>
        </w:tc>
      </w:tr>
      <w:tr w:rsidR="009E3E25" w:rsidRPr="002C65E7" w:rsidTr="00FC6669">
        <w:trPr>
          <w:jc w:val="center"/>
        </w:trPr>
        <w:tc>
          <w:tcPr>
            <w:tcW w:w="2661" w:type="dxa"/>
            <w:vMerge w:val="restart"/>
            <w:vAlign w:val="center"/>
          </w:tcPr>
          <w:p w:rsidR="009E3E25" w:rsidRPr="002C65E7" w:rsidRDefault="009E3E25" w:rsidP="00FC6669">
            <w:pPr>
              <w:pStyle w:val="naisf"/>
              <w:spacing w:before="0" w:after="0"/>
              <w:ind w:firstLine="0"/>
              <w:jc w:val="center"/>
              <w:rPr>
                <w:b/>
              </w:rPr>
            </w:pPr>
            <w:r w:rsidRPr="002C65E7">
              <w:rPr>
                <w:b/>
              </w:rPr>
              <w:t>Rādītāji</w:t>
            </w:r>
          </w:p>
        </w:tc>
        <w:tc>
          <w:tcPr>
            <w:tcW w:w="2679" w:type="dxa"/>
            <w:gridSpan w:val="2"/>
            <w:vMerge w:val="restart"/>
            <w:vAlign w:val="center"/>
          </w:tcPr>
          <w:p w:rsidR="009E3E25" w:rsidRPr="002C65E7" w:rsidRDefault="009E3E25" w:rsidP="00FC6669">
            <w:pPr>
              <w:pStyle w:val="naisf"/>
              <w:spacing w:before="0" w:after="0"/>
              <w:ind w:firstLine="0"/>
              <w:jc w:val="center"/>
              <w:rPr>
                <w:b/>
              </w:rPr>
            </w:pPr>
            <w:r w:rsidRPr="002C65E7">
              <w:rPr>
                <w:b/>
              </w:rPr>
              <w:t>n-tais gads</w:t>
            </w:r>
          </w:p>
        </w:tc>
        <w:tc>
          <w:tcPr>
            <w:tcW w:w="3775" w:type="dxa"/>
            <w:gridSpan w:val="3"/>
            <w:vAlign w:val="center"/>
          </w:tcPr>
          <w:p w:rsidR="009E3E25" w:rsidRPr="002C65E7" w:rsidRDefault="009E3E25" w:rsidP="00FC6669">
            <w:pPr>
              <w:pStyle w:val="naisf"/>
              <w:spacing w:before="0" w:after="0"/>
              <w:ind w:firstLine="0"/>
              <w:jc w:val="center"/>
              <w:rPr>
                <w:b/>
                <w:i/>
              </w:rPr>
            </w:pPr>
            <w:r w:rsidRPr="002C65E7">
              <w:t>Turpmākie trīs gadi (tūkst</w:t>
            </w:r>
            <w:smartTag w:uri="schemas-tilde-lv/tildestengine" w:element="currency2">
              <w:smartTagPr>
                <w:attr w:name="currency_text" w:val="latu"/>
                <w:attr w:name="currency_value" w:val="."/>
                <w:attr w:name="currency_key" w:val="LVL"/>
                <w:attr w:name="currency_id" w:val="48"/>
              </w:smartTagPr>
              <w:r w:rsidRPr="002C65E7">
                <w:t>. latu</w:t>
              </w:r>
            </w:smartTag>
            <w:r w:rsidRPr="002C65E7">
              <w:t>)</w:t>
            </w:r>
          </w:p>
        </w:tc>
      </w:tr>
      <w:tr w:rsidR="009E3E25" w:rsidRPr="002C65E7" w:rsidTr="00FC6669">
        <w:trPr>
          <w:jc w:val="center"/>
        </w:trPr>
        <w:tc>
          <w:tcPr>
            <w:tcW w:w="2661" w:type="dxa"/>
            <w:vMerge/>
            <w:vAlign w:val="center"/>
          </w:tcPr>
          <w:p w:rsidR="009E3E25" w:rsidRPr="002C65E7" w:rsidRDefault="009E3E25" w:rsidP="00FC6669">
            <w:pPr>
              <w:pStyle w:val="naisf"/>
              <w:spacing w:before="0" w:after="0"/>
              <w:ind w:firstLine="0"/>
              <w:jc w:val="center"/>
              <w:rPr>
                <w:b/>
                <w:i/>
              </w:rPr>
            </w:pPr>
          </w:p>
        </w:tc>
        <w:tc>
          <w:tcPr>
            <w:tcW w:w="2679" w:type="dxa"/>
            <w:gridSpan w:val="2"/>
            <w:vMerge/>
            <w:vAlign w:val="center"/>
          </w:tcPr>
          <w:p w:rsidR="009E3E25" w:rsidRPr="002C65E7" w:rsidRDefault="009E3E25" w:rsidP="00FC6669">
            <w:pPr>
              <w:pStyle w:val="naisf"/>
              <w:spacing w:before="0" w:after="0"/>
              <w:ind w:firstLine="0"/>
              <w:jc w:val="center"/>
              <w:rPr>
                <w:b/>
                <w:i/>
              </w:rPr>
            </w:pPr>
          </w:p>
        </w:tc>
        <w:tc>
          <w:tcPr>
            <w:tcW w:w="1351" w:type="dxa"/>
            <w:vAlign w:val="center"/>
          </w:tcPr>
          <w:p w:rsidR="009E3E25" w:rsidRPr="002C65E7" w:rsidRDefault="009E3E25" w:rsidP="00FC6669">
            <w:pPr>
              <w:pStyle w:val="naisf"/>
              <w:spacing w:before="0" w:after="0"/>
              <w:ind w:firstLine="0"/>
              <w:jc w:val="center"/>
              <w:rPr>
                <w:b/>
                <w:i/>
              </w:rPr>
            </w:pPr>
            <w:r w:rsidRPr="002C65E7">
              <w:rPr>
                <w:b/>
                <w:bCs/>
              </w:rPr>
              <w:t>n+1</w:t>
            </w:r>
          </w:p>
        </w:tc>
        <w:tc>
          <w:tcPr>
            <w:tcW w:w="1352" w:type="dxa"/>
            <w:vAlign w:val="center"/>
          </w:tcPr>
          <w:p w:rsidR="009E3E25" w:rsidRPr="002C65E7" w:rsidRDefault="009E3E25" w:rsidP="00FC6669">
            <w:pPr>
              <w:pStyle w:val="naisf"/>
              <w:spacing w:before="0" w:after="0"/>
              <w:ind w:firstLine="0"/>
              <w:jc w:val="center"/>
              <w:rPr>
                <w:b/>
                <w:i/>
              </w:rPr>
            </w:pPr>
            <w:r w:rsidRPr="002C65E7">
              <w:rPr>
                <w:b/>
                <w:bCs/>
              </w:rPr>
              <w:t>n+2</w:t>
            </w:r>
          </w:p>
        </w:tc>
        <w:tc>
          <w:tcPr>
            <w:tcW w:w="1072" w:type="dxa"/>
            <w:vAlign w:val="center"/>
          </w:tcPr>
          <w:p w:rsidR="009E3E25" w:rsidRPr="002C65E7" w:rsidRDefault="009E3E25" w:rsidP="00FC6669">
            <w:pPr>
              <w:pStyle w:val="naisf"/>
              <w:spacing w:before="0" w:after="0"/>
              <w:ind w:firstLine="0"/>
              <w:jc w:val="center"/>
              <w:rPr>
                <w:b/>
                <w:i/>
              </w:rPr>
            </w:pPr>
            <w:r w:rsidRPr="002C65E7">
              <w:rPr>
                <w:b/>
                <w:bCs/>
              </w:rPr>
              <w:t>n+3</w:t>
            </w:r>
          </w:p>
        </w:tc>
      </w:tr>
      <w:tr w:rsidR="009E3E25" w:rsidRPr="002C65E7" w:rsidTr="00FC6669">
        <w:trPr>
          <w:jc w:val="center"/>
        </w:trPr>
        <w:tc>
          <w:tcPr>
            <w:tcW w:w="2661" w:type="dxa"/>
            <w:vMerge/>
            <w:vAlign w:val="center"/>
          </w:tcPr>
          <w:p w:rsidR="009E3E25" w:rsidRPr="002C65E7" w:rsidRDefault="009E3E25" w:rsidP="00FC6669">
            <w:pPr>
              <w:pStyle w:val="naisf"/>
              <w:spacing w:before="0" w:after="0"/>
              <w:ind w:firstLine="0"/>
              <w:jc w:val="center"/>
              <w:rPr>
                <w:b/>
                <w:i/>
              </w:rPr>
            </w:pPr>
          </w:p>
        </w:tc>
        <w:tc>
          <w:tcPr>
            <w:tcW w:w="1328" w:type="dxa"/>
            <w:vAlign w:val="center"/>
          </w:tcPr>
          <w:p w:rsidR="009E3E25" w:rsidRPr="002C65E7" w:rsidRDefault="009E3E25" w:rsidP="00FC6669">
            <w:pPr>
              <w:pStyle w:val="naisf"/>
              <w:spacing w:before="0" w:after="0"/>
              <w:ind w:firstLine="0"/>
              <w:jc w:val="center"/>
              <w:rPr>
                <w:b/>
                <w:i/>
              </w:rPr>
            </w:pPr>
            <w:r w:rsidRPr="002C65E7">
              <w:t xml:space="preserve">Saskaņā ar </w:t>
            </w:r>
            <w:r w:rsidRPr="002C65E7">
              <w:lastRenderedPageBreak/>
              <w:t>valsts budžetu kārtējam gadam</w:t>
            </w:r>
          </w:p>
        </w:tc>
        <w:tc>
          <w:tcPr>
            <w:tcW w:w="1351" w:type="dxa"/>
            <w:vAlign w:val="center"/>
          </w:tcPr>
          <w:p w:rsidR="009E3E25" w:rsidRPr="002C65E7" w:rsidRDefault="009E3E25" w:rsidP="00FC6669">
            <w:pPr>
              <w:pStyle w:val="naisf"/>
              <w:spacing w:before="0" w:after="0"/>
              <w:ind w:firstLine="0"/>
              <w:jc w:val="center"/>
              <w:rPr>
                <w:b/>
                <w:i/>
              </w:rPr>
            </w:pPr>
            <w:r w:rsidRPr="002C65E7">
              <w:lastRenderedPageBreak/>
              <w:t xml:space="preserve">Izmaiņas </w:t>
            </w:r>
            <w:r w:rsidRPr="002C65E7">
              <w:lastRenderedPageBreak/>
              <w:t>kārtējā gadā, salīdzinot ar budžetu kārtējam gadam</w:t>
            </w:r>
          </w:p>
        </w:tc>
        <w:tc>
          <w:tcPr>
            <w:tcW w:w="1351" w:type="dxa"/>
            <w:vAlign w:val="center"/>
          </w:tcPr>
          <w:p w:rsidR="009E3E25" w:rsidRPr="002C65E7" w:rsidRDefault="009E3E25" w:rsidP="00FC6669">
            <w:pPr>
              <w:pStyle w:val="naisf"/>
              <w:spacing w:before="0" w:after="0"/>
              <w:ind w:firstLine="0"/>
              <w:jc w:val="center"/>
              <w:rPr>
                <w:b/>
                <w:i/>
              </w:rPr>
            </w:pPr>
            <w:r w:rsidRPr="002C65E7">
              <w:lastRenderedPageBreak/>
              <w:t xml:space="preserve">Izmaiņas, </w:t>
            </w:r>
            <w:r w:rsidRPr="002C65E7">
              <w:lastRenderedPageBreak/>
              <w:t>salīdzinot ar kārtējo (n) gadu</w:t>
            </w:r>
          </w:p>
        </w:tc>
        <w:tc>
          <w:tcPr>
            <w:tcW w:w="1352" w:type="dxa"/>
            <w:vAlign w:val="center"/>
          </w:tcPr>
          <w:p w:rsidR="009E3E25" w:rsidRPr="002C65E7" w:rsidRDefault="009E3E25" w:rsidP="00FC6669">
            <w:pPr>
              <w:pStyle w:val="naisf"/>
              <w:spacing w:before="0" w:after="0"/>
              <w:ind w:firstLine="0"/>
              <w:jc w:val="center"/>
              <w:rPr>
                <w:b/>
                <w:i/>
              </w:rPr>
            </w:pPr>
            <w:r w:rsidRPr="002C65E7">
              <w:lastRenderedPageBreak/>
              <w:t xml:space="preserve">Izmaiņas, </w:t>
            </w:r>
            <w:r w:rsidRPr="002C65E7">
              <w:lastRenderedPageBreak/>
              <w:t>salīdzinot ar kārtējo (n) gadu</w:t>
            </w:r>
          </w:p>
        </w:tc>
        <w:tc>
          <w:tcPr>
            <w:tcW w:w="1072" w:type="dxa"/>
            <w:vAlign w:val="center"/>
          </w:tcPr>
          <w:p w:rsidR="009E3E25" w:rsidRPr="002C65E7" w:rsidRDefault="009E3E25" w:rsidP="00FC6669">
            <w:pPr>
              <w:pStyle w:val="naisf"/>
              <w:spacing w:before="0" w:after="0"/>
              <w:ind w:firstLine="0"/>
              <w:jc w:val="center"/>
              <w:rPr>
                <w:b/>
                <w:i/>
              </w:rPr>
            </w:pPr>
            <w:r w:rsidRPr="002C65E7">
              <w:lastRenderedPageBreak/>
              <w:t xml:space="preserve">Izmaiņas, </w:t>
            </w:r>
            <w:r w:rsidRPr="002C65E7">
              <w:lastRenderedPageBreak/>
              <w:t>salīdzinot ar kārtējo (n) gadu</w:t>
            </w:r>
          </w:p>
        </w:tc>
      </w:tr>
      <w:tr w:rsidR="009E3E25" w:rsidRPr="002C65E7" w:rsidTr="00FC6669">
        <w:trPr>
          <w:jc w:val="center"/>
        </w:trPr>
        <w:tc>
          <w:tcPr>
            <w:tcW w:w="2661" w:type="dxa"/>
            <w:vAlign w:val="center"/>
          </w:tcPr>
          <w:p w:rsidR="009E3E25" w:rsidRPr="002C65E7" w:rsidRDefault="009E3E25" w:rsidP="00FC6669">
            <w:pPr>
              <w:pStyle w:val="naisf"/>
              <w:spacing w:before="0" w:after="0"/>
              <w:ind w:firstLine="0"/>
              <w:jc w:val="center"/>
              <w:rPr>
                <w:bCs/>
              </w:rPr>
            </w:pPr>
            <w:r w:rsidRPr="002C65E7">
              <w:rPr>
                <w:bCs/>
              </w:rPr>
              <w:lastRenderedPageBreak/>
              <w:t>1</w:t>
            </w:r>
          </w:p>
        </w:tc>
        <w:tc>
          <w:tcPr>
            <w:tcW w:w="1328" w:type="dxa"/>
            <w:vAlign w:val="center"/>
          </w:tcPr>
          <w:p w:rsidR="009E3E25" w:rsidRPr="002C65E7" w:rsidRDefault="009E3E25" w:rsidP="00FC6669">
            <w:pPr>
              <w:pStyle w:val="naisf"/>
              <w:spacing w:before="0" w:after="0"/>
              <w:ind w:firstLine="0"/>
              <w:jc w:val="center"/>
              <w:rPr>
                <w:bCs/>
              </w:rPr>
            </w:pPr>
            <w:r w:rsidRPr="002C65E7">
              <w:rPr>
                <w:bCs/>
              </w:rPr>
              <w:t>2</w:t>
            </w:r>
          </w:p>
        </w:tc>
        <w:tc>
          <w:tcPr>
            <w:tcW w:w="1351" w:type="dxa"/>
            <w:vAlign w:val="center"/>
          </w:tcPr>
          <w:p w:rsidR="009E3E25" w:rsidRPr="002C65E7" w:rsidRDefault="009E3E25" w:rsidP="00FC6669">
            <w:pPr>
              <w:pStyle w:val="naisf"/>
              <w:spacing w:before="0" w:after="0"/>
              <w:ind w:firstLine="0"/>
              <w:jc w:val="center"/>
              <w:rPr>
                <w:bCs/>
              </w:rPr>
            </w:pPr>
            <w:r w:rsidRPr="002C65E7">
              <w:rPr>
                <w:bCs/>
              </w:rPr>
              <w:t>3</w:t>
            </w:r>
          </w:p>
        </w:tc>
        <w:tc>
          <w:tcPr>
            <w:tcW w:w="1351" w:type="dxa"/>
            <w:vAlign w:val="center"/>
          </w:tcPr>
          <w:p w:rsidR="009E3E25" w:rsidRPr="002C65E7" w:rsidRDefault="009E3E25" w:rsidP="00FC6669">
            <w:pPr>
              <w:pStyle w:val="naisf"/>
              <w:spacing w:before="0" w:after="0"/>
              <w:ind w:firstLine="0"/>
              <w:jc w:val="center"/>
              <w:rPr>
                <w:bCs/>
              </w:rPr>
            </w:pPr>
            <w:r w:rsidRPr="002C65E7">
              <w:rPr>
                <w:bCs/>
              </w:rPr>
              <w:t>4</w:t>
            </w:r>
          </w:p>
        </w:tc>
        <w:tc>
          <w:tcPr>
            <w:tcW w:w="1352" w:type="dxa"/>
            <w:vAlign w:val="center"/>
          </w:tcPr>
          <w:p w:rsidR="009E3E25" w:rsidRPr="002C65E7" w:rsidRDefault="009E3E25" w:rsidP="00FC6669">
            <w:pPr>
              <w:pStyle w:val="naisf"/>
              <w:spacing w:before="0" w:after="0"/>
              <w:ind w:firstLine="0"/>
              <w:jc w:val="center"/>
              <w:rPr>
                <w:bCs/>
              </w:rPr>
            </w:pPr>
            <w:r w:rsidRPr="002C65E7">
              <w:rPr>
                <w:bCs/>
              </w:rPr>
              <w:t>5</w:t>
            </w:r>
          </w:p>
        </w:tc>
        <w:tc>
          <w:tcPr>
            <w:tcW w:w="1072" w:type="dxa"/>
            <w:vAlign w:val="center"/>
          </w:tcPr>
          <w:p w:rsidR="009E3E25" w:rsidRPr="002C65E7" w:rsidRDefault="009E3E25" w:rsidP="00FC6669">
            <w:pPr>
              <w:pStyle w:val="naisf"/>
              <w:spacing w:before="0" w:after="0"/>
              <w:ind w:firstLine="0"/>
              <w:jc w:val="center"/>
              <w:rPr>
                <w:bCs/>
              </w:rPr>
            </w:pPr>
            <w:r w:rsidRPr="002C65E7">
              <w:rPr>
                <w:bCs/>
              </w:rPr>
              <w:t>6</w:t>
            </w:r>
          </w:p>
        </w:tc>
      </w:tr>
      <w:tr w:rsidR="009E3E25" w:rsidRPr="002C65E7" w:rsidTr="00FC6669">
        <w:trPr>
          <w:jc w:val="center"/>
        </w:trPr>
        <w:tc>
          <w:tcPr>
            <w:tcW w:w="2661" w:type="dxa"/>
          </w:tcPr>
          <w:p w:rsidR="009E3E25" w:rsidRPr="002C65E7" w:rsidRDefault="009E3E25" w:rsidP="00FC6669">
            <w:pPr>
              <w:pStyle w:val="naisf"/>
              <w:spacing w:before="0" w:after="0"/>
              <w:ind w:firstLine="0"/>
              <w:rPr>
                <w:i/>
              </w:rPr>
            </w:pPr>
            <w:r w:rsidRPr="002C65E7">
              <w:t>1. Budžeta ieņēmumi:</w:t>
            </w:r>
          </w:p>
        </w:tc>
        <w:tc>
          <w:tcPr>
            <w:tcW w:w="1328"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pStyle w:val="naisf"/>
              <w:spacing w:before="0" w:after="0"/>
              <w:ind w:firstLine="0"/>
              <w:rPr>
                <w:i/>
              </w:rPr>
            </w:pPr>
            <w:r w:rsidRPr="002C65E7">
              <w:t>1.1. valsts pamatbudžets, tai skaitā ieņēmumi no maksas pakalpojumiem un citi pašu ieņēmumi</w:t>
            </w:r>
          </w:p>
        </w:tc>
        <w:tc>
          <w:tcPr>
            <w:tcW w:w="1328"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pStyle w:val="naisf"/>
              <w:spacing w:before="0" w:after="0"/>
              <w:ind w:firstLine="0"/>
              <w:rPr>
                <w:i/>
              </w:rPr>
            </w:pPr>
            <w:r w:rsidRPr="002C65E7">
              <w:t>1.2. valsts speciālais budžets</w:t>
            </w:r>
          </w:p>
        </w:tc>
        <w:tc>
          <w:tcPr>
            <w:tcW w:w="1328"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pStyle w:val="naisf"/>
              <w:spacing w:before="0" w:after="0"/>
              <w:ind w:firstLine="0"/>
              <w:rPr>
                <w:i/>
              </w:rPr>
            </w:pPr>
            <w:r w:rsidRPr="002C65E7">
              <w:t>1.3. pašvaldību budžets</w:t>
            </w:r>
          </w:p>
        </w:tc>
        <w:tc>
          <w:tcPr>
            <w:tcW w:w="1328"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2. Budžeta izdevumi:</w:t>
            </w:r>
          </w:p>
        </w:tc>
        <w:tc>
          <w:tcPr>
            <w:tcW w:w="1328"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2.1. valsts pamatbudžets</w:t>
            </w:r>
          </w:p>
        </w:tc>
        <w:tc>
          <w:tcPr>
            <w:tcW w:w="1328"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2.2. valsts speciālais budžets</w:t>
            </w:r>
          </w:p>
        </w:tc>
        <w:tc>
          <w:tcPr>
            <w:tcW w:w="1328"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 xml:space="preserve">2.3. pašvaldību budžets </w:t>
            </w:r>
          </w:p>
        </w:tc>
        <w:tc>
          <w:tcPr>
            <w:tcW w:w="1328"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3. Finansiālā ietekme:</w:t>
            </w:r>
          </w:p>
        </w:tc>
        <w:tc>
          <w:tcPr>
            <w:tcW w:w="1328" w:type="dxa"/>
            <w:shd w:val="clear" w:color="auto" w:fill="auto"/>
            <w:vAlign w:val="center"/>
          </w:tcPr>
          <w:p w:rsidR="009E3E25" w:rsidRPr="002C65E7" w:rsidRDefault="009E3E25" w:rsidP="00FC6669">
            <w:pPr>
              <w:pStyle w:val="naisf"/>
              <w:spacing w:before="0" w:after="0"/>
              <w:ind w:firstLine="0"/>
              <w:jc w:val="cente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3.1. valsts pamatbudžets</w:t>
            </w:r>
          </w:p>
        </w:tc>
        <w:tc>
          <w:tcPr>
            <w:tcW w:w="1328" w:type="dxa"/>
            <w:shd w:val="clear" w:color="auto" w:fill="auto"/>
          </w:tcPr>
          <w:p w:rsidR="009E3E25" w:rsidRPr="002C65E7" w:rsidRDefault="009E3E25" w:rsidP="00FC6669">
            <w:pPr>
              <w:pStyle w:val="naisf"/>
              <w:spacing w:before="0" w:after="0"/>
              <w:ind w:firstLine="0"/>
              <w:rPr>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3.2. speciālais budžets</w:t>
            </w:r>
          </w:p>
        </w:tc>
        <w:tc>
          <w:tcPr>
            <w:tcW w:w="1328" w:type="dxa"/>
            <w:shd w:val="clear" w:color="auto" w:fill="auto"/>
          </w:tcPr>
          <w:p w:rsidR="009E3E25" w:rsidRPr="002C65E7" w:rsidRDefault="009E3E25" w:rsidP="00FC6669">
            <w:pPr>
              <w:pStyle w:val="naisf"/>
              <w:spacing w:before="0" w:after="0"/>
              <w:ind w:firstLine="0"/>
              <w:rPr>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 xml:space="preserve">3.3. pašvaldību budžets </w:t>
            </w:r>
          </w:p>
        </w:tc>
        <w:tc>
          <w:tcPr>
            <w:tcW w:w="1328" w:type="dxa"/>
            <w:shd w:val="clear" w:color="auto" w:fill="auto"/>
          </w:tcPr>
          <w:p w:rsidR="009E3E25" w:rsidRPr="002C65E7" w:rsidRDefault="009E3E25" w:rsidP="00FC6669">
            <w:pPr>
              <w:pStyle w:val="naisf"/>
              <w:spacing w:before="0" w:after="0"/>
              <w:ind w:firstLine="0"/>
              <w:rPr>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vMerge w:val="restart"/>
          </w:tcPr>
          <w:p w:rsidR="009E3E25" w:rsidRPr="002C65E7" w:rsidRDefault="009E3E25" w:rsidP="00FC6669">
            <w:pPr>
              <w:jc w:val="both"/>
            </w:pPr>
            <w:r w:rsidRPr="002C65E7">
              <w:t>4. Finanšu līdzekļi papildu izde</w:t>
            </w:r>
            <w:r w:rsidRPr="002C65E7">
              <w:softHyphen/>
              <w:t>vumu finansēšanai (kompensējošu izdevumu samazinājumu norāda ar "+" zīmi)</w:t>
            </w:r>
          </w:p>
        </w:tc>
        <w:tc>
          <w:tcPr>
            <w:tcW w:w="1328" w:type="dxa"/>
            <w:vMerge w:val="restart"/>
          </w:tcPr>
          <w:p w:rsidR="009E3E25" w:rsidRPr="002C65E7" w:rsidRDefault="009E3E25" w:rsidP="00FC6669">
            <w:pPr>
              <w:pStyle w:val="naisf"/>
              <w:spacing w:before="0" w:after="0"/>
              <w:ind w:firstLine="0"/>
              <w:jc w:val="center"/>
              <w:rPr>
                <w:i/>
              </w:rPr>
            </w:pPr>
            <w:r w:rsidRPr="002C65E7">
              <w:t>X</w:t>
            </w:r>
          </w:p>
        </w:tc>
        <w:tc>
          <w:tcPr>
            <w:tcW w:w="1351" w:type="dxa"/>
          </w:tcPr>
          <w:p w:rsidR="009E3E25" w:rsidRPr="002C65E7" w:rsidRDefault="009E3E25" w:rsidP="00FC6669">
            <w:pPr>
              <w:pStyle w:val="naisf"/>
              <w:spacing w:before="0" w:after="0"/>
              <w:ind w:firstLine="0"/>
              <w:jc w:val="left"/>
              <w:rPr>
                <w:b/>
                <w:i/>
              </w:rPr>
            </w:pPr>
          </w:p>
        </w:tc>
        <w:tc>
          <w:tcPr>
            <w:tcW w:w="1351" w:type="dxa"/>
          </w:tcPr>
          <w:p w:rsidR="009E3E25" w:rsidRPr="002C65E7" w:rsidRDefault="009E3E25" w:rsidP="00FC6669">
            <w:pPr>
              <w:pStyle w:val="naisf"/>
              <w:spacing w:before="0" w:after="0"/>
              <w:ind w:firstLine="0"/>
              <w:jc w:val="left"/>
              <w:rPr>
                <w:b/>
                <w:i/>
              </w:rPr>
            </w:pPr>
          </w:p>
        </w:tc>
        <w:tc>
          <w:tcPr>
            <w:tcW w:w="1352" w:type="dxa"/>
          </w:tcPr>
          <w:p w:rsidR="009E3E25" w:rsidRPr="002C65E7" w:rsidRDefault="009E3E25" w:rsidP="00FC6669">
            <w:pPr>
              <w:pStyle w:val="naisf"/>
              <w:spacing w:before="0" w:after="0"/>
              <w:ind w:firstLine="0"/>
              <w:jc w:val="left"/>
              <w:rPr>
                <w:b/>
                <w:i/>
              </w:rPr>
            </w:pPr>
          </w:p>
        </w:tc>
        <w:tc>
          <w:tcPr>
            <w:tcW w:w="1072" w:type="dxa"/>
          </w:tcPr>
          <w:p w:rsidR="009E3E25" w:rsidRPr="002C65E7" w:rsidRDefault="009E3E25" w:rsidP="00FC6669">
            <w:pPr>
              <w:pStyle w:val="naisf"/>
              <w:spacing w:before="0" w:after="0"/>
              <w:ind w:firstLine="0"/>
              <w:jc w:val="left"/>
              <w:rPr>
                <w:b/>
                <w:i/>
              </w:rPr>
            </w:pPr>
          </w:p>
        </w:tc>
      </w:tr>
      <w:tr w:rsidR="009E3E25" w:rsidRPr="002C65E7" w:rsidTr="00FC6669">
        <w:trPr>
          <w:jc w:val="center"/>
        </w:trPr>
        <w:tc>
          <w:tcPr>
            <w:tcW w:w="2661" w:type="dxa"/>
            <w:vMerge/>
          </w:tcPr>
          <w:p w:rsidR="009E3E25" w:rsidRPr="002C65E7" w:rsidRDefault="009E3E25" w:rsidP="00FC6669">
            <w:pPr>
              <w:jc w:val="both"/>
            </w:pPr>
          </w:p>
        </w:tc>
        <w:tc>
          <w:tcPr>
            <w:tcW w:w="1328" w:type="dxa"/>
            <w:vMerge/>
          </w:tcPr>
          <w:p w:rsidR="009E3E25" w:rsidRPr="002C65E7" w:rsidRDefault="009E3E25" w:rsidP="00FC6669">
            <w:pPr>
              <w:pStyle w:val="naisf"/>
              <w:spacing w:before="0" w:after="0"/>
              <w:ind w:firstLine="0"/>
              <w:jc w:val="center"/>
              <w:rPr>
                <w:i/>
              </w:rPr>
            </w:pPr>
          </w:p>
        </w:tc>
        <w:tc>
          <w:tcPr>
            <w:tcW w:w="1351" w:type="dxa"/>
          </w:tcPr>
          <w:p w:rsidR="009E3E25" w:rsidRPr="002C65E7" w:rsidRDefault="009E3E25" w:rsidP="00FC6669">
            <w:pPr>
              <w:pStyle w:val="naisf"/>
              <w:spacing w:before="0" w:after="0"/>
              <w:ind w:firstLine="0"/>
              <w:jc w:val="left"/>
              <w:rPr>
                <w:b/>
                <w:i/>
              </w:rPr>
            </w:pPr>
          </w:p>
        </w:tc>
        <w:tc>
          <w:tcPr>
            <w:tcW w:w="1351" w:type="dxa"/>
          </w:tcPr>
          <w:p w:rsidR="009E3E25" w:rsidRPr="002C65E7" w:rsidRDefault="009E3E25" w:rsidP="00FC6669">
            <w:pPr>
              <w:pStyle w:val="naisf"/>
              <w:spacing w:before="0" w:after="0"/>
              <w:ind w:firstLine="0"/>
              <w:jc w:val="left"/>
              <w:rPr>
                <w:b/>
                <w:i/>
              </w:rPr>
            </w:pPr>
          </w:p>
        </w:tc>
        <w:tc>
          <w:tcPr>
            <w:tcW w:w="1352" w:type="dxa"/>
          </w:tcPr>
          <w:p w:rsidR="009E3E25" w:rsidRPr="002C65E7" w:rsidRDefault="009E3E25" w:rsidP="00FC6669">
            <w:pPr>
              <w:pStyle w:val="naisf"/>
              <w:spacing w:before="0" w:after="0"/>
              <w:ind w:firstLine="0"/>
              <w:jc w:val="left"/>
              <w:rPr>
                <w:b/>
                <w:i/>
              </w:rPr>
            </w:pPr>
          </w:p>
        </w:tc>
        <w:tc>
          <w:tcPr>
            <w:tcW w:w="1072" w:type="dxa"/>
          </w:tcPr>
          <w:p w:rsidR="009E3E25" w:rsidRPr="002C65E7" w:rsidRDefault="009E3E25" w:rsidP="00FC6669">
            <w:pPr>
              <w:pStyle w:val="naisf"/>
              <w:spacing w:before="0" w:after="0"/>
              <w:ind w:firstLine="0"/>
              <w:jc w:val="left"/>
              <w:rPr>
                <w:b/>
                <w:i/>
              </w:rPr>
            </w:pPr>
          </w:p>
        </w:tc>
      </w:tr>
      <w:tr w:rsidR="009E3E25" w:rsidRPr="002C65E7" w:rsidTr="00FC6669">
        <w:trPr>
          <w:jc w:val="center"/>
        </w:trPr>
        <w:tc>
          <w:tcPr>
            <w:tcW w:w="2661" w:type="dxa"/>
            <w:vMerge/>
          </w:tcPr>
          <w:p w:rsidR="009E3E25" w:rsidRPr="002C65E7" w:rsidRDefault="009E3E25" w:rsidP="00FC6669">
            <w:pPr>
              <w:jc w:val="both"/>
            </w:pPr>
          </w:p>
        </w:tc>
        <w:tc>
          <w:tcPr>
            <w:tcW w:w="1328" w:type="dxa"/>
            <w:vMerge/>
          </w:tcPr>
          <w:p w:rsidR="009E3E25" w:rsidRPr="002C65E7" w:rsidRDefault="009E3E25" w:rsidP="00FC6669">
            <w:pPr>
              <w:pStyle w:val="naisf"/>
              <w:spacing w:before="0" w:after="0"/>
              <w:ind w:firstLine="0"/>
              <w:jc w:val="center"/>
              <w:rPr>
                <w:i/>
              </w:rPr>
            </w:pPr>
          </w:p>
        </w:tc>
        <w:tc>
          <w:tcPr>
            <w:tcW w:w="1351" w:type="dxa"/>
          </w:tcPr>
          <w:p w:rsidR="009E3E25" w:rsidRPr="002C65E7" w:rsidRDefault="009E3E25" w:rsidP="00FC6669">
            <w:pPr>
              <w:pStyle w:val="naisf"/>
              <w:spacing w:before="0" w:after="0"/>
              <w:ind w:firstLine="0"/>
              <w:jc w:val="left"/>
              <w:rPr>
                <w:b/>
                <w:i/>
              </w:rPr>
            </w:pPr>
          </w:p>
        </w:tc>
        <w:tc>
          <w:tcPr>
            <w:tcW w:w="1351" w:type="dxa"/>
          </w:tcPr>
          <w:p w:rsidR="009E3E25" w:rsidRPr="002C65E7" w:rsidRDefault="009E3E25" w:rsidP="00FC6669">
            <w:pPr>
              <w:pStyle w:val="naisf"/>
              <w:spacing w:before="0" w:after="0"/>
              <w:ind w:firstLine="0"/>
              <w:jc w:val="left"/>
              <w:rPr>
                <w:b/>
                <w:i/>
              </w:rPr>
            </w:pPr>
          </w:p>
        </w:tc>
        <w:tc>
          <w:tcPr>
            <w:tcW w:w="1352" w:type="dxa"/>
          </w:tcPr>
          <w:p w:rsidR="009E3E25" w:rsidRPr="002C65E7" w:rsidRDefault="009E3E25" w:rsidP="00FC6669">
            <w:pPr>
              <w:pStyle w:val="naisf"/>
              <w:spacing w:before="0" w:after="0"/>
              <w:ind w:firstLine="0"/>
              <w:jc w:val="left"/>
              <w:rPr>
                <w:b/>
                <w:i/>
              </w:rPr>
            </w:pPr>
          </w:p>
        </w:tc>
        <w:tc>
          <w:tcPr>
            <w:tcW w:w="1072" w:type="dxa"/>
          </w:tcPr>
          <w:p w:rsidR="009E3E25" w:rsidRPr="002C65E7" w:rsidRDefault="009E3E25" w:rsidP="00FC6669">
            <w:pPr>
              <w:pStyle w:val="naisf"/>
              <w:spacing w:before="0" w:after="0"/>
              <w:ind w:firstLine="0"/>
              <w:jc w:val="left"/>
              <w:rPr>
                <w:b/>
                <w:i/>
              </w:rPr>
            </w:pPr>
          </w:p>
        </w:tc>
      </w:tr>
      <w:tr w:rsidR="009E3E25" w:rsidRPr="002C65E7" w:rsidTr="00FC6669">
        <w:trPr>
          <w:jc w:val="center"/>
        </w:trPr>
        <w:tc>
          <w:tcPr>
            <w:tcW w:w="2661" w:type="dxa"/>
          </w:tcPr>
          <w:p w:rsidR="009E3E25" w:rsidRPr="002C65E7" w:rsidRDefault="009E3E25" w:rsidP="00FC6669">
            <w:pPr>
              <w:jc w:val="both"/>
            </w:pPr>
            <w:r w:rsidRPr="002C65E7">
              <w:t>5. Precizēta finansiālā ietekme:</w:t>
            </w:r>
          </w:p>
        </w:tc>
        <w:tc>
          <w:tcPr>
            <w:tcW w:w="1328" w:type="dxa"/>
            <w:vMerge w:val="restart"/>
          </w:tcPr>
          <w:p w:rsidR="009E3E25" w:rsidRPr="002C65E7" w:rsidRDefault="009E3E25" w:rsidP="00FC6669">
            <w:pPr>
              <w:pStyle w:val="naisf"/>
              <w:spacing w:before="0" w:after="0"/>
              <w:ind w:firstLine="0"/>
              <w:jc w:val="center"/>
              <w:rPr>
                <w:i/>
              </w:rPr>
            </w:pPr>
            <w:r w:rsidRPr="002C65E7">
              <w:t>X</w:t>
            </w: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5.1. valsts pamatbudžets</w:t>
            </w:r>
          </w:p>
        </w:tc>
        <w:tc>
          <w:tcPr>
            <w:tcW w:w="1328" w:type="dxa"/>
            <w:vMerge/>
            <w:vAlign w:val="center"/>
          </w:tcPr>
          <w:p w:rsidR="009E3E25" w:rsidRPr="002C65E7" w:rsidRDefault="009E3E25" w:rsidP="00FC6669">
            <w:pPr>
              <w:pStyle w:val="naisf"/>
              <w:spacing w:before="0" w:after="0"/>
              <w:ind w:firstLine="0"/>
              <w:jc w:val="center"/>
              <w:rPr>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5.2. speciālais budžets</w:t>
            </w:r>
          </w:p>
        </w:tc>
        <w:tc>
          <w:tcPr>
            <w:tcW w:w="1328" w:type="dxa"/>
            <w:vMerge/>
            <w:vAlign w:val="center"/>
          </w:tcPr>
          <w:p w:rsidR="009E3E25" w:rsidRPr="002C65E7" w:rsidRDefault="009E3E25" w:rsidP="00FC6669">
            <w:pPr>
              <w:pStyle w:val="naisf"/>
              <w:spacing w:before="0" w:after="0"/>
              <w:ind w:firstLine="0"/>
              <w:jc w:val="center"/>
              <w:rPr>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 xml:space="preserve">5.3. pašvaldību budžets </w:t>
            </w:r>
          </w:p>
        </w:tc>
        <w:tc>
          <w:tcPr>
            <w:tcW w:w="1328" w:type="dxa"/>
            <w:vMerge/>
            <w:vAlign w:val="center"/>
          </w:tcPr>
          <w:p w:rsidR="009E3E25" w:rsidRPr="002C65E7" w:rsidRDefault="009E3E25" w:rsidP="00FC6669">
            <w:pPr>
              <w:pStyle w:val="naisf"/>
              <w:spacing w:before="0" w:after="0"/>
              <w:ind w:firstLine="0"/>
              <w:jc w:val="center"/>
              <w:rPr>
                <w:i/>
              </w:rPr>
            </w:pPr>
          </w:p>
        </w:tc>
        <w:tc>
          <w:tcPr>
            <w:tcW w:w="1351" w:type="dxa"/>
          </w:tcPr>
          <w:p w:rsidR="009E3E25" w:rsidRPr="002C65E7" w:rsidRDefault="009E3E25" w:rsidP="00FC6669">
            <w:pPr>
              <w:pStyle w:val="naisf"/>
              <w:spacing w:before="0" w:after="0"/>
              <w:ind w:firstLine="0"/>
              <w:rPr>
                <w:b/>
                <w:i/>
              </w:rPr>
            </w:pPr>
          </w:p>
        </w:tc>
        <w:tc>
          <w:tcPr>
            <w:tcW w:w="1351" w:type="dxa"/>
          </w:tcPr>
          <w:p w:rsidR="009E3E25" w:rsidRPr="002C65E7" w:rsidRDefault="009E3E25" w:rsidP="00FC6669">
            <w:pPr>
              <w:pStyle w:val="naisf"/>
              <w:spacing w:before="0" w:after="0"/>
              <w:ind w:firstLine="0"/>
              <w:rPr>
                <w:b/>
                <w:i/>
              </w:rPr>
            </w:pPr>
          </w:p>
        </w:tc>
        <w:tc>
          <w:tcPr>
            <w:tcW w:w="1352" w:type="dxa"/>
          </w:tcPr>
          <w:p w:rsidR="009E3E25" w:rsidRPr="002C65E7" w:rsidRDefault="009E3E25" w:rsidP="00FC6669">
            <w:pPr>
              <w:pStyle w:val="naisf"/>
              <w:spacing w:before="0" w:after="0"/>
              <w:ind w:firstLine="0"/>
              <w:rPr>
                <w:b/>
                <w:i/>
              </w:rPr>
            </w:pPr>
          </w:p>
        </w:tc>
        <w:tc>
          <w:tcPr>
            <w:tcW w:w="1072" w:type="dxa"/>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6. Detalizēts ieņēmumu un izdevu</w:t>
            </w:r>
            <w:r w:rsidRPr="002C65E7">
              <w:softHyphen/>
              <w:t>mu aprēķins (ja nepieciešams, detalizētu ieņēmumu un izdevumu aprēķinu var pievienot anotācijas pielikumā):</w:t>
            </w:r>
          </w:p>
        </w:tc>
        <w:tc>
          <w:tcPr>
            <w:tcW w:w="6454" w:type="dxa"/>
            <w:gridSpan w:val="5"/>
            <w:vMerge w:val="restart"/>
            <w:vAlign w:val="center"/>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6.1. detalizēts ieņēmumu aprēķins</w:t>
            </w:r>
          </w:p>
        </w:tc>
        <w:tc>
          <w:tcPr>
            <w:tcW w:w="6454" w:type="dxa"/>
            <w:gridSpan w:val="5"/>
            <w:vMerge/>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6.2. detalizēts izdevumu aprēķins</w:t>
            </w:r>
          </w:p>
        </w:tc>
        <w:tc>
          <w:tcPr>
            <w:tcW w:w="6454" w:type="dxa"/>
            <w:gridSpan w:val="5"/>
            <w:vMerge/>
          </w:tcPr>
          <w:p w:rsidR="009E3E25" w:rsidRPr="002C65E7" w:rsidRDefault="009E3E25" w:rsidP="00FC6669">
            <w:pPr>
              <w:pStyle w:val="naisf"/>
              <w:spacing w:before="0" w:after="0"/>
              <w:ind w:firstLine="0"/>
              <w:rPr>
                <w:b/>
                <w:i/>
              </w:rPr>
            </w:pPr>
          </w:p>
        </w:tc>
      </w:tr>
      <w:tr w:rsidR="009E3E25" w:rsidRPr="002C65E7" w:rsidTr="00FC6669">
        <w:trPr>
          <w:jc w:val="center"/>
        </w:trPr>
        <w:tc>
          <w:tcPr>
            <w:tcW w:w="2661" w:type="dxa"/>
          </w:tcPr>
          <w:p w:rsidR="009E3E25" w:rsidRPr="002C65E7" w:rsidRDefault="009E3E25" w:rsidP="00FC6669">
            <w:pPr>
              <w:jc w:val="both"/>
            </w:pPr>
            <w:r w:rsidRPr="002C65E7">
              <w:t>7. Cita informācija</w:t>
            </w:r>
          </w:p>
        </w:tc>
        <w:tc>
          <w:tcPr>
            <w:tcW w:w="6454" w:type="dxa"/>
            <w:gridSpan w:val="5"/>
          </w:tcPr>
          <w:p w:rsidR="009E3E25" w:rsidRPr="002C65E7" w:rsidRDefault="009E3E25" w:rsidP="00FC6669">
            <w:pPr>
              <w:pStyle w:val="naisc"/>
              <w:spacing w:before="0" w:beforeAutospacing="0" w:after="0" w:afterAutospacing="0"/>
              <w:jc w:val="both"/>
              <w:rPr>
                <w:sz w:val="24"/>
                <w:szCs w:val="24"/>
              </w:rPr>
            </w:pPr>
            <w:r w:rsidRPr="002C65E7">
              <w:rPr>
                <w:sz w:val="24"/>
                <w:szCs w:val="24"/>
              </w:rPr>
              <w:t xml:space="preserve">Šobrīd nav iespējams noteikt pamatkapitāla daļu vērtību. Likuma </w:t>
            </w:r>
            <w:r w:rsidRPr="002C65E7">
              <w:rPr>
                <w:sz w:val="24"/>
                <w:szCs w:val="24"/>
              </w:rPr>
              <w:lastRenderedPageBreak/>
              <w:t>„Par valsts un pašvaldību kapitāla daļām un kapitālsabiedrībām”</w:t>
            </w:r>
            <w:r>
              <w:rPr>
                <w:sz w:val="24"/>
                <w:szCs w:val="24"/>
              </w:rPr>
              <w:t xml:space="preserve"> </w:t>
            </w:r>
            <w:r w:rsidRPr="002C65E7">
              <w:rPr>
                <w:sz w:val="24"/>
                <w:szCs w:val="24"/>
              </w:rPr>
              <w:t>(turpmāk – Kapitāldaļu likums) 120.pants noteic, ka valsts un pašvaldību kapitāla daļas pārdod atbilstoši to tirgus vērtībai, ko noteicis neatkarīgs sertificēts vērtētājs saskaņā ar Latvijā atzītiem vērtēšanas standartiem.</w:t>
            </w:r>
            <w:r>
              <w:rPr>
                <w:sz w:val="24"/>
                <w:szCs w:val="24"/>
              </w:rPr>
              <w:t xml:space="preserve"> </w:t>
            </w:r>
            <w:r w:rsidRPr="002C65E7">
              <w:rPr>
                <w:sz w:val="24"/>
                <w:szCs w:val="24"/>
              </w:rPr>
              <w:t>Novērtējums var atšķirties no kapitāla daļu nominālvērtības.</w:t>
            </w:r>
            <w:r>
              <w:rPr>
                <w:sz w:val="24"/>
                <w:szCs w:val="24"/>
              </w:rPr>
              <w:t xml:space="preserve"> Kapitāldaļu likuma 119. </w:t>
            </w:r>
            <w:r w:rsidRPr="002C65E7">
              <w:rPr>
                <w:sz w:val="24"/>
                <w:szCs w:val="24"/>
              </w:rPr>
              <w:t>panta pirmā daļa noteic, ka valsts kapitāla daļu pārdošanu veic institūcija, kas pārdod valsts kapitāla daļas. Kapitāldaļu likuma Pārejas noteikumu 5.</w:t>
            </w:r>
            <w:r>
              <w:rPr>
                <w:sz w:val="24"/>
                <w:szCs w:val="24"/>
              </w:rPr>
              <w:t> </w:t>
            </w:r>
            <w:r w:rsidRPr="002C65E7">
              <w:rPr>
                <w:sz w:val="24"/>
                <w:szCs w:val="24"/>
              </w:rPr>
              <w:t>punkts noteic, ka valsts kapitāla daļu atsavināšanu veicošās institūcijas funkcijas pilda valsts akciju sabiedrība „Privatizācijas aģentūra”.</w:t>
            </w:r>
            <w:r>
              <w:rPr>
                <w:sz w:val="24"/>
                <w:szCs w:val="24"/>
              </w:rPr>
              <w:t xml:space="preserve"> </w:t>
            </w:r>
            <w:r w:rsidRPr="002C65E7">
              <w:rPr>
                <w:sz w:val="24"/>
                <w:szCs w:val="24"/>
              </w:rPr>
              <w:t>Tātad, pēc rīkojuma projekta pieņemšanas Ministru kabinetā valsts akciju sabiedrība „Privatizācijas aģentūra” kapitāla daļu atsavināšanas procesā iegūs neatkarīga sertificēta vērtētāja atzinumu (novērtējumu) un tikai šajā stadijā būs iespējams prognozēt iespējamos ieņēmumus no pamatkapitāla daļu pārdošanas.</w:t>
            </w:r>
          </w:p>
        </w:tc>
      </w:tr>
    </w:tbl>
    <w:p w:rsidR="009E3E25" w:rsidRPr="002C65E7" w:rsidRDefault="009E3E25" w:rsidP="009E3E25">
      <w:pPr>
        <w:rPr>
          <w:rFonts w:eastAsia="Calibri"/>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42"/>
        <w:gridCol w:w="2213"/>
        <w:gridCol w:w="6476"/>
      </w:tblGrid>
      <w:tr w:rsidR="009E3E25" w:rsidRPr="002C65E7" w:rsidTr="00FC6669">
        <w:tc>
          <w:tcPr>
            <w:tcW w:w="0" w:type="auto"/>
            <w:gridSpan w:val="3"/>
            <w:tcBorders>
              <w:top w:val="single" w:sz="6" w:space="0" w:color="auto"/>
              <w:left w:val="single" w:sz="6" w:space="0" w:color="auto"/>
              <w:bottom w:val="outset" w:sz="6" w:space="0" w:color="000000"/>
              <w:right w:val="single" w:sz="6" w:space="0" w:color="auto"/>
            </w:tcBorders>
          </w:tcPr>
          <w:p w:rsidR="009E3E25" w:rsidRPr="002C65E7" w:rsidRDefault="009E3E25" w:rsidP="00FC6669">
            <w:pPr>
              <w:jc w:val="center"/>
              <w:rPr>
                <w:b/>
                <w:bCs/>
              </w:rPr>
            </w:pPr>
            <w:r w:rsidRPr="002C65E7">
              <w:t> </w:t>
            </w:r>
            <w:r w:rsidRPr="002C65E7">
              <w:rPr>
                <w:b/>
                <w:bCs/>
              </w:rPr>
              <w:t>IV. Tiesību akta projekta ietekme uz spēkā esošo tiesību normu sistēmu</w:t>
            </w:r>
          </w:p>
        </w:tc>
      </w:tr>
      <w:tr w:rsidR="009E3E25" w:rsidRPr="002C65E7" w:rsidTr="00FC6669">
        <w:tc>
          <w:tcPr>
            <w:tcW w:w="0" w:type="auto"/>
            <w:tcBorders>
              <w:top w:val="outset" w:sz="6" w:space="0" w:color="000000"/>
              <w:left w:val="outset" w:sz="6" w:space="0" w:color="000000"/>
              <w:bottom w:val="outset" w:sz="6" w:space="0" w:color="000000"/>
              <w:right w:val="outset" w:sz="6" w:space="0" w:color="000000"/>
            </w:tcBorders>
          </w:tcPr>
          <w:p w:rsidR="009E3E25" w:rsidRPr="002C65E7" w:rsidRDefault="009E3E25" w:rsidP="00FC6669">
            <w:r w:rsidRPr="002C65E7">
              <w:t>1.</w:t>
            </w:r>
          </w:p>
        </w:tc>
        <w:tc>
          <w:tcPr>
            <w:tcW w:w="1212"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r w:rsidRPr="002C65E7">
              <w:t>Nepieciešamie saistītie tiesību aktu projekti</w:t>
            </w:r>
          </w:p>
        </w:tc>
        <w:tc>
          <w:tcPr>
            <w:tcW w:w="3546" w:type="pct"/>
            <w:tcBorders>
              <w:top w:val="outset" w:sz="6" w:space="0" w:color="000000"/>
              <w:left w:val="outset" w:sz="6" w:space="0" w:color="000000"/>
              <w:bottom w:val="outset" w:sz="6" w:space="0" w:color="000000"/>
              <w:right w:val="outset" w:sz="6" w:space="0" w:color="000000"/>
            </w:tcBorders>
          </w:tcPr>
          <w:p w:rsidR="009E3E25" w:rsidRPr="001242C2" w:rsidRDefault="009E3E25" w:rsidP="00FC6669">
            <w:pPr>
              <w:pStyle w:val="Pamatteksts"/>
              <w:spacing w:after="0"/>
              <w:jc w:val="both"/>
              <w:rPr>
                <w:b w:val="0"/>
                <w:sz w:val="24"/>
                <w:szCs w:val="24"/>
              </w:rPr>
            </w:pPr>
            <w:r w:rsidRPr="001242C2">
              <w:rPr>
                <w:b w:val="0"/>
                <w:sz w:val="24"/>
                <w:szCs w:val="24"/>
              </w:rPr>
              <w:t>Projekts šo jomu neskar.</w:t>
            </w:r>
          </w:p>
        </w:tc>
      </w:tr>
      <w:tr w:rsidR="009E3E25" w:rsidRPr="002C65E7" w:rsidTr="00FC6669">
        <w:tc>
          <w:tcPr>
            <w:tcW w:w="0" w:type="auto"/>
            <w:tcBorders>
              <w:top w:val="outset" w:sz="6" w:space="0" w:color="000000"/>
              <w:left w:val="outset" w:sz="6" w:space="0" w:color="000000"/>
              <w:bottom w:val="outset" w:sz="6" w:space="0" w:color="000000"/>
              <w:right w:val="outset" w:sz="6" w:space="0" w:color="000000"/>
            </w:tcBorders>
          </w:tcPr>
          <w:p w:rsidR="009E3E25" w:rsidRPr="002C65E7" w:rsidRDefault="009E3E25" w:rsidP="00FC6669">
            <w:r w:rsidRPr="002C65E7">
              <w:t>2.</w:t>
            </w:r>
          </w:p>
        </w:tc>
        <w:tc>
          <w:tcPr>
            <w:tcW w:w="1212" w:type="pct"/>
            <w:tcBorders>
              <w:top w:val="outset" w:sz="6" w:space="0" w:color="000000"/>
              <w:left w:val="outset" w:sz="6" w:space="0" w:color="000000"/>
              <w:bottom w:val="outset" w:sz="6" w:space="0" w:color="000000"/>
              <w:right w:val="outset" w:sz="6" w:space="0" w:color="000000"/>
            </w:tcBorders>
          </w:tcPr>
          <w:p w:rsidR="009E3E25" w:rsidRPr="002C65E7" w:rsidRDefault="009E3E25" w:rsidP="00FC6669">
            <w:r w:rsidRPr="002C65E7">
              <w:t>Cita informācija</w:t>
            </w:r>
          </w:p>
        </w:tc>
        <w:tc>
          <w:tcPr>
            <w:tcW w:w="3546" w:type="pct"/>
            <w:tcBorders>
              <w:top w:val="outset" w:sz="6" w:space="0" w:color="000000"/>
              <w:left w:val="outset" w:sz="6" w:space="0" w:color="000000"/>
              <w:bottom w:val="outset" w:sz="6" w:space="0" w:color="000000"/>
              <w:right w:val="outset" w:sz="6" w:space="0" w:color="000000"/>
            </w:tcBorders>
          </w:tcPr>
          <w:p w:rsidR="009E3E25" w:rsidRDefault="009E3E25" w:rsidP="00FC6669">
            <w:pPr>
              <w:pStyle w:val="Pamatteksts"/>
              <w:spacing w:after="0"/>
              <w:jc w:val="both"/>
              <w:rPr>
                <w:b w:val="0"/>
                <w:color w:val="auto"/>
                <w:sz w:val="24"/>
                <w:szCs w:val="24"/>
              </w:rPr>
            </w:pPr>
            <w:r>
              <w:rPr>
                <w:b w:val="0"/>
                <w:sz w:val="24"/>
                <w:szCs w:val="24"/>
              </w:rPr>
              <w:t xml:space="preserve">Saeimā ir iesniegts likumprojekts </w:t>
            </w:r>
            <w:r w:rsidRPr="002C65E7">
              <w:rPr>
                <w:b w:val="0"/>
                <w:sz w:val="24"/>
                <w:szCs w:val="24"/>
              </w:rPr>
              <w:t xml:space="preserve">„Grozījumi likumā „Par zemes reformu </w:t>
            </w:r>
            <w:r w:rsidRPr="00302C1F">
              <w:rPr>
                <w:b w:val="0"/>
                <w:sz w:val="24"/>
                <w:szCs w:val="24"/>
              </w:rPr>
              <w:t>Latvijas Republikas lauku apvidos””</w:t>
            </w:r>
            <w:r>
              <w:rPr>
                <w:b w:val="0"/>
                <w:sz w:val="24"/>
                <w:szCs w:val="24"/>
              </w:rPr>
              <w:t xml:space="preserve"> un</w:t>
            </w:r>
            <w:r w:rsidRPr="00302C1F">
              <w:rPr>
                <w:b w:val="0"/>
                <w:sz w:val="24"/>
                <w:szCs w:val="24"/>
              </w:rPr>
              <w:t xml:space="preserve"> likumprojekts „Grozījumi likumā „Par zemes reformu Latvijas Republikas pilsētās”</w:t>
            </w:r>
            <w:r>
              <w:rPr>
                <w:b w:val="0"/>
                <w:sz w:val="24"/>
                <w:szCs w:val="24"/>
              </w:rPr>
              <w:t>”.</w:t>
            </w:r>
            <w:r w:rsidRPr="00302C1F">
              <w:rPr>
                <w:b w:val="0"/>
                <w:sz w:val="24"/>
                <w:szCs w:val="24"/>
              </w:rPr>
              <w:t xml:space="preserve"> </w:t>
            </w:r>
            <w:r>
              <w:rPr>
                <w:b w:val="0"/>
                <w:sz w:val="24"/>
                <w:szCs w:val="24"/>
              </w:rPr>
              <w:t xml:space="preserve">Pēc minēto likumprojektu pieņemšanas tiks izstrādāts </w:t>
            </w:r>
            <w:r w:rsidRPr="00302C1F">
              <w:rPr>
                <w:b w:val="0"/>
                <w:sz w:val="24"/>
                <w:szCs w:val="24"/>
              </w:rPr>
              <w:t>Ministru kabineta not</w:t>
            </w:r>
            <w:r w:rsidRPr="002C65E7">
              <w:rPr>
                <w:b w:val="0"/>
                <w:sz w:val="24"/>
                <w:szCs w:val="24"/>
              </w:rPr>
              <w:t>eikumu projekt</w:t>
            </w:r>
            <w:r>
              <w:rPr>
                <w:b w:val="0"/>
                <w:sz w:val="24"/>
                <w:szCs w:val="24"/>
              </w:rPr>
              <w:t>s</w:t>
            </w:r>
            <w:r w:rsidRPr="002C65E7">
              <w:rPr>
                <w:b w:val="0"/>
                <w:sz w:val="24"/>
                <w:szCs w:val="24"/>
              </w:rPr>
              <w:t xml:space="preserve"> „Grozījumi Ministru kabineta 2006. gada 30. maija noteikumos Nr. 439 „Valsts zemes dienesta nolikums””, </w:t>
            </w:r>
            <w:r w:rsidRPr="002C65E7">
              <w:rPr>
                <w:b w:val="0"/>
                <w:color w:val="auto"/>
                <w:sz w:val="24"/>
                <w:szCs w:val="24"/>
              </w:rPr>
              <w:t>Mini</w:t>
            </w:r>
            <w:r>
              <w:rPr>
                <w:b w:val="0"/>
                <w:color w:val="auto"/>
                <w:sz w:val="24"/>
                <w:szCs w:val="24"/>
              </w:rPr>
              <w:t>stru kabineta noteikumu projekts</w:t>
            </w:r>
            <w:r w:rsidRPr="002C65E7">
              <w:rPr>
                <w:b w:val="0"/>
                <w:color w:val="auto"/>
                <w:sz w:val="24"/>
                <w:szCs w:val="24"/>
              </w:rPr>
              <w:t xml:space="preserve"> „Grozījumi Ministru kabineta 2003. gada 29. aprīļa noteikumos</w:t>
            </w:r>
            <w:r w:rsidRPr="002C65E7">
              <w:rPr>
                <w:b w:val="0"/>
                <w:sz w:val="24"/>
                <w:szCs w:val="24"/>
              </w:rPr>
              <w:t xml:space="preserve"> Nr. 243 „</w:t>
            </w:r>
            <w:r w:rsidRPr="002C65E7">
              <w:rPr>
                <w:b w:val="0"/>
                <w:color w:val="auto"/>
                <w:sz w:val="24"/>
                <w:szCs w:val="24"/>
              </w:rPr>
              <w:t>Tieslietu ministrijas nolikums</w:t>
            </w:r>
            <w:r w:rsidRPr="002C65E7">
              <w:rPr>
                <w:b w:val="0"/>
                <w:sz w:val="24"/>
                <w:szCs w:val="24"/>
              </w:rPr>
              <w:t xml:space="preserve">””, kā arī </w:t>
            </w:r>
            <w:r w:rsidRPr="002C65E7">
              <w:rPr>
                <w:b w:val="0"/>
                <w:color w:val="auto"/>
                <w:sz w:val="24"/>
                <w:szCs w:val="24"/>
              </w:rPr>
              <w:t>tiks izdoti jaunā redakcijā Ministru kabineta 2008. gada 10. marta noteikumi Nr. 169 „Kārtība, kādā veic zemes kadastrālo uzmērīšanu par valsts budžeta līdzekļiem”.</w:t>
            </w:r>
          </w:p>
          <w:p w:rsidR="009E3E25" w:rsidRPr="002C65E7" w:rsidRDefault="009E3E25" w:rsidP="00FC6669"/>
        </w:tc>
      </w:tr>
    </w:tbl>
    <w:p w:rsidR="009E3E25" w:rsidRPr="002C65E7" w:rsidRDefault="009E3E25" w:rsidP="009E3E25">
      <w:r w:rsidRPr="002C65E7">
        <w:t> </w:t>
      </w:r>
    </w:p>
    <w:tbl>
      <w:tblPr>
        <w:tblW w:w="9072" w:type="dxa"/>
        <w:tblInd w:w="10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tblPr>
      <w:tblGrid>
        <w:gridCol w:w="426"/>
        <w:gridCol w:w="3827"/>
        <w:gridCol w:w="4819"/>
      </w:tblGrid>
      <w:tr w:rsidR="009E3E25" w:rsidRPr="00A90EF2" w:rsidTr="00FC6669">
        <w:trPr>
          <w:trHeight w:val="208"/>
        </w:trPr>
        <w:tc>
          <w:tcPr>
            <w:tcW w:w="9072" w:type="dxa"/>
            <w:gridSpan w:val="3"/>
            <w:tcBorders>
              <w:top w:val="single" w:sz="4" w:space="0" w:color="auto"/>
              <w:left w:val="single" w:sz="4" w:space="0" w:color="auto"/>
              <w:bottom w:val="thickThinLargeGap" w:sz="6" w:space="0" w:color="808080"/>
              <w:right w:val="single" w:sz="4" w:space="0" w:color="auto"/>
            </w:tcBorders>
          </w:tcPr>
          <w:p w:rsidR="009E3E25" w:rsidRPr="00A90EF2" w:rsidRDefault="009E3E25" w:rsidP="00FC6669">
            <w:pPr>
              <w:pStyle w:val="naisc"/>
              <w:keepNext/>
              <w:spacing w:before="0" w:beforeAutospacing="0" w:after="0" w:afterAutospacing="0"/>
              <w:jc w:val="both"/>
              <w:rPr>
                <w:sz w:val="24"/>
                <w:szCs w:val="24"/>
              </w:rPr>
            </w:pPr>
            <w:r w:rsidRPr="00A90EF2">
              <w:rPr>
                <w:b/>
                <w:sz w:val="24"/>
                <w:szCs w:val="24"/>
              </w:rPr>
              <w:t>VII Tiesību akta projekta izpildes nodrošināšana un tās ietekme uz institūcijām</w:t>
            </w:r>
          </w:p>
        </w:tc>
      </w:tr>
      <w:tr w:rsidR="009E3E25" w:rsidRPr="00A90EF2" w:rsidTr="00FC6669">
        <w:trPr>
          <w:trHeight w:val="154"/>
        </w:trPr>
        <w:tc>
          <w:tcPr>
            <w:tcW w:w="426" w:type="dxa"/>
            <w:tcBorders>
              <w:top w:val="thickThinLargeGap" w:sz="6" w:space="0" w:color="808080"/>
              <w:left w:val="single" w:sz="4" w:space="0" w:color="auto"/>
              <w:bottom w:val="single" w:sz="4" w:space="0" w:color="auto"/>
              <w:right w:val="single" w:sz="4" w:space="0" w:color="auto"/>
            </w:tcBorders>
          </w:tcPr>
          <w:p w:rsidR="009E3E25" w:rsidRPr="00A90EF2" w:rsidRDefault="009E3E25" w:rsidP="00FC6669">
            <w:pPr>
              <w:pStyle w:val="ParastaisWeb"/>
              <w:jc w:val="both"/>
              <w:rPr>
                <w:rFonts w:ascii="Times New Roman" w:hAnsi="Times New Roman"/>
                <w:sz w:val="24"/>
                <w:szCs w:val="24"/>
              </w:rPr>
            </w:pPr>
            <w:r w:rsidRPr="00A90EF2">
              <w:rPr>
                <w:rFonts w:ascii="Times New Roman" w:hAnsi="Times New Roman"/>
                <w:bCs/>
                <w:sz w:val="24"/>
                <w:szCs w:val="24"/>
              </w:rPr>
              <w:t xml:space="preserve">1. </w:t>
            </w:r>
          </w:p>
        </w:tc>
        <w:tc>
          <w:tcPr>
            <w:tcW w:w="3827"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jc w:val="both"/>
              <w:rPr>
                <w:rFonts w:ascii="Times New Roman" w:hAnsi="Times New Roman"/>
                <w:sz w:val="24"/>
                <w:szCs w:val="24"/>
              </w:rPr>
            </w:pPr>
            <w:r w:rsidRPr="00A90EF2">
              <w:rPr>
                <w:rFonts w:ascii="Times New Roman" w:hAnsi="Times New Roman"/>
                <w:sz w:val="24"/>
                <w:szCs w:val="24"/>
              </w:rPr>
              <w:t>Projekta izpildē iesaistītās institūcijas</w:t>
            </w:r>
          </w:p>
        </w:tc>
        <w:tc>
          <w:tcPr>
            <w:tcW w:w="4819"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jc w:val="both"/>
              <w:rPr>
                <w:rFonts w:ascii="Times New Roman" w:hAnsi="Times New Roman"/>
                <w:sz w:val="24"/>
                <w:szCs w:val="24"/>
              </w:rPr>
            </w:pPr>
            <w:r>
              <w:rPr>
                <w:rFonts w:ascii="Times New Roman" w:hAnsi="Times New Roman"/>
                <w:sz w:val="24"/>
                <w:szCs w:val="24"/>
              </w:rPr>
              <w:t>Rīkojuma projekta izpildi</w:t>
            </w:r>
            <w:r w:rsidRPr="00A90EF2">
              <w:rPr>
                <w:rFonts w:ascii="Times New Roman" w:hAnsi="Times New Roman"/>
                <w:sz w:val="24"/>
                <w:szCs w:val="24"/>
              </w:rPr>
              <w:t xml:space="preserve"> nodrošinā</w:t>
            </w:r>
            <w:r>
              <w:rPr>
                <w:rFonts w:ascii="Times New Roman" w:hAnsi="Times New Roman"/>
                <w:sz w:val="24"/>
                <w:szCs w:val="24"/>
              </w:rPr>
              <w:t>s valsts akciju sabiedrība „Privatizācijas aģentūra”.</w:t>
            </w:r>
          </w:p>
        </w:tc>
      </w:tr>
      <w:tr w:rsidR="009E3E25" w:rsidRPr="00A90EF2" w:rsidTr="00FC6669">
        <w:trPr>
          <w:trHeight w:val="487"/>
        </w:trPr>
        <w:tc>
          <w:tcPr>
            <w:tcW w:w="426"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bCs/>
                <w:sz w:val="24"/>
                <w:szCs w:val="24"/>
              </w:rPr>
            </w:pPr>
            <w:r w:rsidRPr="00A90EF2">
              <w:rPr>
                <w:rFonts w:ascii="Times New Roman" w:hAnsi="Times New Roman"/>
                <w:bCs/>
                <w:sz w:val="24"/>
                <w:szCs w:val="24"/>
              </w:rPr>
              <w:t xml:space="preserve">2. </w:t>
            </w:r>
          </w:p>
        </w:tc>
        <w:tc>
          <w:tcPr>
            <w:tcW w:w="3827"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bCs/>
                <w:sz w:val="24"/>
                <w:szCs w:val="24"/>
              </w:rPr>
            </w:pPr>
            <w:r w:rsidRPr="00A90EF2">
              <w:rPr>
                <w:rFonts w:ascii="Times New Roman" w:hAnsi="Times New Roman"/>
                <w:sz w:val="24"/>
                <w:szCs w:val="24"/>
              </w:rPr>
              <w:t>Projekta izpildes ietekme uz pārvaldes funkcijām</w:t>
            </w:r>
          </w:p>
        </w:tc>
        <w:tc>
          <w:tcPr>
            <w:tcW w:w="4819"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jc w:val="both"/>
            </w:pPr>
            <w:r w:rsidRPr="00A90EF2">
              <w:t xml:space="preserve">Normatīvā akta izpilde tiks nodrošināta </w:t>
            </w:r>
            <w:r>
              <w:t>valsts akciju sabiedrības „</w:t>
            </w:r>
            <w:r w:rsidRPr="00A90EF2">
              <w:t>Privatizācijas aģentūra</w:t>
            </w:r>
            <w:r>
              <w:t>”</w:t>
            </w:r>
            <w:r w:rsidRPr="00A90EF2">
              <w:t xml:space="preserve"> funkciju ietvaros.</w:t>
            </w:r>
          </w:p>
        </w:tc>
      </w:tr>
      <w:tr w:rsidR="009E3E25" w:rsidRPr="00A90EF2" w:rsidTr="00FC6669">
        <w:trPr>
          <w:trHeight w:val="487"/>
        </w:trPr>
        <w:tc>
          <w:tcPr>
            <w:tcW w:w="426"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bCs/>
                <w:sz w:val="24"/>
                <w:szCs w:val="24"/>
              </w:rPr>
            </w:pPr>
            <w:r w:rsidRPr="00A90EF2">
              <w:rPr>
                <w:rFonts w:ascii="Times New Roman" w:hAnsi="Times New Roman"/>
                <w:bCs/>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spacing w:before="100" w:beforeAutospacing="1" w:after="100" w:afterAutospacing="1"/>
              <w:jc w:val="both"/>
            </w:pPr>
            <w:r w:rsidRPr="00A90EF2">
              <w:t>Projekta izpildes ietekme uz pārvaldes institucionālo struktūru.</w:t>
            </w:r>
          </w:p>
          <w:p w:rsidR="009E3E25" w:rsidRPr="00A90EF2" w:rsidRDefault="009E3E25" w:rsidP="00FC6669">
            <w:pPr>
              <w:spacing w:before="100" w:beforeAutospacing="1" w:after="100" w:afterAutospacing="1"/>
              <w:jc w:val="both"/>
            </w:pPr>
            <w:r w:rsidRPr="00A90EF2">
              <w:t>Jaunu institūciju izveide</w:t>
            </w:r>
          </w:p>
        </w:tc>
        <w:tc>
          <w:tcPr>
            <w:tcW w:w="4819"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sz w:val="24"/>
                <w:szCs w:val="24"/>
              </w:rPr>
            </w:pPr>
            <w:r w:rsidRPr="00D404B4">
              <w:rPr>
                <w:rFonts w:ascii="Times New Roman" w:hAnsi="Times New Roman"/>
                <w:sz w:val="24"/>
                <w:szCs w:val="24"/>
              </w:rPr>
              <w:t>Projekts šo jomu neskar.</w:t>
            </w:r>
          </w:p>
        </w:tc>
      </w:tr>
      <w:tr w:rsidR="009E3E25" w:rsidRPr="00A90EF2" w:rsidTr="00FC6669">
        <w:trPr>
          <w:trHeight w:val="487"/>
        </w:trPr>
        <w:tc>
          <w:tcPr>
            <w:tcW w:w="426"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bCs/>
                <w:sz w:val="24"/>
                <w:szCs w:val="24"/>
              </w:rPr>
            </w:pPr>
            <w:r w:rsidRPr="00A90EF2">
              <w:rPr>
                <w:rFonts w:ascii="Times New Roman" w:hAnsi="Times New Roman"/>
                <w:bCs/>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spacing w:before="100" w:beforeAutospacing="1" w:after="100" w:afterAutospacing="1"/>
              <w:jc w:val="both"/>
            </w:pPr>
            <w:r w:rsidRPr="00A90EF2">
              <w:t>Projekta izpildes ietekme uz pārvaldes institucionālo struktūru.</w:t>
            </w:r>
          </w:p>
          <w:p w:rsidR="009E3E25" w:rsidRPr="00A90EF2" w:rsidRDefault="009E3E25" w:rsidP="00FC6669">
            <w:pPr>
              <w:spacing w:before="100" w:beforeAutospacing="1" w:after="100" w:afterAutospacing="1"/>
              <w:jc w:val="both"/>
            </w:pPr>
            <w:r w:rsidRPr="00A90EF2">
              <w:lastRenderedPageBreak/>
              <w:t>Esošu institūciju likvidācija.</w:t>
            </w:r>
          </w:p>
        </w:tc>
        <w:tc>
          <w:tcPr>
            <w:tcW w:w="4819"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i/>
                <w:sz w:val="24"/>
                <w:szCs w:val="24"/>
              </w:rPr>
            </w:pPr>
            <w:r w:rsidRPr="00D404B4">
              <w:rPr>
                <w:rFonts w:ascii="Times New Roman" w:hAnsi="Times New Roman"/>
                <w:sz w:val="24"/>
                <w:szCs w:val="24"/>
              </w:rPr>
              <w:lastRenderedPageBreak/>
              <w:t>Projekts šo jomu neskar.</w:t>
            </w:r>
          </w:p>
        </w:tc>
      </w:tr>
      <w:tr w:rsidR="009E3E25" w:rsidRPr="00A90EF2" w:rsidTr="00FC6669">
        <w:trPr>
          <w:trHeight w:val="487"/>
        </w:trPr>
        <w:tc>
          <w:tcPr>
            <w:tcW w:w="426"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bCs/>
                <w:sz w:val="24"/>
                <w:szCs w:val="24"/>
              </w:rPr>
            </w:pPr>
            <w:r w:rsidRPr="00A90EF2">
              <w:rPr>
                <w:rFonts w:ascii="Times New Roman" w:hAnsi="Times New Roman"/>
                <w:bCs/>
                <w:sz w:val="24"/>
                <w:szCs w:val="24"/>
              </w:rPr>
              <w:lastRenderedPageBreak/>
              <w:t>5.</w:t>
            </w:r>
          </w:p>
        </w:tc>
        <w:tc>
          <w:tcPr>
            <w:tcW w:w="3827"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spacing w:before="100" w:beforeAutospacing="1" w:after="100" w:afterAutospacing="1"/>
              <w:jc w:val="both"/>
            </w:pPr>
            <w:r w:rsidRPr="00A90EF2">
              <w:t>Projekta izpildes ietekme uz pārvaldes institucionālo struktūru.</w:t>
            </w:r>
          </w:p>
          <w:p w:rsidR="009E3E25" w:rsidRPr="00A90EF2" w:rsidRDefault="009E3E25" w:rsidP="00FC6669">
            <w:pPr>
              <w:spacing w:before="100" w:beforeAutospacing="1" w:after="100" w:afterAutospacing="1"/>
              <w:jc w:val="both"/>
            </w:pPr>
            <w:r w:rsidRPr="00A90EF2">
              <w:t>Esošu institūciju reorganizācija</w:t>
            </w:r>
          </w:p>
        </w:tc>
        <w:tc>
          <w:tcPr>
            <w:tcW w:w="4819" w:type="dxa"/>
            <w:tcBorders>
              <w:top w:val="single" w:sz="4" w:space="0" w:color="auto"/>
              <w:left w:val="single" w:sz="4" w:space="0" w:color="auto"/>
              <w:bottom w:val="single" w:sz="4" w:space="0" w:color="auto"/>
              <w:right w:val="single" w:sz="4" w:space="0" w:color="auto"/>
            </w:tcBorders>
          </w:tcPr>
          <w:p w:rsidR="009E3E25" w:rsidRPr="00D404B4" w:rsidRDefault="009E3E25" w:rsidP="00FC6669">
            <w:pPr>
              <w:pStyle w:val="ParastaisWeb"/>
              <w:spacing w:before="0" w:beforeAutospacing="0" w:after="0" w:afterAutospacing="0"/>
              <w:jc w:val="both"/>
              <w:rPr>
                <w:rFonts w:ascii="Times New Roman" w:hAnsi="Times New Roman"/>
                <w:sz w:val="24"/>
                <w:szCs w:val="24"/>
              </w:rPr>
            </w:pPr>
            <w:r w:rsidRPr="00D404B4">
              <w:rPr>
                <w:rFonts w:ascii="Times New Roman" w:hAnsi="Times New Roman"/>
                <w:sz w:val="24"/>
                <w:szCs w:val="24"/>
              </w:rPr>
              <w:t>Projekts šo jomu neskar.</w:t>
            </w:r>
          </w:p>
        </w:tc>
      </w:tr>
      <w:tr w:rsidR="009E3E25" w:rsidRPr="00A90EF2" w:rsidTr="00FC6669">
        <w:trPr>
          <w:trHeight w:val="487"/>
        </w:trPr>
        <w:tc>
          <w:tcPr>
            <w:tcW w:w="426"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bCs/>
                <w:sz w:val="24"/>
                <w:szCs w:val="24"/>
              </w:rPr>
            </w:pPr>
            <w:r w:rsidRPr="00A90EF2">
              <w:rPr>
                <w:rFonts w:ascii="Times New Roman" w:hAnsi="Times New Roman"/>
                <w:bCs/>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bCs/>
                <w:sz w:val="24"/>
                <w:szCs w:val="24"/>
              </w:rPr>
            </w:pPr>
            <w:r w:rsidRPr="00A90EF2">
              <w:rPr>
                <w:rFonts w:ascii="Times New Roman" w:hAnsi="Times New Roman"/>
                <w:bCs/>
                <w:sz w:val="24"/>
                <w:szCs w:val="24"/>
              </w:rPr>
              <w:t>Cita informācija</w:t>
            </w:r>
          </w:p>
        </w:tc>
        <w:tc>
          <w:tcPr>
            <w:tcW w:w="4819" w:type="dxa"/>
            <w:tcBorders>
              <w:top w:val="single" w:sz="4" w:space="0" w:color="auto"/>
              <w:left w:val="single" w:sz="4" w:space="0" w:color="auto"/>
              <w:bottom w:val="single" w:sz="4" w:space="0" w:color="auto"/>
              <w:right w:val="single" w:sz="4" w:space="0" w:color="auto"/>
            </w:tcBorders>
          </w:tcPr>
          <w:p w:rsidR="009E3E25" w:rsidRPr="00A90EF2" w:rsidRDefault="009E3E25" w:rsidP="00FC6669">
            <w:pPr>
              <w:pStyle w:val="ParastaisWeb"/>
              <w:spacing w:before="0" w:beforeAutospacing="0" w:after="0" w:afterAutospacing="0"/>
              <w:jc w:val="both"/>
              <w:rPr>
                <w:rFonts w:ascii="Times New Roman" w:hAnsi="Times New Roman"/>
                <w:sz w:val="24"/>
                <w:szCs w:val="24"/>
              </w:rPr>
            </w:pPr>
            <w:r>
              <w:rPr>
                <w:rFonts w:ascii="Times New Roman" w:hAnsi="Times New Roman"/>
                <w:sz w:val="24"/>
                <w:szCs w:val="24"/>
              </w:rPr>
              <w:t>Nav</w:t>
            </w:r>
            <w:r w:rsidRPr="00A90EF2">
              <w:rPr>
                <w:rFonts w:ascii="Times New Roman" w:hAnsi="Times New Roman"/>
                <w:sz w:val="24"/>
                <w:szCs w:val="24"/>
              </w:rPr>
              <w:t>.</w:t>
            </w:r>
          </w:p>
        </w:tc>
      </w:tr>
    </w:tbl>
    <w:p w:rsidR="009E3E25" w:rsidRPr="002C65E7" w:rsidRDefault="009E3E25" w:rsidP="009E3E25"/>
    <w:p w:rsidR="009E3E25" w:rsidRPr="002C65E7" w:rsidRDefault="00FC6669" w:rsidP="009E3E25">
      <w:r>
        <w:t xml:space="preserve">Anotācijas </w:t>
      </w:r>
      <w:r w:rsidR="009E3E25" w:rsidRPr="002C65E7">
        <w:t xml:space="preserve"> V un VI sadaļa – </w:t>
      </w:r>
      <w:r w:rsidR="009E3E25" w:rsidRPr="00D404B4">
        <w:rPr>
          <w:iCs/>
        </w:rPr>
        <w:t>projekts šīs jomas neskar</w:t>
      </w:r>
      <w:r w:rsidR="009E3E25" w:rsidRPr="00D404B4">
        <w:t>.</w:t>
      </w:r>
    </w:p>
    <w:p w:rsidR="009E3E25" w:rsidRPr="002C65E7" w:rsidRDefault="009E3E25" w:rsidP="009E3E25"/>
    <w:p w:rsidR="009E3E25" w:rsidRDefault="009E3E25" w:rsidP="009E3E25">
      <w:pPr>
        <w:tabs>
          <w:tab w:val="left" w:pos="6804"/>
          <w:tab w:val="left" w:pos="7513"/>
        </w:tabs>
      </w:pPr>
    </w:p>
    <w:p w:rsidR="009E3E25" w:rsidRPr="002C65E7" w:rsidRDefault="009E3E25" w:rsidP="009E3E25">
      <w:pPr>
        <w:tabs>
          <w:tab w:val="left" w:pos="6804"/>
          <w:tab w:val="left" w:pos="7513"/>
        </w:tabs>
      </w:pPr>
      <w:r w:rsidRPr="002C65E7">
        <w:t>Tieslietu ministrs</w:t>
      </w:r>
      <w:r w:rsidRPr="002C65E7">
        <w:tab/>
        <w:t>A.Štokenbergs</w:t>
      </w:r>
    </w:p>
    <w:p w:rsidR="009E3E25" w:rsidRDefault="009E3E25" w:rsidP="009E3E25"/>
    <w:p w:rsidR="00247921" w:rsidRDefault="00247921" w:rsidP="009E3E25"/>
    <w:p w:rsidR="00247921" w:rsidRDefault="00247921" w:rsidP="009E3E25"/>
    <w:p w:rsidR="00247921" w:rsidRDefault="00247921" w:rsidP="009E3E25"/>
    <w:p w:rsidR="00247921" w:rsidRDefault="00247921" w:rsidP="009E3E25"/>
    <w:p w:rsidR="00247921" w:rsidRDefault="00247921" w:rsidP="009E3E25"/>
    <w:p w:rsidR="00247921" w:rsidRPr="002C65E7" w:rsidRDefault="00247921" w:rsidP="009E3E25"/>
    <w:p w:rsidR="00247921" w:rsidRDefault="00247921" w:rsidP="009E3E25">
      <w:pPr>
        <w:rPr>
          <w:color w:val="000000"/>
          <w:sz w:val="20"/>
          <w:szCs w:val="20"/>
        </w:rPr>
      </w:pPr>
      <w:r>
        <w:rPr>
          <w:color w:val="000000"/>
          <w:sz w:val="20"/>
          <w:szCs w:val="20"/>
          <w:lang w:val="ru-RU"/>
        </w:rPr>
        <w:t>09.09.2011 15:00</w:t>
      </w:r>
    </w:p>
    <w:p w:rsidR="009E3E25" w:rsidRPr="00247921" w:rsidRDefault="00247921" w:rsidP="009E3E25">
      <w:pPr>
        <w:rPr>
          <w:color w:val="000000"/>
          <w:sz w:val="20"/>
          <w:szCs w:val="20"/>
        </w:rPr>
      </w:pPr>
      <w:r>
        <w:rPr>
          <w:color w:val="000000"/>
          <w:sz w:val="20"/>
          <w:szCs w:val="20"/>
        </w:rPr>
        <w:t>2383</w:t>
      </w:r>
    </w:p>
    <w:p w:rsidR="009E3E25" w:rsidRPr="00247921" w:rsidRDefault="00F51928" w:rsidP="009E3E25">
      <w:pPr>
        <w:jc w:val="both"/>
        <w:rPr>
          <w:sz w:val="20"/>
          <w:szCs w:val="20"/>
        </w:rPr>
      </w:pPr>
      <w:r w:rsidRPr="00247921">
        <w:rPr>
          <w:sz w:val="20"/>
          <w:szCs w:val="20"/>
        </w:rPr>
        <w:t>Olga Paipala</w:t>
      </w:r>
    </w:p>
    <w:p w:rsidR="009E3E25" w:rsidRPr="002C65E7" w:rsidRDefault="009E3E25" w:rsidP="009E3E25">
      <w:pPr>
        <w:rPr>
          <w:sz w:val="20"/>
          <w:szCs w:val="20"/>
        </w:rPr>
      </w:pPr>
      <w:r w:rsidRPr="00247921">
        <w:rPr>
          <w:color w:val="000000"/>
          <w:sz w:val="20"/>
          <w:szCs w:val="20"/>
        </w:rPr>
        <w:t xml:space="preserve">67036934, </w:t>
      </w:r>
      <w:r w:rsidRPr="00247921">
        <w:rPr>
          <w:sz w:val="20"/>
          <w:szCs w:val="20"/>
        </w:rPr>
        <w:t>olga.paipala@tm.gov.lv</w:t>
      </w:r>
    </w:p>
    <w:sectPr w:rsidR="009E3E25" w:rsidRPr="002C65E7" w:rsidSect="00F91014">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89" w:rsidRDefault="004C2689" w:rsidP="009E3E25">
      <w:r>
        <w:separator/>
      </w:r>
    </w:p>
  </w:endnote>
  <w:endnote w:type="continuationSeparator" w:id="0">
    <w:p w:rsidR="004C2689" w:rsidRDefault="004C2689" w:rsidP="009E3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89" w:rsidRDefault="004C2689" w:rsidP="00FC6669">
    <w:pPr>
      <w:pStyle w:val="Pamatteksts"/>
      <w:spacing w:after="0"/>
      <w:jc w:val="both"/>
      <w:rPr>
        <w:b w:val="0"/>
        <w:sz w:val="20"/>
      </w:rPr>
    </w:pPr>
  </w:p>
  <w:p w:rsidR="004C2689" w:rsidRPr="002C65E7" w:rsidRDefault="00247921" w:rsidP="00FC6669">
    <w:pPr>
      <w:pStyle w:val="Pamatteksts"/>
      <w:spacing w:after="0"/>
      <w:jc w:val="both"/>
      <w:rPr>
        <w:b w:val="0"/>
        <w:sz w:val="20"/>
      </w:rPr>
    </w:pPr>
    <w:r>
      <w:rPr>
        <w:b w:val="0"/>
        <w:sz w:val="20"/>
      </w:rPr>
      <w:t>TMAnot_0909</w:t>
    </w:r>
    <w:r w:rsidR="004C2689" w:rsidRPr="00247921">
      <w:rPr>
        <w:b w:val="0"/>
        <w:sz w:val="20"/>
      </w:rPr>
      <w:t>11_mernieks;</w:t>
    </w:r>
    <w:r w:rsidR="004C2689" w:rsidRPr="002C65E7">
      <w:rPr>
        <w:b w:val="0"/>
        <w:sz w:val="20"/>
      </w:rPr>
      <w:t xml:space="preserve"> </w:t>
    </w:r>
    <w:bookmarkStart w:id="1" w:name="OLE_LINK5"/>
    <w:bookmarkStart w:id="2" w:name="OLE_LINK6"/>
    <w:bookmarkStart w:id="3" w:name="OLE_LINK7"/>
    <w:r w:rsidR="004C2689" w:rsidRPr="002C65E7">
      <w:rPr>
        <w:b w:val="0"/>
        <w:sz w:val="20"/>
      </w:rPr>
      <w:t>Ministru kabineta rīkojuma projekta „Par valsts sabie</w:t>
    </w:r>
    <w:r w:rsidR="004C2689">
      <w:rPr>
        <w:b w:val="0"/>
        <w:sz w:val="20"/>
      </w:rPr>
      <w:t>drības ar ierobežotu atbildību „Latvijas Valsts mērnieks”</w:t>
    </w:r>
    <w:r w:rsidR="004C2689" w:rsidRPr="002C65E7">
      <w:rPr>
        <w:b w:val="0"/>
        <w:sz w:val="20"/>
      </w:rPr>
      <w:t xml:space="preserve"> pamatkapitāla daļu pārdošanu” sākotnējās ietekmes novērtējuma ziņojums (anotācija)</w:t>
    </w:r>
  </w:p>
  <w:bookmarkEnd w:id="1"/>
  <w:bookmarkEnd w:id="2"/>
  <w:bookmarkEnd w:id="3"/>
  <w:p w:rsidR="004C2689" w:rsidRPr="002C65E7" w:rsidRDefault="004C2689" w:rsidP="00FC6669">
    <w:pPr>
      <w:pStyle w:val="Kjene"/>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89" w:rsidRPr="002C65E7" w:rsidRDefault="00247921" w:rsidP="00FC6669">
    <w:pPr>
      <w:pStyle w:val="Pamatteksts"/>
      <w:spacing w:after="0"/>
      <w:jc w:val="both"/>
      <w:rPr>
        <w:b w:val="0"/>
        <w:sz w:val="20"/>
      </w:rPr>
    </w:pPr>
    <w:bookmarkStart w:id="4" w:name="OLE_LINK1"/>
    <w:bookmarkStart w:id="5" w:name="OLE_LINK2"/>
    <w:r w:rsidRPr="00247921">
      <w:rPr>
        <w:b w:val="0"/>
        <w:sz w:val="20"/>
      </w:rPr>
      <w:t>TMAnot_0909</w:t>
    </w:r>
    <w:r w:rsidR="004C2689" w:rsidRPr="00247921">
      <w:rPr>
        <w:b w:val="0"/>
        <w:sz w:val="20"/>
      </w:rPr>
      <w:t xml:space="preserve">11_mernieks; </w:t>
    </w:r>
    <w:bookmarkStart w:id="6" w:name="OLE_LINK3"/>
    <w:bookmarkStart w:id="7" w:name="OLE_LINK4"/>
    <w:bookmarkStart w:id="8" w:name="_Hlk295911875"/>
    <w:r w:rsidR="004C2689" w:rsidRPr="00247921">
      <w:rPr>
        <w:b w:val="0"/>
        <w:sz w:val="20"/>
      </w:rPr>
      <w:t>Ministru kabineta rīkojuma projekta „Par valsts sabiedrības ar ierobežotu atbildību „Latvijas Valsts mērnieks” pamatkapitāla daļu</w:t>
    </w:r>
    <w:r w:rsidR="004C2689" w:rsidRPr="002C65E7">
      <w:rPr>
        <w:b w:val="0"/>
        <w:sz w:val="20"/>
      </w:rPr>
      <w:t xml:space="preserve"> pārdošanu” sākotnējās ietekmes novērtējuma ziņojums (anotācija)</w:t>
    </w:r>
    <w:bookmarkEnd w:id="4"/>
    <w:bookmarkEnd w:id="5"/>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89" w:rsidRDefault="004C2689" w:rsidP="009E3E25">
      <w:r>
        <w:separator/>
      </w:r>
    </w:p>
  </w:footnote>
  <w:footnote w:type="continuationSeparator" w:id="0">
    <w:p w:rsidR="004C2689" w:rsidRDefault="004C2689" w:rsidP="009E3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89" w:rsidRDefault="00EB3641" w:rsidP="00FC6669">
    <w:pPr>
      <w:pStyle w:val="Galvene"/>
      <w:framePr w:wrap="around" w:vAnchor="text" w:hAnchor="margin" w:xAlign="center" w:y="1"/>
      <w:rPr>
        <w:rStyle w:val="Lappusesnumurs"/>
      </w:rPr>
    </w:pPr>
    <w:r>
      <w:rPr>
        <w:rStyle w:val="Lappusesnumurs"/>
      </w:rPr>
      <w:fldChar w:fldCharType="begin"/>
    </w:r>
    <w:r w:rsidR="004C2689">
      <w:rPr>
        <w:rStyle w:val="Lappusesnumurs"/>
      </w:rPr>
      <w:instrText xml:space="preserve">PAGE  </w:instrText>
    </w:r>
    <w:r>
      <w:rPr>
        <w:rStyle w:val="Lappusesnumurs"/>
      </w:rPr>
      <w:fldChar w:fldCharType="end"/>
    </w:r>
  </w:p>
  <w:p w:rsidR="004C2689" w:rsidRDefault="004C268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89" w:rsidRDefault="00EB3641" w:rsidP="00FC6669">
    <w:pPr>
      <w:pStyle w:val="Galvene"/>
      <w:framePr w:wrap="around" w:vAnchor="text" w:hAnchor="margin" w:xAlign="center" w:y="1"/>
      <w:rPr>
        <w:rStyle w:val="Lappusesnumurs"/>
      </w:rPr>
    </w:pPr>
    <w:r>
      <w:rPr>
        <w:rStyle w:val="Lappusesnumurs"/>
      </w:rPr>
      <w:fldChar w:fldCharType="begin"/>
    </w:r>
    <w:r w:rsidR="004C2689">
      <w:rPr>
        <w:rStyle w:val="Lappusesnumurs"/>
      </w:rPr>
      <w:instrText xml:space="preserve">PAGE  </w:instrText>
    </w:r>
    <w:r>
      <w:rPr>
        <w:rStyle w:val="Lappusesnumurs"/>
      </w:rPr>
      <w:fldChar w:fldCharType="separate"/>
    </w:r>
    <w:r w:rsidR="00247921">
      <w:rPr>
        <w:rStyle w:val="Lappusesnumurs"/>
        <w:noProof/>
      </w:rPr>
      <w:t>9</w:t>
    </w:r>
    <w:r>
      <w:rPr>
        <w:rStyle w:val="Lappusesnumurs"/>
      </w:rPr>
      <w:fldChar w:fldCharType="end"/>
    </w:r>
  </w:p>
  <w:p w:rsidR="004C2689" w:rsidRDefault="004C2689">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3E25"/>
    <w:rsid w:val="00017675"/>
    <w:rsid w:val="00056ABE"/>
    <w:rsid w:val="000A6FDA"/>
    <w:rsid w:val="000C509F"/>
    <w:rsid w:val="000E0C68"/>
    <w:rsid w:val="000F742E"/>
    <w:rsid w:val="001C378F"/>
    <w:rsid w:val="001E634D"/>
    <w:rsid w:val="00247921"/>
    <w:rsid w:val="00275819"/>
    <w:rsid w:val="0032215E"/>
    <w:rsid w:val="00364568"/>
    <w:rsid w:val="003A38C1"/>
    <w:rsid w:val="00425E41"/>
    <w:rsid w:val="004C2689"/>
    <w:rsid w:val="004D1776"/>
    <w:rsid w:val="004D28D3"/>
    <w:rsid w:val="00523F54"/>
    <w:rsid w:val="0053325A"/>
    <w:rsid w:val="00590956"/>
    <w:rsid w:val="005B7CCD"/>
    <w:rsid w:val="006C3D44"/>
    <w:rsid w:val="00703566"/>
    <w:rsid w:val="0074073C"/>
    <w:rsid w:val="00762ABF"/>
    <w:rsid w:val="007B7D18"/>
    <w:rsid w:val="007C1E8D"/>
    <w:rsid w:val="00836E1B"/>
    <w:rsid w:val="0097265B"/>
    <w:rsid w:val="00984DD6"/>
    <w:rsid w:val="009E3E25"/>
    <w:rsid w:val="00A13EAC"/>
    <w:rsid w:val="00A21003"/>
    <w:rsid w:val="00AB1686"/>
    <w:rsid w:val="00B537D0"/>
    <w:rsid w:val="00BC62F2"/>
    <w:rsid w:val="00BD0454"/>
    <w:rsid w:val="00C74BFD"/>
    <w:rsid w:val="00C91790"/>
    <w:rsid w:val="00CE3F1E"/>
    <w:rsid w:val="00DC30B2"/>
    <w:rsid w:val="00DF2613"/>
    <w:rsid w:val="00E51B1F"/>
    <w:rsid w:val="00EB3641"/>
    <w:rsid w:val="00F20EFC"/>
    <w:rsid w:val="00F51928"/>
    <w:rsid w:val="00F91014"/>
    <w:rsid w:val="00FC6669"/>
    <w:rsid w:val="00FF0D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E3E2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rsid w:val="009E3E25"/>
    <w:pPr>
      <w:spacing w:before="100" w:beforeAutospacing="1" w:after="100" w:afterAutospacing="1"/>
    </w:pPr>
    <w:rPr>
      <w:rFonts w:ascii="Verdana" w:hAnsi="Verdana"/>
      <w:sz w:val="18"/>
      <w:szCs w:val="18"/>
    </w:rPr>
  </w:style>
  <w:style w:type="paragraph" w:styleId="Galvene">
    <w:name w:val="header"/>
    <w:basedOn w:val="Parastais"/>
    <w:link w:val="GalveneRakstz"/>
    <w:rsid w:val="009E3E25"/>
    <w:pPr>
      <w:tabs>
        <w:tab w:val="center" w:pos="4153"/>
        <w:tab w:val="right" w:pos="8306"/>
      </w:tabs>
    </w:pPr>
  </w:style>
  <w:style w:type="character" w:customStyle="1" w:styleId="GalveneRakstz">
    <w:name w:val="Galvene Rakstz."/>
    <w:basedOn w:val="Noklusjumarindkopasfonts"/>
    <w:link w:val="Galvene"/>
    <w:rsid w:val="009E3E25"/>
    <w:rPr>
      <w:rFonts w:ascii="Times New Roman" w:eastAsia="Times New Roman" w:hAnsi="Times New Roman" w:cs="Times New Roman"/>
      <w:sz w:val="24"/>
      <w:szCs w:val="24"/>
      <w:lang w:eastAsia="lv-LV"/>
    </w:rPr>
  </w:style>
  <w:style w:type="character" w:styleId="Lappusesnumurs">
    <w:name w:val="page number"/>
    <w:basedOn w:val="Noklusjumarindkopasfonts"/>
    <w:rsid w:val="009E3E25"/>
  </w:style>
  <w:style w:type="paragraph" w:styleId="Kjene">
    <w:name w:val="footer"/>
    <w:basedOn w:val="Parastais"/>
    <w:link w:val="KjeneRakstz"/>
    <w:rsid w:val="009E3E25"/>
    <w:pPr>
      <w:tabs>
        <w:tab w:val="center" w:pos="4153"/>
        <w:tab w:val="right" w:pos="8306"/>
      </w:tabs>
    </w:pPr>
  </w:style>
  <w:style w:type="character" w:customStyle="1" w:styleId="KjeneRakstz">
    <w:name w:val="Kājene Rakstz."/>
    <w:basedOn w:val="Noklusjumarindkopasfonts"/>
    <w:link w:val="Kjene"/>
    <w:rsid w:val="009E3E25"/>
    <w:rPr>
      <w:rFonts w:ascii="Times New Roman" w:eastAsia="Times New Roman" w:hAnsi="Times New Roman" w:cs="Times New Roman"/>
      <w:sz w:val="24"/>
      <w:szCs w:val="24"/>
      <w:lang w:eastAsia="lv-LV"/>
    </w:rPr>
  </w:style>
  <w:style w:type="paragraph" w:styleId="Pamatteksts">
    <w:name w:val="Body Text"/>
    <w:basedOn w:val="Parastais"/>
    <w:link w:val="PamattekstsRakstz"/>
    <w:rsid w:val="009E3E25"/>
    <w:pPr>
      <w:spacing w:after="120"/>
      <w:jc w:val="center"/>
    </w:pPr>
    <w:rPr>
      <w:b/>
      <w:color w:val="000000"/>
      <w:sz w:val="28"/>
      <w:szCs w:val="20"/>
    </w:rPr>
  </w:style>
  <w:style w:type="character" w:customStyle="1" w:styleId="PamattekstsRakstz">
    <w:name w:val="Pamatteksts Rakstz."/>
    <w:basedOn w:val="Noklusjumarindkopasfonts"/>
    <w:link w:val="Pamatteksts"/>
    <w:rsid w:val="009E3E25"/>
    <w:rPr>
      <w:rFonts w:ascii="Times New Roman" w:eastAsia="Times New Roman" w:hAnsi="Times New Roman" w:cs="Times New Roman"/>
      <w:b/>
      <w:color w:val="000000"/>
      <w:sz w:val="28"/>
      <w:szCs w:val="20"/>
      <w:lang w:eastAsia="lv-LV"/>
    </w:rPr>
  </w:style>
  <w:style w:type="paragraph" w:customStyle="1" w:styleId="naispant">
    <w:name w:val="naispant"/>
    <w:basedOn w:val="Parastais"/>
    <w:rsid w:val="009E3E25"/>
    <w:pPr>
      <w:spacing w:before="100" w:beforeAutospacing="1" w:after="100" w:afterAutospacing="1"/>
    </w:pPr>
    <w:rPr>
      <w:lang w:val="en-US" w:eastAsia="en-US"/>
    </w:rPr>
  </w:style>
  <w:style w:type="character" w:styleId="Hipersaite">
    <w:name w:val="Hyperlink"/>
    <w:uiPriority w:val="99"/>
    <w:rsid w:val="009E3E25"/>
    <w:rPr>
      <w:color w:val="0000FF"/>
      <w:u w:val="single"/>
    </w:rPr>
  </w:style>
  <w:style w:type="paragraph" w:customStyle="1" w:styleId="naisc">
    <w:name w:val="naisc"/>
    <w:basedOn w:val="Parastais"/>
    <w:rsid w:val="009E3E25"/>
    <w:pPr>
      <w:spacing w:before="100" w:beforeAutospacing="1" w:after="100" w:afterAutospacing="1"/>
      <w:jc w:val="center"/>
    </w:pPr>
    <w:rPr>
      <w:sz w:val="26"/>
      <w:szCs w:val="26"/>
      <w:lang w:eastAsia="en-US"/>
    </w:rPr>
  </w:style>
  <w:style w:type="paragraph" w:customStyle="1" w:styleId="naisf">
    <w:name w:val="naisf"/>
    <w:basedOn w:val="Parastais"/>
    <w:rsid w:val="009E3E25"/>
    <w:pPr>
      <w:spacing w:before="75" w:after="75"/>
      <w:ind w:firstLine="375"/>
      <w:jc w:val="both"/>
    </w:pPr>
  </w:style>
  <w:style w:type="paragraph" w:customStyle="1" w:styleId="naisnod">
    <w:name w:val="naisnod"/>
    <w:basedOn w:val="Parastais"/>
    <w:rsid w:val="009E3E25"/>
    <w:pPr>
      <w:spacing w:before="150" w:after="150"/>
      <w:jc w:val="center"/>
    </w:pPr>
    <w:rPr>
      <w:b/>
      <w:bCs/>
    </w:rPr>
  </w:style>
  <w:style w:type="character" w:customStyle="1" w:styleId="spelle">
    <w:name w:val="spelle"/>
    <w:basedOn w:val="Noklusjumarindkopasfonts"/>
    <w:rsid w:val="009E3E25"/>
  </w:style>
  <w:style w:type="paragraph" w:customStyle="1" w:styleId="naiskr">
    <w:name w:val="naiskr"/>
    <w:basedOn w:val="Parastais"/>
    <w:rsid w:val="00AB1686"/>
    <w:pPr>
      <w:spacing w:before="75" w:after="7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12223</Words>
  <Characters>6968</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Ministru kabineta rīkojuma projekta „Par valsts sabiedrības ar ierobežotu atbildību „Latvijas Valsts mērnieks” pamatkapitāla daļu pārdošanu” sākotnējās ietekmes novērtējuma ziņojums (anotācija)</vt:lpstr>
    </vt:vector>
  </TitlesOfParts>
  <Company>Tieslietu Ministrija</Company>
  <LinksUpToDate>false</LinksUpToDate>
  <CharactersWithSpaces>19153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„Latvijas Valsts mērnieks” pamatkapitāla daļu pārdošanu” sākotnējās ietekmes novērtējuma ziņojums (anotācija)</dc:title>
  <dc:subject>Anotācija</dc:subject>
  <dc:creator>Olga Paipala</dc:creator>
  <cp:keywords/>
  <dc:description>olga.paipala@tm.gov.lv
67036934</dc:description>
  <cp:lastModifiedBy>op1301</cp:lastModifiedBy>
  <cp:revision>7</cp:revision>
  <dcterms:created xsi:type="dcterms:W3CDTF">2011-08-29T10:03:00Z</dcterms:created>
  <dcterms:modified xsi:type="dcterms:W3CDTF">2011-09-09T12:00:00Z</dcterms:modified>
</cp:coreProperties>
</file>