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C8" w:rsidRPr="00C85779" w:rsidRDefault="00C01EC8" w:rsidP="00C01EC8">
      <w:pPr>
        <w:jc w:val="center"/>
        <w:rPr>
          <w:b/>
          <w:sz w:val="28"/>
          <w:szCs w:val="28"/>
        </w:rPr>
      </w:pPr>
      <w:bookmarkStart w:id="0" w:name="OLE_LINK5"/>
      <w:bookmarkStart w:id="1" w:name="OLE_LINK6"/>
      <w:bookmarkStart w:id="2" w:name="OLE_LINK1"/>
      <w:bookmarkStart w:id="3" w:name="OLE_LINK2"/>
      <w:bookmarkStart w:id="4" w:name="OLE_LINK3"/>
      <w:r w:rsidRPr="00C85779">
        <w:rPr>
          <w:b/>
          <w:sz w:val="28"/>
          <w:szCs w:val="28"/>
        </w:rPr>
        <w:t>Ministru kabineta noteikumu projekta „</w:t>
      </w:r>
      <w:r w:rsidR="00271110" w:rsidRPr="00C85779">
        <w:rPr>
          <w:b/>
          <w:bCs/>
          <w:sz w:val="28"/>
          <w:szCs w:val="28"/>
        </w:rPr>
        <w:t>Gr</w:t>
      </w:r>
      <w:r w:rsidR="003C738C" w:rsidRPr="00C85779">
        <w:rPr>
          <w:b/>
          <w:bCs/>
          <w:sz w:val="28"/>
          <w:szCs w:val="28"/>
        </w:rPr>
        <w:t>ozījumi Ministru kabineta 2008.</w:t>
      </w:r>
      <w:r w:rsidR="0031456D" w:rsidRPr="00C85779">
        <w:rPr>
          <w:b/>
          <w:bCs/>
          <w:sz w:val="28"/>
          <w:szCs w:val="28"/>
        </w:rPr>
        <w:t> </w:t>
      </w:r>
      <w:r w:rsidR="003C738C" w:rsidRPr="00C85779">
        <w:rPr>
          <w:b/>
          <w:bCs/>
          <w:sz w:val="28"/>
          <w:szCs w:val="28"/>
        </w:rPr>
        <w:t>gada 30.</w:t>
      </w:r>
      <w:r w:rsidR="0031456D" w:rsidRPr="00C85779">
        <w:rPr>
          <w:b/>
          <w:bCs/>
          <w:sz w:val="28"/>
          <w:szCs w:val="28"/>
        </w:rPr>
        <w:t> </w:t>
      </w:r>
      <w:r w:rsidR="003C738C" w:rsidRPr="00C85779">
        <w:rPr>
          <w:b/>
          <w:bCs/>
          <w:sz w:val="28"/>
          <w:szCs w:val="28"/>
        </w:rPr>
        <w:t>jūnija noteikumos Nr.</w:t>
      </w:r>
      <w:r w:rsidR="0031456D" w:rsidRPr="00C85779">
        <w:rPr>
          <w:b/>
          <w:bCs/>
          <w:sz w:val="28"/>
          <w:szCs w:val="28"/>
        </w:rPr>
        <w:t> </w:t>
      </w:r>
      <w:r w:rsidR="00271110" w:rsidRPr="00C85779">
        <w:rPr>
          <w:b/>
          <w:bCs/>
          <w:sz w:val="28"/>
          <w:szCs w:val="28"/>
        </w:rPr>
        <w:t>485 „Zvērinātu notāru eksāmena un kvalifikācijas pārbaudes kārtība”</w:t>
      </w:r>
      <w:bookmarkEnd w:id="0"/>
      <w:bookmarkEnd w:id="1"/>
      <w:r w:rsidR="00521D58" w:rsidRPr="00C85779">
        <w:rPr>
          <w:b/>
          <w:bCs/>
          <w:sz w:val="28"/>
          <w:szCs w:val="28"/>
        </w:rPr>
        <w:t>”</w:t>
      </w:r>
      <w:r w:rsidR="00271110" w:rsidRPr="00C85779">
        <w:rPr>
          <w:b/>
          <w:bCs/>
          <w:sz w:val="28"/>
          <w:szCs w:val="28"/>
        </w:rPr>
        <w:t xml:space="preserve"> </w:t>
      </w:r>
      <w:r w:rsidRPr="00C85779">
        <w:rPr>
          <w:b/>
          <w:sz w:val="28"/>
          <w:szCs w:val="28"/>
        </w:rPr>
        <w:t>sākotnējās ietekmes novērtējuma ziņojums (anotācija)</w:t>
      </w:r>
    </w:p>
    <w:bookmarkEnd w:id="2"/>
    <w:bookmarkEnd w:id="3"/>
    <w:bookmarkEnd w:id="4"/>
    <w:p w:rsidR="008C5649" w:rsidRPr="00C85779" w:rsidRDefault="008C5649" w:rsidP="00214094">
      <w:pPr>
        <w:pStyle w:val="naislab"/>
        <w:spacing w:before="0" w:after="0"/>
        <w:jc w:val="center"/>
        <w:outlineLvl w:val="0"/>
        <w:rPr>
          <w:b/>
          <w:sz w:val="28"/>
          <w:szCs w:val="28"/>
        </w:rPr>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3"/>
        <w:gridCol w:w="2206"/>
        <w:gridCol w:w="6804"/>
      </w:tblGrid>
      <w:tr w:rsidR="00852042" w:rsidRPr="00C85779" w:rsidTr="0046258F">
        <w:tc>
          <w:tcPr>
            <w:tcW w:w="9503" w:type="dxa"/>
            <w:gridSpan w:val="3"/>
            <w:vAlign w:val="center"/>
          </w:tcPr>
          <w:p w:rsidR="00852042" w:rsidRPr="00C85779" w:rsidRDefault="00852042" w:rsidP="006C4607">
            <w:pPr>
              <w:pStyle w:val="naisnod"/>
              <w:spacing w:before="0" w:after="0"/>
              <w:rPr>
                <w:sz w:val="28"/>
                <w:szCs w:val="28"/>
              </w:rPr>
            </w:pPr>
            <w:r w:rsidRPr="00C85779">
              <w:rPr>
                <w:sz w:val="28"/>
                <w:szCs w:val="28"/>
              </w:rPr>
              <w:t>I</w:t>
            </w:r>
            <w:r w:rsidR="000941C5" w:rsidRPr="00C85779">
              <w:rPr>
                <w:sz w:val="28"/>
                <w:szCs w:val="28"/>
              </w:rPr>
              <w:t>.</w:t>
            </w:r>
            <w:r w:rsidRPr="00C85779">
              <w:rPr>
                <w:sz w:val="28"/>
                <w:szCs w:val="28"/>
              </w:rPr>
              <w:t xml:space="preserve"> Tiesību akta </w:t>
            </w:r>
            <w:r w:rsidR="002E3FF4" w:rsidRPr="00C85779">
              <w:rPr>
                <w:sz w:val="28"/>
                <w:szCs w:val="28"/>
              </w:rPr>
              <w:t xml:space="preserve">projekta </w:t>
            </w:r>
            <w:r w:rsidRPr="00C85779">
              <w:rPr>
                <w:sz w:val="28"/>
                <w:szCs w:val="28"/>
              </w:rPr>
              <w:t>izstrādes nepieciešamība</w:t>
            </w:r>
          </w:p>
        </w:tc>
      </w:tr>
      <w:tr w:rsidR="00262E2B" w:rsidRPr="00C85779" w:rsidTr="0046258F">
        <w:trPr>
          <w:trHeight w:val="630"/>
        </w:trPr>
        <w:tc>
          <w:tcPr>
            <w:tcW w:w="493" w:type="dxa"/>
          </w:tcPr>
          <w:p w:rsidR="00262E2B" w:rsidRPr="00C85779" w:rsidRDefault="00262E2B" w:rsidP="006C4607">
            <w:pPr>
              <w:pStyle w:val="naiskr"/>
              <w:spacing w:before="0" w:after="0"/>
              <w:rPr>
                <w:sz w:val="28"/>
                <w:szCs w:val="28"/>
              </w:rPr>
            </w:pPr>
            <w:r w:rsidRPr="00C85779">
              <w:rPr>
                <w:sz w:val="28"/>
                <w:szCs w:val="28"/>
              </w:rPr>
              <w:t>1.</w:t>
            </w:r>
          </w:p>
        </w:tc>
        <w:tc>
          <w:tcPr>
            <w:tcW w:w="2206" w:type="dxa"/>
          </w:tcPr>
          <w:p w:rsidR="00262E2B" w:rsidRPr="00C85779" w:rsidRDefault="002D7F54" w:rsidP="006C4607">
            <w:pPr>
              <w:pStyle w:val="naiskr"/>
              <w:spacing w:before="0" w:after="0"/>
              <w:ind w:hanging="10"/>
              <w:rPr>
                <w:sz w:val="28"/>
                <w:szCs w:val="28"/>
              </w:rPr>
            </w:pPr>
            <w:r w:rsidRPr="00C85779">
              <w:rPr>
                <w:sz w:val="28"/>
                <w:szCs w:val="28"/>
              </w:rPr>
              <w:t>Pamatojums</w:t>
            </w:r>
          </w:p>
        </w:tc>
        <w:tc>
          <w:tcPr>
            <w:tcW w:w="6804" w:type="dxa"/>
          </w:tcPr>
          <w:p w:rsidR="00262E2B" w:rsidRPr="00C85779" w:rsidRDefault="00D87BA4" w:rsidP="001A064C">
            <w:pPr>
              <w:pStyle w:val="naiskr"/>
              <w:spacing w:before="0" w:after="0"/>
              <w:ind w:right="81" w:firstLine="283"/>
              <w:jc w:val="both"/>
              <w:rPr>
                <w:sz w:val="28"/>
                <w:szCs w:val="28"/>
              </w:rPr>
            </w:pPr>
            <w:r w:rsidRPr="00C85779">
              <w:rPr>
                <w:sz w:val="28"/>
                <w:szCs w:val="28"/>
              </w:rPr>
              <w:t>Nav attiecināms</w:t>
            </w:r>
            <w:r w:rsidR="00685C82" w:rsidRPr="00C85779">
              <w:rPr>
                <w:sz w:val="28"/>
                <w:szCs w:val="28"/>
              </w:rPr>
              <w:t>.</w:t>
            </w:r>
          </w:p>
        </w:tc>
      </w:tr>
      <w:tr w:rsidR="00262E2B" w:rsidRPr="00C85779" w:rsidTr="0046258F">
        <w:trPr>
          <w:trHeight w:val="472"/>
        </w:trPr>
        <w:tc>
          <w:tcPr>
            <w:tcW w:w="493" w:type="dxa"/>
          </w:tcPr>
          <w:p w:rsidR="00262E2B" w:rsidRPr="00C85779" w:rsidRDefault="00262E2B" w:rsidP="006C4607">
            <w:pPr>
              <w:pStyle w:val="naiskr"/>
              <w:spacing w:before="0" w:after="0"/>
              <w:rPr>
                <w:sz w:val="28"/>
                <w:szCs w:val="28"/>
              </w:rPr>
            </w:pPr>
            <w:r w:rsidRPr="00C85779">
              <w:rPr>
                <w:sz w:val="28"/>
                <w:szCs w:val="28"/>
              </w:rPr>
              <w:t>2.</w:t>
            </w:r>
          </w:p>
        </w:tc>
        <w:tc>
          <w:tcPr>
            <w:tcW w:w="2206" w:type="dxa"/>
          </w:tcPr>
          <w:p w:rsidR="00262E2B" w:rsidRPr="00C85779" w:rsidRDefault="00262E2B" w:rsidP="006C4607">
            <w:pPr>
              <w:pStyle w:val="naiskr"/>
              <w:tabs>
                <w:tab w:val="left" w:pos="170"/>
              </w:tabs>
              <w:spacing w:before="0" w:after="0"/>
              <w:rPr>
                <w:sz w:val="28"/>
                <w:szCs w:val="28"/>
              </w:rPr>
            </w:pPr>
            <w:r w:rsidRPr="00C85779">
              <w:rPr>
                <w:sz w:val="28"/>
                <w:szCs w:val="28"/>
              </w:rPr>
              <w:t>Pašreizējā situācija</w:t>
            </w:r>
            <w:r w:rsidR="001F5CD6" w:rsidRPr="00C85779">
              <w:rPr>
                <w:sz w:val="28"/>
                <w:szCs w:val="28"/>
              </w:rPr>
              <w:t xml:space="preserve"> un problēmas</w:t>
            </w:r>
          </w:p>
        </w:tc>
        <w:tc>
          <w:tcPr>
            <w:tcW w:w="6804" w:type="dxa"/>
          </w:tcPr>
          <w:p w:rsidR="00CE3BDE" w:rsidRPr="00C85779" w:rsidRDefault="00C55A47" w:rsidP="00A07613">
            <w:pPr>
              <w:pStyle w:val="naisf"/>
              <w:spacing w:before="0" w:after="0"/>
              <w:rPr>
                <w:sz w:val="28"/>
                <w:szCs w:val="28"/>
              </w:rPr>
            </w:pPr>
            <w:r w:rsidRPr="00C85779">
              <w:rPr>
                <w:sz w:val="28"/>
                <w:szCs w:val="28"/>
              </w:rPr>
              <w:t xml:space="preserve">[1] </w:t>
            </w:r>
            <w:r w:rsidR="00C01EC8" w:rsidRPr="00C85779">
              <w:rPr>
                <w:sz w:val="28"/>
                <w:szCs w:val="28"/>
              </w:rPr>
              <w:t xml:space="preserve">Saskaņā ar </w:t>
            </w:r>
            <w:r w:rsidR="003C738C" w:rsidRPr="00C85779">
              <w:rPr>
                <w:bCs/>
                <w:sz w:val="28"/>
                <w:szCs w:val="28"/>
              </w:rPr>
              <w:t>Ministru kabineta 2008.</w:t>
            </w:r>
            <w:r w:rsidR="0031456D" w:rsidRPr="00C85779">
              <w:rPr>
                <w:bCs/>
                <w:sz w:val="28"/>
                <w:szCs w:val="28"/>
              </w:rPr>
              <w:t> </w:t>
            </w:r>
            <w:r w:rsidR="00271110" w:rsidRPr="00C85779">
              <w:rPr>
                <w:bCs/>
                <w:sz w:val="28"/>
                <w:szCs w:val="28"/>
              </w:rPr>
              <w:t>gada 30.</w:t>
            </w:r>
            <w:r w:rsidR="0031456D" w:rsidRPr="00C85779">
              <w:rPr>
                <w:bCs/>
                <w:sz w:val="28"/>
                <w:szCs w:val="28"/>
              </w:rPr>
              <w:t> </w:t>
            </w:r>
            <w:r w:rsidR="003C738C" w:rsidRPr="00C85779">
              <w:rPr>
                <w:bCs/>
                <w:sz w:val="28"/>
                <w:szCs w:val="28"/>
              </w:rPr>
              <w:t>jūnija noteikumu Nr.</w:t>
            </w:r>
            <w:r w:rsidR="0031456D" w:rsidRPr="00C85779">
              <w:rPr>
                <w:bCs/>
                <w:sz w:val="28"/>
                <w:szCs w:val="28"/>
              </w:rPr>
              <w:t> </w:t>
            </w:r>
            <w:r w:rsidR="00271110" w:rsidRPr="00C85779">
              <w:rPr>
                <w:bCs/>
                <w:sz w:val="28"/>
                <w:szCs w:val="28"/>
              </w:rPr>
              <w:t xml:space="preserve">485 „Zvērinātu notāru eksāmena un kvalifikācijas pārbaudes kārtība” </w:t>
            </w:r>
            <w:r w:rsidR="001C1F0C" w:rsidRPr="00C85779">
              <w:rPr>
                <w:bCs/>
                <w:sz w:val="28"/>
                <w:szCs w:val="28"/>
              </w:rPr>
              <w:t xml:space="preserve">(turpmāk – Noteikumi Nr. 485) </w:t>
            </w:r>
            <w:r w:rsidR="00271110" w:rsidRPr="00C85779">
              <w:rPr>
                <w:bCs/>
                <w:sz w:val="28"/>
                <w:szCs w:val="28"/>
              </w:rPr>
              <w:t>22.</w:t>
            </w:r>
            <w:r w:rsidR="0031456D" w:rsidRPr="00C85779">
              <w:rPr>
                <w:bCs/>
                <w:sz w:val="28"/>
                <w:szCs w:val="28"/>
              </w:rPr>
              <w:t> </w:t>
            </w:r>
            <w:r w:rsidR="00271110" w:rsidRPr="00C85779">
              <w:rPr>
                <w:bCs/>
                <w:sz w:val="28"/>
                <w:szCs w:val="28"/>
              </w:rPr>
              <w:t xml:space="preserve">punktu </w:t>
            </w:r>
            <w:r w:rsidR="00CE3BDE" w:rsidRPr="00C85779">
              <w:rPr>
                <w:bCs/>
                <w:sz w:val="28"/>
                <w:szCs w:val="28"/>
              </w:rPr>
              <w:t>e</w:t>
            </w:r>
            <w:r w:rsidR="00CE3BDE" w:rsidRPr="00C85779">
              <w:rPr>
                <w:sz w:val="28"/>
                <w:szCs w:val="28"/>
              </w:rPr>
              <w:t>ksāmenam un ārkārtas kvalifikācijas pārbaudei ir trīs daļas: pirmajā daļā pārbauda pretendenta vai zvērināta notāra praktiskās zināšanas un prasmes, uzdodot sagatavot zvērināta notāra darbībā nepieciešamo dokumentu projektus; otrajā daļā pārbauda pretendenta vai zvērināta notāra teorētiskās zināšanas un prasmes, uzdodot sagatavot atbildes uz diviem teorijas jautājumiem un vienu prakses jautājumu (kāzusu); trešajā daļā pārbauda pretendenta vai zvērināta notāra sociālo kompetenci un sociālo intelektu, intervijas veidā novērtējot pretendenta vai zvērināta notāra komunikācijas un organizatoriskās prasmes, personālvadības prasmes, konfliktu identificēšanas un risināšanas prasmes, sistēmiskas domāšanas prasmes, kā arī uzdodot citus ar sociālo intelektu un sociālo kompetenci saistītus jautājumus.</w:t>
            </w:r>
          </w:p>
          <w:p w:rsidR="005E1006" w:rsidRPr="00C85779" w:rsidRDefault="001C1F0C" w:rsidP="00A07613">
            <w:pPr>
              <w:pStyle w:val="naisf"/>
              <w:spacing w:before="0" w:after="0"/>
              <w:rPr>
                <w:bCs/>
                <w:sz w:val="28"/>
                <w:szCs w:val="28"/>
              </w:rPr>
            </w:pPr>
            <w:r w:rsidRPr="00C85779">
              <w:rPr>
                <w:bCs/>
                <w:sz w:val="28"/>
                <w:szCs w:val="28"/>
              </w:rPr>
              <w:t>N</w:t>
            </w:r>
            <w:r w:rsidR="005E1006" w:rsidRPr="00C85779">
              <w:rPr>
                <w:bCs/>
                <w:sz w:val="28"/>
                <w:szCs w:val="28"/>
              </w:rPr>
              <w:t>oteikumu Nr. 485 24.</w:t>
            </w:r>
            <w:r w:rsidR="00D32936" w:rsidRPr="00C85779">
              <w:rPr>
                <w:bCs/>
                <w:sz w:val="28"/>
                <w:szCs w:val="28"/>
              </w:rPr>
              <w:t> p</w:t>
            </w:r>
            <w:r w:rsidR="005E1006" w:rsidRPr="00C85779">
              <w:rPr>
                <w:bCs/>
                <w:sz w:val="28"/>
                <w:szCs w:val="28"/>
              </w:rPr>
              <w:t>unkts no</w:t>
            </w:r>
            <w:r w:rsidR="00D32936" w:rsidRPr="00C85779">
              <w:rPr>
                <w:bCs/>
                <w:sz w:val="28"/>
                <w:szCs w:val="28"/>
              </w:rPr>
              <w:t>teic</w:t>
            </w:r>
            <w:r w:rsidR="005E1006" w:rsidRPr="00C85779">
              <w:rPr>
                <w:bCs/>
                <w:sz w:val="28"/>
                <w:szCs w:val="28"/>
              </w:rPr>
              <w:t>, ka p</w:t>
            </w:r>
            <w:r w:rsidR="005E1006" w:rsidRPr="00C85779">
              <w:rPr>
                <w:sz w:val="28"/>
                <w:szCs w:val="28"/>
              </w:rPr>
              <w:t>retendents vai zvērināts notārs nav izturējis eksāmenu vai kvalifikācijas pārbaudi, ja viņš kādā no eksāmena vai kvalifikācijas pārbaudes</w:t>
            </w:r>
            <w:r w:rsidR="005E1006" w:rsidRPr="00C85779">
              <w:rPr>
                <w:b/>
                <w:bCs/>
                <w:sz w:val="28"/>
                <w:szCs w:val="28"/>
              </w:rPr>
              <w:t xml:space="preserve"> </w:t>
            </w:r>
            <w:r w:rsidR="005E1006" w:rsidRPr="00C85779">
              <w:rPr>
                <w:sz w:val="28"/>
                <w:szCs w:val="28"/>
              </w:rPr>
              <w:t>daļām ir saņēmis neapmierinošu vērtējumu.</w:t>
            </w:r>
            <w:r w:rsidR="005E1006" w:rsidRPr="00C85779">
              <w:rPr>
                <w:bCs/>
                <w:sz w:val="28"/>
                <w:szCs w:val="28"/>
              </w:rPr>
              <w:t xml:space="preserve"> </w:t>
            </w:r>
          </w:p>
          <w:p w:rsidR="001A064C" w:rsidRPr="00C85779" w:rsidRDefault="00D32936" w:rsidP="00A07613">
            <w:pPr>
              <w:pStyle w:val="naisf"/>
              <w:spacing w:before="0" w:after="0"/>
              <w:rPr>
                <w:sz w:val="28"/>
                <w:szCs w:val="28"/>
              </w:rPr>
            </w:pPr>
            <w:r w:rsidRPr="00C85779">
              <w:rPr>
                <w:bCs/>
                <w:sz w:val="28"/>
                <w:szCs w:val="28"/>
              </w:rPr>
              <w:t xml:space="preserve">Tiesiskais regulējums noteic zvērinātu notāru eksāmena un kvalifikācijas pārbaudes minēto daļu secību. Ņemot vērā </w:t>
            </w:r>
            <w:r w:rsidR="001C1F0C" w:rsidRPr="00C85779">
              <w:rPr>
                <w:bCs/>
                <w:sz w:val="28"/>
                <w:szCs w:val="28"/>
              </w:rPr>
              <w:t>N</w:t>
            </w:r>
            <w:r w:rsidRPr="00C85779">
              <w:rPr>
                <w:bCs/>
                <w:sz w:val="28"/>
                <w:szCs w:val="28"/>
              </w:rPr>
              <w:t xml:space="preserve">oteikumos </w:t>
            </w:r>
            <w:r w:rsidR="001C1F0C" w:rsidRPr="00C85779">
              <w:rPr>
                <w:bCs/>
                <w:sz w:val="28"/>
                <w:szCs w:val="28"/>
              </w:rPr>
              <w:t xml:space="preserve">Nr. 485 </w:t>
            </w:r>
            <w:r w:rsidRPr="00C85779">
              <w:rPr>
                <w:bCs/>
                <w:sz w:val="28"/>
                <w:szCs w:val="28"/>
              </w:rPr>
              <w:t>paredzēto regulējumu attiecībā uz attiecīgo eksāmena un kvalifikācijas pārbaudes daļu norisi un rezultātu vērtēšanu, praksē tika konstatēts, ka pretendenta vai zvērināta notāra sociālā</w:t>
            </w:r>
            <w:r w:rsidR="00D5458A" w:rsidRPr="00C85779">
              <w:rPr>
                <w:bCs/>
                <w:sz w:val="28"/>
                <w:szCs w:val="28"/>
              </w:rPr>
              <w:t>s</w:t>
            </w:r>
            <w:r w:rsidRPr="00C85779">
              <w:rPr>
                <w:bCs/>
                <w:sz w:val="28"/>
                <w:szCs w:val="28"/>
              </w:rPr>
              <w:t xml:space="preserve"> kompetence</w:t>
            </w:r>
            <w:r w:rsidR="00D5458A" w:rsidRPr="00C85779">
              <w:rPr>
                <w:bCs/>
                <w:sz w:val="28"/>
                <w:szCs w:val="28"/>
              </w:rPr>
              <w:t>s</w:t>
            </w:r>
            <w:r w:rsidRPr="00C85779">
              <w:rPr>
                <w:bCs/>
                <w:sz w:val="28"/>
                <w:szCs w:val="28"/>
              </w:rPr>
              <w:t xml:space="preserve"> un sociāl</w:t>
            </w:r>
            <w:r w:rsidR="00D5458A" w:rsidRPr="00C85779">
              <w:rPr>
                <w:bCs/>
                <w:sz w:val="28"/>
                <w:szCs w:val="28"/>
              </w:rPr>
              <w:t>ā</w:t>
            </w:r>
            <w:r w:rsidRPr="00C85779">
              <w:rPr>
                <w:bCs/>
                <w:sz w:val="28"/>
                <w:szCs w:val="28"/>
              </w:rPr>
              <w:t xml:space="preserve"> intelekt</w:t>
            </w:r>
            <w:r w:rsidR="00D5458A" w:rsidRPr="00C85779">
              <w:rPr>
                <w:bCs/>
                <w:sz w:val="28"/>
                <w:szCs w:val="28"/>
              </w:rPr>
              <w:t>a atbilstība zvērināta notāra amatam nepieciešamajām iemaņām ir konstatējam</w:t>
            </w:r>
            <w:r w:rsidR="001C1F0C" w:rsidRPr="00C85779">
              <w:rPr>
                <w:bCs/>
                <w:sz w:val="28"/>
                <w:szCs w:val="28"/>
              </w:rPr>
              <w:t>a</w:t>
            </w:r>
            <w:r w:rsidR="00D5458A" w:rsidRPr="00C85779">
              <w:rPr>
                <w:bCs/>
                <w:sz w:val="28"/>
                <w:szCs w:val="28"/>
              </w:rPr>
              <w:t xml:space="preserve"> pirms tiek pārbaudītas pretendentu vai zvērinātu notāru profesionālās zināšanas un prasmes, tādējādi </w:t>
            </w:r>
            <w:r w:rsidR="00D5458A" w:rsidRPr="00C85779">
              <w:rPr>
                <w:sz w:val="28"/>
                <w:szCs w:val="28"/>
              </w:rPr>
              <w:t>pie praktisko iemaņu un teorētisko zināšanu pārbaudes pielaižot tikai tos pretendentus vai zvērinātus notārus, kuru personība atzīta par piemērotu zvērināta notāra amatam</w:t>
            </w:r>
            <w:r w:rsidR="00D5458A" w:rsidRPr="00C85779">
              <w:rPr>
                <w:bCs/>
                <w:sz w:val="28"/>
                <w:szCs w:val="28"/>
              </w:rPr>
              <w:t xml:space="preserve">, pretējā gadījumā pastāv situācija, ka pirmajā un otrajā daļā pretendents vai zvērināts notārs ieguvis vidējo vērtējumu vismaz trīs balles, </w:t>
            </w:r>
            <w:r w:rsidR="00D5458A" w:rsidRPr="00C85779">
              <w:rPr>
                <w:bCs/>
                <w:sz w:val="28"/>
                <w:szCs w:val="28"/>
              </w:rPr>
              <w:lastRenderedPageBreak/>
              <w:t xml:space="preserve">bet </w:t>
            </w:r>
            <w:r w:rsidR="00884060" w:rsidRPr="00C85779">
              <w:rPr>
                <w:bCs/>
                <w:sz w:val="28"/>
                <w:szCs w:val="28"/>
              </w:rPr>
              <w:t>sekmīgi nav nokārtota eksāmena trešā daļa</w:t>
            </w:r>
            <w:r w:rsidR="001A064C" w:rsidRPr="00C85779">
              <w:rPr>
                <w:sz w:val="28"/>
                <w:szCs w:val="28"/>
              </w:rPr>
              <w:t>.</w:t>
            </w:r>
            <w:r w:rsidR="00D5458A" w:rsidRPr="00C85779">
              <w:rPr>
                <w:sz w:val="28"/>
                <w:szCs w:val="28"/>
              </w:rPr>
              <w:t xml:space="preserve"> Turklāt</w:t>
            </w:r>
            <w:r w:rsidR="005C74D3" w:rsidRPr="00C85779">
              <w:rPr>
                <w:sz w:val="28"/>
                <w:szCs w:val="28"/>
              </w:rPr>
              <w:t>, ņemot vērā to, ka sociālo kompetenci un sociālo intelektu vērtē tikai personālatlases speciālists, spēkā esoš</w:t>
            </w:r>
            <w:r w:rsidR="00D62F7A" w:rsidRPr="00C85779">
              <w:rPr>
                <w:sz w:val="28"/>
                <w:szCs w:val="28"/>
              </w:rPr>
              <w:t>o</w:t>
            </w:r>
            <w:r w:rsidR="005C74D3" w:rsidRPr="00C85779">
              <w:rPr>
                <w:sz w:val="28"/>
                <w:szCs w:val="28"/>
              </w:rPr>
              <w:t xml:space="preserve"> norises kārtīb</w:t>
            </w:r>
            <w:r w:rsidR="00D62F7A" w:rsidRPr="00C85779">
              <w:rPr>
                <w:sz w:val="28"/>
                <w:szCs w:val="28"/>
              </w:rPr>
              <w:t>u</w:t>
            </w:r>
            <w:r w:rsidR="005C74D3" w:rsidRPr="00C85779">
              <w:rPr>
                <w:sz w:val="28"/>
                <w:szCs w:val="28"/>
              </w:rPr>
              <w:t xml:space="preserve"> būtu iespējams efekt</w:t>
            </w:r>
            <w:r w:rsidR="00597D78" w:rsidRPr="00C85779">
              <w:rPr>
                <w:sz w:val="28"/>
                <w:szCs w:val="28"/>
              </w:rPr>
              <w:t>i</w:t>
            </w:r>
            <w:r w:rsidR="005C74D3" w:rsidRPr="00C85779">
              <w:rPr>
                <w:sz w:val="28"/>
                <w:szCs w:val="28"/>
              </w:rPr>
              <w:t>vizēt, nosakot, ka sociālo kompetenci un sociālo intelektu vērtē pirmajā eksāmena vai ārkārtas kvalifikācijas pārbaudes daļā.</w:t>
            </w:r>
            <w:r w:rsidR="00D5458A" w:rsidRPr="00C85779">
              <w:rPr>
                <w:sz w:val="28"/>
                <w:szCs w:val="28"/>
              </w:rPr>
              <w:t xml:space="preserve"> </w:t>
            </w:r>
          </w:p>
          <w:p w:rsidR="001A064C" w:rsidRPr="00C85779" w:rsidRDefault="00C55A47" w:rsidP="00A07613">
            <w:pPr>
              <w:pStyle w:val="naiskr"/>
              <w:spacing w:before="0" w:after="0"/>
              <w:ind w:firstLine="325"/>
              <w:jc w:val="both"/>
              <w:rPr>
                <w:sz w:val="28"/>
                <w:szCs w:val="28"/>
              </w:rPr>
            </w:pPr>
            <w:r w:rsidRPr="00C85779">
              <w:rPr>
                <w:sz w:val="28"/>
                <w:szCs w:val="28"/>
              </w:rPr>
              <w:t xml:space="preserve">[2] </w:t>
            </w:r>
            <w:r w:rsidR="001A064C" w:rsidRPr="00C85779">
              <w:rPr>
                <w:sz w:val="28"/>
                <w:szCs w:val="28"/>
              </w:rPr>
              <w:t xml:space="preserve">Saskaņā ar </w:t>
            </w:r>
            <w:r w:rsidR="001C1F0C" w:rsidRPr="00C85779">
              <w:rPr>
                <w:bCs/>
                <w:sz w:val="28"/>
                <w:szCs w:val="28"/>
              </w:rPr>
              <w:t>Noteikumu</w:t>
            </w:r>
            <w:r w:rsidR="003C738C" w:rsidRPr="00C85779">
              <w:rPr>
                <w:bCs/>
                <w:sz w:val="28"/>
                <w:szCs w:val="28"/>
              </w:rPr>
              <w:t xml:space="preserve"> Nr.</w:t>
            </w:r>
            <w:r w:rsidR="0031456D" w:rsidRPr="00C85779">
              <w:rPr>
                <w:bCs/>
                <w:sz w:val="28"/>
                <w:szCs w:val="28"/>
              </w:rPr>
              <w:t> </w:t>
            </w:r>
            <w:r w:rsidR="001A064C" w:rsidRPr="00C85779">
              <w:rPr>
                <w:bCs/>
                <w:sz w:val="28"/>
                <w:szCs w:val="28"/>
              </w:rPr>
              <w:t>485 49.</w:t>
            </w:r>
            <w:r w:rsidR="0031456D" w:rsidRPr="00C85779">
              <w:rPr>
                <w:bCs/>
                <w:sz w:val="28"/>
                <w:szCs w:val="28"/>
              </w:rPr>
              <w:t> </w:t>
            </w:r>
            <w:r w:rsidR="001A064C" w:rsidRPr="00C85779">
              <w:rPr>
                <w:bCs/>
                <w:sz w:val="28"/>
                <w:szCs w:val="28"/>
              </w:rPr>
              <w:t xml:space="preserve">punktu </w:t>
            </w:r>
            <w:r w:rsidR="001A064C" w:rsidRPr="00C85779">
              <w:rPr>
                <w:sz w:val="28"/>
                <w:szCs w:val="28"/>
              </w:rPr>
              <w:t xml:space="preserve">eksāmena vai kvalifikācijas pārbaudes otrā daļa ir nokārtota, ja katrs komisijas loceklis vismaz divus pretendenta eksāmena vai zvērināta notāra kvalifikācijas pārbaudes otrās daļas jautājumus ir novērtējis vismaz ar </w:t>
            </w:r>
            <w:r w:rsidR="00542087" w:rsidRPr="00C85779">
              <w:rPr>
                <w:sz w:val="28"/>
                <w:szCs w:val="28"/>
              </w:rPr>
              <w:t xml:space="preserve">trīs </w:t>
            </w:r>
            <w:r w:rsidR="001A064C" w:rsidRPr="00C85779">
              <w:rPr>
                <w:sz w:val="28"/>
                <w:szCs w:val="28"/>
              </w:rPr>
              <w:t xml:space="preserve">ballēm. </w:t>
            </w:r>
          </w:p>
          <w:p w:rsidR="00C55A47" w:rsidRPr="00C85779" w:rsidRDefault="003C738C" w:rsidP="00A07613">
            <w:pPr>
              <w:pStyle w:val="naiskr"/>
              <w:spacing w:before="0" w:after="0"/>
              <w:ind w:firstLine="325"/>
              <w:jc w:val="both"/>
              <w:rPr>
                <w:sz w:val="28"/>
                <w:szCs w:val="28"/>
              </w:rPr>
            </w:pPr>
            <w:r w:rsidRPr="00C85779">
              <w:rPr>
                <w:sz w:val="28"/>
                <w:szCs w:val="28"/>
              </w:rPr>
              <w:t xml:space="preserve">Norādāms, ka pašreizējā situācijā nav skaidra </w:t>
            </w:r>
            <w:r w:rsidR="001C1F0C" w:rsidRPr="00C85779">
              <w:rPr>
                <w:sz w:val="28"/>
                <w:szCs w:val="28"/>
              </w:rPr>
              <w:t>N</w:t>
            </w:r>
            <w:r w:rsidR="00A07613" w:rsidRPr="00C85779">
              <w:rPr>
                <w:sz w:val="28"/>
                <w:szCs w:val="28"/>
              </w:rPr>
              <w:t>oteikumu</w:t>
            </w:r>
            <w:r w:rsidR="00622B97" w:rsidRPr="00C85779">
              <w:rPr>
                <w:sz w:val="28"/>
                <w:szCs w:val="28"/>
              </w:rPr>
              <w:t xml:space="preserve"> Nr. 485</w:t>
            </w:r>
            <w:r w:rsidR="00A07613" w:rsidRPr="00C85779">
              <w:rPr>
                <w:sz w:val="28"/>
                <w:szCs w:val="28"/>
              </w:rPr>
              <w:t xml:space="preserve"> </w:t>
            </w:r>
            <w:r w:rsidR="00C55A47" w:rsidRPr="00C85779">
              <w:rPr>
                <w:sz w:val="28"/>
                <w:szCs w:val="28"/>
              </w:rPr>
              <w:t>49.</w:t>
            </w:r>
            <w:r w:rsidR="0031456D" w:rsidRPr="00C85779">
              <w:rPr>
                <w:sz w:val="28"/>
                <w:szCs w:val="28"/>
              </w:rPr>
              <w:t> </w:t>
            </w:r>
            <w:r w:rsidRPr="00C85779">
              <w:rPr>
                <w:sz w:val="28"/>
                <w:szCs w:val="28"/>
              </w:rPr>
              <w:t xml:space="preserve">punkta piemērošana gadījumā, ja, piemēram, viens komisijas loceklis divas pretendenta atbildes ir novērtējis kā neapmierinošas, bet </w:t>
            </w:r>
            <w:r w:rsidR="00CE3BDE" w:rsidRPr="00C85779">
              <w:rPr>
                <w:sz w:val="28"/>
                <w:szCs w:val="28"/>
              </w:rPr>
              <w:t xml:space="preserve">citi komisijas locekļi par </w:t>
            </w:r>
            <w:r w:rsidRPr="00C85779">
              <w:rPr>
                <w:sz w:val="28"/>
                <w:szCs w:val="28"/>
              </w:rPr>
              <w:t xml:space="preserve">tām pašām atbildēm </w:t>
            </w:r>
            <w:r w:rsidR="00CE3BDE" w:rsidRPr="00C85779">
              <w:rPr>
                <w:sz w:val="28"/>
                <w:szCs w:val="28"/>
              </w:rPr>
              <w:t xml:space="preserve">novērtējuši ar </w:t>
            </w:r>
            <w:r w:rsidRPr="00C85779">
              <w:rPr>
                <w:sz w:val="28"/>
                <w:szCs w:val="28"/>
              </w:rPr>
              <w:t>„labi” vai „teicami”.</w:t>
            </w:r>
            <w:r w:rsidR="0031456D" w:rsidRPr="00C85779">
              <w:rPr>
                <w:sz w:val="28"/>
                <w:szCs w:val="28"/>
              </w:rPr>
              <w:t xml:space="preserve"> </w:t>
            </w:r>
            <w:r w:rsidR="00685C82" w:rsidRPr="00C85779">
              <w:rPr>
                <w:sz w:val="28"/>
                <w:szCs w:val="28"/>
              </w:rPr>
              <w:t xml:space="preserve">Ņemot vērā </w:t>
            </w:r>
            <w:r w:rsidRPr="00C85779">
              <w:rPr>
                <w:sz w:val="28"/>
                <w:szCs w:val="28"/>
              </w:rPr>
              <w:t>minēto</w:t>
            </w:r>
            <w:r w:rsidR="001C1F0C" w:rsidRPr="00C85779">
              <w:rPr>
                <w:sz w:val="28"/>
                <w:szCs w:val="28"/>
              </w:rPr>
              <w:t>,</w:t>
            </w:r>
            <w:r w:rsidRPr="00C85779">
              <w:rPr>
                <w:sz w:val="28"/>
                <w:szCs w:val="28"/>
              </w:rPr>
              <w:t xml:space="preserve"> precizējams, ka </w:t>
            </w:r>
            <w:r w:rsidR="00C55A47" w:rsidRPr="00C85779">
              <w:rPr>
                <w:sz w:val="28"/>
                <w:szCs w:val="28"/>
              </w:rPr>
              <w:t xml:space="preserve">eksāmena vai kvalifikācijas pārbaudes </w:t>
            </w:r>
            <w:r w:rsidR="00D62F7A" w:rsidRPr="00C85779">
              <w:rPr>
                <w:sz w:val="28"/>
                <w:szCs w:val="28"/>
              </w:rPr>
              <w:t>attiecīgā</w:t>
            </w:r>
            <w:r w:rsidR="00C55A47" w:rsidRPr="00C85779">
              <w:rPr>
                <w:sz w:val="28"/>
                <w:szCs w:val="28"/>
              </w:rPr>
              <w:t xml:space="preserve"> daļa nav nokārtota, ja </w:t>
            </w:r>
            <w:r w:rsidR="000E7921" w:rsidRPr="00C85779">
              <w:rPr>
                <w:sz w:val="28"/>
                <w:szCs w:val="28"/>
              </w:rPr>
              <w:t xml:space="preserve">vismaz </w:t>
            </w:r>
            <w:r w:rsidR="00C55A47" w:rsidRPr="00C85779">
              <w:rPr>
                <w:sz w:val="28"/>
                <w:szCs w:val="28"/>
              </w:rPr>
              <w:t>trīs komisijas locekļi vismaz divus pretendenta eksāmena vai zvērināta notāra kvalifikācijas pārbaudes otrās daļas jautājumus ir novērtējuši ar vienu vai divām ballēm</w:t>
            </w:r>
            <w:r w:rsidR="008A2448" w:rsidRPr="00C85779">
              <w:rPr>
                <w:sz w:val="28"/>
                <w:szCs w:val="28"/>
              </w:rPr>
              <w:t xml:space="preserve">, tādējādi nodrošinot koleģiālu </w:t>
            </w:r>
            <w:r w:rsidR="00D62F7A" w:rsidRPr="00C85779">
              <w:rPr>
                <w:sz w:val="28"/>
                <w:szCs w:val="28"/>
              </w:rPr>
              <w:t>komisijas lēmumu</w:t>
            </w:r>
            <w:r w:rsidR="00C55A47" w:rsidRPr="00C85779">
              <w:rPr>
                <w:sz w:val="28"/>
                <w:szCs w:val="28"/>
              </w:rPr>
              <w:t xml:space="preserve">. </w:t>
            </w:r>
          </w:p>
          <w:p w:rsidR="00F853BF" w:rsidRPr="00C85779" w:rsidRDefault="00A07613" w:rsidP="00A07613">
            <w:pPr>
              <w:pStyle w:val="NormalWeb"/>
              <w:spacing w:before="0" w:after="0"/>
              <w:jc w:val="both"/>
              <w:rPr>
                <w:sz w:val="28"/>
                <w:szCs w:val="28"/>
              </w:rPr>
            </w:pPr>
            <w:r w:rsidRPr="00C85779">
              <w:rPr>
                <w:sz w:val="28"/>
                <w:szCs w:val="28"/>
              </w:rPr>
              <w:t xml:space="preserve">    </w:t>
            </w:r>
            <w:r w:rsidR="00C55A47" w:rsidRPr="00C85779">
              <w:rPr>
                <w:sz w:val="28"/>
                <w:szCs w:val="28"/>
              </w:rPr>
              <w:t xml:space="preserve">[3] </w:t>
            </w:r>
            <w:r w:rsidR="00007F40" w:rsidRPr="00C85779">
              <w:rPr>
                <w:sz w:val="28"/>
                <w:szCs w:val="28"/>
              </w:rPr>
              <w:t xml:space="preserve">Tāpat </w:t>
            </w:r>
            <w:r w:rsidR="00FA7B2C" w:rsidRPr="00C85779">
              <w:rPr>
                <w:sz w:val="28"/>
                <w:szCs w:val="28"/>
              </w:rPr>
              <w:t xml:space="preserve">norādāms, ka saskaņā ar </w:t>
            </w:r>
            <w:r w:rsidR="001C1F0C" w:rsidRPr="00C85779">
              <w:rPr>
                <w:sz w:val="28"/>
                <w:szCs w:val="28"/>
              </w:rPr>
              <w:t xml:space="preserve">Noteikumiem Nr. 485 </w:t>
            </w:r>
            <w:r w:rsidR="00F03E1E" w:rsidRPr="00C85779">
              <w:rPr>
                <w:sz w:val="28"/>
                <w:szCs w:val="28"/>
              </w:rPr>
              <w:t xml:space="preserve">tiek veikta apaļošana, ja vidējais vērtējums nesasniedz trīs balles (piemēram, no 2,5 līdz 2,9), taču ar minētajiem grozījumiem tiek veikti precizējumi, nosakot, ka gadījumos, kad zvērināta notāra amata pretendenta </w:t>
            </w:r>
            <w:r w:rsidR="001C1F0C" w:rsidRPr="00C85779">
              <w:rPr>
                <w:sz w:val="28"/>
                <w:szCs w:val="28"/>
              </w:rPr>
              <w:t xml:space="preserve">vai zvērināta notāra </w:t>
            </w:r>
            <w:r w:rsidR="00F03E1E" w:rsidRPr="00C85779">
              <w:rPr>
                <w:sz w:val="28"/>
                <w:szCs w:val="28"/>
              </w:rPr>
              <w:t xml:space="preserve">vidējais vērtējums nesasniedz trīs balles (piemēram, no 2,5 līdz 2,9), minētā vērtējuma apaļošanu neveic, </w:t>
            </w:r>
            <w:r w:rsidR="00D62F7A" w:rsidRPr="00C85779">
              <w:rPr>
                <w:sz w:val="28"/>
                <w:szCs w:val="28"/>
              </w:rPr>
              <w:t>ņemot vērā to, ka zvērināta notāra amatā var atrasties tikai augsti kvalificēti juristi ar atzītu kvalifikāciju.</w:t>
            </w:r>
            <w:r w:rsidR="00D62F7A" w:rsidRPr="00C85779">
              <w:t xml:space="preserve"> </w:t>
            </w:r>
            <w:r w:rsidR="00057B05" w:rsidRPr="00C85779">
              <w:rPr>
                <w:sz w:val="28"/>
                <w:szCs w:val="28"/>
              </w:rPr>
              <w:t>Norādāms</w:t>
            </w:r>
            <w:r w:rsidR="00F50645" w:rsidRPr="00C85779">
              <w:rPr>
                <w:sz w:val="28"/>
                <w:szCs w:val="28"/>
              </w:rPr>
              <w:t xml:space="preserve">, ka </w:t>
            </w:r>
            <w:r w:rsidR="00D62F7A" w:rsidRPr="00C85779">
              <w:rPr>
                <w:sz w:val="28"/>
                <w:szCs w:val="28"/>
              </w:rPr>
              <w:t xml:space="preserve">saskaņā ar Notariāta likumu </w:t>
            </w:r>
            <w:r w:rsidR="00F50645" w:rsidRPr="00C85779">
              <w:rPr>
                <w:sz w:val="28"/>
                <w:szCs w:val="28"/>
              </w:rPr>
              <w:t>zvērināti notāri ir tiesu sistēmai piederīgas personas, kuras amata darbībā ir pielīdzinātas valsts amatpersonām</w:t>
            </w:r>
            <w:r w:rsidR="00057B05" w:rsidRPr="00C85779">
              <w:rPr>
                <w:sz w:val="28"/>
                <w:szCs w:val="28"/>
              </w:rPr>
              <w:t xml:space="preserve">. </w:t>
            </w:r>
          </w:p>
          <w:p w:rsidR="00854504" w:rsidRPr="00C85779" w:rsidRDefault="0014677D" w:rsidP="00F853BF">
            <w:pPr>
              <w:pStyle w:val="NormalWeb"/>
              <w:spacing w:before="0" w:after="0"/>
              <w:ind w:firstLine="283"/>
              <w:jc w:val="both"/>
            </w:pPr>
            <w:r w:rsidRPr="00C85779">
              <w:rPr>
                <w:sz w:val="28"/>
                <w:szCs w:val="28"/>
              </w:rPr>
              <w:t xml:space="preserve">Sarežģītās zvērināta notāra funkcijas, piemēram, notariālo aktu sagatavošana, mantojuma lietu vešana, mantas dalīšanas projekta sastādīšana likumos paredzētajos gadījumos, jūras protesta sastādīšana, vekseļa protesti, akcionāru pilnsapulces norises protokolēšana prasa augstu juridisko kompetenci, kam nepieciešamas zināšanas jurisprudencē. </w:t>
            </w:r>
            <w:r w:rsidR="00854504" w:rsidRPr="00C85779">
              <w:rPr>
                <w:sz w:val="28"/>
                <w:szCs w:val="28"/>
              </w:rPr>
              <w:t xml:space="preserve">Valsts savu uzraudzību, pamattiesību ievērošanu privāttiesiskajās attiecībās, likumīgu attiecību valstisku aizsardzību realizē tieši caur „notariālām lietām” jeb publiski ticamu privāttiesisko attiecību lietvedību, kas var kalpot par neapstrīdamu pierādījumu tiesā. </w:t>
            </w:r>
            <w:r w:rsidR="008813A3" w:rsidRPr="00C85779">
              <w:rPr>
                <w:sz w:val="28"/>
                <w:szCs w:val="28"/>
              </w:rPr>
              <w:t xml:space="preserve">Zvērināts </w:t>
            </w:r>
            <w:r w:rsidR="008813A3" w:rsidRPr="00C85779">
              <w:rPr>
                <w:sz w:val="28"/>
                <w:szCs w:val="28"/>
              </w:rPr>
              <w:lastRenderedPageBreak/>
              <w:t>n</w:t>
            </w:r>
            <w:r w:rsidR="00854504" w:rsidRPr="00C85779">
              <w:rPr>
                <w:sz w:val="28"/>
                <w:szCs w:val="28"/>
              </w:rPr>
              <w:t>otārs ir reglamentēta profesija, kas nodrošina preventīvo tiesvedību.</w:t>
            </w:r>
            <w:r w:rsidR="00854504" w:rsidRPr="00C85779">
              <w:rPr>
                <w:rStyle w:val="FootnoteReference"/>
                <w:sz w:val="28"/>
                <w:szCs w:val="28"/>
              </w:rPr>
              <w:footnoteReference w:id="1"/>
            </w:r>
            <w:r w:rsidR="00D94969" w:rsidRPr="00C85779">
              <w:rPr>
                <w:sz w:val="28"/>
                <w:szCs w:val="28"/>
              </w:rPr>
              <w:t xml:space="preserve"> Ņemot vērā minēto</w:t>
            </w:r>
            <w:r w:rsidR="001C1F0C" w:rsidRPr="00C85779">
              <w:rPr>
                <w:sz w:val="28"/>
                <w:szCs w:val="28"/>
              </w:rPr>
              <w:t>,</w:t>
            </w:r>
            <w:r w:rsidR="00D94969" w:rsidRPr="00C85779">
              <w:rPr>
                <w:sz w:val="28"/>
                <w:szCs w:val="28"/>
              </w:rPr>
              <w:t xml:space="preserve"> </w:t>
            </w:r>
            <w:r w:rsidR="00515800" w:rsidRPr="00C85779">
              <w:rPr>
                <w:sz w:val="28"/>
                <w:szCs w:val="28"/>
              </w:rPr>
              <w:t>jāatzīmē</w:t>
            </w:r>
            <w:r w:rsidR="00D94969" w:rsidRPr="00C85779">
              <w:rPr>
                <w:sz w:val="28"/>
                <w:szCs w:val="28"/>
              </w:rPr>
              <w:t>, ka</w:t>
            </w:r>
            <w:r w:rsidR="00515800" w:rsidRPr="00C85779">
              <w:rPr>
                <w:sz w:val="28"/>
                <w:szCs w:val="28"/>
              </w:rPr>
              <w:t xml:space="preserve"> zvērināta</w:t>
            </w:r>
            <w:r w:rsidR="00D94969" w:rsidRPr="00C85779">
              <w:rPr>
                <w:sz w:val="28"/>
                <w:szCs w:val="28"/>
              </w:rPr>
              <w:t>m</w:t>
            </w:r>
            <w:r w:rsidR="00515800" w:rsidRPr="00C85779">
              <w:rPr>
                <w:sz w:val="28"/>
                <w:szCs w:val="28"/>
              </w:rPr>
              <w:t xml:space="preserve"> notāra</w:t>
            </w:r>
            <w:r w:rsidR="00D94969" w:rsidRPr="00C85779">
              <w:rPr>
                <w:sz w:val="28"/>
                <w:szCs w:val="28"/>
              </w:rPr>
              <w:t>m</w:t>
            </w:r>
            <w:r w:rsidR="00515800" w:rsidRPr="00C85779">
              <w:rPr>
                <w:sz w:val="28"/>
                <w:szCs w:val="28"/>
              </w:rPr>
              <w:t xml:space="preserve"> </w:t>
            </w:r>
            <w:r w:rsidR="00D94969" w:rsidRPr="00C85779">
              <w:rPr>
                <w:sz w:val="28"/>
                <w:szCs w:val="28"/>
              </w:rPr>
              <w:t xml:space="preserve">ir </w:t>
            </w:r>
            <w:r w:rsidR="00515800" w:rsidRPr="00C85779">
              <w:rPr>
                <w:sz w:val="28"/>
                <w:szCs w:val="28"/>
              </w:rPr>
              <w:t>īpaš</w:t>
            </w:r>
            <w:r w:rsidR="00D94969" w:rsidRPr="00C85779">
              <w:rPr>
                <w:sz w:val="28"/>
                <w:szCs w:val="28"/>
              </w:rPr>
              <w:t>a</w:t>
            </w:r>
            <w:r w:rsidR="00515800" w:rsidRPr="00C85779">
              <w:rPr>
                <w:sz w:val="28"/>
                <w:szCs w:val="28"/>
              </w:rPr>
              <w:t xml:space="preserve"> loma personu tiesību aizsardzībā.</w:t>
            </w:r>
          </w:p>
          <w:p w:rsidR="00A07613" w:rsidRPr="00C85779" w:rsidRDefault="00FB1667" w:rsidP="00F853BF">
            <w:pPr>
              <w:pStyle w:val="NormalWeb"/>
              <w:spacing w:before="0" w:after="0"/>
              <w:ind w:firstLine="283"/>
              <w:jc w:val="both"/>
              <w:rPr>
                <w:sz w:val="28"/>
                <w:szCs w:val="28"/>
              </w:rPr>
            </w:pPr>
            <w:r w:rsidRPr="00C85779">
              <w:rPr>
                <w:sz w:val="28"/>
                <w:szCs w:val="28"/>
              </w:rPr>
              <w:t xml:space="preserve">Saskaņā ar </w:t>
            </w:r>
            <w:r w:rsidR="001C1F0C" w:rsidRPr="00C85779">
              <w:rPr>
                <w:sz w:val="28"/>
                <w:szCs w:val="28"/>
              </w:rPr>
              <w:t>Noteikumiem Nr. 485,</w:t>
            </w:r>
            <w:r w:rsidR="00515800" w:rsidRPr="00C85779">
              <w:rPr>
                <w:sz w:val="28"/>
                <w:szCs w:val="28"/>
              </w:rPr>
              <w:t xml:space="preserve"> </w:t>
            </w:r>
            <w:r w:rsidRPr="00C85779">
              <w:rPr>
                <w:sz w:val="28"/>
                <w:szCs w:val="28"/>
              </w:rPr>
              <w:t xml:space="preserve">kārtojot eksāmenu vai zvērināta notāra kvalifikācijas pārbaudi, viena vai divas balles </w:t>
            </w:r>
            <w:r w:rsidR="00AF472C" w:rsidRPr="00C85779">
              <w:rPr>
                <w:sz w:val="28"/>
                <w:szCs w:val="28"/>
              </w:rPr>
              <w:t>(</w:t>
            </w:r>
            <w:r w:rsidR="00832A05" w:rsidRPr="00C85779">
              <w:rPr>
                <w:sz w:val="28"/>
                <w:szCs w:val="28"/>
              </w:rPr>
              <w:t>n</w:t>
            </w:r>
            <w:r w:rsidR="00832A05" w:rsidRPr="00C85779">
              <w:rPr>
                <w:rFonts w:eastAsia="Calibri"/>
                <w:sz w:val="28"/>
                <w:szCs w:val="28"/>
              </w:rPr>
              <w:t xml:space="preserve">av izpratnes par biežāk lietotajiem zvērinātu notāru profesionālajā darbībā nepieciešamajiem normatīvajiem aktiem un apgūtas virspusējas zināšanas par biežāk lietotajiem zvērinātu notāru profesionālajā darbībā nepieciešamajiem normatīvajiem aktiem, taču nav prasmes tās praktiski izmantot) </w:t>
            </w:r>
            <w:r w:rsidRPr="00C85779">
              <w:rPr>
                <w:sz w:val="28"/>
                <w:szCs w:val="28"/>
              </w:rPr>
              <w:t xml:space="preserve">ir nepietiekams zināšanu apguves līmenis, lai persona varētu uzsākt pildīt zvērināta notāra amata pienākumus. </w:t>
            </w:r>
          </w:p>
          <w:p w:rsidR="00007F40" w:rsidRPr="00C85779" w:rsidRDefault="00057B05" w:rsidP="00534077">
            <w:pPr>
              <w:pStyle w:val="NormalWeb"/>
              <w:spacing w:before="0" w:after="0"/>
              <w:ind w:firstLine="283"/>
              <w:jc w:val="both"/>
              <w:rPr>
                <w:sz w:val="28"/>
                <w:szCs w:val="28"/>
              </w:rPr>
            </w:pPr>
            <w:r w:rsidRPr="00C85779">
              <w:rPr>
                <w:sz w:val="28"/>
                <w:szCs w:val="28"/>
              </w:rPr>
              <w:t xml:space="preserve">Līdz ar to pašreizējā </w:t>
            </w:r>
            <w:r w:rsidR="00F50645" w:rsidRPr="00C85779">
              <w:rPr>
                <w:sz w:val="28"/>
                <w:szCs w:val="28"/>
              </w:rPr>
              <w:t>vērtēšanas sistēm</w:t>
            </w:r>
            <w:r w:rsidRPr="00C85779">
              <w:rPr>
                <w:sz w:val="28"/>
                <w:szCs w:val="28"/>
              </w:rPr>
              <w:t>a</w:t>
            </w:r>
            <w:r w:rsidR="00DC01CA" w:rsidRPr="00C85779">
              <w:rPr>
                <w:sz w:val="28"/>
                <w:szCs w:val="28"/>
              </w:rPr>
              <w:t xml:space="preserve"> attiecībā</w:t>
            </w:r>
            <w:r w:rsidR="00D62F7A" w:rsidRPr="00C85779">
              <w:rPr>
                <w:sz w:val="28"/>
                <w:szCs w:val="28"/>
              </w:rPr>
              <w:t xml:space="preserve"> uz iegūtā vidējā vērtējuma noapaļošanu</w:t>
            </w:r>
            <w:r w:rsidR="00F50645" w:rsidRPr="00C85779">
              <w:rPr>
                <w:sz w:val="28"/>
                <w:szCs w:val="28"/>
              </w:rPr>
              <w:t xml:space="preserve"> </w:t>
            </w:r>
            <w:r w:rsidR="001B5F9C" w:rsidRPr="00C85779">
              <w:rPr>
                <w:sz w:val="28"/>
                <w:szCs w:val="28"/>
              </w:rPr>
              <w:t xml:space="preserve">iespējams </w:t>
            </w:r>
            <w:r w:rsidRPr="00C85779">
              <w:rPr>
                <w:sz w:val="28"/>
                <w:szCs w:val="28"/>
              </w:rPr>
              <w:t>pazemina</w:t>
            </w:r>
            <w:r w:rsidR="00007F40" w:rsidRPr="00C85779">
              <w:rPr>
                <w:sz w:val="28"/>
                <w:szCs w:val="28"/>
              </w:rPr>
              <w:t xml:space="preserve"> zvērināta notāra amata pretendentu prasības</w:t>
            </w:r>
            <w:r w:rsidR="00F50645" w:rsidRPr="00C85779">
              <w:rPr>
                <w:sz w:val="28"/>
                <w:szCs w:val="28"/>
              </w:rPr>
              <w:t xml:space="preserve">, tādējādi </w:t>
            </w:r>
            <w:r w:rsidR="00FD6054" w:rsidRPr="00C85779">
              <w:rPr>
                <w:sz w:val="28"/>
                <w:szCs w:val="28"/>
              </w:rPr>
              <w:t>būtu</w:t>
            </w:r>
            <w:r w:rsidR="00C55A47" w:rsidRPr="00C85779">
              <w:rPr>
                <w:sz w:val="28"/>
                <w:szCs w:val="28"/>
              </w:rPr>
              <w:t xml:space="preserve"> paredz</w:t>
            </w:r>
            <w:r w:rsidR="00FD6054" w:rsidRPr="00C85779">
              <w:rPr>
                <w:sz w:val="28"/>
                <w:szCs w:val="28"/>
              </w:rPr>
              <w:t>ams</w:t>
            </w:r>
            <w:r w:rsidR="00C55A47" w:rsidRPr="00C85779">
              <w:rPr>
                <w:sz w:val="28"/>
                <w:szCs w:val="28"/>
              </w:rPr>
              <w:t>, ka aritmētisko rezultātu neapaļo, ja iegūtais rezultāts nesasniedz trīs balles</w:t>
            </w:r>
            <w:r w:rsidR="00AF472C" w:rsidRPr="00C85779">
              <w:rPr>
                <w:sz w:val="28"/>
                <w:szCs w:val="28"/>
              </w:rPr>
              <w:t xml:space="preserve"> </w:t>
            </w:r>
            <w:r w:rsidR="00F853BF" w:rsidRPr="00C85779">
              <w:rPr>
                <w:sz w:val="28"/>
                <w:szCs w:val="28"/>
              </w:rPr>
              <w:t>(a</w:t>
            </w:r>
            <w:r w:rsidR="00F853BF" w:rsidRPr="00C85779">
              <w:rPr>
                <w:rFonts w:eastAsia="Calibri"/>
                <w:sz w:val="28"/>
                <w:szCs w:val="28"/>
              </w:rPr>
              <w:t>pgūti zvērinātu notāru profesionālajā darbībā nepieciešamie normatīvie akti, iegūta prasme patstāvīgi lietot iegūtās zināšanas, taču konstatēta atsevišķu svarīgu jautājumu nepietiekami dziļa izpratne), līdz ar to secināms, ka</w:t>
            </w:r>
            <w:r w:rsidR="00515800" w:rsidRPr="00C85779">
              <w:rPr>
                <w:rFonts w:eastAsia="Calibri"/>
                <w:sz w:val="28"/>
                <w:szCs w:val="28"/>
              </w:rPr>
              <w:t>, lai zvērināta notāra amata pretendents varētu uzsākt pildīt zvērināta notāra amata pienākumus, nepieciešamais minimālais zināšanu līmenis ir trīs balles (savā profesionālajā darbībā personām nepieciešama regulāra kvalifikācijas celšana, tādējādi sasniedzot arī augstākus kvalitātes rādītājus)</w:t>
            </w:r>
            <w:r w:rsidR="00515800" w:rsidRPr="00C85779">
              <w:rPr>
                <w:sz w:val="28"/>
                <w:szCs w:val="28"/>
              </w:rPr>
              <w:t xml:space="preserve">, </w:t>
            </w:r>
            <w:r w:rsidR="008A2448" w:rsidRPr="00C85779">
              <w:rPr>
                <w:sz w:val="28"/>
                <w:szCs w:val="28"/>
              </w:rPr>
              <w:t>nodrošinot augst</w:t>
            </w:r>
            <w:r w:rsidR="00515800" w:rsidRPr="00C85779">
              <w:rPr>
                <w:sz w:val="28"/>
                <w:szCs w:val="28"/>
              </w:rPr>
              <w:t>i</w:t>
            </w:r>
            <w:r w:rsidR="008A2448" w:rsidRPr="00C85779">
              <w:rPr>
                <w:sz w:val="28"/>
                <w:szCs w:val="28"/>
              </w:rPr>
              <w:t xml:space="preserve"> kvalificētu speciālistu uzņemšanu zvērināta notāra amatā</w:t>
            </w:r>
            <w:r w:rsidR="00E558A7" w:rsidRPr="00C85779">
              <w:rPr>
                <w:sz w:val="28"/>
                <w:szCs w:val="28"/>
              </w:rPr>
              <w:t>.</w:t>
            </w:r>
            <w:r w:rsidR="00C53F8B" w:rsidRPr="00C85779">
              <w:rPr>
                <w:sz w:val="28"/>
                <w:szCs w:val="28"/>
              </w:rPr>
              <w:t xml:space="preserve"> </w:t>
            </w:r>
          </w:p>
          <w:p w:rsidR="00CB6D6C" w:rsidRDefault="00534077" w:rsidP="00BB5CC3">
            <w:pPr>
              <w:pStyle w:val="NormalWeb"/>
              <w:spacing w:before="0" w:after="0"/>
              <w:ind w:firstLine="283"/>
              <w:jc w:val="both"/>
              <w:rPr>
                <w:sz w:val="28"/>
                <w:szCs w:val="28"/>
              </w:rPr>
            </w:pPr>
            <w:r w:rsidRPr="00C85779">
              <w:rPr>
                <w:sz w:val="28"/>
                <w:szCs w:val="28"/>
              </w:rPr>
              <w:t>[4] Visbeidzot, pašreizējā Noteikumu Nr. 485 redakcijā tiek paredzēt</w:t>
            </w:r>
            <w:r w:rsidR="005F2208" w:rsidRPr="00C85779">
              <w:rPr>
                <w:sz w:val="28"/>
                <w:szCs w:val="28"/>
              </w:rPr>
              <w:t>a iespēja</w:t>
            </w:r>
            <w:r w:rsidR="00C85779" w:rsidRPr="00C85779">
              <w:rPr>
                <w:sz w:val="28"/>
                <w:szCs w:val="28"/>
              </w:rPr>
              <w:t xml:space="preserve"> Latvijas Zvērinātu notāru padomei sazināties elektroniski ar tieslietu ministru (Tieslietu ministriju), pretendentu vai zvērinātu notāru, </w:t>
            </w:r>
            <w:r w:rsidR="00791B8A">
              <w:rPr>
                <w:sz w:val="28"/>
                <w:szCs w:val="28"/>
              </w:rPr>
              <w:t xml:space="preserve">kā arī tieslietu ministram paredzētas iespējas </w:t>
            </w:r>
            <w:r w:rsidR="00BB5CC3">
              <w:rPr>
                <w:sz w:val="28"/>
                <w:szCs w:val="28"/>
              </w:rPr>
              <w:t xml:space="preserve">elektroniski </w:t>
            </w:r>
            <w:r w:rsidR="00791B8A">
              <w:rPr>
                <w:sz w:val="28"/>
                <w:szCs w:val="28"/>
              </w:rPr>
              <w:t xml:space="preserve">sazināties ar Latvijas Zvērinātu notāru padomi, zvērinātiem notāriem un pretendentiem, </w:t>
            </w:r>
            <w:r w:rsidR="00791B8A" w:rsidRPr="00C85779">
              <w:rPr>
                <w:sz w:val="28"/>
                <w:szCs w:val="28"/>
              </w:rPr>
              <w:t xml:space="preserve"> </w:t>
            </w:r>
            <w:r w:rsidR="00C85779" w:rsidRPr="00C85779">
              <w:rPr>
                <w:sz w:val="28"/>
                <w:szCs w:val="28"/>
              </w:rPr>
              <w:t>i</w:t>
            </w:r>
            <w:r w:rsidR="005F2208" w:rsidRPr="00C85779">
              <w:rPr>
                <w:sz w:val="28"/>
                <w:szCs w:val="28"/>
              </w:rPr>
              <w:t>evērojot Elektronisko dokumentu likumu.</w:t>
            </w:r>
          </w:p>
          <w:p w:rsidR="00534077" w:rsidRPr="00DA4376" w:rsidRDefault="00DA4376" w:rsidP="00DA4376">
            <w:pPr>
              <w:pStyle w:val="naisf"/>
              <w:spacing w:before="0" w:after="0"/>
              <w:rPr>
                <w:bCs/>
                <w:sz w:val="28"/>
                <w:szCs w:val="28"/>
              </w:rPr>
            </w:pPr>
            <w:r w:rsidRPr="00966233">
              <w:rPr>
                <w:sz w:val="28"/>
                <w:szCs w:val="28"/>
              </w:rPr>
              <w:t>Tā, piemēram, s</w:t>
            </w:r>
            <w:r w:rsidR="00CB6D6C" w:rsidRPr="00966233">
              <w:rPr>
                <w:sz w:val="28"/>
                <w:szCs w:val="28"/>
              </w:rPr>
              <w:t xml:space="preserve">askaņā ar </w:t>
            </w:r>
            <w:r w:rsidR="00CB6D6C" w:rsidRPr="00966233">
              <w:rPr>
                <w:bCs/>
                <w:sz w:val="28"/>
                <w:szCs w:val="28"/>
              </w:rPr>
              <w:t>Noteikumu 14. punktu pretendents (..) iesniedz tieslietu ministram attiecīgu iesniegumu (..). Ja pretendents iesniegumā ir norādījis, ka vēlās saņemt turpmāk dokumentus uz elektroniskā pasta adresi</w:t>
            </w:r>
            <w:r w:rsidRPr="00966233">
              <w:rPr>
                <w:bCs/>
                <w:sz w:val="28"/>
                <w:szCs w:val="28"/>
              </w:rPr>
              <w:t>,</w:t>
            </w:r>
            <w:r w:rsidR="00CB6D6C" w:rsidRPr="00966233">
              <w:rPr>
                <w:bCs/>
                <w:sz w:val="28"/>
                <w:szCs w:val="28"/>
              </w:rPr>
              <w:t xml:space="preserve"> saskaņā ar izstrādāto Noteikumu projekta 64. </w:t>
            </w:r>
            <w:r w:rsidRPr="00966233">
              <w:rPr>
                <w:bCs/>
                <w:sz w:val="28"/>
                <w:szCs w:val="28"/>
              </w:rPr>
              <w:t>p</w:t>
            </w:r>
            <w:r w:rsidR="00CB6D6C" w:rsidRPr="00966233">
              <w:rPr>
                <w:bCs/>
                <w:sz w:val="28"/>
                <w:szCs w:val="28"/>
              </w:rPr>
              <w:t>unktu</w:t>
            </w:r>
            <w:r w:rsidRPr="00966233">
              <w:rPr>
                <w:bCs/>
                <w:sz w:val="28"/>
                <w:szCs w:val="28"/>
              </w:rPr>
              <w:t xml:space="preserve"> ir paredzēts</w:t>
            </w:r>
            <w:r w:rsidR="00CB6D6C" w:rsidRPr="00966233">
              <w:rPr>
                <w:bCs/>
                <w:sz w:val="28"/>
                <w:szCs w:val="28"/>
              </w:rPr>
              <w:t xml:space="preserve"> </w:t>
            </w:r>
            <w:r w:rsidRPr="00966233">
              <w:rPr>
                <w:bCs/>
                <w:sz w:val="28"/>
                <w:szCs w:val="28"/>
              </w:rPr>
              <w:t>elektroniskās saziņas veids</w:t>
            </w:r>
            <w:r w:rsidR="00CB6D6C" w:rsidRPr="00966233">
              <w:rPr>
                <w:bCs/>
                <w:sz w:val="28"/>
                <w:szCs w:val="28"/>
              </w:rPr>
              <w:t xml:space="preserve"> ar pretendentu, ievērojot Elektronisko dokumentu likumu.</w:t>
            </w:r>
            <w:r w:rsidR="00534077" w:rsidRPr="00966233">
              <w:rPr>
                <w:sz w:val="28"/>
                <w:szCs w:val="28"/>
              </w:rPr>
              <w:t xml:space="preserve"> </w:t>
            </w:r>
            <w:r w:rsidR="005F2208" w:rsidRPr="00966233">
              <w:rPr>
                <w:sz w:val="28"/>
                <w:szCs w:val="28"/>
              </w:rPr>
              <w:t xml:space="preserve">Noteikumu </w:t>
            </w:r>
            <w:r w:rsidR="005F2208" w:rsidRPr="00966233">
              <w:rPr>
                <w:sz w:val="28"/>
                <w:szCs w:val="28"/>
              </w:rPr>
              <w:lastRenderedPageBreak/>
              <w:t>projekts papildinā</w:t>
            </w:r>
            <w:r w:rsidR="0070387C" w:rsidRPr="00966233">
              <w:rPr>
                <w:sz w:val="28"/>
                <w:szCs w:val="28"/>
              </w:rPr>
              <w:t>t</w:t>
            </w:r>
            <w:r w:rsidR="005F2208" w:rsidRPr="00966233">
              <w:rPr>
                <w:sz w:val="28"/>
                <w:szCs w:val="28"/>
              </w:rPr>
              <w:t xml:space="preserve">s ar 64. punktu </w:t>
            </w:r>
            <w:r w:rsidR="00314753" w:rsidRPr="00966233">
              <w:rPr>
                <w:sz w:val="28"/>
                <w:szCs w:val="28"/>
              </w:rPr>
              <w:t xml:space="preserve">par </w:t>
            </w:r>
            <w:r w:rsidRPr="00966233">
              <w:rPr>
                <w:sz w:val="28"/>
                <w:szCs w:val="28"/>
              </w:rPr>
              <w:t xml:space="preserve">iespējamo </w:t>
            </w:r>
            <w:r w:rsidR="00314753" w:rsidRPr="00966233">
              <w:rPr>
                <w:sz w:val="28"/>
                <w:szCs w:val="28"/>
              </w:rPr>
              <w:t xml:space="preserve">elektronisko dokumentu apriti starp </w:t>
            </w:r>
            <w:r w:rsidR="00C85779" w:rsidRPr="00966233">
              <w:rPr>
                <w:sz w:val="28"/>
                <w:szCs w:val="28"/>
              </w:rPr>
              <w:t xml:space="preserve">Latvijas Zvērinātu notāru padomi, </w:t>
            </w:r>
            <w:r w:rsidR="00573420" w:rsidRPr="00966233">
              <w:rPr>
                <w:sz w:val="28"/>
                <w:szCs w:val="28"/>
              </w:rPr>
              <w:t>tieslietu ministru</w:t>
            </w:r>
            <w:r w:rsidR="00715C08" w:rsidRPr="00966233">
              <w:rPr>
                <w:sz w:val="28"/>
                <w:szCs w:val="28"/>
              </w:rPr>
              <w:t>,</w:t>
            </w:r>
            <w:r w:rsidR="00C85779" w:rsidRPr="00966233">
              <w:rPr>
                <w:sz w:val="28"/>
                <w:szCs w:val="28"/>
              </w:rPr>
              <w:t xml:space="preserve"> </w:t>
            </w:r>
            <w:r w:rsidR="00314753" w:rsidRPr="00966233">
              <w:rPr>
                <w:sz w:val="28"/>
                <w:szCs w:val="28"/>
              </w:rPr>
              <w:t>pretendentu un zvērinātu notāru.</w:t>
            </w:r>
            <w:r w:rsidR="00534077" w:rsidRPr="00C85779">
              <w:rPr>
                <w:sz w:val="28"/>
                <w:szCs w:val="28"/>
              </w:rPr>
              <w:t xml:space="preserve"> </w:t>
            </w:r>
          </w:p>
        </w:tc>
      </w:tr>
      <w:tr w:rsidR="00262E2B" w:rsidRPr="00C85779" w:rsidTr="0046258F">
        <w:trPr>
          <w:trHeight w:val="1071"/>
        </w:trPr>
        <w:tc>
          <w:tcPr>
            <w:tcW w:w="493" w:type="dxa"/>
          </w:tcPr>
          <w:p w:rsidR="00262E2B" w:rsidRPr="00C85779" w:rsidRDefault="00262E2B" w:rsidP="006C4607">
            <w:pPr>
              <w:pStyle w:val="naiskr"/>
              <w:spacing w:before="0" w:after="0"/>
              <w:rPr>
                <w:sz w:val="28"/>
                <w:szCs w:val="28"/>
              </w:rPr>
            </w:pPr>
            <w:r w:rsidRPr="00C85779">
              <w:rPr>
                <w:sz w:val="28"/>
                <w:szCs w:val="28"/>
              </w:rPr>
              <w:lastRenderedPageBreak/>
              <w:t>3.</w:t>
            </w:r>
          </w:p>
        </w:tc>
        <w:tc>
          <w:tcPr>
            <w:tcW w:w="2206" w:type="dxa"/>
          </w:tcPr>
          <w:p w:rsidR="00262E2B" w:rsidRPr="00C85779" w:rsidRDefault="00420870" w:rsidP="006C4607">
            <w:pPr>
              <w:pStyle w:val="naiskr"/>
              <w:spacing w:before="0" w:after="0"/>
              <w:rPr>
                <w:sz w:val="28"/>
                <w:szCs w:val="28"/>
              </w:rPr>
            </w:pPr>
            <w:r w:rsidRPr="00C85779">
              <w:rPr>
                <w:sz w:val="28"/>
                <w:szCs w:val="28"/>
              </w:rPr>
              <w:t>S</w:t>
            </w:r>
            <w:r w:rsidR="000B69CF" w:rsidRPr="00C85779">
              <w:rPr>
                <w:sz w:val="28"/>
                <w:szCs w:val="28"/>
              </w:rPr>
              <w:t xml:space="preserve">aistītie </w:t>
            </w:r>
            <w:r w:rsidR="001A6AE4" w:rsidRPr="00C85779">
              <w:rPr>
                <w:sz w:val="28"/>
                <w:szCs w:val="28"/>
              </w:rPr>
              <w:t>politikas ietekmes novērtējumi</w:t>
            </w:r>
            <w:r w:rsidR="00CB0247" w:rsidRPr="00C85779">
              <w:rPr>
                <w:sz w:val="28"/>
                <w:szCs w:val="28"/>
              </w:rPr>
              <w:t xml:space="preserve"> un</w:t>
            </w:r>
            <w:r w:rsidR="001A6AE4" w:rsidRPr="00C85779">
              <w:rPr>
                <w:sz w:val="28"/>
                <w:szCs w:val="28"/>
              </w:rPr>
              <w:t xml:space="preserve"> </w:t>
            </w:r>
            <w:r w:rsidR="000B69CF" w:rsidRPr="00C85779">
              <w:rPr>
                <w:sz w:val="28"/>
                <w:szCs w:val="28"/>
              </w:rPr>
              <w:t>pētījumi</w:t>
            </w:r>
          </w:p>
        </w:tc>
        <w:tc>
          <w:tcPr>
            <w:tcW w:w="6804" w:type="dxa"/>
          </w:tcPr>
          <w:p w:rsidR="007570F8" w:rsidRPr="00C85779" w:rsidRDefault="007570F8" w:rsidP="006B6882">
            <w:pPr>
              <w:pStyle w:val="FootnoteText"/>
              <w:ind w:right="81" w:firstLine="406"/>
              <w:jc w:val="both"/>
              <w:rPr>
                <w:sz w:val="28"/>
                <w:szCs w:val="28"/>
              </w:rPr>
            </w:pPr>
          </w:p>
          <w:p w:rsidR="00C23C04" w:rsidRPr="00C85779" w:rsidRDefault="00371DEE" w:rsidP="00371DEE">
            <w:pPr>
              <w:pStyle w:val="FootnoteText"/>
              <w:ind w:right="81"/>
              <w:jc w:val="both"/>
              <w:rPr>
                <w:sz w:val="28"/>
                <w:szCs w:val="28"/>
              </w:rPr>
            </w:pPr>
            <w:r w:rsidRPr="00C85779">
              <w:rPr>
                <w:sz w:val="28"/>
                <w:szCs w:val="28"/>
              </w:rPr>
              <w:t xml:space="preserve">    </w:t>
            </w:r>
            <w:r w:rsidR="00880E18" w:rsidRPr="00C85779">
              <w:rPr>
                <w:sz w:val="28"/>
                <w:szCs w:val="28"/>
              </w:rPr>
              <w:t>Nav attiecināms</w:t>
            </w:r>
          </w:p>
        </w:tc>
      </w:tr>
      <w:tr w:rsidR="00262E2B" w:rsidRPr="00C85779" w:rsidTr="0046258F">
        <w:trPr>
          <w:trHeight w:val="384"/>
        </w:trPr>
        <w:tc>
          <w:tcPr>
            <w:tcW w:w="493" w:type="dxa"/>
          </w:tcPr>
          <w:p w:rsidR="00262E2B" w:rsidRPr="00C85779" w:rsidRDefault="00262E2B" w:rsidP="006C4607">
            <w:pPr>
              <w:pStyle w:val="naiskr"/>
              <w:spacing w:before="0" w:after="0"/>
              <w:rPr>
                <w:sz w:val="28"/>
                <w:szCs w:val="28"/>
              </w:rPr>
            </w:pPr>
            <w:r w:rsidRPr="00C85779">
              <w:rPr>
                <w:sz w:val="28"/>
                <w:szCs w:val="28"/>
              </w:rPr>
              <w:t>4.</w:t>
            </w:r>
          </w:p>
        </w:tc>
        <w:tc>
          <w:tcPr>
            <w:tcW w:w="2206" w:type="dxa"/>
          </w:tcPr>
          <w:p w:rsidR="00262E2B" w:rsidRPr="00C85779" w:rsidRDefault="000C790C" w:rsidP="006C4607">
            <w:pPr>
              <w:pStyle w:val="naiskr"/>
              <w:spacing w:before="0" w:after="0"/>
              <w:rPr>
                <w:sz w:val="28"/>
                <w:szCs w:val="28"/>
              </w:rPr>
            </w:pPr>
            <w:r w:rsidRPr="00C85779">
              <w:rPr>
                <w:sz w:val="28"/>
                <w:szCs w:val="28"/>
              </w:rPr>
              <w:t>Tiesiskā r</w:t>
            </w:r>
            <w:r w:rsidR="00400032" w:rsidRPr="00C85779">
              <w:rPr>
                <w:sz w:val="28"/>
                <w:szCs w:val="28"/>
              </w:rPr>
              <w:t xml:space="preserve">egulējuma </w:t>
            </w:r>
            <w:r w:rsidR="00262E2B" w:rsidRPr="00C85779">
              <w:rPr>
                <w:sz w:val="28"/>
                <w:szCs w:val="28"/>
              </w:rPr>
              <w:t>mērķis un būtība</w:t>
            </w:r>
          </w:p>
        </w:tc>
        <w:tc>
          <w:tcPr>
            <w:tcW w:w="6804" w:type="dxa"/>
          </w:tcPr>
          <w:p w:rsidR="005833AD" w:rsidRPr="00C85779" w:rsidRDefault="00EC2FFB" w:rsidP="005E6DE2">
            <w:pPr>
              <w:ind w:right="4" w:firstLine="336"/>
              <w:jc w:val="both"/>
              <w:rPr>
                <w:sz w:val="28"/>
                <w:szCs w:val="28"/>
              </w:rPr>
            </w:pPr>
            <w:r w:rsidRPr="00C85779">
              <w:rPr>
                <w:sz w:val="28"/>
                <w:szCs w:val="28"/>
              </w:rPr>
              <w:t xml:space="preserve">Noteikumu projekts nosaka </w:t>
            </w:r>
            <w:r w:rsidR="007570F8" w:rsidRPr="00C85779">
              <w:rPr>
                <w:sz w:val="28"/>
                <w:szCs w:val="28"/>
              </w:rPr>
              <w:t xml:space="preserve">izteikt </w:t>
            </w:r>
            <w:r w:rsidR="001C1F0C" w:rsidRPr="00C85779">
              <w:rPr>
                <w:sz w:val="28"/>
                <w:szCs w:val="28"/>
              </w:rPr>
              <w:t>Noteikumu Nr. 485</w:t>
            </w:r>
            <w:r w:rsidR="007570F8" w:rsidRPr="00C85779">
              <w:rPr>
                <w:sz w:val="28"/>
                <w:szCs w:val="28"/>
              </w:rPr>
              <w:t xml:space="preserve"> V</w:t>
            </w:r>
            <w:r w:rsidR="000F2A38" w:rsidRPr="00C85779">
              <w:rPr>
                <w:sz w:val="28"/>
                <w:szCs w:val="28"/>
              </w:rPr>
              <w:t>.,</w:t>
            </w:r>
            <w:r w:rsidR="007570F8" w:rsidRPr="00C85779">
              <w:rPr>
                <w:sz w:val="28"/>
                <w:szCs w:val="28"/>
              </w:rPr>
              <w:t xml:space="preserve"> VI</w:t>
            </w:r>
            <w:r w:rsidR="000F2A38" w:rsidRPr="00C85779">
              <w:rPr>
                <w:sz w:val="28"/>
                <w:szCs w:val="28"/>
              </w:rPr>
              <w:t>.</w:t>
            </w:r>
            <w:r w:rsidR="007570F8" w:rsidRPr="00C85779">
              <w:rPr>
                <w:sz w:val="28"/>
                <w:szCs w:val="28"/>
              </w:rPr>
              <w:t xml:space="preserve"> </w:t>
            </w:r>
            <w:r w:rsidR="000F2A38" w:rsidRPr="00C85779">
              <w:rPr>
                <w:sz w:val="28"/>
                <w:szCs w:val="28"/>
              </w:rPr>
              <w:t>n</w:t>
            </w:r>
            <w:r w:rsidR="007570F8" w:rsidRPr="00C85779">
              <w:rPr>
                <w:sz w:val="28"/>
                <w:szCs w:val="28"/>
              </w:rPr>
              <w:t>odaļ</w:t>
            </w:r>
            <w:r w:rsidR="000F2A38" w:rsidRPr="00C85779">
              <w:rPr>
                <w:sz w:val="28"/>
                <w:szCs w:val="28"/>
              </w:rPr>
              <w:t>u un pielikumus</w:t>
            </w:r>
            <w:r w:rsidR="00C55A47" w:rsidRPr="00C85779">
              <w:rPr>
                <w:sz w:val="28"/>
                <w:szCs w:val="28"/>
              </w:rPr>
              <w:t xml:space="preserve"> </w:t>
            </w:r>
            <w:r w:rsidR="007570F8" w:rsidRPr="00C85779">
              <w:rPr>
                <w:sz w:val="28"/>
                <w:szCs w:val="28"/>
              </w:rPr>
              <w:t>jaunā redakcijā</w:t>
            </w:r>
            <w:r w:rsidR="001B5F9C" w:rsidRPr="00C85779">
              <w:rPr>
                <w:sz w:val="28"/>
                <w:szCs w:val="28"/>
              </w:rPr>
              <w:t>,</w:t>
            </w:r>
            <w:r w:rsidR="005833AD" w:rsidRPr="00C85779">
              <w:rPr>
                <w:sz w:val="28"/>
                <w:szCs w:val="28"/>
              </w:rPr>
              <w:t xml:space="preserve"> pirmkārt,</w:t>
            </w:r>
            <w:r w:rsidR="000F2A38" w:rsidRPr="00C85779">
              <w:rPr>
                <w:sz w:val="28"/>
                <w:szCs w:val="28"/>
              </w:rPr>
              <w:t xml:space="preserve"> </w:t>
            </w:r>
            <w:r w:rsidR="001B5F9C" w:rsidRPr="00C85779">
              <w:rPr>
                <w:sz w:val="28"/>
                <w:szCs w:val="28"/>
              </w:rPr>
              <w:t xml:space="preserve">mainot </w:t>
            </w:r>
            <w:r w:rsidR="005833AD" w:rsidRPr="00C85779">
              <w:rPr>
                <w:sz w:val="28"/>
                <w:szCs w:val="28"/>
              </w:rPr>
              <w:t>secību un kārtību, kādā kārtojams eksāmens vai ārkārtas kvalifikācijas pārbaude</w:t>
            </w:r>
            <w:r w:rsidR="000557D4" w:rsidRPr="00C85779">
              <w:rPr>
                <w:sz w:val="28"/>
                <w:szCs w:val="28"/>
              </w:rPr>
              <w:t>, proti, eksāmena vai ārkārtas kvalifikācijas pārbaudes trešā daļa turpmāk noteikta par eksāmena vai kvalifikācijas pārbaudes pirmo daļu, tādējādi pie praktisko iemaņu un teorētisko zināšanu pārbaudes pielaižot tikai tos pretendentus vai zvērinātus notārus, kuru personība atzīta par piemērotu zvērināta notāra amatam</w:t>
            </w:r>
            <w:r w:rsidR="005833AD" w:rsidRPr="00C85779">
              <w:rPr>
                <w:sz w:val="28"/>
                <w:szCs w:val="28"/>
              </w:rPr>
              <w:t xml:space="preserve">. Otrkārt, </w:t>
            </w:r>
            <w:r w:rsidR="000F2A38" w:rsidRPr="00C85779">
              <w:rPr>
                <w:sz w:val="28"/>
                <w:szCs w:val="28"/>
              </w:rPr>
              <w:t xml:space="preserve">jaunā redakcijā izteikts </w:t>
            </w:r>
            <w:r w:rsidR="001C1F0C" w:rsidRPr="00C85779">
              <w:rPr>
                <w:sz w:val="28"/>
                <w:szCs w:val="28"/>
              </w:rPr>
              <w:t>N</w:t>
            </w:r>
            <w:r w:rsidR="000F2A38" w:rsidRPr="00C85779">
              <w:rPr>
                <w:sz w:val="28"/>
                <w:szCs w:val="28"/>
              </w:rPr>
              <w:t>oteikumu</w:t>
            </w:r>
            <w:r w:rsidR="001C1F0C" w:rsidRPr="00C85779">
              <w:rPr>
                <w:sz w:val="28"/>
                <w:szCs w:val="28"/>
              </w:rPr>
              <w:t xml:space="preserve"> Nr. 485</w:t>
            </w:r>
            <w:r w:rsidR="000F2A38" w:rsidRPr="00C85779">
              <w:rPr>
                <w:sz w:val="28"/>
                <w:szCs w:val="28"/>
              </w:rPr>
              <w:t xml:space="preserve"> 49. punkta tiesiskais regulējums </w:t>
            </w:r>
            <w:r w:rsidR="005E6DE2" w:rsidRPr="00C85779">
              <w:rPr>
                <w:sz w:val="28"/>
                <w:szCs w:val="28"/>
              </w:rPr>
              <w:t xml:space="preserve">(jaunās redakcijas 53. punkts), kurš </w:t>
            </w:r>
            <w:r w:rsidR="005833AD" w:rsidRPr="00C85779">
              <w:rPr>
                <w:sz w:val="28"/>
                <w:szCs w:val="28"/>
              </w:rPr>
              <w:t>uzlabo</w:t>
            </w:r>
            <w:r w:rsidR="005E6DE2" w:rsidRPr="00C85779">
              <w:rPr>
                <w:sz w:val="28"/>
                <w:szCs w:val="28"/>
              </w:rPr>
              <w:t xml:space="preserve"> vērtēšanas kārtību </w:t>
            </w:r>
            <w:r w:rsidR="000F2A38" w:rsidRPr="00C85779">
              <w:rPr>
                <w:sz w:val="28"/>
                <w:szCs w:val="28"/>
              </w:rPr>
              <w:t>eksāmena vai kvalifikācijas pārbaudes treš</w:t>
            </w:r>
            <w:r w:rsidR="005E6DE2" w:rsidRPr="00C85779">
              <w:rPr>
                <w:sz w:val="28"/>
                <w:szCs w:val="28"/>
              </w:rPr>
              <w:t xml:space="preserve">ajai daļai, proti, noteikts, ka eksāmena vai kvalifikācijas pārbaudes trešā daļa nav nokārtota, ja </w:t>
            </w:r>
            <w:r w:rsidR="000E7921" w:rsidRPr="00C85779">
              <w:rPr>
                <w:sz w:val="28"/>
                <w:szCs w:val="28"/>
              </w:rPr>
              <w:t xml:space="preserve">vismaz </w:t>
            </w:r>
            <w:r w:rsidR="005E6DE2" w:rsidRPr="00C85779">
              <w:rPr>
                <w:sz w:val="28"/>
                <w:szCs w:val="28"/>
              </w:rPr>
              <w:t>trīs komisijas locekļi vismaz divus pretendenta eksāmena vai zvērināta notāra kvalifikācijas pārbaudes trešās daļas jautājumus ir novērtējuši ar vienu vai divām ballēm.</w:t>
            </w:r>
          </w:p>
          <w:p w:rsidR="005D52CC" w:rsidRPr="00C85779" w:rsidRDefault="00AE0544" w:rsidP="000557D4">
            <w:pPr>
              <w:ind w:right="4" w:firstLine="336"/>
              <w:jc w:val="both"/>
              <w:rPr>
                <w:sz w:val="28"/>
                <w:szCs w:val="28"/>
              </w:rPr>
            </w:pPr>
            <w:r w:rsidRPr="00C85779">
              <w:rPr>
                <w:sz w:val="28"/>
                <w:szCs w:val="28"/>
              </w:rPr>
              <w:t>Papildus</w:t>
            </w:r>
            <w:r w:rsidR="00355BD3" w:rsidRPr="00C85779">
              <w:rPr>
                <w:sz w:val="28"/>
                <w:szCs w:val="28"/>
              </w:rPr>
              <w:t xml:space="preserve"> </w:t>
            </w:r>
            <w:r w:rsidR="005833AD" w:rsidRPr="00C85779">
              <w:rPr>
                <w:sz w:val="28"/>
                <w:szCs w:val="28"/>
              </w:rPr>
              <w:t>noteikum</w:t>
            </w:r>
            <w:r w:rsidR="001C1F0C" w:rsidRPr="00C85779">
              <w:rPr>
                <w:sz w:val="28"/>
                <w:szCs w:val="28"/>
              </w:rPr>
              <w:t>u projektā</w:t>
            </w:r>
            <w:r w:rsidR="005833AD" w:rsidRPr="00C85779">
              <w:rPr>
                <w:sz w:val="28"/>
                <w:szCs w:val="28"/>
              </w:rPr>
              <w:t xml:space="preserve"> ietverts</w:t>
            </w:r>
            <w:r w:rsidR="007A28D6" w:rsidRPr="00C85779">
              <w:rPr>
                <w:sz w:val="28"/>
                <w:szCs w:val="28"/>
              </w:rPr>
              <w:t xml:space="preserve"> </w:t>
            </w:r>
            <w:r w:rsidR="000557D4" w:rsidRPr="00C85779">
              <w:rPr>
                <w:sz w:val="28"/>
                <w:szCs w:val="28"/>
              </w:rPr>
              <w:t xml:space="preserve">arī </w:t>
            </w:r>
            <w:r w:rsidR="007A28D6" w:rsidRPr="00C85779">
              <w:rPr>
                <w:sz w:val="28"/>
                <w:szCs w:val="28"/>
              </w:rPr>
              <w:t>jaun</w:t>
            </w:r>
            <w:r w:rsidR="005833AD" w:rsidRPr="00C85779">
              <w:rPr>
                <w:sz w:val="28"/>
                <w:szCs w:val="28"/>
              </w:rPr>
              <w:t xml:space="preserve">s regulējums attiecībā uz vērtēšanas sistēmu, </w:t>
            </w:r>
            <w:r w:rsidR="007A28D6" w:rsidRPr="00C85779">
              <w:rPr>
                <w:sz w:val="28"/>
                <w:szCs w:val="28"/>
              </w:rPr>
              <w:t>kura nodrošinās kvalificētāku speciālistu uzņemšanu zvērināta notāra amatā.</w:t>
            </w:r>
            <w:r w:rsidR="00683E5A" w:rsidRPr="00C85779">
              <w:rPr>
                <w:sz w:val="28"/>
                <w:szCs w:val="28"/>
              </w:rPr>
              <w:t xml:space="preserve"> </w:t>
            </w:r>
            <w:r w:rsidR="005833AD" w:rsidRPr="00C85779">
              <w:rPr>
                <w:sz w:val="28"/>
                <w:szCs w:val="28"/>
              </w:rPr>
              <w:t xml:space="preserve">Minētais regulējums </w:t>
            </w:r>
            <w:r w:rsidR="00683E5A" w:rsidRPr="00C85779">
              <w:rPr>
                <w:sz w:val="28"/>
                <w:szCs w:val="28"/>
              </w:rPr>
              <w:t>noteic, ka aritmētisko rezultātu neapaļo, ja iegūtais rezultāts nesasniedz trīs balles, un šajā gadījumā vērtējums attiecīgi ir viena vai divas balles (neapmierinošs vērtējums)</w:t>
            </w:r>
            <w:r w:rsidR="005833AD" w:rsidRPr="00C85779">
              <w:rPr>
                <w:sz w:val="28"/>
                <w:szCs w:val="28"/>
              </w:rPr>
              <w:t>.</w:t>
            </w:r>
          </w:p>
          <w:p w:rsidR="00355BD3" w:rsidRPr="00C85779" w:rsidRDefault="00AE0544" w:rsidP="001C1F0C">
            <w:pPr>
              <w:ind w:right="4" w:firstLine="336"/>
              <w:jc w:val="both"/>
              <w:rPr>
                <w:sz w:val="28"/>
                <w:szCs w:val="28"/>
              </w:rPr>
            </w:pPr>
            <w:r w:rsidRPr="00C85779">
              <w:rPr>
                <w:sz w:val="28"/>
                <w:szCs w:val="28"/>
              </w:rPr>
              <w:t>Tāpat</w:t>
            </w:r>
            <w:r w:rsidR="00355BD3" w:rsidRPr="00C85779">
              <w:rPr>
                <w:sz w:val="28"/>
                <w:szCs w:val="28"/>
              </w:rPr>
              <w:t xml:space="preserve"> </w:t>
            </w:r>
            <w:r w:rsidR="001C1F0C" w:rsidRPr="00C85779">
              <w:rPr>
                <w:sz w:val="28"/>
                <w:szCs w:val="28"/>
              </w:rPr>
              <w:t>N</w:t>
            </w:r>
            <w:r w:rsidR="00355BD3" w:rsidRPr="00C85779">
              <w:rPr>
                <w:sz w:val="28"/>
                <w:szCs w:val="28"/>
              </w:rPr>
              <w:t xml:space="preserve">oteikumos </w:t>
            </w:r>
            <w:r w:rsidR="001C1F0C" w:rsidRPr="00C85779">
              <w:rPr>
                <w:sz w:val="28"/>
                <w:szCs w:val="28"/>
              </w:rPr>
              <w:t xml:space="preserve">Nr. 485 </w:t>
            </w:r>
            <w:r w:rsidR="00355BD3" w:rsidRPr="00C85779">
              <w:rPr>
                <w:sz w:val="28"/>
                <w:szCs w:val="28"/>
              </w:rPr>
              <w:t>veikti tehniska rakstura precizēju</w:t>
            </w:r>
            <w:r w:rsidR="00430421" w:rsidRPr="00C85779">
              <w:rPr>
                <w:sz w:val="28"/>
                <w:szCs w:val="28"/>
              </w:rPr>
              <w:t xml:space="preserve">mi attiecībā uz pielikumiem, piemēram, </w:t>
            </w:r>
            <w:r w:rsidR="00355BD3" w:rsidRPr="00C85779">
              <w:rPr>
                <w:sz w:val="28"/>
                <w:szCs w:val="28"/>
              </w:rPr>
              <w:t>nosakot to, ka turpmāk norādāms tikai pretendenta vai zvērināta notāra piešķirtais šifrētais kods, nevis vārds un uzvārds.</w:t>
            </w:r>
          </w:p>
          <w:p w:rsidR="00AE0544" w:rsidRPr="00C85779" w:rsidRDefault="00AE0544" w:rsidP="00283BEF">
            <w:pPr>
              <w:ind w:right="4" w:firstLine="336"/>
              <w:jc w:val="both"/>
              <w:rPr>
                <w:sz w:val="28"/>
                <w:szCs w:val="28"/>
              </w:rPr>
            </w:pPr>
            <w:r w:rsidRPr="00C85779">
              <w:rPr>
                <w:sz w:val="28"/>
                <w:szCs w:val="28"/>
              </w:rPr>
              <w:t>Visbeidzot Noteikumu projekt</w:t>
            </w:r>
            <w:r w:rsidR="00283BEF" w:rsidRPr="00C85779">
              <w:rPr>
                <w:sz w:val="28"/>
                <w:szCs w:val="28"/>
              </w:rPr>
              <w:t xml:space="preserve">ā </w:t>
            </w:r>
            <w:r w:rsidRPr="00C85779">
              <w:rPr>
                <w:sz w:val="28"/>
                <w:szCs w:val="28"/>
              </w:rPr>
              <w:t>paredz</w:t>
            </w:r>
            <w:r w:rsidR="00283BEF" w:rsidRPr="00C85779">
              <w:rPr>
                <w:sz w:val="28"/>
                <w:szCs w:val="28"/>
              </w:rPr>
              <w:t>ēts iekļaut tiesības</w:t>
            </w:r>
            <w:r w:rsidRPr="00C85779">
              <w:rPr>
                <w:sz w:val="28"/>
                <w:szCs w:val="28"/>
              </w:rPr>
              <w:t xml:space="preserve"> pretendentam un zvērinātam notāram</w:t>
            </w:r>
            <w:r w:rsidR="00283BEF" w:rsidRPr="00C85779">
              <w:rPr>
                <w:sz w:val="28"/>
                <w:szCs w:val="28"/>
              </w:rPr>
              <w:t>,</w:t>
            </w:r>
            <w:r w:rsidRPr="00C85779">
              <w:rPr>
                <w:sz w:val="28"/>
                <w:szCs w:val="28"/>
              </w:rPr>
              <w:t xml:space="preserve"> sazi</w:t>
            </w:r>
            <w:r w:rsidR="00283BEF" w:rsidRPr="00C85779">
              <w:rPr>
                <w:sz w:val="28"/>
                <w:szCs w:val="28"/>
              </w:rPr>
              <w:t xml:space="preserve">noties ar </w:t>
            </w:r>
            <w:r w:rsidRPr="00C85779">
              <w:rPr>
                <w:sz w:val="28"/>
                <w:szCs w:val="28"/>
              </w:rPr>
              <w:t>Latvijas Zvērinātu notāru padomi</w:t>
            </w:r>
            <w:r w:rsidR="00791B8A">
              <w:rPr>
                <w:sz w:val="28"/>
                <w:szCs w:val="28"/>
              </w:rPr>
              <w:t xml:space="preserve"> un Tieslietu ministriju, </w:t>
            </w:r>
            <w:r w:rsidRPr="00C85779">
              <w:rPr>
                <w:sz w:val="28"/>
                <w:szCs w:val="28"/>
              </w:rPr>
              <w:t>izmantot elektroniskos sakaru līdzekļus.</w:t>
            </w:r>
          </w:p>
        </w:tc>
      </w:tr>
      <w:tr w:rsidR="00262E2B" w:rsidRPr="00C85779" w:rsidTr="0046258F">
        <w:trPr>
          <w:trHeight w:val="476"/>
        </w:trPr>
        <w:tc>
          <w:tcPr>
            <w:tcW w:w="493" w:type="dxa"/>
          </w:tcPr>
          <w:p w:rsidR="00262E2B" w:rsidRPr="00C85779" w:rsidRDefault="00262E2B" w:rsidP="006C4607">
            <w:pPr>
              <w:pStyle w:val="naiskr"/>
              <w:spacing w:before="0" w:after="0"/>
              <w:rPr>
                <w:sz w:val="28"/>
                <w:szCs w:val="28"/>
              </w:rPr>
            </w:pPr>
            <w:r w:rsidRPr="00C85779">
              <w:rPr>
                <w:sz w:val="28"/>
                <w:szCs w:val="28"/>
              </w:rPr>
              <w:t>5.</w:t>
            </w:r>
          </w:p>
        </w:tc>
        <w:tc>
          <w:tcPr>
            <w:tcW w:w="2206" w:type="dxa"/>
          </w:tcPr>
          <w:p w:rsidR="00262E2B" w:rsidRPr="00C85779" w:rsidRDefault="001A4066" w:rsidP="006C4607">
            <w:pPr>
              <w:pStyle w:val="naiskr"/>
              <w:spacing w:before="0" w:after="0"/>
              <w:rPr>
                <w:sz w:val="28"/>
                <w:szCs w:val="28"/>
              </w:rPr>
            </w:pPr>
            <w:r w:rsidRPr="00C85779">
              <w:rPr>
                <w:sz w:val="28"/>
                <w:szCs w:val="28"/>
              </w:rPr>
              <w:t>Projekta i</w:t>
            </w:r>
            <w:r w:rsidR="00262E2B" w:rsidRPr="00C85779">
              <w:rPr>
                <w:sz w:val="28"/>
                <w:szCs w:val="28"/>
              </w:rPr>
              <w:t>zstrād</w:t>
            </w:r>
            <w:r w:rsidR="00420870" w:rsidRPr="00C85779">
              <w:rPr>
                <w:sz w:val="28"/>
                <w:szCs w:val="28"/>
              </w:rPr>
              <w:t xml:space="preserve">ē </w:t>
            </w:r>
            <w:r w:rsidR="00262E2B" w:rsidRPr="00C85779">
              <w:rPr>
                <w:sz w:val="28"/>
                <w:szCs w:val="28"/>
              </w:rPr>
              <w:t>iesaistītās institūcijas</w:t>
            </w:r>
          </w:p>
        </w:tc>
        <w:tc>
          <w:tcPr>
            <w:tcW w:w="6804" w:type="dxa"/>
          </w:tcPr>
          <w:p w:rsidR="00262E2B" w:rsidRPr="00C85779" w:rsidRDefault="00371DEE" w:rsidP="007F3C50">
            <w:pPr>
              <w:pStyle w:val="naiskr"/>
              <w:spacing w:before="0" w:after="0"/>
              <w:ind w:right="81"/>
              <w:jc w:val="both"/>
              <w:rPr>
                <w:sz w:val="28"/>
                <w:szCs w:val="28"/>
              </w:rPr>
            </w:pPr>
            <w:r w:rsidRPr="00C85779">
              <w:rPr>
                <w:sz w:val="28"/>
                <w:szCs w:val="28"/>
              </w:rPr>
              <w:t xml:space="preserve">    </w:t>
            </w:r>
            <w:r w:rsidR="0031456D" w:rsidRPr="00C85779">
              <w:rPr>
                <w:sz w:val="28"/>
                <w:szCs w:val="28"/>
              </w:rPr>
              <w:t>Latvijas Zvērinātu notāru padome</w:t>
            </w:r>
            <w:r w:rsidR="00CE3BDE" w:rsidRPr="00C85779">
              <w:rPr>
                <w:sz w:val="28"/>
                <w:szCs w:val="28"/>
              </w:rPr>
              <w:t xml:space="preserve"> un </w:t>
            </w:r>
            <w:r w:rsidR="00683E5A" w:rsidRPr="00C85779">
              <w:rPr>
                <w:sz w:val="28"/>
                <w:szCs w:val="28"/>
              </w:rPr>
              <w:t xml:space="preserve">zvērināta notāra amata pretendenta un zvērināta notāra zināšanu un prasmju pārbaudes eksāmena </w:t>
            </w:r>
            <w:r w:rsidR="00CE3BDE" w:rsidRPr="00C85779">
              <w:rPr>
                <w:sz w:val="28"/>
                <w:szCs w:val="28"/>
              </w:rPr>
              <w:t>komisija, kura apstiprināta ar tieslietu ministra 2010. gada 15. janvāra rīkojumu Nr. 1-1/18</w:t>
            </w:r>
            <w:r w:rsidR="007F3C50" w:rsidRPr="00C85779">
              <w:rPr>
                <w:sz w:val="28"/>
                <w:szCs w:val="28"/>
              </w:rPr>
              <w:t>.</w:t>
            </w:r>
          </w:p>
        </w:tc>
      </w:tr>
      <w:tr w:rsidR="00262E2B" w:rsidRPr="00C85779" w:rsidTr="0046258F">
        <w:trPr>
          <w:trHeight w:val="1340"/>
        </w:trPr>
        <w:tc>
          <w:tcPr>
            <w:tcW w:w="493" w:type="dxa"/>
          </w:tcPr>
          <w:p w:rsidR="00262E2B" w:rsidRPr="00C85779" w:rsidRDefault="00262E2B" w:rsidP="006C4607">
            <w:pPr>
              <w:pStyle w:val="naiskr"/>
              <w:spacing w:before="0" w:after="0"/>
              <w:rPr>
                <w:sz w:val="28"/>
                <w:szCs w:val="28"/>
              </w:rPr>
            </w:pPr>
            <w:r w:rsidRPr="00C85779">
              <w:rPr>
                <w:sz w:val="28"/>
                <w:szCs w:val="28"/>
              </w:rPr>
              <w:lastRenderedPageBreak/>
              <w:t>6.</w:t>
            </w:r>
          </w:p>
        </w:tc>
        <w:tc>
          <w:tcPr>
            <w:tcW w:w="2206" w:type="dxa"/>
          </w:tcPr>
          <w:p w:rsidR="00262E2B" w:rsidRPr="00C85779" w:rsidRDefault="00BB7C94" w:rsidP="006C4607">
            <w:pPr>
              <w:pStyle w:val="naiskr"/>
              <w:spacing w:before="0" w:after="0"/>
              <w:rPr>
                <w:i/>
                <w:sz w:val="28"/>
                <w:szCs w:val="28"/>
                <w:highlight w:val="yellow"/>
              </w:rPr>
            </w:pPr>
            <w:r w:rsidRPr="00C85779">
              <w:rPr>
                <w:sz w:val="28"/>
                <w:szCs w:val="28"/>
              </w:rPr>
              <w:t xml:space="preserve">Iemesli, kādēļ netika nodrošināta </w:t>
            </w:r>
            <w:r w:rsidR="00262E2B" w:rsidRPr="00C85779">
              <w:rPr>
                <w:sz w:val="28"/>
                <w:szCs w:val="28"/>
              </w:rPr>
              <w:t xml:space="preserve">sabiedrības </w:t>
            </w:r>
            <w:r w:rsidRPr="00C85779">
              <w:rPr>
                <w:sz w:val="28"/>
                <w:szCs w:val="28"/>
              </w:rPr>
              <w:t>līdzdalība</w:t>
            </w:r>
          </w:p>
        </w:tc>
        <w:tc>
          <w:tcPr>
            <w:tcW w:w="6804" w:type="dxa"/>
          </w:tcPr>
          <w:p w:rsidR="00D20FF4" w:rsidRPr="00C85779" w:rsidRDefault="001B5F9C" w:rsidP="001B5F9C">
            <w:pPr>
              <w:pStyle w:val="FootnoteText"/>
              <w:ind w:firstLine="283"/>
              <w:jc w:val="both"/>
              <w:rPr>
                <w:sz w:val="28"/>
                <w:szCs w:val="28"/>
              </w:rPr>
            </w:pPr>
            <w:r w:rsidRPr="00C85779">
              <w:rPr>
                <w:sz w:val="28"/>
                <w:szCs w:val="28"/>
              </w:rPr>
              <w:t>Nav</w:t>
            </w:r>
            <w:r w:rsidR="00694BC5" w:rsidRPr="00C85779">
              <w:rPr>
                <w:sz w:val="28"/>
                <w:szCs w:val="28"/>
              </w:rPr>
              <w:t xml:space="preserve"> attiecināms</w:t>
            </w:r>
          </w:p>
        </w:tc>
      </w:tr>
      <w:tr w:rsidR="00262E2B" w:rsidRPr="00C85779" w:rsidTr="0046258F">
        <w:tc>
          <w:tcPr>
            <w:tcW w:w="493" w:type="dxa"/>
          </w:tcPr>
          <w:p w:rsidR="00262E2B" w:rsidRPr="00C85779" w:rsidRDefault="00262E2B" w:rsidP="006C4607">
            <w:pPr>
              <w:pStyle w:val="naiskr"/>
              <w:spacing w:before="0" w:after="0"/>
              <w:rPr>
                <w:sz w:val="28"/>
                <w:szCs w:val="28"/>
              </w:rPr>
            </w:pPr>
            <w:r w:rsidRPr="00C85779">
              <w:rPr>
                <w:sz w:val="28"/>
                <w:szCs w:val="28"/>
              </w:rPr>
              <w:t>7.</w:t>
            </w:r>
          </w:p>
        </w:tc>
        <w:tc>
          <w:tcPr>
            <w:tcW w:w="2206" w:type="dxa"/>
          </w:tcPr>
          <w:p w:rsidR="00262E2B" w:rsidRPr="00C85779" w:rsidRDefault="00262E2B" w:rsidP="006C4607">
            <w:pPr>
              <w:pStyle w:val="naiskr"/>
              <w:spacing w:before="0" w:after="0"/>
              <w:rPr>
                <w:sz w:val="28"/>
                <w:szCs w:val="28"/>
              </w:rPr>
            </w:pPr>
            <w:r w:rsidRPr="00C85779">
              <w:rPr>
                <w:sz w:val="28"/>
                <w:szCs w:val="28"/>
              </w:rPr>
              <w:t>Cita informācija</w:t>
            </w:r>
          </w:p>
        </w:tc>
        <w:tc>
          <w:tcPr>
            <w:tcW w:w="6804" w:type="dxa"/>
          </w:tcPr>
          <w:p w:rsidR="00262E2B" w:rsidRPr="00C85779" w:rsidRDefault="00A63C06" w:rsidP="00A63C06">
            <w:pPr>
              <w:pStyle w:val="naiskr"/>
              <w:spacing w:before="0" w:after="0"/>
              <w:ind w:firstLine="283"/>
              <w:jc w:val="both"/>
              <w:rPr>
                <w:sz w:val="28"/>
                <w:szCs w:val="28"/>
              </w:rPr>
            </w:pPr>
            <w:r w:rsidRPr="00C85779">
              <w:rPr>
                <w:sz w:val="28"/>
                <w:szCs w:val="28"/>
              </w:rPr>
              <w:t xml:space="preserve">Nav </w:t>
            </w:r>
            <w:r w:rsidR="00694BC5" w:rsidRPr="00C85779">
              <w:rPr>
                <w:sz w:val="28"/>
                <w:szCs w:val="28"/>
              </w:rPr>
              <w:t>attiecināms</w:t>
            </w:r>
          </w:p>
        </w:tc>
      </w:tr>
    </w:tbl>
    <w:p w:rsidR="00CC3654" w:rsidRPr="00C85779" w:rsidRDefault="00CC3654" w:rsidP="006C4607">
      <w:pPr>
        <w:pStyle w:val="naisf"/>
        <w:spacing w:before="0" w:after="0"/>
        <w:rPr>
          <w:sz w:val="28"/>
          <w:szCs w:val="28"/>
        </w:rPr>
      </w:pPr>
    </w:p>
    <w:tbl>
      <w:tblPr>
        <w:tblpPr w:leftFromText="180" w:rightFromText="180" w:vertAnchor="text" w:horzAnchor="margin" w:tblpXSpec="center" w:tblpY="149"/>
        <w:tblW w:w="95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403"/>
        <w:gridCol w:w="2999"/>
        <w:gridCol w:w="6101"/>
      </w:tblGrid>
      <w:tr w:rsidR="0062298A" w:rsidRPr="00C85779" w:rsidTr="00C840BD">
        <w:tc>
          <w:tcPr>
            <w:tcW w:w="9503" w:type="dxa"/>
            <w:gridSpan w:val="3"/>
            <w:vAlign w:val="center"/>
          </w:tcPr>
          <w:p w:rsidR="0062298A" w:rsidRPr="00C85779" w:rsidRDefault="0062298A" w:rsidP="006C4607">
            <w:pPr>
              <w:pStyle w:val="naisnod"/>
              <w:spacing w:before="0" w:after="0"/>
              <w:rPr>
                <w:sz w:val="28"/>
                <w:szCs w:val="28"/>
              </w:rPr>
            </w:pPr>
            <w:r w:rsidRPr="00C85779">
              <w:rPr>
                <w:sz w:val="28"/>
                <w:szCs w:val="28"/>
              </w:rPr>
              <w:t>II</w:t>
            </w:r>
            <w:r w:rsidR="000941C5" w:rsidRPr="00C85779">
              <w:rPr>
                <w:sz w:val="28"/>
                <w:szCs w:val="28"/>
              </w:rPr>
              <w:t>.</w:t>
            </w:r>
            <w:r w:rsidRPr="00C85779">
              <w:rPr>
                <w:sz w:val="28"/>
                <w:szCs w:val="28"/>
              </w:rPr>
              <w:t xml:space="preserve"> Tiesību akta projekta ietekme uz sabiedrību</w:t>
            </w:r>
          </w:p>
        </w:tc>
      </w:tr>
      <w:tr w:rsidR="0062298A" w:rsidRPr="00C85779" w:rsidTr="00C840BD">
        <w:trPr>
          <w:trHeight w:val="467"/>
        </w:trPr>
        <w:tc>
          <w:tcPr>
            <w:tcW w:w="403" w:type="dxa"/>
          </w:tcPr>
          <w:p w:rsidR="0062298A" w:rsidRPr="00C85779" w:rsidRDefault="0062298A" w:rsidP="006C4607">
            <w:pPr>
              <w:pStyle w:val="naiskr"/>
              <w:spacing w:before="0" w:after="0"/>
              <w:rPr>
                <w:sz w:val="28"/>
                <w:szCs w:val="28"/>
              </w:rPr>
            </w:pPr>
            <w:r w:rsidRPr="00C85779">
              <w:rPr>
                <w:sz w:val="28"/>
                <w:szCs w:val="28"/>
              </w:rPr>
              <w:t>1.</w:t>
            </w:r>
          </w:p>
        </w:tc>
        <w:tc>
          <w:tcPr>
            <w:tcW w:w="2999" w:type="dxa"/>
          </w:tcPr>
          <w:p w:rsidR="0062298A" w:rsidRPr="00C85779" w:rsidRDefault="00C27A08" w:rsidP="006C4607">
            <w:pPr>
              <w:pStyle w:val="naiskr"/>
              <w:spacing w:before="0" w:after="0"/>
              <w:rPr>
                <w:sz w:val="28"/>
                <w:szCs w:val="28"/>
              </w:rPr>
            </w:pPr>
            <w:r w:rsidRPr="00C85779">
              <w:rPr>
                <w:sz w:val="28"/>
                <w:szCs w:val="28"/>
              </w:rPr>
              <w:t>Sabiedrības mērķgrupa</w:t>
            </w:r>
          </w:p>
        </w:tc>
        <w:tc>
          <w:tcPr>
            <w:tcW w:w="6101" w:type="dxa"/>
          </w:tcPr>
          <w:p w:rsidR="00A02C89" w:rsidRPr="00C85779" w:rsidRDefault="007570F8" w:rsidP="00683E5A">
            <w:pPr>
              <w:pStyle w:val="naiskr"/>
              <w:tabs>
                <w:tab w:val="left" w:pos="0"/>
              </w:tabs>
              <w:spacing w:before="0" w:after="0"/>
              <w:ind w:right="142"/>
              <w:jc w:val="both"/>
              <w:rPr>
                <w:sz w:val="28"/>
                <w:szCs w:val="28"/>
              </w:rPr>
            </w:pPr>
            <w:r w:rsidRPr="00C85779">
              <w:rPr>
                <w:iCs/>
                <w:sz w:val="28"/>
                <w:szCs w:val="28"/>
              </w:rPr>
              <w:t xml:space="preserve">     Zvērināta notāra amata pretendenti</w:t>
            </w:r>
            <w:r w:rsidR="00683E5A" w:rsidRPr="00C85779">
              <w:rPr>
                <w:iCs/>
                <w:sz w:val="28"/>
                <w:szCs w:val="28"/>
              </w:rPr>
              <w:t xml:space="preserve"> un z</w:t>
            </w:r>
            <w:r w:rsidRPr="00C85779">
              <w:rPr>
                <w:iCs/>
                <w:sz w:val="28"/>
                <w:szCs w:val="28"/>
              </w:rPr>
              <w:t>vērināti notāri</w:t>
            </w:r>
            <w:r w:rsidR="00683E5A" w:rsidRPr="00C85779">
              <w:rPr>
                <w:iCs/>
                <w:sz w:val="28"/>
                <w:szCs w:val="28"/>
              </w:rPr>
              <w:t xml:space="preserve">, kā arī </w:t>
            </w:r>
            <w:r w:rsidR="00683E5A" w:rsidRPr="00C85779">
              <w:rPr>
                <w:sz w:val="28"/>
                <w:szCs w:val="28"/>
              </w:rPr>
              <w:t>zvērināta notāra amata pretendenta un zvērināta notāra zināšanu un prasmju pārbaudes eksāmena komisija</w:t>
            </w:r>
            <w:r w:rsidR="007F3C50" w:rsidRPr="00C85779">
              <w:rPr>
                <w:iCs/>
                <w:sz w:val="28"/>
                <w:szCs w:val="28"/>
              </w:rPr>
              <w:t>.</w:t>
            </w:r>
          </w:p>
        </w:tc>
      </w:tr>
      <w:tr w:rsidR="0062298A" w:rsidRPr="00C85779" w:rsidTr="00C840BD">
        <w:trPr>
          <w:trHeight w:val="523"/>
        </w:trPr>
        <w:tc>
          <w:tcPr>
            <w:tcW w:w="403" w:type="dxa"/>
          </w:tcPr>
          <w:p w:rsidR="0062298A" w:rsidRPr="00C85779" w:rsidRDefault="0062298A" w:rsidP="006C4607">
            <w:pPr>
              <w:pStyle w:val="naiskr"/>
              <w:spacing w:before="0" w:after="0"/>
              <w:rPr>
                <w:sz w:val="28"/>
                <w:szCs w:val="28"/>
              </w:rPr>
            </w:pPr>
            <w:r w:rsidRPr="00C85779">
              <w:rPr>
                <w:sz w:val="28"/>
                <w:szCs w:val="28"/>
              </w:rPr>
              <w:t>2.</w:t>
            </w:r>
          </w:p>
        </w:tc>
        <w:tc>
          <w:tcPr>
            <w:tcW w:w="2999" w:type="dxa"/>
          </w:tcPr>
          <w:p w:rsidR="00C1133D" w:rsidRPr="00C85779" w:rsidRDefault="00C27A08" w:rsidP="006C4607">
            <w:pPr>
              <w:pStyle w:val="naiskr"/>
              <w:spacing w:before="0" w:after="0"/>
              <w:rPr>
                <w:sz w:val="28"/>
                <w:szCs w:val="28"/>
              </w:rPr>
            </w:pPr>
            <w:r w:rsidRPr="00C85779">
              <w:rPr>
                <w:sz w:val="28"/>
                <w:szCs w:val="28"/>
              </w:rPr>
              <w:t>Citas sabiedrības grupas (bez mērķgrupas), kuras tiesiskais regulējums arī ietekmē vai varētu ietekmēt</w:t>
            </w:r>
          </w:p>
        </w:tc>
        <w:tc>
          <w:tcPr>
            <w:tcW w:w="6101" w:type="dxa"/>
          </w:tcPr>
          <w:p w:rsidR="0062298A" w:rsidRPr="00C85779" w:rsidRDefault="00425E02" w:rsidP="00E82E7B">
            <w:pPr>
              <w:pStyle w:val="naiskr"/>
              <w:spacing w:before="0" w:after="0"/>
              <w:ind w:right="142" w:firstLine="284"/>
              <w:jc w:val="both"/>
              <w:rPr>
                <w:sz w:val="28"/>
                <w:szCs w:val="28"/>
              </w:rPr>
            </w:pPr>
            <w:r w:rsidRPr="00C85779">
              <w:rPr>
                <w:sz w:val="28"/>
                <w:szCs w:val="28"/>
              </w:rPr>
              <w:t>Nav attiecināms</w:t>
            </w:r>
          </w:p>
        </w:tc>
      </w:tr>
      <w:tr w:rsidR="0062298A" w:rsidRPr="00C85779" w:rsidTr="00C840BD">
        <w:trPr>
          <w:trHeight w:val="517"/>
        </w:trPr>
        <w:tc>
          <w:tcPr>
            <w:tcW w:w="403" w:type="dxa"/>
          </w:tcPr>
          <w:p w:rsidR="0062298A" w:rsidRPr="00C85779" w:rsidRDefault="0062298A" w:rsidP="006C4607">
            <w:pPr>
              <w:pStyle w:val="naiskr"/>
              <w:spacing w:before="0" w:after="0"/>
              <w:rPr>
                <w:sz w:val="28"/>
                <w:szCs w:val="28"/>
              </w:rPr>
            </w:pPr>
            <w:r w:rsidRPr="00C85779">
              <w:rPr>
                <w:sz w:val="28"/>
                <w:szCs w:val="28"/>
              </w:rPr>
              <w:t>3.</w:t>
            </w:r>
          </w:p>
        </w:tc>
        <w:tc>
          <w:tcPr>
            <w:tcW w:w="2999" w:type="dxa"/>
          </w:tcPr>
          <w:p w:rsidR="00C1133D" w:rsidRPr="00C85779" w:rsidRDefault="000C790C" w:rsidP="006C4607">
            <w:pPr>
              <w:pStyle w:val="naiskr"/>
              <w:spacing w:before="0" w:after="0"/>
              <w:rPr>
                <w:sz w:val="28"/>
                <w:szCs w:val="28"/>
              </w:rPr>
            </w:pPr>
            <w:r w:rsidRPr="00C85779">
              <w:rPr>
                <w:sz w:val="28"/>
                <w:szCs w:val="28"/>
              </w:rPr>
              <w:t>Tiesiskā r</w:t>
            </w:r>
            <w:r w:rsidR="003D21FF" w:rsidRPr="00C85779">
              <w:rPr>
                <w:sz w:val="28"/>
                <w:szCs w:val="28"/>
              </w:rPr>
              <w:t>egulējuma</w:t>
            </w:r>
            <w:r w:rsidR="00C27A08" w:rsidRPr="00C85779">
              <w:rPr>
                <w:sz w:val="28"/>
                <w:szCs w:val="28"/>
              </w:rPr>
              <w:t xml:space="preserve"> finansiālā ietekme</w:t>
            </w:r>
          </w:p>
        </w:tc>
        <w:tc>
          <w:tcPr>
            <w:tcW w:w="6101" w:type="dxa"/>
          </w:tcPr>
          <w:p w:rsidR="005F15DC" w:rsidRPr="00C85779" w:rsidRDefault="00425E02" w:rsidP="002B5C78">
            <w:pPr>
              <w:ind w:firstLine="352"/>
              <w:jc w:val="both"/>
              <w:rPr>
                <w:sz w:val="28"/>
                <w:szCs w:val="28"/>
              </w:rPr>
            </w:pPr>
            <w:r w:rsidRPr="00C85779">
              <w:rPr>
                <w:sz w:val="28"/>
                <w:szCs w:val="28"/>
              </w:rPr>
              <w:t>Nav attiecināms</w:t>
            </w:r>
          </w:p>
        </w:tc>
      </w:tr>
      <w:tr w:rsidR="00C27A08" w:rsidRPr="00C85779" w:rsidTr="00C840BD">
        <w:trPr>
          <w:trHeight w:val="517"/>
        </w:trPr>
        <w:tc>
          <w:tcPr>
            <w:tcW w:w="403" w:type="dxa"/>
          </w:tcPr>
          <w:p w:rsidR="00C27A08" w:rsidRPr="00C85779" w:rsidRDefault="00C27A08" w:rsidP="006C4607">
            <w:pPr>
              <w:pStyle w:val="naiskr"/>
              <w:spacing w:before="0" w:after="0"/>
              <w:rPr>
                <w:sz w:val="28"/>
                <w:szCs w:val="28"/>
              </w:rPr>
            </w:pPr>
            <w:r w:rsidRPr="00C85779">
              <w:rPr>
                <w:sz w:val="28"/>
                <w:szCs w:val="28"/>
              </w:rPr>
              <w:t>4.</w:t>
            </w:r>
          </w:p>
        </w:tc>
        <w:tc>
          <w:tcPr>
            <w:tcW w:w="2999" w:type="dxa"/>
          </w:tcPr>
          <w:p w:rsidR="00C27A08" w:rsidRPr="00C85779" w:rsidRDefault="00C27A08" w:rsidP="006C4607">
            <w:pPr>
              <w:pStyle w:val="naiskr"/>
              <w:spacing w:before="0" w:after="0"/>
              <w:rPr>
                <w:sz w:val="28"/>
                <w:szCs w:val="28"/>
              </w:rPr>
            </w:pPr>
            <w:r w:rsidRPr="00C85779">
              <w:rPr>
                <w:sz w:val="28"/>
                <w:szCs w:val="28"/>
              </w:rPr>
              <w:t>Tiesiskā regulējuma nefinansiālā ietekme</w:t>
            </w:r>
          </w:p>
        </w:tc>
        <w:tc>
          <w:tcPr>
            <w:tcW w:w="6101" w:type="dxa"/>
          </w:tcPr>
          <w:p w:rsidR="00C27A08" w:rsidRPr="00C85779" w:rsidRDefault="00CE3BDE" w:rsidP="00314753">
            <w:pPr>
              <w:ind w:firstLine="329"/>
              <w:jc w:val="both"/>
              <w:rPr>
                <w:sz w:val="28"/>
                <w:szCs w:val="28"/>
              </w:rPr>
            </w:pPr>
            <w:r w:rsidRPr="00C85779">
              <w:rPr>
                <w:sz w:val="28"/>
                <w:szCs w:val="28"/>
              </w:rPr>
              <w:t xml:space="preserve">Ar noteikumu projektu tiek precizēta un efektivizēta zvērinātu notāru eksāmena un ārkārtas kvalifikācijas pārbaudes norise un </w:t>
            </w:r>
            <w:r w:rsidR="00BE4CB4" w:rsidRPr="00C85779">
              <w:rPr>
                <w:sz w:val="28"/>
                <w:szCs w:val="28"/>
              </w:rPr>
              <w:t xml:space="preserve">zvērinātu notāru eksāmena un ārkārtas kvalifikācijas pārbaudes </w:t>
            </w:r>
            <w:r w:rsidRPr="00C85779">
              <w:rPr>
                <w:sz w:val="28"/>
                <w:szCs w:val="28"/>
              </w:rPr>
              <w:t>rezultātu vērtēšana</w:t>
            </w:r>
            <w:r w:rsidR="00314753" w:rsidRPr="00C85779">
              <w:rPr>
                <w:sz w:val="28"/>
                <w:szCs w:val="28"/>
              </w:rPr>
              <w:t>, kā arī paredzēta iespēja pretendentam un zvērinātam notāram izmantot elektroniskos sakaru līdzekļus saziņā ar Latvijas Zvērinātu notāru padomi.</w:t>
            </w:r>
          </w:p>
        </w:tc>
      </w:tr>
      <w:tr w:rsidR="0062298A" w:rsidRPr="00C85779" w:rsidTr="00C840BD">
        <w:trPr>
          <w:trHeight w:val="531"/>
        </w:trPr>
        <w:tc>
          <w:tcPr>
            <w:tcW w:w="403" w:type="dxa"/>
          </w:tcPr>
          <w:p w:rsidR="0062298A" w:rsidRPr="00C85779" w:rsidRDefault="00C27A08" w:rsidP="006C4607">
            <w:pPr>
              <w:pStyle w:val="naiskr"/>
              <w:spacing w:before="0" w:after="0"/>
              <w:rPr>
                <w:sz w:val="28"/>
                <w:szCs w:val="28"/>
              </w:rPr>
            </w:pPr>
            <w:r w:rsidRPr="00C85779">
              <w:rPr>
                <w:sz w:val="28"/>
                <w:szCs w:val="28"/>
              </w:rPr>
              <w:t>5</w:t>
            </w:r>
            <w:r w:rsidR="0062298A" w:rsidRPr="00C85779">
              <w:rPr>
                <w:sz w:val="28"/>
                <w:szCs w:val="28"/>
              </w:rPr>
              <w:t>.</w:t>
            </w:r>
          </w:p>
        </w:tc>
        <w:tc>
          <w:tcPr>
            <w:tcW w:w="2999" w:type="dxa"/>
          </w:tcPr>
          <w:p w:rsidR="00C1133D" w:rsidRPr="00C85779" w:rsidRDefault="00C1133D" w:rsidP="006C4607">
            <w:pPr>
              <w:pStyle w:val="naiskr"/>
              <w:spacing w:before="0" w:after="0"/>
              <w:rPr>
                <w:sz w:val="28"/>
                <w:szCs w:val="28"/>
              </w:rPr>
            </w:pPr>
            <w:r w:rsidRPr="00C85779">
              <w:rPr>
                <w:sz w:val="28"/>
                <w:szCs w:val="28"/>
              </w:rPr>
              <w:t>Administratīv</w:t>
            </w:r>
            <w:r w:rsidR="00C27A08" w:rsidRPr="00C85779">
              <w:rPr>
                <w:sz w:val="28"/>
                <w:szCs w:val="28"/>
              </w:rPr>
              <w:t>ās</w:t>
            </w:r>
            <w:r w:rsidRPr="00C85779">
              <w:rPr>
                <w:sz w:val="28"/>
                <w:szCs w:val="28"/>
              </w:rPr>
              <w:t xml:space="preserve"> procedūr</w:t>
            </w:r>
            <w:r w:rsidR="00965897" w:rsidRPr="00C85779">
              <w:rPr>
                <w:sz w:val="28"/>
                <w:szCs w:val="28"/>
              </w:rPr>
              <w:t>a</w:t>
            </w:r>
            <w:r w:rsidRPr="00C85779">
              <w:rPr>
                <w:sz w:val="28"/>
                <w:szCs w:val="28"/>
              </w:rPr>
              <w:t xml:space="preserve">s </w:t>
            </w:r>
            <w:r w:rsidR="00C27A08" w:rsidRPr="00C85779">
              <w:rPr>
                <w:sz w:val="28"/>
                <w:szCs w:val="28"/>
              </w:rPr>
              <w:t>raksturojums</w:t>
            </w:r>
          </w:p>
        </w:tc>
        <w:tc>
          <w:tcPr>
            <w:tcW w:w="6101" w:type="dxa"/>
          </w:tcPr>
          <w:p w:rsidR="0062298A" w:rsidRPr="00C85779" w:rsidRDefault="00674F96" w:rsidP="00425E02">
            <w:pPr>
              <w:pStyle w:val="naiskr"/>
              <w:spacing w:before="0" w:after="0"/>
              <w:ind w:firstLine="284"/>
              <w:jc w:val="both"/>
              <w:rPr>
                <w:sz w:val="28"/>
                <w:szCs w:val="28"/>
              </w:rPr>
            </w:pPr>
            <w:r w:rsidRPr="00C85779">
              <w:rPr>
                <w:sz w:val="28"/>
                <w:szCs w:val="28"/>
              </w:rPr>
              <w:t>Nav attiecināms</w:t>
            </w:r>
          </w:p>
        </w:tc>
      </w:tr>
      <w:tr w:rsidR="0062298A" w:rsidRPr="00C85779" w:rsidTr="00C840BD">
        <w:trPr>
          <w:trHeight w:val="357"/>
        </w:trPr>
        <w:tc>
          <w:tcPr>
            <w:tcW w:w="403" w:type="dxa"/>
          </w:tcPr>
          <w:p w:rsidR="0062298A" w:rsidRPr="00C85779" w:rsidRDefault="00C27A08" w:rsidP="00A84204">
            <w:pPr>
              <w:pStyle w:val="naiskr"/>
              <w:spacing w:before="0" w:after="0"/>
              <w:ind w:left="5"/>
              <w:rPr>
                <w:sz w:val="28"/>
                <w:szCs w:val="28"/>
              </w:rPr>
            </w:pPr>
            <w:r w:rsidRPr="00C85779">
              <w:rPr>
                <w:sz w:val="28"/>
                <w:szCs w:val="28"/>
              </w:rPr>
              <w:t>6</w:t>
            </w:r>
            <w:r w:rsidR="0062298A" w:rsidRPr="00C85779">
              <w:rPr>
                <w:sz w:val="28"/>
                <w:szCs w:val="28"/>
              </w:rPr>
              <w:t>.</w:t>
            </w:r>
          </w:p>
        </w:tc>
        <w:tc>
          <w:tcPr>
            <w:tcW w:w="2999" w:type="dxa"/>
          </w:tcPr>
          <w:p w:rsidR="00AE5066" w:rsidRPr="00C85779" w:rsidRDefault="00C27A08" w:rsidP="00A84204">
            <w:pPr>
              <w:pStyle w:val="naiskr"/>
              <w:spacing w:before="0" w:after="0"/>
              <w:ind w:left="5"/>
              <w:rPr>
                <w:sz w:val="28"/>
                <w:szCs w:val="28"/>
              </w:rPr>
            </w:pPr>
            <w:r w:rsidRPr="00C85779">
              <w:rPr>
                <w:sz w:val="28"/>
                <w:szCs w:val="28"/>
              </w:rPr>
              <w:t xml:space="preserve">Administratīvo izmaksu </w:t>
            </w:r>
            <w:r w:rsidR="00502374" w:rsidRPr="00C85779">
              <w:rPr>
                <w:sz w:val="28"/>
                <w:szCs w:val="28"/>
              </w:rPr>
              <w:t xml:space="preserve">monetārs </w:t>
            </w:r>
            <w:r w:rsidRPr="00C85779">
              <w:rPr>
                <w:sz w:val="28"/>
                <w:szCs w:val="28"/>
              </w:rPr>
              <w:t>novērtējums</w:t>
            </w:r>
          </w:p>
        </w:tc>
        <w:tc>
          <w:tcPr>
            <w:tcW w:w="6101" w:type="dxa"/>
          </w:tcPr>
          <w:p w:rsidR="0062298A" w:rsidRPr="00C85779" w:rsidRDefault="00FD616F" w:rsidP="00A84204">
            <w:pPr>
              <w:pStyle w:val="naiskr"/>
              <w:spacing w:before="0" w:after="0"/>
              <w:ind w:left="5" w:firstLine="284"/>
              <w:rPr>
                <w:sz w:val="28"/>
                <w:szCs w:val="28"/>
              </w:rPr>
            </w:pPr>
            <w:r w:rsidRPr="00C85779">
              <w:rPr>
                <w:iCs/>
                <w:sz w:val="28"/>
                <w:szCs w:val="28"/>
              </w:rPr>
              <w:t>Nav attiecināms</w:t>
            </w:r>
          </w:p>
        </w:tc>
      </w:tr>
      <w:tr w:rsidR="0062298A" w:rsidRPr="00C85779" w:rsidTr="00C840BD">
        <w:tc>
          <w:tcPr>
            <w:tcW w:w="403" w:type="dxa"/>
          </w:tcPr>
          <w:p w:rsidR="0062298A" w:rsidRPr="00C85779" w:rsidRDefault="00C27A08" w:rsidP="00A84204">
            <w:pPr>
              <w:pStyle w:val="naiskr"/>
              <w:spacing w:before="0" w:after="0"/>
              <w:ind w:left="5"/>
              <w:rPr>
                <w:sz w:val="28"/>
                <w:szCs w:val="28"/>
              </w:rPr>
            </w:pPr>
            <w:r w:rsidRPr="00C85779">
              <w:rPr>
                <w:sz w:val="28"/>
                <w:szCs w:val="28"/>
              </w:rPr>
              <w:t>7</w:t>
            </w:r>
            <w:r w:rsidR="0062298A" w:rsidRPr="00C85779">
              <w:rPr>
                <w:sz w:val="28"/>
                <w:szCs w:val="28"/>
              </w:rPr>
              <w:t>.</w:t>
            </w:r>
          </w:p>
        </w:tc>
        <w:tc>
          <w:tcPr>
            <w:tcW w:w="2999" w:type="dxa"/>
          </w:tcPr>
          <w:p w:rsidR="0062298A" w:rsidRPr="00C85779" w:rsidRDefault="009E12D7" w:rsidP="00A84204">
            <w:pPr>
              <w:pStyle w:val="naiskr"/>
              <w:spacing w:before="0" w:after="0"/>
              <w:ind w:left="5"/>
              <w:rPr>
                <w:sz w:val="28"/>
                <w:szCs w:val="28"/>
              </w:rPr>
            </w:pPr>
            <w:r w:rsidRPr="00C85779">
              <w:rPr>
                <w:sz w:val="28"/>
                <w:szCs w:val="28"/>
              </w:rPr>
              <w:t>Cita informācija</w:t>
            </w:r>
          </w:p>
        </w:tc>
        <w:tc>
          <w:tcPr>
            <w:tcW w:w="6101" w:type="dxa"/>
          </w:tcPr>
          <w:p w:rsidR="0062298A" w:rsidRPr="00C85779" w:rsidRDefault="00FD616F" w:rsidP="00A84204">
            <w:pPr>
              <w:pStyle w:val="naiskr"/>
              <w:spacing w:before="0" w:after="0"/>
              <w:ind w:left="5" w:firstLine="284"/>
              <w:rPr>
                <w:sz w:val="28"/>
                <w:szCs w:val="28"/>
              </w:rPr>
            </w:pPr>
            <w:r w:rsidRPr="00C85779">
              <w:rPr>
                <w:sz w:val="28"/>
                <w:szCs w:val="28"/>
              </w:rPr>
              <w:t xml:space="preserve">Nav </w:t>
            </w:r>
          </w:p>
        </w:tc>
      </w:tr>
    </w:tbl>
    <w:p w:rsidR="00CC3654" w:rsidRPr="00C85779" w:rsidRDefault="00CC3654" w:rsidP="006C4607">
      <w:pPr>
        <w:pStyle w:val="naisf"/>
        <w:spacing w:before="0" w:after="0"/>
        <w:rPr>
          <w:sz w:val="28"/>
          <w:szCs w:val="28"/>
        </w:rPr>
      </w:pPr>
    </w:p>
    <w:p w:rsidR="005F5AFE" w:rsidRPr="00C85779" w:rsidRDefault="005F5AFE" w:rsidP="005F5AFE">
      <w:pPr>
        <w:pStyle w:val="naisf"/>
        <w:spacing w:before="0" w:after="0"/>
        <w:rPr>
          <w:i/>
          <w:sz w:val="28"/>
          <w:szCs w:val="28"/>
        </w:rPr>
      </w:pPr>
      <w:r w:rsidRPr="00C85779">
        <w:rPr>
          <w:i/>
          <w:sz w:val="28"/>
          <w:szCs w:val="28"/>
        </w:rPr>
        <w:t>Anotācijas III., IV., V.  sadaļa – nav attiecināms</w:t>
      </w:r>
    </w:p>
    <w:p w:rsidR="00C840BD" w:rsidRPr="00C85779" w:rsidRDefault="00C840BD" w:rsidP="006C4607">
      <w:pPr>
        <w:pStyle w:val="naisf"/>
        <w:spacing w:before="0" w:after="0"/>
        <w:rPr>
          <w:sz w:val="28"/>
          <w:szCs w:val="28"/>
        </w:rPr>
      </w:pPr>
    </w:p>
    <w:tbl>
      <w:tblPr>
        <w:tblpPr w:leftFromText="180" w:rightFromText="180" w:vertAnchor="text" w:tblpXSpec="center" w:tblpY="1"/>
        <w:tblOverlap w:val="neve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3"/>
        <w:gridCol w:w="2886"/>
        <w:gridCol w:w="6044"/>
      </w:tblGrid>
      <w:tr w:rsidR="006C7066" w:rsidRPr="00C85779" w:rsidTr="006C7066">
        <w:tc>
          <w:tcPr>
            <w:tcW w:w="9503" w:type="dxa"/>
            <w:gridSpan w:val="3"/>
          </w:tcPr>
          <w:p w:rsidR="006C7066" w:rsidRPr="00C85779" w:rsidRDefault="006C7066" w:rsidP="006C7066">
            <w:pPr>
              <w:pStyle w:val="naisnod"/>
              <w:spacing w:before="0" w:after="0"/>
              <w:ind w:left="57" w:right="57"/>
              <w:rPr>
                <w:sz w:val="28"/>
                <w:szCs w:val="28"/>
              </w:rPr>
            </w:pPr>
            <w:r w:rsidRPr="00C85779">
              <w:rPr>
                <w:sz w:val="28"/>
                <w:szCs w:val="28"/>
              </w:rPr>
              <w:t xml:space="preserve">VI. Sabiedrības līdzdalība un šīs līdzdalības rezultāti </w:t>
            </w:r>
          </w:p>
          <w:p w:rsidR="006C7066" w:rsidRPr="00C85779" w:rsidRDefault="006C7066" w:rsidP="006C7066">
            <w:pPr>
              <w:pStyle w:val="naisnod"/>
              <w:spacing w:before="0" w:after="0"/>
              <w:ind w:left="57" w:right="57"/>
              <w:rPr>
                <w:sz w:val="28"/>
                <w:szCs w:val="28"/>
              </w:rPr>
            </w:pPr>
          </w:p>
        </w:tc>
      </w:tr>
      <w:tr w:rsidR="006C7066" w:rsidRPr="00C85779" w:rsidTr="006C7066">
        <w:trPr>
          <w:trHeight w:val="553"/>
        </w:trPr>
        <w:tc>
          <w:tcPr>
            <w:tcW w:w="573" w:type="dxa"/>
          </w:tcPr>
          <w:p w:rsidR="006C7066" w:rsidRPr="00C85779" w:rsidRDefault="006C7066" w:rsidP="006C7066">
            <w:pPr>
              <w:pStyle w:val="naiskr"/>
              <w:spacing w:before="0" w:after="0"/>
              <w:ind w:left="57" w:right="57"/>
              <w:rPr>
                <w:bCs/>
                <w:sz w:val="28"/>
                <w:szCs w:val="28"/>
              </w:rPr>
            </w:pPr>
            <w:r w:rsidRPr="00C85779">
              <w:rPr>
                <w:bCs/>
                <w:sz w:val="28"/>
                <w:szCs w:val="28"/>
              </w:rPr>
              <w:t>1.</w:t>
            </w:r>
          </w:p>
        </w:tc>
        <w:tc>
          <w:tcPr>
            <w:tcW w:w="2886" w:type="dxa"/>
          </w:tcPr>
          <w:p w:rsidR="006C7066" w:rsidRPr="00C85779" w:rsidRDefault="006C7066" w:rsidP="006C7066">
            <w:pPr>
              <w:pStyle w:val="naiskr"/>
              <w:tabs>
                <w:tab w:val="left" w:pos="170"/>
              </w:tabs>
              <w:spacing w:before="0" w:after="0"/>
              <w:ind w:left="57" w:right="57"/>
              <w:rPr>
                <w:sz w:val="28"/>
                <w:szCs w:val="28"/>
              </w:rPr>
            </w:pPr>
            <w:r w:rsidRPr="00C85779">
              <w:rPr>
                <w:sz w:val="28"/>
                <w:szCs w:val="28"/>
              </w:rPr>
              <w:t>Sabiedrības informēšana par projekta izstrādes uzsākšanu</w:t>
            </w:r>
          </w:p>
        </w:tc>
        <w:tc>
          <w:tcPr>
            <w:tcW w:w="6044" w:type="dxa"/>
          </w:tcPr>
          <w:p w:rsidR="006C7066" w:rsidRPr="00C85779" w:rsidRDefault="007F3C50" w:rsidP="007F3C50">
            <w:pPr>
              <w:pStyle w:val="naiskr"/>
              <w:spacing w:before="0" w:after="0"/>
              <w:ind w:left="57" w:right="57" w:firstLine="3"/>
              <w:jc w:val="both"/>
              <w:rPr>
                <w:sz w:val="28"/>
                <w:szCs w:val="28"/>
              </w:rPr>
            </w:pPr>
            <w:r w:rsidRPr="00C85779">
              <w:rPr>
                <w:sz w:val="28"/>
                <w:szCs w:val="28"/>
              </w:rPr>
              <w:t xml:space="preserve">    Nav attiecināms</w:t>
            </w:r>
          </w:p>
        </w:tc>
      </w:tr>
      <w:tr w:rsidR="006C7066" w:rsidRPr="00C85779" w:rsidTr="006C7066">
        <w:trPr>
          <w:trHeight w:val="339"/>
        </w:trPr>
        <w:tc>
          <w:tcPr>
            <w:tcW w:w="573" w:type="dxa"/>
          </w:tcPr>
          <w:p w:rsidR="006C7066" w:rsidRPr="00C85779" w:rsidRDefault="006C7066" w:rsidP="006C7066">
            <w:pPr>
              <w:pStyle w:val="naiskr"/>
              <w:spacing w:before="0" w:after="0"/>
              <w:ind w:left="57" w:right="57"/>
              <w:rPr>
                <w:bCs/>
                <w:sz w:val="28"/>
                <w:szCs w:val="28"/>
              </w:rPr>
            </w:pPr>
            <w:r w:rsidRPr="00C85779">
              <w:rPr>
                <w:bCs/>
                <w:sz w:val="28"/>
                <w:szCs w:val="28"/>
              </w:rPr>
              <w:t>2.</w:t>
            </w:r>
          </w:p>
        </w:tc>
        <w:tc>
          <w:tcPr>
            <w:tcW w:w="2886" w:type="dxa"/>
          </w:tcPr>
          <w:p w:rsidR="006C7066" w:rsidRPr="00C85779" w:rsidRDefault="006C7066" w:rsidP="006C7066">
            <w:pPr>
              <w:pStyle w:val="naiskr"/>
              <w:spacing w:before="0" w:after="0"/>
              <w:ind w:left="57" w:right="57"/>
              <w:rPr>
                <w:sz w:val="28"/>
                <w:szCs w:val="28"/>
              </w:rPr>
            </w:pPr>
            <w:r w:rsidRPr="00C85779">
              <w:rPr>
                <w:sz w:val="28"/>
                <w:szCs w:val="28"/>
              </w:rPr>
              <w:t xml:space="preserve">Sabiedrības līdzdalība projekta izstrādē </w:t>
            </w:r>
          </w:p>
        </w:tc>
        <w:tc>
          <w:tcPr>
            <w:tcW w:w="6044" w:type="dxa"/>
          </w:tcPr>
          <w:p w:rsidR="006C7066" w:rsidRPr="00C85779" w:rsidRDefault="008A2448" w:rsidP="008A2448">
            <w:pPr>
              <w:pStyle w:val="naiskr"/>
              <w:spacing w:before="0" w:after="0"/>
              <w:ind w:right="57"/>
              <w:jc w:val="both"/>
              <w:rPr>
                <w:sz w:val="28"/>
                <w:szCs w:val="28"/>
              </w:rPr>
            </w:pPr>
            <w:r w:rsidRPr="00C85779">
              <w:rPr>
                <w:sz w:val="28"/>
                <w:szCs w:val="28"/>
              </w:rPr>
              <w:t xml:space="preserve">    </w:t>
            </w:r>
            <w:r w:rsidR="007F3C50" w:rsidRPr="00C85779">
              <w:rPr>
                <w:sz w:val="28"/>
                <w:szCs w:val="28"/>
              </w:rPr>
              <w:t>Nav attiecināms</w:t>
            </w:r>
          </w:p>
        </w:tc>
      </w:tr>
      <w:tr w:rsidR="006C7066" w:rsidRPr="00C85779" w:rsidTr="006C7066">
        <w:trPr>
          <w:trHeight w:val="375"/>
        </w:trPr>
        <w:tc>
          <w:tcPr>
            <w:tcW w:w="573" w:type="dxa"/>
          </w:tcPr>
          <w:p w:rsidR="006C7066" w:rsidRPr="00C85779" w:rsidRDefault="006C7066" w:rsidP="006C7066">
            <w:pPr>
              <w:pStyle w:val="naiskr"/>
              <w:spacing w:before="0" w:after="0"/>
              <w:ind w:left="57" w:right="57"/>
              <w:rPr>
                <w:bCs/>
                <w:sz w:val="28"/>
                <w:szCs w:val="28"/>
              </w:rPr>
            </w:pPr>
            <w:r w:rsidRPr="00C85779">
              <w:rPr>
                <w:bCs/>
                <w:sz w:val="28"/>
                <w:szCs w:val="28"/>
              </w:rPr>
              <w:t>3.</w:t>
            </w:r>
          </w:p>
        </w:tc>
        <w:tc>
          <w:tcPr>
            <w:tcW w:w="2886" w:type="dxa"/>
          </w:tcPr>
          <w:p w:rsidR="006C7066" w:rsidRPr="00C85779" w:rsidRDefault="006C7066" w:rsidP="006C7066">
            <w:pPr>
              <w:pStyle w:val="naiskr"/>
              <w:spacing w:before="0" w:after="0"/>
              <w:ind w:left="57" w:right="57"/>
              <w:rPr>
                <w:sz w:val="28"/>
                <w:szCs w:val="28"/>
              </w:rPr>
            </w:pPr>
            <w:r w:rsidRPr="00C85779">
              <w:rPr>
                <w:sz w:val="28"/>
                <w:szCs w:val="28"/>
              </w:rPr>
              <w:t xml:space="preserve">Sabiedrības līdzdalības rezultāti </w:t>
            </w:r>
          </w:p>
        </w:tc>
        <w:tc>
          <w:tcPr>
            <w:tcW w:w="6044" w:type="dxa"/>
          </w:tcPr>
          <w:p w:rsidR="006C7066" w:rsidRPr="00C85779" w:rsidRDefault="008A2448" w:rsidP="008A2448">
            <w:pPr>
              <w:pStyle w:val="naiskr"/>
              <w:spacing w:before="0" w:after="0"/>
              <w:ind w:right="57"/>
              <w:jc w:val="both"/>
              <w:rPr>
                <w:sz w:val="28"/>
                <w:szCs w:val="28"/>
              </w:rPr>
            </w:pPr>
            <w:r w:rsidRPr="00C85779">
              <w:rPr>
                <w:iCs/>
                <w:sz w:val="28"/>
                <w:szCs w:val="28"/>
              </w:rPr>
              <w:t xml:space="preserve">    </w:t>
            </w:r>
            <w:r w:rsidR="006C7066" w:rsidRPr="00C85779">
              <w:rPr>
                <w:iCs/>
                <w:sz w:val="28"/>
                <w:szCs w:val="28"/>
              </w:rPr>
              <w:t xml:space="preserve">Nav attiecināms </w:t>
            </w:r>
          </w:p>
        </w:tc>
      </w:tr>
      <w:tr w:rsidR="006C7066" w:rsidRPr="00C85779" w:rsidTr="006C7066">
        <w:trPr>
          <w:trHeight w:val="397"/>
        </w:trPr>
        <w:tc>
          <w:tcPr>
            <w:tcW w:w="573" w:type="dxa"/>
          </w:tcPr>
          <w:p w:rsidR="006C7066" w:rsidRPr="00C85779" w:rsidRDefault="006C7066" w:rsidP="006C7066">
            <w:pPr>
              <w:pStyle w:val="naiskr"/>
              <w:spacing w:before="0" w:after="0"/>
              <w:ind w:left="57" w:right="57"/>
              <w:rPr>
                <w:bCs/>
                <w:sz w:val="28"/>
                <w:szCs w:val="28"/>
              </w:rPr>
            </w:pPr>
            <w:r w:rsidRPr="00C85779">
              <w:rPr>
                <w:bCs/>
                <w:sz w:val="28"/>
                <w:szCs w:val="28"/>
              </w:rPr>
              <w:lastRenderedPageBreak/>
              <w:t>4.</w:t>
            </w:r>
          </w:p>
        </w:tc>
        <w:tc>
          <w:tcPr>
            <w:tcW w:w="2886" w:type="dxa"/>
          </w:tcPr>
          <w:p w:rsidR="006C7066" w:rsidRPr="00C85779" w:rsidRDefault="006C7066" w:rsidP="006C7066">
            <w:pPr>
              <w:pStyle w:val="naiskr"/>
              <w:spacing w:before="0" w:after="0"/>
              <w:ind w:left="57" w:right="57"/>
              <w:rPr>
                <w:sz w:val="28"/>
                <w:szCs w:val="28"/>
              </w:rPr>
            </w:pPr>
            <w:r w:rsidRPr="00C85779">
              <w:rPr>
                <w:sz w:val="28"/>
                <w:szCs w:val="28"/>
              </w:rPr>
              <w:t>Saeimas un ekspertu līdzdalība</w:t>
            </w:r>
          </w:p>
        </w:tc>
        <w:tc>
          <w:tcPr>
            <w:tcW w:w="6044" w:type="dxa"/>
          </w:tcPr>
          <w:p w:rsidR="006C7066" w:rsidRPr="00C85779" w:rsidRDefault="007F3C50" w:rsidP="00183DAD">
            <w:pPr>
              <w:pStyle w:val="naiskr"/>
              <w:spacing w:before="0" w:after="0"/>
              <w:ind w:right="87" w:firstLine="319"/>
              <w:jc w:val="both"/>
              <w:rPr>
                <w:sz w:val="28"/>
                <w:szCs w:val="28"/>
              </w:rPr>
            </w:pPr>
            <w:r w:rsidRPr="00C85779">
              <w:rPr>
                <w:iCs/>
                <w:sz w:val="28"/>
                <w:szCs w:val="28"/>
              </w:rPr>
              <w:t xml:space="preserve">Latvijas Zvērinātu notāru padome un ar tieslietu ministra 2010. gada 15. janvāra rīkojumu Nr. 1-1/18 apstiprinātā </w:t>
            </w:r>
            <w:r w:rsidR="00683E5A" w:rsidRPr="00C85779">
              <w:rPr>
                <w:sz w:val="28"/>
                <w:szCs w:val="28"/>
              </w:rPr>
              <w:t>zvērināta notāra amata pretendenta un zvērināta notāra zināšanu un prasmju pārbaudes eksāmena</w:t>
            </w:r>
            <w:r w:rsidR="00683E5A" w:rsidRPr="00C85779">
              <w:rPr>
                <w:iCs/>
                <w:sz w:val="28"/>
                <w:szCs w:val="28"/>
              </w:rPr>
              <w:t xml:space="preserve"> </w:t>
            </w:r>
            <w:r w:rsidRPr="00C85779">
              <w:rPr>
                <w:iCs/>
                <w:sz w:val="28"/>
                <w:szCs w:val="28"/>
              </w:rPr>
              <w:t>komisija</w:t>
            </w:r>
            <w:r w:rsidR="00183DAD" w:rsidRPr="00C85779">
              <w:rPr>
                <w:iCs/>
                <w:sz w:val="28"/>
                <w:szCs w:val="28"/>
              </w:rPr>
              <w:t xml:space="preserve">. Latvijas Zvērinātu notāru padome un </w:t>
            </w:r>
            <w:r w:rsidR="001C1F0C" w:rsidRPr="00C85779">
              <w:rPr>
                <w:iCs/>
                <w:sz w:val="28"/>
                <w:szCs w:val="28"/>
              </w:rPr>
              <w:t xml:space="preserve">minētā </w:t>
            </w:r>
            <w:r w:rsidR="00183DAD" w:rsidRPr="00C85779">
              <w:rPr>
                <w:iCs/>
                <w:sz w:val="28"/>
                <w:szCs w:val="28"/>
              </w:rPr>
              <w:t>eksāmena komisija atbalsta noteikumu projektu un tā anotāciju.</w:t>
            </w:r>
          </w:p>
        </w:tc>
      </w:tr>
      <w:tr w:rsidR="006C7066" w:rsidRPr="00C85779" w:rsidTr="006C7066">
        <w:trPr>
          <w:trHeight w:val="476"/>
        </w:trPr>
        <w:tc>
          <w:tcPr>
            <w:tcW w:w="573" w:type="dxa"/>
          </w:tcPr>
          <w:p w:rsidR="006C7066" w:rsidRPr="00C85779" w:rsidRDefault="006C7066" w:rsidP="006C7066">
            <w:pPr>
              <w:pStyle w:val="naiskr"/>
              <w:spacing w:before="0" w:after="0"/>
              <w:ind w:left="57" w:right="57"/>
              <w:rPr>
                <w:bCs/>
                <w:sz w:val="22"/>
                <w:szCs w:val="22"/>
              </w:rPr>
            </w:pPr>
            <w:r w:rsidRPr="00C85779">
              <w:rPr>
                <w:bCs/>
                <w:sz w:val="22"/>
                <w:szCs w:val="22"/>
              </w:rPr>
              <w:t>5.</w:t>
            </w:r>
          </w:p>
        </w:tc>
        <w:tc>
          <w:tcPr>
            <w:tcW w:w="2886" w:type="dxa"/>
          </w:tcPr>
          <w:p w:rsidR="006C7066" w:rsidRPr="00C85779" w:rsidRDefault="006C7066" w:rsidP="006C7066">
            <w:pPr>
              <w:pStyle w:val="naiskr"/>
              <w:spacing w:before="0" w:after="0"/>
              <w:ind w:left="57" w:right="57"/>
              <w:rPr>
                <w:sz w:val="28"/>
                <w:szCs w:val="28"/>
              </w:rPr>
            </w:pPr>
            <w:r w:rsidRPr="00C85779">
              <w:rPr>
                <w:sz w:val="28"/>
                <w:szCs w:val="28"/>
              </w:rPr>
              <w:t>Cita informācija</w:t>
            </w:r>
          </w:p>
        </w:tc>
        <w:tc>
          <w:tcPr>
            <w:tcW w:w="6044" w:type="dxa"/>
          </w:tcPr>
          <w:p w:rsidR="006C7066" w:rsidRPr="00C85779" w:rsidRDefault="006C7066" w:rsidP="006C7066">
            <w:pPr>
              <w:pStyle w:val="naiskr"/>
              <w:spacing w:before="0" w:after="0"/>
              <w:ind w:left="57" w:right="57" w:firstLine="349"/>
              <w:jc w:val="both"/>
              <w:rPr>
                <w:sz w:val="28"/>
                <w:szCs w:val="28"/>
              </w:rPr>
            </w:pPr>
            <w:r w:rsidRPr="00C85779">
              <w:rPr>
                <w:iCs/>
                <w:sz w:val="28"/>
                <w:szCs w:val="28"/>
              </w:rPr>
              <w:t xml:space="preserve">Nav </w:t>
            </w:r>
          </w:p>
        </w:tc>
      </w:tr>
    </w:tbl>
    <w:p w:rsidR="00C840BD" w:rsidRPr="00C85779" w:rsidRDefault="00C840BD" w:rsidP="006C4607">
      <w:pPr>
        <w:pStyle w:val="naisf"/>
        <w:spacing w:before="0" w:after="0"/>
        <w:rPr>
          <w:sz w:val="28"/>
          <w:szCs w:val="28"/>
        </w:rPr>
      </w:pPr>
    </w:p>
    <w:tbl>
      <w:tblPr>
        <w:tblpPr w:leftFromText="180" w:rightFromText="180" w:vertAnchor="text" w:tblpXSpec="center" w:tblpY="1"/>
        <w:tblOverlap w:val="neve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17"/>
        <w:gridCol w:w="3885"/>
        <w:gridCol w:w="4701"/>
      </w:tblGrid>
      <w:tr w:rsidR="0023436E" w:rsidRPr="00C85779" w:rsidTr="006C7066">
        <w:trPr>
          <w:jc w:val="center"/>
        </w:trPr>
        <w:tc>
          <w:tcPr>
            <w:tcW w:w="9640" w:type="dxa"/>
            <w:gridSpan w:val="3"/>
            <w:tcBorders>
              <w:top w:val="single" w:sz="4" w:space="0" w:color="auto"/>
            </w:tcBorders>
          </w:tcPr>
          <w:p w:rsidR="0023436E" w:rsidRPr="00C85779" w:rsidRDefault="0023436E" w:rsidP="006C7066">
            <w:pPr>
              <w:pStyle w:val="naisnod"/>
              <w:spacing w:before="0" w:after="0"/>
              <w:ind w:left="5" w:right="57"/>
              <w:rPr>
                <w:sz w:val="28"/>
                <w:szCs w:val="28"/>
              </w:rPr>
            </w:pPr>
            <w:r w:rsidRPr="00C85779">
              <w:rPr>
                <w:sz w:val="28"/>
                <w:szCs w:val="28"/>
              </w:rPr>
              <w:t>VII</w:t>
            </w:r>
            <w:r w:rsidR="000941C5" w:rsidRPr="00C85779">
              <w:rPr>
                <w:sz w:val="28"/>
                <w:szCs w:val="28"/>
              </w:rPr>
              <w:t>.</w:t>
            </w:r>
            <w:r w:rsidRPr="00C85779">
              <w:rPr>
                <w:sz w:val="28"/>
                <w:szCs w:val="28"/>
              </w:rPr>
              <w:t xml:space="preserve"> Tiesību akta projekta izpildes nodrošināšana un tās ietekme uz institūcijām</w:t>
            </w:r>
          </w:p>
        </w:tc>
      </w:tr>
      <w:tr w:rsidR="0023436E" w:rsidRPr="00C85779" w:rsidTr="006C7066">
        <w:trPr>
          <w:trHeight w:val="427"/>
          <w:jc w:val="center"/>
        </w:trPr>
        <w:tc>
          <w:tcPr>
            <w:tcW w:w="930" w:type="dxa"/>
          </w:tcPr>
          <w:p w:rsidR="0023436E" w:rsidRPr="00C85779" w:rsidRDefault="0023436E" w:rsidP="006C7066">
            <w:pPr>
              <w:pStyle w:val="naisnod"/>
              <w:spacing w:before="0" w:after="0"/>
              <w:ind w:left="5" w:right="57"/>
              <w:jc w:val="left"/>
              <w:rPr>
                <w:b w:val="0"/>
                <w:sz w:val="28"/>
                <w:szCs w:val="28"/>
              </w:rPr>
            </w:pPr>
            <w:r w:rsidRPr="00C85779">
              <w:rPr>
                <w:b w:val="0"/>
                <w:sz w:val="28"/>
                <w:szCs w:val="28"/>
              </w:rPr>
              <w:t>1.</w:t>
            </w:r>
          </w:p>
        </w:tc>
        <w:tc>
          <w:tcPr>
            <w:tcW w:w="3934" w:type="dxa"/>
          </w:tcPr>
          <w:p w:rsidR="0023436E" w:rsidRPr="00C85779" w:rsidRDefault="001A4066" w:rsidP="006C7066">
            <w:pPr>
              <w:pStyle w:val="naisf"/>
              <w:spacing w:before="0" w:after="0"/>
              <w:ind w:left="5" w:right="57" w:firstLine="0"/>
              <w:jc w:val="left"/>
              <w:rPr>
                <w:sz w:val="28"/>
                <w:szCs w:val="28"/>
              </w:rPr>
            </w:pPr>
            <w:r w:rsidRPr="00C85779">
              <w:rPr>
                <w:sz w:val="28"/>
                <w:szCs w:val="28"/>
              </w:rPr>
              <w:t>P</w:t>
            </w:r>
            <w:r w:rsidR="0023436E" w:rsidRPr="00C85779">
              <w:rPr>
                <w:sz w:val="28"/>
                <w:szCs w:val="28"/>
              </w:rPr>
              <w:t xml:space="preserve">rojekta izpildē iesaistītās institūcijas </w:t>
            </w:r>
          </w:p>
        </w:tc>
        <w:tc>
          <w:tcPr>
            <w:tcW w:w="4776" w:type="dxa"/>
          </w:tcPr>
          <w:p w:rsidR="0023436E" w:rsidRPr="00C85779" w:rsidRDefault="007F3C50" w:rsidP="007F3C50">
            <w:pPr>
              <w:pStyle w:val="naisnod"/>
              <w:spacing w:before="0" w:after="0"/>
              <w:ind w:left="5" w:right="57" w:firstLine="340"/>
              <w:jc w:val="both"/>
              <w:rPr>
                <w:b w:val="0"/>
                <w:sz w:val="28"/>
                <w:szCs w:val="28"/>
              </w:rPr>
            </w:pPr>
            <w:r w:rsidRPr="00C85779">
              <w:rPr>
                <w:b w:val="0"/>
                <w:iCs/>
                <w:sz w:val="28"/>
                <w:szCs w:val="28"/>
              </w:rPr>
              <w:t xml:space="preserve">Tieslietu ministrija un </w:t>
            </w:r>
            <w:r w:rsidR="00CE3BDE" w:rsidRPr="00C85779">
              <w:rPr>
                <w:b w:val="0"/>
                <w:iCs/>
                <w:sz w:val="28"/>
                <w:szCs w:val="28"/>
              </w:rPr>
              <w:t>Latvijas Zvērinātu notāru padome</w:t>
            </w:r>
            <w:r w:rsidR="0070387C" w:rsidRPr="00C85779">
              <w:rPr>
                <w:b w:val="0"/>
                <w:iCs/>
                <w:sz w:val="28"/>
                <w:szCs w:val="28"/>
              </w:rPr>
              <w:t>.</w:t>
            </w:r>
          </w:p>
        </w:tc>
      </w:tr>
      <w:tr w:rsidR="0023436E" w:rsidRPr="00C85779" w:rsidTr="006C7066">
        <w:trPr>
          <w:trHeight w:val="463"/>
          <w:jc w:val="center"/>
        </w:trPr>
        <w:tc>
          <w:tcPr>
            <w:tcW w:w="930" w:type="dxa"/>
          </w:tcPr>
          <w:p w:rsidR="0023436E" w:rsidRPr="00C85779" w:rsidRDefault="0023436E" w:rsidP="006C7066">
            <w:pPr>
              <w:pStyle w:val="naisnod"/>
              <w:spacing w:before="0" w:after="0"/>
              <w:ind w:left="5" w:right="57"/>
              <w:jc w:val="left"/>
              <w:rPr>
                <w:b w:val="0"/>
                <w:sz w:val="28"/>
                <w:szCs w:val="28"/>
              </w:rPr>
            </w:pPr>
            <w:r w:rsidRPr="00C85779">
              <w:rPr>
                <w:b w:val="0"/>
                <w:sz w:val="28"/>
                <w:szCs w:val="28"/>
              </w:rPr>
              <w:t>2.</w:t>
            </w:r>
          </w:p>
        </w:tc>
        <w:tc>
          <w:tcPr>
            <w:tcW w:w="3934" w:type="dxa"/>
          </w:tcPr>
          <w:p w:rsidR="0023436E" w:rsidRPr="00C85779" w:rsidRDefault="001A4066" w:rsidP="006C7066">
            <w:pPr>
              <w:pStyle w:val="naisf"/>
              <w:spacing w:before="0" w:after="0"/>
              <w:ind w:left="5" w:right="57" w:firstLine="0"/>
              <w:jc w:val="left"/>
              <w:rPr>
                <w:sz w:val="28"/>
                <w:szCs w:val="28"/>
              </w:rPr>
            </w:pPr>
            <w:r w:rsidRPr="00C85779">
              <w:rPr>
                <w:sz w:val="28"/>
                <w:szCs w:val="28"/>
              </w:rPr>
              <w:t>Projekta i</w:t>
            </w:r>
            <w:r w:rsidR="0023436E" w:rsidRPr="00C85779">
              <w:rPr>
                <w:sz w:val="28"/>
                <w:szCs w:val="28"/>
              </w:rPr>
              <w:t xml:space="preserve">zpildes ietekme uz pārvaldes funkcijām </w:t>
            </w:r>
          </w:p>
        </w:tc>
        <w:tc>
          <w:tcPr>
            <w:tcW w:w="4776" w:type="dxa"/>
          </w:tcPr>
          <w:p w:rsidR="00D60055" w:rsidRPr="00C85779" w:rsidRDefault="00CE3BDE" w:rsidP="007F3C50">
            <w:pPr>
              <w:pStyle w:val="naisnod"/>
              <w:spacing w:before="0" w:after="0"/>
              <w:ind w:left="5" w:right="57" w:firstLine="340"/>
              <w:jc w:val="both"/>
              <w:rPr>
                <w:b w:val="0"/>
                <w:sz w:val="28"/>
                <w:szCs w:val="28"/>
              </w:rPr>
            </w:pPr>
            <w:r w:rsidRPr="00C85779">
              <w:rPr>
                <w:b w:val="0"/>
                <w:sz w:val="28"/>
                <w:szCs w:val="28"/>
              </w:rPr>
              <w:t>Netiek mainītas</w:t>
            </w:r>
          </w:p>
        </w:tc>
      </w:tr>
      <w:tr w:rsidR="0023436E" w:rsidRPr="00C85779" w:rsidTr="006C7066">
        <w:trPr>
          <w:trHeight w:val="725"/>
          <w:jc w:val="center"/>
        </w:trPr>
        <w:tc>
          <w:tcPr>
            <w:tcW w:w="930" w:type="dxa"/>
          </w:tcPr>
          <w:p w:rsidR="0023436E" w:rsidRPr="00C85779" w:rsidRDefault="0023436E" w:rsidP="006C7066">
            <w:pPr>
              <w:pStyle w:val="naisnod"/>
              <w:spacing w:before="0" w:after="0"/>
              <w:ind w:left="5" w:right="57"/>
              <w:jc w:val="left"/>
              <w:rPr>
                <w:b w:val="0"/>
                <w:sz w:val="28"/>
                <w:szCs w:val="28"/>
              </w:rPr>
            </w:pPr>
            <w:r w:rsidRPr="00C85779">
              <w:rPr>
                <w:b w:val="0"/>
                <w:sz w:val="28"/>
                <w:szCs w:val="28"/>
              </w:rPr>
              <w:t>3.</w:t>
            </w:r>
          </w:p>
        </w:tc>
        <w:tc>
          <w:tcPr>
            <w:tcW w:w="3934" w:type="dxa"/>
          </w:tcPr>
          <w:p w:rsidR="0023436E" w:rsidRPr="00C85779" w:rsidRDefault="001A4066" w:rsidP="006C7066">
            <w:pPr>
              <w:pStyle w:val="naisf"/>
              <w:spacing w:before="0" w:after="0"/>
              <w:ind w:left="5" w:right="57" w:firstLine="0"/>
              <w:jc w:val="left"/>
              <w:rPr>
                <w:sz w:val="28"/>
                <w:szCs w:val="28"/>
              </w:rPr>
            </w:pPr>
            <w:r w:rsidRPr="00C85779">
              <w:rPr>
                <w:sz w:val="28"/>
                <w:szCs w:val="28"/>
              </w:rPr>
              <w:t>Projekta iz</w:t>
            </w:r>
            <w:r w:rsidR="0023436E" w:rsidRPr="00C85779">
              <w:rPr>
                <w:sz w:val="28"/>
                <w:szCs w:val="28"/>
              </w:rPr>
              <w:t>pildes ietekme uz pārvaldes institucionālo struktūru.</w:t>
            </w:r>
          </w:p>
          <w:p w:rsidR="0023436E" w:rsidRPr="00C85779" w:rsidRDefault="006C4607" w:rsidP="006C7066">
            <w:pPr>
              <w:pStyle w:val="naisf"/>
              <w:spacing w:before="0" w:after="0"/>
              <w:ind w:left="5" w:right="57" w:firstLine="0"/>
              <w:jc w:val="left"/>
              <w:rPr>
                <w:sz w:val="28"/>
                <w:szCs w:val="28"/>
              </w:rPr>
            </w:pPr>
            <w:r w:rsidRPr="00C85779">
              <w:rPr>
                <w:sz w:val="28"/>
                <w:szCs w:val="28"/>
              </w:rPr>
              <w:t>Jaunu institūciju izveide</w:t>
            </w:r>
          </w:p>
        </w:tc>
        <w:tc>
          <w:tcPr>
            <w:tcW w:w="4776" w:type="dxa"/>
          </w:tcPr>
          <w:p w:rsidR="0023436E" w:rsidRPr="00C85779" w:rsidRDefault="008D4C22" w:rsidP="006C7066">
            <w:pPr>
              <w:pStyle w:val="naisnod"/>
              <w:spacing w:before="0" w:after="0"/>
              <w:ind w:left="5" w:right="57" w:firstLine="340"/>
              <w:jc w:val="both"/>
              <w:rPr>
                <w:b w:val="0"/>
                <w:sz w:val="28"/>
                <w:szCs w:val="28"/>
              </w:rPr>
            </w:pPr>
            <w:r w:rsidRPr="00C85779">
              <w:rPr>
                <w:b w:val="0"/>
                <w:iCs/>
                <w:sz w:val="28"/>
                <w:szCs w:val="28"/>
              </w:rPr>
              <w:t>Nav attiecināms</w:t>
            </w:r>
          </w:p>
        </w:tc>
      </w:tr>
      <w:tr w:rsidR="0023436E" w:rsidRPr="00C85779" w:rsidTr="006C7066">
        <w:trPr>
          <w:trHeight w:val="780"/>
          <w:jc w:val="center"/>
        </w:trPr>
        <w:tc>
          <w:tcPr>
            <w:tcW w:w="930" w:type="dxa"/>
          </w:tcPr>
          <w:p w:rsidR="0023436E" w:rsidRPr="00C85779" w:rsidRDefault="0023436E" w:rsidP="006C7066">
            <w:pPr>
              <w:pStyle w:val="naisnod"/>
              <w:spacing w:before="0" w:after="0"/>
              <w:ind w:left="5" w:right="57"/>
              <w:jc w:val="left"/>
              <w:rPr>
                <w:b w:val="0"/>
                <w:sz w:val="28"/>
                <w:szCs w:val="28"/>
              </w:rPr>
            </w:pPr>
            <w:r w:rsidRPr="00C85779">
              <w:rPr>
                <w:b w:val="0"/>
                <w:sz w:val="28"/>
                <w:szCs w:val="28"/>
              </w:rPr>
              <w:t>4.</w:t>
            </w:r>
          </w:p>
        </w:tc>
        <w:tc>
          <w:tcPr>
            <w:tcW w:w="3934" w:type="dxa"/>
          </w:tcPr>
          <w:p w:rsidR="0023436E" w:rsidRPr="00C85779" w:rsidRDefault="001A4066" w:rsidP="006C7066">
            <w:pPr>
              <w:pStyle w:val="naisf"/>
              <w:spacing w:before="0" w:after="0"/>
              <w:ind w:left="5" w:right="57" w:firstLine="0"/>
              <w:jc w:val="left"/>
              <w:rPr>
                <w:sz w:val="28"/>
                <w:szCs w:val="28"/>
              </w:rPr>
            </w:pPr>
            <w:r w:rsidRPr="00C85779">
              <w:rPr>
                <w:sz w:val="28"/>
                <w:szCs w:val="28"/>
              </w:rPr>
              <w:t>Projekta i</w:t>
            </w:r>
            <w:r w:rsidR="0023436E" w:rsidRPr="00C85779">
              <w:rPr>
                <w:sz w:val="28"/>
                <w:szCs w:val="28"/>
              </w:rPr>
              <w:t>zpildes ietekme uz pārvaldes institucionālo struktūru.</w:t>
            </w:r>
          </w:p>
          <w:p w:rsidR="0023436E" w:rsidRPr="00C85779" w:rsidRDefault="006C4607" w:rsidP="006C7066">
            <w:pPr>
              <w:pStyle w:val="naisf"/>
              <w:spacing w:before="0" w:after="0"/>
              <w:ind w:left="5" w:right="57" w:firstLine="0"/>
              <w:jc w:val="left"/>
              <w:rPr>
                <w:sz w:val="28"/>
                <w:szCs w:val="28"/>
              </w:rPr>
            </w:pPr>
            <w:r w:rsidRPr="00C85779">
              <w:rPr>
                <w:sz w:val="28"/>
                <w:szCs w:val="28"/>
              </w:rPr>
              <w:t>Esošu institūciju likvidācija</w:t>
            </w:r>
          </w:p>
        </w:tc>
        <w:tc>
          <w:tcPr>
            <w:tcW w:w="4776" w:type="dxa"/>
          </w:tcPr>
          <w:p w:rsidR="0023436E" w:rsidRPr="00C85779" w:rsidRDefault="008D4C22" w:rsidP="006C7066">
            <w:pPr>
              <w:pStyle w:val="naisnod"/>
              <w:spacing w:before="0" w:after="0"/>
              <w:ind w:left="5" w:right="57" w:firstLine="340"/>
              <w:jc w:val="left"/>
              <w:rPr>
                <w:b w:val="0"/>
                <w:sz w:val="28"/>
                <w:szCs w:val="28"/>
              </w:rPr>
            </w:pPr>
            <w:r w:rsidRPr="00C85779">
              <w:rPr>
                <w:b w:val="0"/>
                <w:iCs/>
                <w:sz w:val="28"/>
                <w:szCs w:val="28"/>
              </w:rPr>
              <w:t>Nav attiecināms</w:t>
            </w:r>
          </w:p>
        </w:tc>
      </w:tr>
      <w:tr w:rsidR="0023436E" w:rsidRPr="00C85779" w:rsidTr="006C7066">
        <w:trPr>
          <w:trHeight w:val="703"/>
          <w:jc w:val="center"/>
        </w:trPr>
        <w:tc>
          <w:tcPr>
            <w:tcW w:w="930" w:type="dxa"/>
          </w:tcPr>
          <w:p w:rsidR="0023436E" w:rsidRPr="00C85779" w:rsidRDefault="0023436E" w:rsidP="006C7066">
            <w:pPr>
              <w:pStyle w:val="naisnod"/>
              <w:spacing w:before="0" w:after="0"/>
              <w:ind w:left="5" w:right="57"/>
              <w:jc w:val="left"/>
              <w:rPr>
                <w:b w:val="0"/>
                <w:sz w:val="28"/>
                <w:szCs w:val="28"/>
              </w:rPr>
            </w:pPr>
            <w:r w:rsidRPr="00C85779">
              <w:rPr>
                <w:b w:val="0"/>
                <w:sz w:val="28"/>
                <w:szCs w:val="28"/>
              </w:rPr>
              <w:t>5.</w:t>
            </w:r>
          </w:p>
        </w:tc>
        <w:tc>
          <w:tcPr>
            <w:tcW w:w="3934" w:type="dxa"/>
          </w:tcPr>
          <w:p w:rsidR="0023436E" w:rsidRPr="00C85779" w:rsidRDefault="001A4066" w:rsidP="006C7066">
            <w:pPr>
              <w:pStyle w:val="naisf"/>
              <w:spacing w:before="0" w:after="0"/>
              <w:ind w:left="5" w:right="57" w:firstLine="0"/>
              <w:jc w:val="left"/>
              <w:rPr>
                <w:sz w:val="28"/>
                <w:szCs w:val="28"/>
              </w:rPr>
            </w:pPr>
            <w:r w:rsidRPr="00C85779">
              <w:rPr>
                <w:sz w:val="28"/>
                <w:szCs w:val="28"/>
              </w:rPr>
              <w:t>Projekta i</w:t>
            </w:r>
            <w:r w:rsidR="0023436E" w:rsidRPr="00C85779">
              <w:rPr>
                <w:sz w:val="28"/>
                <w:szCs w:val="28"/>
              </w:rPr>
              <w:t>zpildes ietekme uz pārvaldes institucionālo struktūru.</w:t>
            </w:r>
          </w:p>
          <w:p w:rsidR="0023436E" w:rsidRPr="00C85779" w:rsidRDefault="0023436E" w:rsidP="006C7066">
            <w:pPr>
              <w:pStyle w:val="naisf"/>
              <w:spacing w:before="0" w:after="0"/>
              <w:ind w:left="5" w:right="57" w:firstLine="0"/>
              <w:jc w:val="left"/>
              <w:rPr>
                <w:sz w:val="28"/>
                <w:szCs w:val="28"/>
              </w:rPr>
            </w:pPr>
            <w:r w:rsidRPr="00C85779">
              <w:rPr>
                <w:sz w:val="28"/>
                <w:szCs w:val="28"/>
              </w:rPr>
              <w:t>Esošu institūciju reorganizācija</w:t>
            </w:r>
          </w:p>
        </w:tc>
        <w:tc>
          <w:tcPr>
            <w:tcW w:w="4776" w:type="dxa"/>
          </w:tcPr>
          <w:p w:rsidR="0023436E" w:rsidRPr="00C85779" w:rsidRDefault="008D4C22" w:rsidP="006C7066">
            <w:pPr>
              <w:pStyle w:val="naisnod"/>
              <w:spacing w:before="0" w:after="0"/>
              <w:ind w:left="5" w:right="57" w:firstLine="340"/>
              <w:jc w:val="left"/>
              <w:rPr>
                <w:b w:val="0"/>
                <w:sz w:val="28"/>
                <w:szCs w:val="28"/>
              </w:rPr>
            </w:pPr>
            <w:r w:rsidRPr="00C85779">
              <w:rPr>
                <w:b w:val="0"/>
                <w:iCs/>
                <w:sz w:val="28"/>
                <w:szCs w:val="28"/>
              </w:rPr>
              <w:t>Nav attiecinām</w:t>
            </w:r>
            <w:r w:rsidR="00792FA2" w:rsidRPr="00C85779">
              <w:rPr>
                <w:b w:val="0"/>
                <w:iCs/>
                <w:sz w:val="28"/>
                <w:szCs w:val="28"/>
              </w:rPr>
              <w:t>s</w:t>
            </w:r>
          </w:p>
        </w:tc>
      </w:tr>
      <w:tr w:rsidR="0023436E" w:rsidRPr="00C85779" w:rsidTr="006C7066">
        <w:trPr>
          <w:trHeight w:val="476"/>
          <w:jc w:val="center"/>
        </w:trPr>
        <w:tc>
          <w:tcPr>
            <w:tcW w:w="930" w:type="dxa"/>
          </w:tcPr>
          <w:p w:rsidR="0023436E" w:rsidRPr="00C85779" w:rsidRDefault="00F63DAC" w:rsidP="006C7066">
            <w:pPr>
              <w:pStyle w:val="naiskr"/>
              <w:spacing w:before="0" w:after="0"/>
              <w:ind w:left="5" w:right="57"/>
              <w:rPr>
                <w:sz w:val="28"/>
                <w:szCs w:val="28"/>
              </w:rPr>
            </w:pPr>
            <w:r w:rsidRPr="00C85779">
              <w:rPr>
                <w:sz w:val="28"/>
                <w:szCs w:val="28"/>
              </w:rPr>
              <w:t>6</w:t>
            </w:r>
            <w:r w:rsidR="0023436E" w:rsidRPr="00C85779">
              <w:rPr>
                <w:sz w:val="28"/>
                <w:szCs w:val="28"/>
              </w:rPr>
              <w:t>.</w:t>
            </w:r>
          </w:p>
        </w:tc>
        <w:tc>
          <w:tcPr>
            <w:tcW w:w="3934" w:type="dxa"/>
          </w:tcPr>
          <w:p w:rsidR="0023436E" w:rsidRPr="00C85779" w:rsidRDefault="006C4607" w:rsidP="006C7066">
            <w:pPr>
              <w:pStyle w:val="naiskr"/>
              <w:spacing w:before="0" w:after="0"/>
              <w:ind w:left="5" w:right="57"/>
              <w:rPr>
                <w:sz w:val="28"/>
                <w:szCs w:val="28"/>
              </w:rPr>
            </w:pPr>
            <w:r w:rsidRPr="00C85779">
              <w:rPr>
                <w:sz w:val="28"/>
                <w:szCs w:val="28"/>
              </w:rPr>
              <w:t>Cita informācija</w:t>
            </w:r>
          </w:p>
        </w:tc>
        <w:tc>
          <w:tcPr>
            <w:tcW w:w="4776" w:type="dxa"/>
          </w:tcPr>
          <w:p w:rsidR="0023436E" w:rsidRPr="00C85779" w:rsidRDefault="008D4C22" w:rsidP="006C7066">
            <w:pPr>
              <w:pStyle w:val="naiskr"/>
              <w:spacing w:before="0" w:after="0"/>
              <w:ind w:left="5" w:right="57" w:firstLine="340"/>
              <w:rPr>
                <w:sz w:val="28"/>
                <w:szCs w:val="28"/>
              </w:rPr>
            </w:pPr>
            <w:r w:rsidRPr="00C85779">
              <w:rPr>
                <w:sz w:val="28"/>
                <w:szCs w:val="28"/>
              </w:rPr>
              <w:t xml:space="preserve">Nav </w:t>
            </w:r>
          </w:p>
        </w:tc>
      </w:tr>
    </w:tbl>
    <w:p w:rsidR="006C7066" w:rsidRPr="00C85779" w:rsidRDefault="006C7066" w:rsidP="00685C82">
      <w:pPr>
        <w:pStyle w:val="BodyTextIndent"/>
        <w:tabs>
          <w:tab w:val="left" w:pos="6840"/>
        </w:tabs>
        <w:spacing w:after="0"/>
        <w:ind w:left="0" w:right="-51"/>
        <w:jc w:val="both"/>
        <w:rPr>
          <w:sz w:val="28"/>
          <w:szCs w:val="28"/>
        </w:rPr>
      </w:pPr>
    </w:p>
    <w:p w:rsidR="004C3A72" w:rsidRPr="00C85779" w:rsidRDefault="004C3A72" w:rsidP="00A705E6">
      <w:pPr>
        <w:pStyle w:val="BodyTextIndent"/>
        <w:tabs>
          <w:tab w:val="left" w:pos="6840"/>
        </w:tabs>
        <w:spacing w:after="0"/>
        <w:ind w:left="-284" w:right="-51"/>
        <w:jc w:val="both"/>
        <w:rPr>
          <w:sz w:val="28"/>
          <w:szCs w:val="28"/>
        </w:rPr>
      </w:pPr>
      <w:r w:rsidRPr="00C85779">
        <w:rPr>
          <w:sz w:val="28"/>
          <w:szCs w:val="28"/>
        </w:rPr>
        <w:t xml:space="preserve">Tieslietu </w:t>
      </w:r>
      <w:r w:rsidR="00EE39B5" w:rsidRPr="00C85779">
        <w:rPr>
          <w:sz w:val="28"/>
          <w:szCs w:val="28"/>
        </w:rPr>
        <w:t xml:space="preserve">ministrs </w:t>
      </w:r>
      <w:r w:rsidRPr="00C85779">
        <w:rPr>
          <w:sz w:val="28"/>
          <w:szCs w:val="28"/>
        </w:rPr>
        <w:tab/>
      </w:r>
      <w:r w:rsidR="00685C82" w:rsidRPr="00C85779">
        <w:rPr>
          <w:sz w:val="28"/>
          <w:szCs w:val="28"/>
        </w:rPr>
        <w:t xml:space="preserve">       </w:t>
      </w:r>
      <w:r w:rsidR="00DA4376">
        <w:rPr>
          <w:sz w:val="28"/>
          <w:szCs w:val="28"/>
        </w:rPr>
        <w:t>A. Štokenbergs</w:t>
      </w:r>
    </w:p>
    <w:p w:rsidR="00966233" w:rsidRDefault="00966233" w:rsidP="00A705E6">
      <w:pPr>
        <w:pStyle w:val="BodyTextIndent"/>
        <w:tabs>
          <w:tab w:val="left" w:pos="6840"/>
        </w:tabs>
        <w:spacing w:after="0"/>
        <w:ind w:left="-284" w:right="-51"/>
        <w:jc w:val="both"/>
        <w:rPr>
          <w:sz w:val="28"/>
          <w:szCs w:val="28"/>
        </w:rPr>
      </w:pPr>
    </w:p>
    <w:p w:rsidR="00966233" w:rsidRDefault="00966233" w:rsidP="00A705E6">
      <w:pPr>
        <w:pStyle w:val="BodyTextIndent"/>
        <w:tabs>
          <w:tab w:val="left" w:pos="6840"/>
        </w:tabs>
        <w:spacing w:after="0"/>
        <w:ind w:left="-284" w:right="-51"/>
        <w:jc w:val="both"/>
        <w:rPr>
          <w:sz w:val="28"/>
          <w:szCs w:val="28"/>
        </w:rPr>
      </w:pPr>
    </w:p>
    <w:p w:rsidR="00DA4376" w:rsidRDefault="00DA4376" w:rsidP="00A705E6">
      <w:pPr>
        <w:pStyle w:val="BodyTextIndent"/>
        <w:tabs>
          <w:tab w:val="left" w:pos="6840"/>
        </w:tabs>
        <w:spacing w:after="0"/>
        <w:ind w:left="-284" w:right="-51"/>
        <w:jc w:val="both"/>
        <w:rPr>
          <w:sz w:val="28"/>
          <w:szCs w:val="28"/>
        </w:rPr>
      </w:pPr>
    </w:p>
    <w:p w:rsidR="00CA521A" w:rsidRDefault="00CA521A" w:rsidP="00A705E6">
      <w:pPr>
        <w:pStyle w:val="BodyTextIndent"/>
        <w:tabs>
          <w:tab w:val="left" w:pos="6840"/>
        </w:tabs>
        <w:spacing w:after="0"/>
        <w:ind w:left="-284" w:right="-51"/>
        <w:jc w:val="both"/>
        <w:rPr>
          <w:sz w:val="28"/>
          <w:szCs w:val="28"/>
        </w:rPr>
      </w:pPr>
    </w:p>
    <w:p w:rsidR="00DA4376" w:rsidRDefault="00DA4376" w:rsidP="00A705E6">
      <w:pPr>
        <w:pStyle w:val="BodyTextIndent"/>
        <w:tabs>
          <w:tab w:val="left" w:pos="6840"/>
        </w:tabs>
        <w:spacing w:after="0"/>
        <w:ind w:left="-284" w:right="-51"/>
        <w:jc w:val="both"/>
        <w:rPr>
          <w:sz w:val="28"/>
          <w:szCs w:val="28"/>
        </w:rPr>
      </w:pPr>
    </w:p>
    <w:p w:rsidR="00DA4376" w:rsidRDefault="00DA4376" w:rsidP="00A705E6">
      <w:pPr>
        <w:pStyle w:val="BodyTextIndent"/>
        <w:tabs>
          <w:tab w:val="left" w:pos="6840"/>
        </w:tabs>
        <w:spacing w:after="0"/>
        <w:ind w:left="-284" w:right="-51"/>
        <w:jc w:val="both"/>
        <w:rPr>
          <w:sz w:val="28"/>
          <w:szCs w:val="28"/>
        </w:rPr>
      </w:pPr>
    </w:p>
    <w:p w:rsidR="00DA4376" w:rsidRPr="00C85779" w:rsidRDefault="00DA4376" w:rsidP="00A705E6">
      <w:pPr>
        <w:pStyle w:val="BodyTextIndent"/>
        <w:tabs>
          <w:tab w:val="left" w:pos="6840"/>
        </w:tabs>
        <w:spacing w:after="0"/>
        <w:ind w:left="-284" w:right="-51"/>
        <w:jc w:val="both"/>
        <w:rPr>
          <w:sz w:val="28"/>
          <w:szCs w:val="28"/>
        </w:rPr>
      </w:pPr>
    </w:p>
    <w:p w:rsidR="00120398" w:rsidRDefault="00120398" w:rsidP="00A705E6">
      <w:pPr>
        <w:ind w:left="-284"/>
        <w:jc w:val="both"/>
        <w:rPr>
          <w:sz w:val="20"/>
          <w:szCs w:val="20"/>
          <w:lang w:val="sv-SE"/>
        </w:rPr>
      </w:pPr>
    </w:p>
    <w:p w:rsidR="00391361" w:rsidRPr="00C85779" w:rsidRDefault="00487F17" w:rsidP="00A705E6">
      <w:pPr>
        <w:ind w:left="-284"/>
        <w:jc w:val="both"/>
        <w:rPr>
          <w:sz w:val="20"/>
          <w:szCs w:val="20"/>
        </w:rPr>
      </w:pPr>
      <w:r>
        <w:rPr>
          <w:sz w:val="20"/>
          <w:szCs w:val="20"/>
          <w:lang w:val="sv-SE"/>
        </w:rPr>
        <w:t>0</w:t>
      </w:r>
      <w:r w:rsidR="00062FC5">
        <w:rPr>
          <w:sz w:val="20"/>
          <w:szCs w:val="20"/>
          <w:lang w:val="sv-SE"/>
        </w:rPr>
        <w:t>9</w:t>
      </w:r>
      <w:r w:rsidR="00391361" w:rsidRPr="00C85779">
        <w:rPr>
          <w:sz w:val="20"/>
          <w:szCs w:val="20"/>
          <w:lang w:val="sv-SE"/>
        </w:rPr>
        <w:t>.</w:t>
      </w:r>
      <w:r w:rsidR="00690028" w:rsidRPr="00C85779">
        <w:rPr>
          <w:sz w:val="20"/>
          <w:szCs w:val="20"/>
          <w:lang w:val="sv-SE"/>
        </w:rPr>
        <w:t>1</w:t>
      </w:r>
      <w:r>
        <w:rPr>
          <w:sz w:val="20"/>
          <w:szCs w:val="20"/>
          <w:lang w:val="sv-SE"/>
        </w:rPr>
        <w:t>1</w:t>
      </w:r>
      <w:r w:rsidR="00391361" w:rsidRPr="00C85779">
        <w:rPr>
          <w:sz w:val="20"/>
          <w:szCs w:val="20"/>
          <w:lang w:val="sv-SE"/>
        </w:rPr>
        <w:t>.2010.</w:t>
      </w:r>
      <w:r w:rsidR="00FA7B2C" w:rsidRPr="00C85779">
        <w:rPr>
          <w:sz w:val="20"/>
          <w:szCs w:val="20"/>
          <w:lang w:val="sv-SE"/>
        </w:rPr>
        <w:t xml:space="preserve"> </w:t>
      </w:r>
      <w:r w:rsidR="00062FC5">
        <w:rPr>
          <w:sz w:val="20"/>
          <w:szCs w:val="20"/>
          <w:lang w:val="sv-SE"/>
        </w:rPr>
        <w:t>10</w:t>
      </w:r>
      <w:r w:rsidR="00342310" w:rsidRPr="00C85779">
        <w:rPr>
          <w:sz w:val="20"/>
          <w:szCs w:val="20"/>
          <w:lang w:val="sv-SE"/>
        </w:rPr>
        <w:t>:</w:t>
      </w:r>
      <w:r w:rsidR="00062FC5">
        <w:rPr>
          <w:sz w:val="20"/>
          <w:szCs w:val="20"/>
          <w:lang w:val="sv-SE"/>
        </w:rPr>
        <w:t>20</w:t>
      </w:r>
    </w:p>
    <w:p w:rsidR="00391361" w:rsidRPr="00C85779" w:rsidRDefault="005F5AFE" w:rsidP="00A705E6">
      <w:pPr>
        <w:ind w:left="-284"/>
        <w:jc w:val="both"/>
        <w:rPr>
          <w:sz w:val="20"/>
          <w:szCs w:val="20"/>
        </w:rPr>
      </w:pPr>
      <w:r w:rsidRPr="00C85779">
        <w:rPr>
          <w:sz w:val="20"/>
          <w:szCs w:val="20"/>
        </w:rPr>
        <w:t>1</w:t>
      </w:r>
      <w:r w:rsidR="00BE7E0A" w:rsidRPr="00C85779">
        <w:rPr>
          <w:sz w:val="20"/>
          <w:szCs w:val="20"/>
        </w:rPr>
        <w:t> </w:t>
      </w:r>
      <w:r w:rsidR="00DA4376">
        <w:rPr>
          <w:sz w:val="20"/>
          <w:szCs w:val="20"/>
        </w:rPr>
        <w:t>5</w:t>
      </w:r>
      <w:r w:rsidR="00CA521A">
        <w:rPr>
          <w:sz w:val="20"/>
          <w:szCs w:val="20"/>
        </w:rPr>
        <w:t>07</w:t>
      </w:r>
    </w:p>
    <w:p w:rsidR="00391361" w:rsidRPr="00C85779" w:rsidRDefault="00271110" w:rsidP="00A705E6">
      <w:pPr>
        <w:pStyle w:val="HTMLPreformatted"/>
        <w:ind w:left="-284"/>
        <w:jc w:val="both"/>
        <w:rPr>
          <w:rFonts w:ascii="Times New Roman" w:hAnsi="Times New Roman" w:cs="Times New Roman"/>
        </w:rPr>
      </w:pPr>
      <w:r w:rsidRPr="00C85779">
        <w:rPr>
          <w:rFonts w:ascii="Times New Roman" w:hAnsi="Times New Roman" w:cs="Times New Roman"/>
        </w:rPr>
        <w:t>N. Bīlands</w:t>
      </w:r>
    </w:p>
    <w:p w:rsidR="00276859" w:rsidRPr="00C85779" w:rsidRDefault="00391361" w:rsidP="00A705E6">
      <w:pPr>
        <w:pStyle w:val="HTMLPreformatted"/>
        <w:ind w:left="-284"/>
        <w:jc w:val="both"/>
      </w:pPr>
      <w:r w:rsidRPr="00C85779">
        <w:rPr>
          <w:rFonts w:ascii="Times New Roman" w:hAnsi="Times New Roman" w:cs="Times New Roman"/>
        </w:rPr>
        <w:t>6</w:t>
      </w:r>
      <w:r w:rsidR="003C738C" w:rsidRPr="00C85779">
        <w:rPr>
          <w:rFonts w:ascii="Times New Roman" w:hAnsi="Times New Roman" w:cs="Times New Roman"/>
        </w:rPr>
        <w:t>7</w:t>
      </w:r>
      <w:r w:rsidRPr="00C85779">
        <w:rPr>
          <w:rFonts w:ascii="Times New Roman" w:hAnsi="Times New Roman" w:cs="Times New Roman"/>
        </w:rPr>
        <w:t>036</w:t>
      </w:r>
      <w:r w:rsidR="003C738C" w:rsidRPr="00C85779">
        <w:rPr>
          <w:rFonts w:ascii="Times New Roman" w:hAnsi="Times New Roman" w:cs="Times New Roman"/>
        </w:rPr>
        <w:t>7</w:t>
      </w:r>
      <w:r w:rsidR="00271110" w:rsidRPr="00C85779">
        <w:rPr>
          <w:rFonts w:ascii="Times New Roman" w:hAnsi="Times New Roman" w:cs="Times New Roman"/>
        </w:rPr>
        <w:t>69</w:t>
      </w:r>
      <w:r w:rsidRPr="00C85779">
        <w:rPr>
          <w:rFonts w:ascii="Times New Roman" w:hAnsi="Times New Roman" w:cs="Times New Roman"/>
        </w:rPr>
        <w:t xml:space="preserve">, </w:t>
      </w:r>
      <w:hyperlink r:id="rId8" w:history="1">
        <w:r w:rsidR="00271110" w:rsidRPr="00C85779">
          <w:rPr>
            <w:rStyle w:val="Hyperlink"/>
            <w:rFonts w:ascii="Times New Roman" w:hAnsi="Times New Roman" w:cs="Times New Roman"/>
            <w:color w:val="auto"/>
          </w:rPr>
          <w:t>Nils.Bilands@tm.gov.lv</w:t>
        </w:r>
      </w:hyperlink>
    </w:p>
    <w:sectPr w:rsidR="00276859" w:rsidRPr="00C85779" w:rsidSect="00966233">
      <w:headerReference w:type="even" r:id="rId9"/>
      <w:headerReference w:type="default" r:id="rId10"/>
      <w:footerReference w:type="default" r:id="rId11"/>
      <w:footerReference w:type="first" r:id="rId12"/>
      <w:pgSz w:w="11906" w:h="16838" w:code="9"/>
      <w:pgMar w:top="709" w:right="1134" w:bottom="993" w:left="1701" w:header="567" w:footer="46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208" w:rsidRDefault="005F2208">
      <w:r>
        <w:separator/>
      </w:r>
    </w:p>
  </w:endnote>
  <w:endnote w:type="continuationSeparator" w:id="0">
    <w:p w:rsidR="005F2208" w:rsidRDefault="005F2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08" w:rsidRPr="00271110" w:rsidRDefault="005F2208" w:rsidP="00A705E6">
    <w:pPr>
      <w:ind w:left="-284"/>
      <w:jc w:val="both"/>
      <w:rPr>
        <w:sz w:val="20"/>
        <w:szCs w:val="20"/>
      </w:rPr>
    </w:pPr>
    <w:r w:rsidRPr="00271110">
      <w:rPr>
        <w:sz w:val="20"/>
        <w:szCs w:val="20"/>
      </w:rPr>
      <w:t>TMAnot_</w:t>
    </w:r>
    <w:r w:rsidR="00487F17">
      <w:rPr>
        <w:sz w:val="20"/>
        <w:szCs w:val="20"/>
      </w:rPr>
      <w:t>0</w:t>
    </w:r>
    <w:r w:rsidR="00062FC5">
      <w:rPr>
        <w:sz w:val="20"/>
        <w:szCs w:val="20"/>
      </w:rPr>
      <w:t>9</w:t>
    </w:r>
    <w:r w:rsidR="00487F17">
      <w:rPr>
        <w:sz w:val="20"/>
        <w:szCs w:val="20"/>
      </w:rPr>
      <w:t>11</w:t>
    </w:r>
    <w:r w:rsidRPr="00271110">
      <w:rPr>
        <w:sz w:val="20"/>
        <w:szCs w:val="20"/>
      </w:rPr>
      <w:t>10_</w:t>
    </w:r>
    <w:r>
      <w:rPr>
        <w:sz w:val="20"/>
        <w:szCs w:val="20"/>
      </w:rPr>
      <w:t xml:space="preserve">485groz; </w:t>
    </w:r>
    <w:r w:rsidRPr="00271110">
      <w:rPr>
        <w:sz w:val="20"/>
        <w:szCs w:val="20"/>
      </w:rPr>
      <w:t>Ministru kabineta noteikumu projekta „</w:t>
    </w:r>
    <w:r w:rsidRPr="00271110">
      <w:rPr>
        <w:bCs/>
        <w:sz w:val="20"/>
        <w:szCs w:val="20"/>
      </w:rPr>
      <w:t>Grozījumi Ministru kabineta 2008.</w:t>
    </w:r>
    <w:r>
      <w:rPr>
        <w:bCs/>
        <w:sz w:val="20"/>
        <w:szCs w:val="20"/>
      </w:rPr>
      <w:t> gada 30. jūnija noteikumos Nr. </w:t>
    </w:r>
    <w:r w:rsidRPr="00271110">
      <w:rPr>
        <w:bCs/>
        <w:sz w:val="20"/>
        <w:szCs w:val="20"/>
      </w:rPr>
      <w:t>485 „Zvērinātu notāru eksāmena un kvalifikācijas pārbaudes kārtība”</w:t>
    </w:r>
    <w:r>
      <w:rPr>
        <w:bCs/>
        <w:sz w:val="20"/>
        <w:szCs w:val="20"/>
      </w:rPr>
      <w:t>”</w:t>
    </w:r>
    <w:r w:rsidRPr="00271110">
      <w:rPr>
        <w:bCs/>
        <w:sz w:val="20"/>
        <w:szCs w:val="20"/>
      </w:rPr>
      <w:t xml:space="preserve"> </w:t>
    </w:r>
    <w:r w:rsidRPr="00271110">
      <w:rPr>
        <w:sz w:val="20"/>
        <w:szCs w:val="20"/>
      </w:rPr>
      <w:t>sākotnējās ietekmes novērtējuma ziņojums (anotācija)</w:t>
    </w:r>
  </w:p>
  <w:p w:rsidR="005F2208" w:rsidRPr="00640152" w:rsidRDefault="005F2208" w:rsidP="00640152">
    <w:pP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08" w:rsidRPr="00271110" w:rsidRDefault="005F2208" w:rsidP="00A705E6">
    <w:pPr>
      <w:ind w:left="-284"/>
      <w:jc w:val="both"/>
      <w:rPr>
        <w:sz w:val="20"/>
        <w:szCs w:val="20"/>
      </w:rPr>
    </w:pPr>
    <w:r w:rsidRPr="00271110">
      <w:rPr>
        <w:sz w:val="20"/>
        <w:szCs w:val="20"/>
      </w:rPr>
      <w:t>TMAnot_</w:t>
    </w:r>
    <w:r w:rsidR="00487F17">
      <w:rPr>
        <w:sz w:val="20"/>
        <w:szCs w:val="20"/>
      </w:rPr>
      <w:t>0</w:t>
    </w:r>
    <w:r w:rsidR="00062FC5">
      <w:rPr>
        <w:sz w:val="20"/>
        <w:szCs w:val="20"/>
      </w:rPr>
      <w:t>9</w:t>
    </w:r>
    <w:r w:rsidR="00487F17">
      <w:rPr>
        <w:sz w:val="20"/>
        <w:szCs w:val="20"/>
      </w:rPr>
      <w:t>11</w:t>
    </w:r>
    <w:r w:rsidRPr="00271110">
      <w:rPr>
        <w:sz w:val="20"/>
        <w:szCs w:val="20"/>
      </w:rPr>
      <w:t>10_</w:t>
    </w:r>
    <w:r>
      <w:rPr>
        <w:sz w:val="20"/>
        <w:szCs w:val="20"/>
      </w:rPr>
      <w:t xml:space="preserve">485groz; </w:t>
    </w:r>
    <w:r w:rsidRPr="00271110">
      <w:rPr>
        <w:sz w:val="20"/>
        <w:szCs w:val="20"/>
      </w:rPr>
      <w:t>Ministru kabineta noteikumu projekta „</w:t>
    </w:r>
    <w:r w:rsidRPr="00271110">
      <w:rPr>
        <w:bCs/>
        <w:sz w:val="20"/>
        <w:szCs w:val="20"/>
      </w:rPr>
      <w:t>Grozījumi Ministru kabineta 2008.</w:t>
    </w:r>
    <w:r>
      <w:rPr>
        <w:bCs/>
        <w:sz w:val="20"/>
        <w:szCs w:val="20"/>
      </w:rPr>
      <w:t> gada 30. jūnija noteikumos Nr. </w:t>
    </w:r>
    <w:r w:rsidRPr="00271110">
      <w:rPr>
        <w:bCs/>
        <w:sz w:val="20"/>
        <w:szCs w:val="20"/>
      </w:rPr>
      <w:t>485 „Zvērinātu notāru eksāmena un kvalifikācijas pārbaudes kārtība”</w:t>
    </w:r>
    <w:r>
      <w:rPr>
        <w:bCs/>
        <w:sz w:val="20"/>
        <w:szCs w:val="20"/>
      </w:rPr>
      <w:t>”</w:t>
    </w:r>
    <w:r w:rsidRPr="00271110">
      <w:rPr>
        <w:bCs/>
        <w:sz w:val="20"/>
        <w:szCs w:val="20"/>
      </w:rPr>
      <w:t xml:space="preserve"> </w:t>
    </w:r>
    <w:r w:rsidRPr="00271110">
      <w:rPr>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208" w:rsidRDefault="005F2208">
      <w:r>
        <w:separator/>
      </w:r>
    </w:p>
  </w:footnote>
  <w:footnote w:type="continuationSeparator" w:id="0">
    <w:p w:rsidR="005F2208" w:rsidRDefault="005F2208">
      <w:r>
        <w:continuationSeparator/>
      </w:r>
    </w:p>
  </w:footnote>
  <w:footnote w:id="1">
    <w:p w:rsidR="005F2208" w:rsidRPr="00854504" w:rsidRDefault="005F2208" w:rsidP="00A705E6">
      <w:pPr>
        <w:ind w:left="-284"/>
        <w:jc w:val="both"/>
        <w:rPr>
          <w:sz w:val="20"/>
          <w:szCs w:val="20"/>
        </w:rPr>
      </w:pPr>
      <w:r w:rsidRPr="000A39A1">
        <w:rPr>
          <w:rStyle w:val="FootnoteReference"/>
          <w:sz w:val="20"/>
          <w:szCs w:val="20"/>
        </w:rPr>
        <w:footnoteRef/>
      </w:r>
      <w:r w:rsidRPr="00854504">
        <w:rPr>
          <w:sz w:val="20"/>
          <w:szCs w:val="20"/>
        </w:rPr>
        <w:t xml:space="preserve"> Pētījums „Latvijas notariāta funkcijas un tā sniegtās juridiskās palīdzības pieejamība, to izvērtējums”</w:t>
      </w:r>
      <w:r>
        <w:rPr>
          <w:sz w:val="20"/>
          <w:szCs w:val="20"/>
        </w:rPr>
        <w:t xml:space="preserve">, 53., 75.-86.lpp., </w:t>
      </w:r>
      <w:r w:rsidRPr="00A80B53">
        <w:rPr>
          <w:sz w:val="20"/>
          <w:szCs w:val="20"/>
        </w:rPr>
        <w:t>http://www.tm.gov.lv/lv/ministrija/imateriali/petijumi.html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08" w:rsidRDefault="004E5D31" w:rsidP="003C449B">
    <w:pPr>
      <w:pStyle w:val="Header"/>
      <w:framePr w:wrap="around" w:vAnchor="text" w:hAnchor="margin" w:xAlign="center" w:y="1"/>
      <w:rPr>
        <w:rStyle w:val="PageNumber"/>
      </w:rPr>
    </w:pPr>
    <w:r>
      <w:rPr>
        <w:rStyle w:val="PageNumber"/>
      </w:rPr>
      <w:fldChar w:fldCharType="begin"/>
    </w:r>
    <w:r w:rsidR="005F2208">
      <w:rPr>
        <w:rStyle w:val="PageNumber"/>
      </w:rPr>
      <w:instrText xml:space="preserve">PAGE  </w:instrText>
    </w:r>
    <w:r>
      <w:rPr>
        <w:rStyle w:val="PageNumber"/>
      </w:rPr>
      <w:fldChar w:fldCharType="end"/>
    </w:r>
  </w:p>
  <w:p w:rsidR="005F2208" w:rsidRDefault="005F22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08" w:rsidRDefault="004E5D31" w:rsidP="003C449B">
    <w:pPr>
      <w:pStyle w:val="Header"/>
      <w:framePr w:wrap="around" w:vAnchor="text" w:hAnchor="margin" w:xAlign="center" w:y="1"/>
      <w:rPr>
        <w:rStyle w:val="PageNumber"/>
      </w:rPr>
    </w:pPr>
    <w:r>
      <w:rPr>
        <w:rStyle w:val="PageNumber"/>
      </w:rPr>
      <w:fldChar w:fldCharType="begin"/>
    </w:r>
    <w:r w:rsidR="005F2208">
      <w:rPr>
        <w:rStyle w:val="PageNumber"/>
      </w:rPr>
      <w:instrText xml:space="preserve">PAGE  </w:instrText>
    </w:r>
    <w:r>
      <w:rPr>
        <w:rStyle w:val="PageNumber"/>
      </w:rPr>
      <w:fldChar w:fldCharType="separate"/>
    </w:r>
    <w:r w:rsidR="00CA521A">
      <w:rPr>
        <w:rStyle w:val="PageNumber"/>
        <w:noProof/>
      </w:rPr>
      <w:t>6</w:t>
    </w:r>
    <w:r>
      <w:rPr>
        <w:rStyle w:val="PageNumber"/>
      </w:rPr>
      <w:fldChar w:fldCharType="end"/>
    </w:r>
  </w:p>
  <w:p w:rsidR="005F2208" w:rsidRDefault="005F22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6A916F2"/>
    <w:multiLevelType w:val="hybridMultilevel"/>
    <w:tmpl w:val="D75C86BC"/>
    <w:lvl w:ilvl="0" w:tplc="BC8610FC">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33C1E5B"/>
    <w:multiLevelType w:val="hybridMultilevel"/>
    <w:tmpl w:val="F5E8660E"/>
    <w:lvl w:ilvl="0" w:tplc="915E67D6">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4"/>
  </w:num>
  <w:num w:numId="2">
    <w:abstractNumId w:val="12"/>
  </w:num>
  <w:num w:numId="3">
    <w:abstractNumId w:val="3"/>
  </w:num>
  <w:num w:numId="4">
    <w:abstractNumId w:val="1"/>
  </w:num>
  <w:num w:numId="5">
    <w:abstractNumId w:val="0"/>
  </w:num>
  <w:num w:numId="6">
    <w:abstractNumId w:val="9"/>
  </w:num>
  <w:num w:numId="7">
    <w:abstractNumId w:val="13"/>
  </w:num>
  <w:num w:numId="8">
    <w:abstractNumId w:val="6"/>
  </w:num>
  <w:num w:numId="9">
    <w:abstractNumId w:val="2"/>
  </w:num>
  <w:num w:numId="10">
    <w:abstractNumId w:val="7"/>
  </w:num>
  <w:num w:numId="11">
    <w:abstractNumId w:val="8"/>
  </w:num>
  <w:num w:numId="12">
    <w:abstractNumId w:val="10"/>
  </w:num>
  <w:num w:numId="13">
    <w:abstractNumId w:val="11"/>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60BA"/>
    <w:rsid w:val="00007F40"/>
    <w:rsid w:val="00011D24"/>
    <w:rsid w:val="00013FF4"/>
    <w:rsid w:val="00020FE1"/>
    <w:rsid w:val="00022387"/>
    <w:rsid w:val="00022E13"/>
    <w:rsid w:val="0002448E"/>
    <w:rsid w:val="00032388"/>
    <w:rsid w:val="00035CE2"/>
    <w:rsid w:val="000364B0"/>
    <w:rsid w:val="00037FBD"/>
    <w:rsid w:val="000439BD"/>
    <w:rsid w:val="00047160"/>
    <w:rsid w:val="0005553B"/>
    <w:rsid w:val="000557D4"/>
    <w:rsid w:val="00057B05"/>
    <w:rsid w:val="000604D2"/>
    <w:rsid w:val="00062FC5"/>
    <w:rsid w:val="00072533"/>
    <w:rsid w:val="00072586"/>
    <w:rsid w:val="000738E3"/>
    <w:rsid w:val="00073CF5"/>
    <w:rsid w:val="00075325"/>
    <w:rsid w:val="0009005E"/>
    <w:rsid w:val="000907D4"/>
    <w:rsid w:val="000941C5"/>
    <w:rsid w:val="000A39A1"/>
    <w:rsid w:val="000A6451"/>
    <w:rsid w:val="000A6649"/>
    <w:rsid w:val="000B064E"/>
    <w:rsid w:val="000B2D08"/>
    <w:rsid w:val="000B69CF"/>
    <w:rsid w:val="000C790C"/>
    <w:rsid w:val="000D1D51"/>
    <w:rsid w:val="000D6C06"/>
    <w:rsid w:val="000E3435"/>
    <w:rsid w:val="000E56B4"/>
    <w:rsid w:val="000E7921"/>
    <w:rsid w:val="000F061D"/>
    <w:rsid w:val="000F147F"/>
    <w:rsid w:val="000F1F92"/>
    <w:rsid w:val="000F2A38"/>
    <w:rsid w:val="000F4794"/>
    <w:rsid w:val="001037CC"/>
    <w:rsid w:val="00105029"/>
    <w:rsid w:val="00105A3B"/>
    <w:rsid w:val="00106541"/>
    <w:rsid w:val="00116465"/>
    <w:rsid w:val="00120398"/>
    <w:rsid w:val="00124F12"/>
    <w:rsid w:val="0012665C"/>
    <w:rsid w:val="00144E3A"/>
    <w:rsid w:val="0014677D"/>
    <w:rsid w:val="00146A80"/>
    <w:rsid w:val="0015060C"/>
    <w:rsid w:val="0016018A"/>
    <w:rsid w:val="00161F0E"/>
    <w:rsid w:val="00164C7A"/>
    <w:rsid w:val="00170E2A"/>
    <w:rsid w:val="00173B3D"/>
    <w:rsid w:val="00177394"/>
    <w:rsid w:val="0018214D"/>
    <w:rsid w:val="00182C18"/>
    <w:rsid w:val="00183CC2"/>
    <w:rsid w:val="00183DAD"/>
    <w:rsid w:val="00185117"/>
    <w:rsid w:val="00187E14"/>
    <w:rsid w:val="001900E4"/>
    <w:rsid w:val="00190429"/>
    <w:rsid w:val="00190F88"/>
    <w:rsid w:val="001A064C"/>
    <w:rsid w:val="001A0BB0"/>
    <w:rsid w:val="001A4066"/>
    <w:rsid w:val="001A6AE4"/>
    <w:rsid w:val="001B01FD"/>
    <w:rsid w:val="001B4A71"/>
    <w:rsid w:val="001B5F9C"/>
    <w:rsid w:val="001B77A0"/>
    <w:rsid w:val="001C1F0C"/>
    <w:rsid w:val="001C46C9"/>
    <w:rsid w:val="001D20E1"/>
    <w:rsid w:val="001D5B54"/>
    <w:rsid w:val="001E1DBF"/>
    <w:rsid w:val="001E4639"/>
    <w:rsid w:val="001E4A7D"/>
    <w:rsid w:val="001F1E0D"/>
    <w:rsid w:val="001F43A8"/>
    <w:rsid w:val="001F5CD6"/>
    <w:rsid w:val="001F63B3"/>
    <w:rsid w:val="00211636"/>
    <w:rsid w:val="0021263D"/>
    <w:rsid w:val="00213F0C"/>
    <w:rsid w:val="00214094"/>
    <w:rsid w:val="0021592D"/>
    <w:rsid w:val="00222D76"/>
    <w:rsid w:val="00223EB1"/>
    <w:rsid w:val="00231290"/>
    <w:rsid w:val="00231344"/>
    <w:rsid w:val="0023436E"/>
    <w:rsid w:val="002347C0"/>
    <w:rsid w:val="00241A6C"/>
    <w:rsid w:val="00241CDC"/>
    <w:rsid w:val="00242D2B"/>
    <w:rsid w:val="00262E2B"/>
    <w:rsid w:val="00267F4E"/>
    <w:rsid w:val="00270429"/>
    <w:rsid w:val="00271110"/>
    <w:rsid w:val="002723E9"/>
    <w:rsid w:val="002759A6"/>
    <w:rsid w:val="00276859"/>
    <w:rsid w:val="00277929"/>
    <w:rsid w:val="0028215F"/>
    <w:rsid w:val="00283B82"/>
    <w:rsid w:val="00283BEF"/>
    <w:rsid w:val="002846E9"/>
    <w:rsid w:val="00284C34"/>
    <w:rsid w:val="0029066C"/>
    <w:rsid w:val="00297BC8"/>
    <w:rsid w:val="002B3684"/>
    <w:rsid w:val="002B44F7"/>
    <w:rsid w:val="002B50DB"/>
    <w:rsid w:val="002B58D7"/>
    <w:rsid w:val="002B5C78"/>
    <w:rsid w:val="002C0016"/>
    <w:rsid w:val="002C0F3E"/>
    <w:rsid w:val="002C12AB"/>
    <w:rsid w:val="002C1CFB"/>
    <w:rsid w:val="002C270D"/>
    <w:rsid w:val="002C2943"/>
    <w:rsid w:val="002C7CAC"/>
    <w:rsid w:val="002D3306"/>
    <w:rsid w:val="002D48AA"/>
    <w:rsid w:val="002D7BAA"/>
    <w:rsid w:val="002D7F54"/>
    <w:rsid w:val="002E0A2F"/>
    <w:rsid w:val="002E3FF4"/>
    <w:rsid w:val="002F1A01"/>
    <w:rsid w:val="002F78C8"/>
    <w:rsid w:val="00301CF3"/>
    <w:rsid w:val="003068DC"/>
    <w:rsid w:val="00307F11"/>
    <w:rsid w:val="0031456D"/>
    <w:rsid w:val="00314753"/>
    <w:rsid w:val="0031493E"/>
    <w:rsid w:val="00322816"/>
    <w:rsid w:val="00326C4D"/>
    <w:rsid w:val="0032715C"/>
    <w:rsid w:val="00332A53"/>
    <w:rsid w:val="00337CA5"/>
    <w:rsid w:val="00342310"/>
    <w:rsid w:val="00342E48"/>
    <w:rsid w:val="003470FC"/>
    <w:rsid w:val="003556A4"/>
    <w:rsid w:val="00355BD3"/>
    <w:rsid w:val="0035783A"/>
    <w:rsid w:val="00362478"/>
    <w:rsid w:val="00371DEE"/>
    <w:rsid w:val="0037200E"/>
    <w:rsid w:val="00372061"/>
    <w:rsid w:val="00372C5B"/>
    <w:rsid w:val="00375B25"/>
    <w:rsid w:val="00387B09"/>
    <w:rsid w:val="00391361"/>
    <w:rsid w:val="00394364"/>
    <w:rsid w:val="00396542"/>
    <w:rsid w:val="0039685B"/>
    <w:rsid w:val="003A31A6"/>
    <w:rsid w:val="003A7F0C"/>
    <w:rsid w:val="003A7F79"/>
    <w:rsid w:val="003B1D19"/>
    <w:rsid w:val="003B6404"/>
    <w:rsid w:val="003C037D"/>
    <w:rsid w:val="003C449B"/>
    <w:rsid w:val="003C738C"/>
    <w:rsid w:val="003D09F4"/>
    <w:rsid w:val="003D16C4"/>
    <w:rsid w:val="003D21FF"/>
    <w:rsid w:val="003F0112"/>
    <w:rsid w:val="003F071A"/>
    <w:rsid w:val="003F160B"/>
    <w:rsid w:val="00400032"/>
    <w:rsid w:val="004002DD"/>
    <w:rsid w:val="00400B5B"/>
    <w:rsid w:val="00404E3C"/>
    <w:rsid w:val="00405A00"/>
    <w:rsid w:val="00420870"/>
    <w:rsid w:val="00425E02"/>
    <w:rsid w:val="00430421"/>
    <w:rsid w:val="0043791B"/>
    <w:rsid w:val="00441483"/>
    <w:rsid w:val="00441BCB"/>
    <w:rsid w:val="0045176A"/>
    <w:rsid w:val="00456332"/>
    <w:rsid w:val="00460B93"/>
    <w:rsid w:val="004615DE"/>
    <w:rsid w:val="00461826"/>
    <w:rsid w:val="0046258F"/>
    <w:rsid w:val="0047150D"/>
    <w:rsid w:val="004800F9"/>
    <w:rsid w:val="00487F17"/>
    <w:rsid w:val="0049134A"/>
    <w:rsid w:val="00493249"/>
    <w:rsid w:val="0049484F"/>
    <w:rsid w:val="004A214A"/>
    <w:rsid w:val="004A58CB"/>
    <w:rsid w:val="004B10E6"/>
    <w:rsid w:val="004B1795"/>
    <w:rsid w:val="004B56DD"/>
    <w:rsid w:val="004C020F"/>
    <w:rsid w:val="004C1AFD"/>
    <w:rsid w:val="004C3A72"/>
    <w:rsid w:val="004C558B"/>
    <w:rsid w:val="004D4BE3"/>
    <w:rsid w:val="004D72E9"/>
    <w:rsid w:val="004E06DE"/>
    <w:rsid w:val="004E51FE"/>
    <w:rsid w:val="004E5745"/>
    <w:rsid w:val="004E5D31"/>
    <w:rsid w:val="004F1F88"/>
    <w:rsid w:val="004F5F1B"/>
    <w:rsid w:val="004F6D1F"/>
    <w:rsid w:val="004F7CAA"/>
    <w:rsid w:val="00502374"/>
    <w:rsid w:val="005060A1"/>
    <w:rsid w:val="00515800"/>
    <w:rsid w:val="00516072"/>
    <w:rsid w:val="00521D58"/>
    <w:rsid w:val="005300F6"/>
    <w:rsid w:val="005313F4"/>
    <w:rsid w:val="005332EC"/>
    <w:rsid w:val="00534077"/>
    <w:rsid w:val="00534418"/>
    <w:rsid w:val="005353AB"/>
    <w:rsid w:val="00541292"/>
    <w:rsid w:val="00542087"/>
    <w:rsid w:val="00553BDE"/>
    <w:rsid w:val="005560BC"/>
    <w:rsid w:val="005573BE"/>
    <w:rsid w:val="00565643"/>
    <w:rsid w:val="00572700"/>
    <w:rsid w:val="00573420"/>
    <w:rsid w:val="00580468"/>
    <w:rsid w:val="005833AD"/>
    <w:rsid w:val="0058603B"/>
    <w:rsid w:val="00593212"/>
    <w:rsid w:val="0059431B"/>
    <w:rsid w:val="00597D78"/>
    <w:rsid w:val="005A09E4"/>
    <w:rsid w:val="005A39CC"/>
    <w:rsid w:val="005B25A6"/>
    <w:rsid w:val="005B4730"/>
    <w:rsid w:val="005B6B9A"/>
    <w:rsid w:val="005C74D3"/>
    <w:rsid w:val="005D52CC"/>
    <w:rsid w:val="005E05D7"/>
    <w:rsid w:val="005E1006"/>
    <w:rsid w:val="005E41E7"/>
    <w:rsid w:val="005E450F"/>
    <w:rsid w:val="005E6DE2"/>
    <w:rsid w:val="005F15DC"/>
    <w:rsid w:val="005F2208"/>
    <w:rsid w:val="005F5AFE"/>
    <w:rsid w:val="006025D7"/>
    <w:rsid w:val="0060634E"/>
    <w:rsid w:val="00607C0A"/>
    <w:rsid w:val="0062298A"/>
    <w:rsid w:val="00622B97"/>
    <w:rsid w:val="00626514"/>
    <w:rsid w:val="00626589"/>
    <w:rsid w:val="00631D0B"/>
    <w:rsid w:val="00633193"/>
    <w:rsid w:val="006339A0"/>
    <w:rsid w:val="00640152"/>
    <w:rsid w:val="006413A8"/>
    <w:rsid w:val="00642E56"/>
    <w:rsid w:val="00647889"/>
    <w:rsid w:val="00651E00"/>
    <w:rsid w:val="00655F3B"/>
    <w:rsid w:val="00674572"/>
    <w:rsid w:val="00674F96"/>
    <w:rsid w:val="00682E9B"/>
    <w:rsid w:val="00683E5A"/>
    <w:rsid w:val="00685C82"/>
    <w:rsid w:val="00687763"/>
    <w:rsid w:val="00690028"/>
    <w:rsid w:val="00692B0D"/>
    <w:rsid w:val="00693E0E"/>
    <w:rsid w:val="00693F12"/>
    <w:rsid w:val="00694BC5"/>
    <w:rsid w:val="006A1AE3"/>
    <w:rsid w:val="006B50BF"/>
    <w:rsid w:val="006B6882"/>
    <w:rsid w:val="006B68F6"/>
    <w:rsid w:val="006C30E1"/>
    <w:rsid w:val="006C4607"/>
    <w:rsid w:val="006C7066"/>
    <w:rsid w:val="006D48F1"/>
    <w:rsid w:val="006D613D"/>
    <w:rsid w:val="006E3A20"/>
    <w:rsid w:val="006F1FCF"/>
    <w:rsid w:val="006F45BE"/>
    <w:rsid w:val="006F711D"/>
    <w:rsid w:val="007004FC"/>
    <w:rsid w:val="007028DF"/>
    <w:rsid w:val="0070387C"/>
    <w:rsid w:val="00706670"/>
    <w:rsid w:val="00712D43"/>
    <w:rsid w:val="0071472E"/>
    <w:rsid w:val="00715C08"/>
    <w:rsid w:val="0072417C"/>
    <w:rsid w:val="00734450"/>
    <w:rsid w:val="0074173D"/>
    <w:rsid w:val="00745F67"/>
    <w:rsid w:val="0075039E"/>
    <w:rsid w:val="00751D74"/>
    <w:rsid w:val="00751F87"/>
    <w:rsid w:val="00752D9D"/>
    <w:rsid w:val="00754784"/>
    <w:rsid w:val="00756C9D"/>
    <w:rsid w:val="007570F8"/>
    <w:rsid w:val="00757C6E"/>
    <w:rsid w:val="00762BDA"/>
    <w:rsid w:val="00770301"/>
    <w:rsid w:val="0077296C"/>
    <w:rsid w:val="00775858"/>
    <w:rsid w:val="007805FD"/>
    <w:rsid w:val="00782200"/>
    <w:rsid w:val="00784422"/>
    <w:rsid w:val="00787BF8"/>
    <w:rsid w:val="00791B8A"/>
    <w:rsid w:val="00792FA2"/>
    <w:rsid w:val="007A28D6"/>
    <w:rsid w:val="007B3A00"/>
    <w:rsid w:val="007B3B54"/>
    <w:rsid w:val="007B3FA0"/>
    <w:rsid w:val="007B7772"/>
    <w:rsid w:val="007C0F2C"/>
    <w:rsid w:val="007C2BCC"/>
    <w:rsid w:val="007C3570"/>
    <w:rsid w:val="007C4EF0"/>
    <w:rsid w:val="007D099D"/>
    <w:rsid w:val="007D20A2"/>
    <w:rsid w:val="007D4488"/>
    <w:rsid w:val="007E1602"/>
    <w:rsid w:val="007E2664"/>
    <w:rsid w:val="007E3ABF"/>
    <w:rsid w:val="007E5BFA"/>
    <w:rsid w:val="007E6689"/>
    <w:rsid w:val="007E731C"/>
    <w:rsid w:val="007E77CA"/>
    <w:rsid w:val="007E79C9"/>
    <w:rsid w:val="007F0A03"/>
    <w:rsid w:val="007F3C50"/>
    <w:rsid w:val="0080588B"/>
    <w:rsid w:val="00806D14"/>
    <w:rsid w:val="00810040"/>
    <w:rsid w:val="008142FD"/>
    <w:rsid w:val="008164D2"/>
    <w:rsid w:val="0082023A"/>
    <w:rsid w:val="00821A7A"/>
    <w:rsid w:val="00821FCD"/>
    <w:rsid w:val="008248C3"/>
    <w:rsid w:val="008253F8"/>
    <w:rsid w:val="00831317"/>
    <w:rsid w:val="00831F89"/>
    <w:rsid w:val="008325E4"/>
    <w:rsid w:val="00832A05"/>
    <w:rsid w:val="00832A2B"/>
    <w:rsid w:val="00832A32"/>
    <w:rsid w:val="008336CB"/>
    <w:rsid w:val="008351C4"/>
    <w:rsid w:val="00840B3E"/>
    <w:rsid w:val="00845811"/>
    <w:rsid w:val="00846994"/>
    <w:rsid w:val="00850451"/>
    <w:rsid w:val="00851D81"/>
    <w:rsid w:val="00852042"/>
    <w:rsid w:val="008534C9"/>
    <w:rsid w:val="00854504"/>
    <w:rsid w:val="008548E0"/>
    <w:rsid w:val="0085599D"/>
    <w:rsid w:val="0085721E"/>
    <w:rsid w:val="00865AD1"/>
    <w:rsid w:val="0087510C"/>
    <w:rsid w:val="00880E18"/>
    <w:rsid w:val="008813A3"/>
    <w:rsid w:val="00884060"/>
    <w:rsid w:val="008849C4"/>
    <w:rsid w:val="00893F1C"/>
    <w:rsid w:val="0089738E"/>
    <w:rsid w:val="008A1D06"/>
    <w:rsid w:val="008A2448"/>
    <w:rsid w:val="008B0956"/>
    <w:rsid w:val="008B25BF"/>
    <w:rsid w:val="008B5FDB"/>
    <w:rsid w:val="008C3152"/>
    <w:rsid w:val="008C40F3"/>
    <w:rsid w:val="008C50F4"/>
    <w:rsid w:val="008C5649"/>
    <w:rsid w:val="008D4C22"/>
    <w:rsid w:val="008D5328"/>
    <w:rsid w:val="008E44A2"/>
    <w:rsid w:val="008E4C0C"/>
    <w:rsid w:val="008E697D"/>
    <w:rsid w:val="00903263"/>
    <w:rsid w:val="00906A21"/>
    <w:rsid w:val="009079C3"/>
    <w:rsid w:val="00910462"/>
    <w:rsid w:val="00915AB1"/>
    <w:rsid w:val="00916113"/>
    <w:rsid w:val="00917532"/>
    <w:rsid w:val="00920CEF"/>
    <w:rsid w:val="009235BA"/>
    <w:rsid w:val="00924023"/>
    <w:rsid w:val="00924CE2"/>
    <w:rsid w:val="00925B9F"/>
    <w:rsid w:val="00926A15"/>
    <w:rsid w:val="00931AED"/>
    <w:rsid w:val="009355BE"/>
    <w:rsid w:val="0094081A"/>
    <w:rsid w:val="00942586"/>
    <w:rsid w:val="009448AA"/>
    <w:rsid w:val="009476A3"/>
    <w:rsid w:val="00951F64"/>
    <w:rsid w:val="0095334F"/>
    <w:rsid w:val="00955955"/>
    <w:rsid w:val="00961324"/>
    <w:rsid w:val="00965897"/>
    <w:rsid w:val="00966233"/>
    <w:rsid w:val="009672A8"/>
    <w:rsid w:val="0096765C"/>
    <w:rsid w:val="009727E4"/>
    <w:rsid w:val="0098274F"/>
    <w:rsid w:val="009934C5"/>
    <w:rsid w:val="00994C0F"/>
    <w:rsid w:val="00996369"/>
    <w:rsid w:val="009B22D7"/>
    <w:rsid w:val="009B31DB"/>
    <w:rsid w:val="009B72ED"/>
    <w:rsid w:val="009C6DEB"/>
    <w:rsid w:val="009D6504"/>
    <w:rsid w:val="009D7F9F"/>
    <w:rsid w:val="009E12D7"/>
    <w:rsid w:val="009E406F"/>
    <w:rsid w:val="009E661A"/>
    <w:rsid w:val="009F25BB"/>
    <w:rsid w:val="00A02C89"/>
    <w:rsid w:val="00A04031"/>
    <w:rsid w:val="00A06781"/>
    <w:rsid w:val="00A074C3"/>
    <w:rsid w:val="00A07613"/>
    <w:rsid w:val="00A07BF8"/>
    <w:rsid w:val="00A134DB"/>
    <w:rsid w:val="00A1509C"/>
    <w:rsid w:val="00A30A30"/>
    <w:rsid w:val="00A34260"/>
    <w:rsid w:val="00A40C61"/>
    <w:rsid w:val="00A63C06"/>
    <w:rsid w:val="00A64303"/>
    <w:rsid w:val="00A654AE"/>
    <w:rsid w:val="00A67F0C"/>
    <w:rsid w:val="00A705E6"/>
    <w:rsid w:val="00A70CFD"/>
    <w:rsid w:val="00A72A0B"/>
    <w:rsid w:val="00A80B53"/>
    <w:rsid w:val="00A81E42"/>
    <w:rsid w:val="00A828C7"/>
    <w:rsid w:val="00A84204"/>
    <w:rsid w:val="00A864FE"/>
    <w:rsid w:val="00A86F41"/>
    <w:rsid w:val="00A87D04"/>
    <w:rsid w:val="00A914A5"/>
    <w:rsid w:val="00A950C5"/>
    <w:rsid w:val="00A95EE4"/>
    <w:rsid w:val="00A97DE6"/>
    <w:rsid w:val="00AA1D25"/>
    <w:rsid w:val="00AB2B1A"/>
    <w:rsid w:val="00AB397F"/>
    <w:rsid w:val="00AB5832"/>
    <w:rsid w:val="00AC51F2"/>
    <w:rsid w:val="00AE0544"/>
    <w:rsid w:val="00AE0548"/>
    <w:rsid w:val="00AE1124"/>
    <w:rsid w:val="00AE22FD"/>
    <w:rsid w:val="00AE5066"/>
    <w:rsid w:val="00AE5C6F"/>
    <w:rsid w:val="00AE5E24"/>
    <w:rsid w:val="00AE61B7"/>
    <w:rsid w:val="00AE6CBA"/>
    <w:rsid w:val="00AE79AD"/>
    <w:rsid w:val="00AF24F3"/>
    <w:rsid w:val="00AF35E4"/>
    <w:rsid w:val="00AF472C"/>
    <w:rsid w:val="00AF5CDE"/>
    <w:rsid w:val="00B11A57"/>
    <w:rsid w:val="00B211C3"/>
    <w:rsid w:val="00B25597"/>
    <w:rsid w:val="00B267B9"/>
    <w:rsid w:val="00B27D74"/>
    <w:rsid w:val="00B330AF"/>
    <w:rsid w:val="00B3390A"/>
    <w:rsid w:val="00B33E09"/>
    <w:rsid w:val="00B42594"/>
    <w:rsid w:val="00B50708"/>
    <w:rsid w:val="00B50C68"/>
    <w:rsid w:val="00B51293"/>
    <w:rsid w:val="00B52B1E"/>
    <w:rsid w:val="00B55481"/>
    <w:rsid w:val="00B56C32"/>
    <w:rsid w:val="00B57ACF"/>
    <w:rsid w:val="00B63B69"/>
    <w:rsid w:val="00B64BB1"/>
    <w:rsid w:val="00B73166"/>
    <w:rsid w:val="00B8426C"/>
    <w:rsid w:val="00B87F34"/>
    <w:rsid w:val="00B91B8D"/>
    <w:rsid w:val="00B94E90"/>
    <w:rsid w:val="00BB0A82"/>
    <w:rsid w:val="00BB1E2D"/>
    <w:rsid w:val="00BB5CC3"/>
    <w:rsid w:val="00BB7C94"/>
    <w:rsid w:val="00BC0A9D"/>
    <w:rsid w:val="00BC0D6B"/>
    <w:rsid w:val="00BC1277"/>
    <w:rsid w:val="00BC2125"/>
    <w:rsid w:val="00BD0BAD"/>
    <w:rsid w:val="00BD0EAA"/>
    <w:rsid w:val="00BD3B1D"/>
    <w:rsid w:val="00BE02AA"/>
    <w:rsid w:val="00BE0AEC"/>
    <w:rsid w:val="00BE4CB4"/>
    <w:rsid w:val="00BE7E0A"/>
    <w:rsid w:val="00BF40ED"/>
    <w:rsid w:val="00BF5BC2"/>
    <w:rsid w:val="00C01EC8"/>
    <w:rsid w:val="00C070A6"/>
    <w:rsid w:val="00C1133D"/>
    <w:rsid w:val="00C13F09"/>
    <w:rsid w:val="00C23C04"/>
    <w:rsid w:val="00C27A08"/>
    <w:rsid w:val="00C31312"/>
    <w:rsid w:val="00C326C6"/>
    <w:rsid w:val="00C343F6"/>
    <w:rsid w:val="00C35295"/>
    <w:rsid w:val="00C36ADD"/>
    <w:rsid w:val="00C36E74"/>
    <w:rsid w:val="00C40595"/>
    <w:rsid w:val="00C41621"/>
    <w:rsid w:val="00C449FA"/>
    <w:rsid w:val="00C5384F"/>
    <w:rsid w:val="00C53F8B"/>
    <w:rsid w:val="00C55A47"/>
    <w:rsid w:val="00C56964"/>
    <w:rsid w:val="00C61DA9"/>
    <w:rsid w:val="00C62C64"/>
    <w:rsid w:val="00C656D5"/>
    <w:rsid w:val="00C67103"/>
    <w:rsid w:val="00C71BB9"/>
    <w:rsid w:val="00C7259E"/>
    <w:rsid w:val="00C72B13"/>
    <w:rsid w:val="00C731D7"/>
    <w:rsid w:val="00C82665"/>
    <w:rsid w:val="00C840BD"/>
    <w:rsid w:val="00C85779"/>
    <w:rsid w:val="00C94C28"/>
    <w:rsid w:val="00CA521A"/>
    <w:rsid w:val="00CB0247"/>
    <w:rsid w:val="00CB3440"/>
    <w:rsid w:val="00CB4381"/>
    <w:rsid w:val="00CB6D6C"/>
    <w:rsid w:val="00CC1692"/>
    <w:rsid w:val="00CC2DA5"/>
    <w:rsid w:val="00CC3654"/>
    <w:rsid w:val="00CD138B"/>
    <w:rsid w:val="00CD3986"/>
    <w:rsid w:val="00CD3E31"/>
    <w:rsid w:val="00CD55F4"/>
    <w:rsid w:val="00CD5F33"/>
    <w:rsid w:val="00CD74A3"/>
    <w:rsid w:val="00CE0527"/>
    <w:rsid w:val="00CE13AE"/>
    <w:rsid w:val="00CE3BDE"/>
    <w:rsid w:val="00CE5B23"/>
    <w:rsid w:val="00CF70AD"/>
    <w:rsid w:val="00CF7729"/>
    <w:rsid w:val="00CF7EF1"/>
    <w:rsid w:val="00D00059"/>
    <w:rsid w:val="00D107FA"/>
    <w:rsid w:val="00D12275"/>
    <w:rsid w:val="00D12766"/>
    <w:rsid w:val="00D12D1F"/>
    <w:rsid w:val="00D15A85"/>
    <w:rsid w:val="00D20FF4"/>
    <w:rsid w:val="00D212AA"/>
    <w:rsid w:val="00D24D2C"/>
    <w:rsid w:val="00D313EF"/>
    <w:rsid w:val="00D317A5"/>
    <w:rsid w:val="00D32936"/>
    <w:rsid w:val="00D3381A"/>
    <w:rsid w:val="00D35881"/>
    <w:rsid w:val="00D50595"/>
    <w:rsid w:val="00D515D7"/>
    <w:rsid w:val="00D51781"/>
    <w:rsid w:val="00D5458A"/>
    <w:rsid w:val="00D60055"/>
    <w:rsid w:val="00D62F7A"/>
    <w:rsid w:val="00D64929"/>
    <w:rsid w:val="00D87BA4"/>
    <w:rsid w:val="00D94969"/>
    <w:rsid w:val="00DA3077"/>
    <w:rsid w:val="00DA4376"/>
    <w:rsid w:val="00DA7DA5"/>
    <w:rsid w:val="00DB073B"/>
    <w:rsid w:val="00DB78F0"/>
    <w:rsid w:val="00DC01CA"/>
    <w:rsid w:val="00DC2E43"/>
    <w:rsid w:val="00DD095C"/>
    <w:rsid w:val="00DD1020"/>
    <w:rsid w:val="00DD1330"/>
    <w:rsid w:val="00DE0B83"/>
    <w:rsid w:val="00DE1A81"/>
    <w:rsid w:val="00DE1C13"/>
    <w:rsid w:val="00DE1C76"/>
    <w:rsid w:val="00DE398A"/>
    <w:rsid w:val="00DE4E10"/>
    <w:rsid w:val="00DE6050"/>
    <w:rsid w:val="00DE6289"/>
    <w:rsid w:val="00DE6559"/>
    <w:rsid w:val="00DF1FF5"/>
    <w:rsid w:val="00E01D8D"/>
    <w:rsid w:val="00E02ABF"/>
    <w:rsid w:val="00E06495"/>
    <w:rsid w:val="00E14995"/>
    <w:rsid w:val="00E179CD"/>
    <w:rsid w:val="00E230C8"/>
    <w:rsid w:val="00E23E8D"/>
    <w:rsid w:val="00E37F98"/>
    <w:rsid w:val="00E41367"/>
    <w:rsid w:val="00E46559"/>
    <w:rsid w:val="00E51C2D"/>
    <w:rsid w:val="00E558A7"/>
    <w:rsid w:val="00E56F89"/>
    <w:rsid w:val="00E61E7C"/>
    <w:rsid w:val="00E66465"/>
    <w:rsid w:val="00E6670C"/>
    <w:rsid w:val="00E734EB"/>
    <w:rsid w:val="00E776E8"/>
    <w:rsid w:val="00E82E7B"/>
    <w:rsid w:val="00E92C1F"/>
    <w:rsid w:val="00E95723"/>
    <w:rsid w:val="00E95D4B"/>
    <w:rsid w:val="00E96D69"/>
    <w:rsid w:val="00E974C3"/>
    <w:rsid w:val="00EA2A0F"/>
    <w:rsid w:val="00EB199F"/>
    <w:rsid w:val="00EB3301"/>
    <w:rsid w:val="00EB7D32"/>
    <w:rsid w:val="00EC23F7"/>
    <w:rsid w:val="00EC2FFB"/>
    <w:rsid w:val="00EC4BD8"/>
    <w:rsid w:val="00EC61F1"/>
    <w:rsid w:val="00EC63EB"/>
    <w:rsid w:val="00EC75E8"/>
    <w:rsid w:val="00ED3E92"/>
    <w:rsid w:val="00ED412F"/>
    <w:rsid w:val="00EE39B5"/>
    <w:rsid w:val="00EF36B2"/>
    <w:rsid w:val="00F03E1E"/>
    <w:rsid w:val="00F051A9"/>
    <w:rsid w:val="00F17C2E"/>
    <w:rsid w:val="00F201EC"/>
    <w:rsid w:val="00F208A9"/>
    <w:rsid w:val="00F27937"/>
    <w:rsid w:val="00F30DDD"/>
    <w:rsid w:val="00F329A0"/>
    <w:rsid w:val="00F41D75"/>
    <w:rsid w:val="00F50645"/>
    <w:rsid w:val="00F5139D"/>
    <w:rsid w:val="00F54986"/>
    <w:rsid w:val="00F6097A"/>
    <w:rsid w:val="00F63DAC"/>
    <w:rsid w:val="00F70057"/>
    <w:rsid w:val="00F7454F"/>
    <w:rsid w:val="00F77988"/>
    <w:rsid w:val="00F77F48"/>
    <w:rsid w:val="00F82F25"/>
    <w:rsid w:val="00F853BF"/>
    <w:rsid w:val="00F94F06"/>
    <w:rsid w:val="00F965D8"/>
    <w:rsid w:val="00FA0AB6"/>
    <w:rsid w:val="00FA7B2C"/>
    <w:rsid w:val="00FB1667"/>
    <w:rsid w:val="00FB30F1"/>
    <w:rsid w:val="00FB53E7"/>
    <w:rsid w:val="00FB5644"/>
    <w:rsid w:val="00FB6EB7"/>
    <w:rsid w:val="00FC3A38"/>
    <w:rsid w:val="00FC7A7F"/>
    <w:rsid w:val="00FD6054"/>
    <w:rsid w:val="00FD616F"/>
    <w:rsid w:val="00FE46BC"/>
    <w:rsid w:val="00FE6617"/>
    <w:rsid w:val="00FF084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naispant">
    <w:name w:val="naispant"/>
    <w:basedOn w:val="Normal"/>
    <w:rsid w:val="00EC75E8"/>
    <w:pPr>
      <w:spacing w:before="100" w:beforeAutospacing="1" w:after="100" w:afterAutospacing="1"/>
    </w:pPr>
    <w:rPr>
      <w:rFonts w:eastAsia="Calibri"/>
    </w:rPr>
  </w:style>
  <w:style w:type="paragraph" w:customStyle="1" w:styleId="c2">
    <w:name w:val="c2"/>
    <w:basedOn w:val="Normal"/>
    <w:rsid w:val="00FD616F"/>
    <w:pPr>
      <w:spacing w:before="100" w:beforeAutospacing="1" w:after="100" w:afterAutospacing="1"/>
    </w:pPr>
  </w:style>
  <w:style w:type="character" w:customStyle="1" w:styleId="c1">
    <w:name w:val="c1"/>
    <w:basedOn w:val="DefaultParagraphFont"/>
    <w:rsid w:val="00FD616F"/>
  </w:style>
  <w:style w:type="paragraph" w:styleId="ListParagraph">
    <w:name w:val="List Paragraph"/>
    <w:basedOn w:val="Normal"/>
    <w:uiPriority w:val="34"/>
    <w:qFormat/>
    <w:rsid w:val="00FD616F"/>
    <w:pPr>
      <w:ind w:left="720"/>
    </w:pPr>
    <w:rPr>
      <w:rFonts w:ascii="Calibri" w:eastAsia="Calibri" w:hAnsi="Calibri"/>
      <w:sz w:val="22"/>
      <w:szCs w:val="22"/>
    </w:rPr>
  </w:style>
  <w:style w:type="character" w:customStyle="1" w:styleId="HeaderChar">
    <w:name w:val="Header Char"/>
    <w:basedOn w:val="DefaultParagraphFont"/>
    <w:link w:val="Header"/>
    <w:uiPriority w:val="99"/>
    <w:rsid w:val="008D5328"/>
    <w:rPr>
      <w:sz w:val="24"/>
      <w:szCs w:val="24"/>
    </w:rPr>
  </w:style>
  <w:style w:type="character" w:styleId="FollowedHyperlink">
    <w:name w:val="FollowedHyperlink"/>
    <w:basedOn w:val="DefaultParagraphFont"/>
    <w:rsid w:val="00404E3C"/>
    <w:rPr>
      <w:color w:val="800080"/>
      <w:u w:val="single"/>
    </w:rPr>
  </w:style>
  <w:style w:type="paragraph" w:styleId="BodyTextIndent">
    <w:name w:val="Body Text Indent"/>
    <w:basedOn w:val="Normal"/>
    <w:link w:val="BodyTextIndentChar"/>
    <w:rsid w:val="00391361"/>
    <w:pPr>
      <w:spacing w:after="120"/>
      <w:ind w:left="283"/>
    </w:pPr>
  </w:style>
  <w:style w:type="character" w:customStyle="1" w:styleId="BodyTextIndentChar">
    <w:name w:val="Body Text Indent Char"/>
    <w:basedOn w:val="DefaultParagraphFont"/>
    <w:link w:val="BodyTextIndent"/>
    <w:rsid w:val="00391361"/>
    <w:rPr>
      <w:sz w:val="24"/>
      <w:szCs w:val="24"/>
    </w:rPr>
  </w:style>
  <w:style w:type="paragraph" w:styleId="HTMLPreformatted">
    <w:name w:val="HTML Preformatted"/>
    <w:basedOn w:val="Normal"/>
    <w:link w:val="HTMLPreformattedChar"/>
    <w:rsid w:val="00391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91361"/>
    <w:rPr>
      <w:rFonts w:ascii="Courier New" w:hAnsi="Courier New" w:cs="Courier New"/>
    </w:rPr>
  </w:style>
  <w:style w:type="paragraph" w:styleId="NormalWeb">
    <w:name w:val="Normal (Web)"/>
    <w:basedOn w:val="Normal"/>
    <w:uiPriority w:val="99"/>
    <w:rsid w:val="00C840BD"/>
    <w:pPr>
      <w:spacing w:before="88" w:after="88"/>
    </w:pPr>
  </w:style>
  <w:style w:type="character" w:customStyle="1" w:styleId="FootnoteTextChar">
    <w:name w:val="Footnote Text Char"/>
    <w:basedOn w:val="DefaultParagraphFont"/>
    <w:link w:val="FootnoteText"/>
    <w:semiHidden/>
    <w:rsid w:val="00F853BF"/>
  </w:style>
</w:styles>
</file>

<file path=word/webSettings.xml><?xml version="1.0" encoding="utf-8"?>
<w:webSettings xmlns:r="http://schemas.openxmlformats.org/officeDocument/2006/relationships" xmlns:w="http://schemas.openxmlformats.org/wordprocessingml/2006/main">
  <w:divs>
    <w:div w:id="702481938">
      <w:bodyDiv w:val="1"/>
      <w:marLeft w:val="0"/>
      <w:marRight w:val="0"/>
      <w:marTop w:val="0"/>
      <w:marBottom w:val="0"/>
      <w:divBdr>
        <w:top w:val="none" w:sz="0" w:space="0" w:color="auto"/>
        <w:left w:val="none" w:sz="0" w:space="0" w:color="auto"/>
        <w:bottom w:val="none" w:sz="0" w:space="0" w:color="auto"/>
        <w:right w:val="none" w:sz="0" w:space="0" w:color="auto"/>
      </w:divBdr>
    </w:div>
    <w:div w:id="839925998">
      <w:bodyDiv w:val="1"/>
      <w:marLeft w:val="0"/>
      <w:marRight w:val="0"/>
      <w:marTop w:val="0"/>
      <w:marBottom w:val="0"/>
      <w:divBdr>
        <w:top w:val="none" w:sz="0" w:space="0" w:color="auto"/>
        <w:left w:val="none" w:sz="0" w:space="0" w:color="auto"/>
        <w:bottom w:val="none" w:sz="0" w:space="0" w:color="auto"/>
        <w:right w:val="none" w:sz="0" w:space="0" w:color="auto"/>
      </w:divBdr>
      <w:divsChild>
        <w:div w:id="2062552530">
          <w:marLeft w:val="0"/>
          <w:marRight w:val="0"/>
          <w:marTop w:val="0"/>
          <w:marBottom w:val="0"/>
          <w:divBdr>
            <w:top w:val="none" w:sz="0" w:space="0" w:color="auto"/>
            <w:left w:val="none" w:sz="0" w:space="0" w:color="auto"/>
            <w:bottom w:val="none" w:sz="0" w:space="0" w:color="auto"/>
            <w:right w:val="none" w:sz="0" w:space="0" w:color="auto"/>
          </w:divBdr>
          <w:divsChild>
            <w:div w:id="538977969">
              <w:marLeft w:val="0"/>
              <w:marRight w:val="0"/>
              <w:marTop w:val="0"/>
              <w:marBottom w:val="0"/>
              <w:divBdr>
                <w:top w:val="none" w:sz="0" w:space="0" w:color="auto"/>
                <w:left w:val="none" w:sz="0" w:space="0" w:color="auto"/>
                <w:bottom w:val="none" w:sz="0" w:space="0" w:color="auto"/>
                <w:right w:val="none" w:sz="0" w:space="0" w:color="auto"/>
              </w:divBdr>
              <w:divsChild>
                <w:div w:id="1477643025">
                  <w:marLeft w:val="0"/>
                  <w:marRight w:val="0"/>
                  <w:marTop w:val="0"/>
                  <w:marBottom w:val="0"/>
                  <w:divBdr>
                    <w:top w:val="none" w:sz="0" w:space="0" w:color="auto"/>
                    <w:left w:val="none" w:sz="0" w:space="0" w:color="auto"/>
                    <w:bottom w:val="none" w:sz="0" w:space="0" w:color="auto"/>
                    <w:right w:val="none" w:sz="0" w:space="0" w:color="auto"/>
                  </w:divBdr>
                  <w:divsChild>
                    <w:div w:id="1696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ls.Bilands@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B422A-6F6F-4CFC-8196-1F21034A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7740</Words>
  <Characters>4413</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2008. gada 30. jūnija noteikumos Nr. 485 „Zvērinātu notāru eksāmena un kvalifikācijas pārbaudes kārtība"" sākotnējās ietekmes novērtējuma ziņojums (anotācija)</vt:lpstr>
      <vt:lpstr>Ministru kabineta noteikumu projekta „Grozījumi Ministru kabineta 2008. gada 30. jūnija noteikumos Nr. 485 „Zvērinātu notāru eksāmena un kvalifikācijas pārbaudes kārtība”” sākotnējās ietekmes novērtējuma ziņojums (anotācija)</vt:lpstr>
    </vt:vector>
  </TitlesOfParts>
  <Company>TM</Company>
  <LinksUpToDate>false</LinksUpToDate>
  <CharactersWithSpaces>12129</CharactersWithSpaces>
  <SharedDoc>false</SharedDoc>
  <HLinks>
    <vt:vector size="12" baseType="variant">
      <vt:variant>
        <vt:i4>1310783</vt:i4>
      </vt:variant>
      <vt:variant>
        <vt:i4>3</vt:i4>
      </vt:variant>
      <vt:variant>
        <vt:i4>0</vt:i4>
      </vt:variant>
      <vt:variant>
        <vt:i4>5</vt:i4>
      </vt:variant>
      <vt:variant>
        <vt:lpwstr>mailto:eva.ceplite@tm.gov.lv</vt:lpwstr>
      </vt:variant>
      <vt:variant>
        <vt:lpwstr/>
      </vt:variant>
      <vt:variant>
        <vt:i4>1245268</vt:i4>
      </vt:variant>
      <vt:variant>
        <vt:i4>0</vt:i4>
      </vt:variant>
      <vt:variant>
        <vt:i4>0</vt:i4>
      </vt:variant>
      <vt:variant>
        <vt:i4>5</vt:i4>
      </vt:variant>
      <vt:variant>
        <vt:lpwstr>http://pro.nais.lv/naiser/text.cfm?Ref=0103012004061732769&amp;Req=0103012004061732769&amp;Key=0103011998101432785&amp;Hash=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 gada 30. jūnija noteikumos Nr. 485 „Zvērinātu notāru eksāmena un kvalifikācijas pārbaudes kārtība"" sākotnējās ietekmes novērtējuma ziņojums (anotācija)</dc:title>
  <dc:subject>Anotācija </dc:subject>
  <dc:creator>Nils Bīlands</dc:creator>
  <cp:keywords/>
  <dc:description>Sagatavotājs: N.Bīlands
Nils.Bilands@tm.gov.lv, 
tālr. 67036769, fakss 67036852 </dc:description>
  <cp:lastModifiedBy>nb1301</cp:lastModifiedBy>
  <cp:revision>4</cp:revision>
  <cp:lastPrinted>2010-11-02T06:47:00Z</cp:lastPrinted>
  <dcterms:created xsi:type="dcterms:W3CDTF">2010-11-08T09:02:00Z</dcterms:created>
  <dcterms:modified xsi:type="dcterms:W3CDTF">2010-11-10T13:15:00Z</dcterms:modified>
</cp:coreProperties>
</file>