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284" w:rsidRPr="007F5B4F" w:rsidRDefault="00850C27" w:rsidP="00D779E9">
      <w:pPr>
        <w:pStyle w:val="ParastaisWeb"/>
        <w:spacing w:before="0" w:beforeAutospacing="0" w:after="0" w:afterAutospacing="0"/>
        <w:jc w:val="center"/>
        <w:rPr>
          <w:rFonts w:ascii="Times New Roman" w:hAnsi="Times New Roman"/>
          <w:b/>
          <w:sz w:val="24"/>
          <w:szCs w:val="24"/>
          <w:lang w:val="lv-LV"/>
        </w:rPr>
      </w:pPr>
      <w:r w:rsidRPr="007F5B4F">
        <w:rPr>
          <w:rFonts w:ascii="Times New Roman" w:hAnsi="Times New Roman"/>
          <w:b/>
          <w:sz w:val="24"/>
          <w:szCs w:val="24"/>
          <w:lang w:val="lv-LV"/>
        </w:rPr>
        <w:t>Likum</w:t>
      </w:r>
      <w:r w:rsidR="000B2284" w:rsidRPr="007F5B4F">
        <w:rPr>
          <w:rFonts w:ascii="Times New Roman" w:hAnsi="Times New Roman"/>
          <w:b/>
          <w:sz w:val="24"/>
          <w:szCs w:val="24"/>
          <w:lang w:val="lv-LV"/>
        </w:rPr>
        <w:t xml:space="preserve">projekta </w:t>
      </w:r>
    </w:p>
    <w:p w:rsidR="004D6706" w:rsidRPr="007F5B4F" w:rsidRDefault="000B2284" w:rsidP="00D779E9">
      <w:pPr>
        <w:pStyle w:val="ParastaisWeb"/>
        <w:spacing w:before="0" w:beforeAutospacing="0" w:after="0" w:afterAutospacing="0"/>
        <w:jc w:val="center"/>
        <w:rPr>
          <w:rStyle w:val="Izteiksmgs"/>
          <w:rFonts w:ascii="Times New Roman" w:hAnsi="Times New Roman"/>
          <w:b w:val="0"/>
          <w:sz w:val="24"/>
          <w:szCs w:val="24"/>
          <w:lang w:val="lv-LV"/>
        </w:rPr>
      </w:pPr>
      <w:r w:rsidRPr="007F5B4F">
        <w:rPr>
          <w:rFonts w:ascii="Times New Roman" w:hAnsi="Times New Roman"/>
          <w:b/>
          <w:sz w:val="24"/>
          <w:szCs w:val="24"/>
          <w:lang w:val="lv-LV"/>
        </w:rPr>
        <w:t>„</w:t>
      </w:r>
      <w:r w:rsidR="00850C27" w:rsidRPr="007F5B4F">
        <w:rPr>
          <w:rFonts w:ascii="Times New Roman" w:hAnsi="Times New Roman"/>
          <w:b/>
          <w:sz w:val="24"/>
          <w:szCs w:val="24"/>
          <w:lang w:val="lv-LV"/>
        </w:rPr>
        <w:t xml:space="preserve">Grozījumi </w:t>
      </w:r>
      <w:r w:rsidR="006D4D97" w:rsidRPr="007F5B4F">
        <w:rPr>
          <w:rFonts w:ascii="Times New Roman" w:hAnsi="Times New Roman"/>
          <w:b/>
          <w:sz w:val="24"/>
          <w:szCs w:val="24"/>
          <w:lang w:val="lv-LV"/>
        </w:rPr>
        <w:t>Krimināl</w:t>
      </w:r>
      <w:r w:rsidR="00850C27" w:rsidRPr="007F5B4F">
        <w:rPr>
          <w:rFonts w:ascii="Times New Roman" w:hAnsi="Times New Roman"/>
          <w:b/>
          <w:sz w:val="24"/>
          <w:szCs w:val="24"/>
          <w:lang w:val="lv-LV"/>
        </w:rPr>
        <w:t>likumā</w:t>
      </w:r>
      <w:r w:rsidRPr="007F5B4F">
        <w:rPr>
          <w:rFonts w:ascii="Times New Roman" w:hAnsi="Times New Roman"/>
          <w:b/>
          <w:color w:val="000000"/>
          <w:sz w:val="24"/>
          <w:szCs w:val="24"/>
          <w:lang w:val="lv-LV"/>
        </w:rPr>
        <w:t>”</w:t>
      </w:r>
      <w:r w:rsidRPr="007F5B4F">
        <w:rPr>
          <w:rStyle w:val="Izteiksmgs"/>
          <w:rFonts w:ascii="Times New Roman" w:hAnsi="Times New Roman"/>
          <w:b w:val="0"/>
          <w:sz w:val="24"/>
          <w:szCs w:val="24"/>
          <w:lang w:val="lv-LV"/>
        </w:rPr>
        <w:t xml:space="preserve"> </w:t>
      </w:r>
    </w:p>
    <w:p w:rsidR="00CF2F05" w:rsidRPr="007F5B4F" w:rsidRDefault="00A12DF0" w:rsidP="004D6706">
      <w:pPr>
        <w:pStyle w:val="ParastaisWeb"/>
        <w:spacing w:before="0" w:beforeAutospacing="0" w:after="0" w:afterAutospacing="0"/>
        <w:jc w:val="center"/>
        <w:rPr>
          <w:rFonts w:ascii="Times New Roman" w:hAnsi="Times New Roman"/>
          <w:b/>
          <w:bCs/>
          <w:sz w:val="24"/>
          <w:szCs w:val="24"/>
          <w:lang w:val="lv-LV" w:eastAsia="lv-LV"/>
        </w:rPr>
      </w:pPr>
      <w:r w:rsidRPr="007F5B4F">
        <w:rPr>
          <w:rFonts w:ascii="Times New Roman" w:hAnsi="Times New Roman"/>
          <w:b/>
          <w:bCs/>
          <w:sz w:val="24"/>
          <w:szCs w:val="24"/>
          <w:lang w:val="lv-LV" w:eastAsia="lv-LV"/>
        </w:rPr>
        <w:t xml:space="preserve">sākotnējās ietekmes novērtējuma </w:t>
      </w:r>
      <w:smartTag w:uri="schemas-tilde-lv/tildestengine" w:element="veidnes">
        <w:smartTagPr>
          <w:attr w:name="text" w:val="ziņojums"/>
          <w:attr w:name="baseform" w:val="ziņojums"/>
          <w:attr w:name="id" w:val="-1"/>
        </w:smartTagPr>
        <w:r w:rsidRPr="007F5B4F">
          <w:rPr>
            <w:rFonts w:ascii="Times New Roman" w:hAnsi="Times New Roman"/>
            <w:b/>
            <w:bCs/>
            <w:sz w:val="24"/>
            <w:szCs w:val="24"/>
            <w:lang w:val="lv-LV" w:eastAsia="lv-LV"/>
          </w:rPr>
          <w:t>ziņojums</w:t>
        </w:r>
      </w:smartTag>
      <w:r w:rsidRPr="007F5B4F">
        <w:rPr>
          <w:rFonts w:ascii="Times New Roman" w:hAnsi="Times New Roman"/>
          <w:b/>
          <w:bCs/>
          <w:sz w:val="24"/>
          <w:szCs w:val="24"/>
          <w:lang w:val="lv-LV" w:eastAsia="lv-LV"/>
        </w:rPr>
        <w:t xml:space="preserve"> (anotācija)</w:t>
      </w:r>
    </w:p>
    <w:p w:rsidR="004D6706" w:rsidRPr="007F5B4F" w:rsidRDefault="004D6706" w:rsidP="004D6706">
      <w:pPr>
        <w:pStyle w:val="ParastaisWeb"/>
        <w:spacing w:before="0" w:beforeAutospacing="0" w:after="0" w:afterAutospacing="0"/>
        <w:jc w:val="center"/>
        <w:rPr>
          <w:rFonts w:ascii="Times New Roman" w:hAnsi="Times New Roman"/>
          <w:bCs/>
          <w:sz w:val="24"/>
          <w:szCs w:val="24"/>
          <w:lang w:val="lv-LV"/>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
        <w:gridCol w:w="2415"/>
        <w:gridCol w:w="6379"/>
      </w:tblGrid>
      <w:tr w:rsidR="00D1739C" w:rsidRPr="00A65F4C" w:rsidTr="00A65F4C">
        <w:tc>
          <w:tcPr>
            <w:tcW w:w="9322" w:type="dxa"/>
            <w:gridSpan w:val="3"/>
          </w:tcPr>
          <w:p w:rsidR="00D1739C" w:rsidRPr="00A65F4C" w:rsidRDefault="00D1739C" w:rsidP="00A65F4C">
            <w:pPr>
              <w:spacing w:before="75" w:after="75" w:line="240" w:lineRule="auto"/>
              <w:jc w:val="center"/>
              <w:rPr>
                <w:rFonts w:ascii="Times New Roman" w:eastAsia="Times New Roman" w:hAnsi="Times New Roman"/>
                <w:sz w:val="24"/>
                <w:szCs w:val="24"/>
                <w:lang w:eastAsia="lv-LV"/>
              </w:rPr>
            </w:pPr>
            <w:r w:rsidRPr="00A65F4C">
              <w:rPr>
                <w:rFonts w:ascii="Times New Roman" w:eastAsia="Times New Roman" w:hAnsi="Times New Roman"/>
                <w:b/>
                <w:bCs/>
                <w:sz w:val="24"/>
                <w:szCs w:val="24"/>
                <w:lang w:eastAsia="lv-LV"/>
              </w:rPr>
              <w:t> I. Tiesību akta projekta izstrādes nepieciešamība</w:t>
            </w:r>
          </w:p>
        </w:tc>
      </w:tr>
      <w:tr w:rsidR="00190788" w:rsidRPr="00A65F4C" w:rsidTr="00A65F4C">
        <w:trPr>
          <w:trHeight w:val="1969"/>
        </w:trPr>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1.</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Pamatojums</w:t>
            </w:r>
          </w:p>
        </w:tc>
        <w:tc>
          <w:tcPr>
            <w:tcW w:w="6379" w:type="dxa"/>
          </w:tcPr>
          <w:p w:rsidR="002755B7" w:rsidRDefault="00CC26B5" w:rsidP="00A65F4C">
            <w:pPr>
              <w:pStyle w:val="ParastaisWeb"/>
              <w:spacing w:before="0" w:beforeAutospacing="0" w:after="0" w:afterAutospacing="0"/>
              <w:ind w:firstLine="566"/>
              <w:jc w:val="both"/>
              <w:rPr>
                <w:rFonts w:ascii="Times New Roman" w:hAnsi="Times New Roman"/>
                <w:sz w:val="24"/>
                <w:szCs w:val="24"/>
                <w:lang w:val="lv-LV"/>
              </w:rPr>
            </w:pPr>
            <w:r w:rsidRPr="00A65F4C">
              <w:rPr>
                <w:rFonts w:ascii="Times New Roman" w:hAnsi="Times New Roman"/>
                <w:sz w:val="24"/>
                <w:szCs w:val="24"/>
                <w:lang w:val="lv-LV"/>
              </w:rPr>
              <w:t xml:space="preserve">Likumprojekts „Grozījumi </w:t>
            </w:r>
            <w:r w:rsidR="009F2D63" w:rsidRPr="00A65F4C">
              <w:rPr>
                <w:rFonts w:ascii="Times New Roman" w:hAnsi="Times New Roman"/>
                <w:sz w:val="24"/>
                <w:szCs w:val="24"/>
                <w:lang w:val="lv-LV"/>
              </w:rPr>
              <w:t>Krimināl</w:t>
            </w:r>
            <w:r w:rsidRPr="00A65F4C">
              <w:rPr>
                <w:rFonts w:ascii="Times New Roman" w:hAnsi="Times New Roman"/>
                <w:sz w:val="24"/>
                <w:szCs w:val="24"/>
                <w:lang w:val="lv-LV"/>
              </w:rPr>
              <w:t>likumā</w:t>
            </w:r>
            <w:r w:rsidRPr="00A65F4C">
              <w:rPr>
                <w:rFonts w:ascii="Times New Roman" w:hAnsi="Times New Roman"/>
                <w:color w:val="000000"/>
                <w:sz w:val="24"/>
                <w:szCs w:val="24"/>
                <w:lang w:val="lv-LV"/>
              </w:rPr>
              <w:t xml:space="preserve">” (turpmāk – likumprojekts) izstrādāts, lai nodrošinātu </w:t>
            </w:r>
            <w:r w:rsidR="009F2D63" w:rsidRPr="00A65F4C">
              <w:rPr>
                <w:rFonts w:ascii="Times New Roman" w:hAnsi="Times New Roman"/>
                <w:sz w:val="24"/>
                <w:szCs w:val="24"/>
                <w:lang w:val="lv-LV"/>
              </w:rPr>
              <w:t xml:space="preserve">ar Ministru kabineta 2009.gada 9.janvāra rīkojumu Nr.6 (prot. Nr. 1, 32.§) apstiprinātās Kriminālsodu politika koncepcijas (turpmāk – koncepcija) kopsavilkuma 2.sadaļā ietvertā risinājuma par </w:t>
            </w:r>
            <w:r w:rsidR="0012480A" w:rsidRPr="00A65F4C">
              <w:rPr>
                <w:rFonts w:ascii="Times New Roman" w:hAnsi="Times New Roman"/>
                <w:sz w:val="24"/>
                <w:szCs w:val="24"/>
                <w:lang w:val="lv-LV"/>
              </w:rPr>
              <w:t>kriminālsoda</w:t>
            </w:r>
            <w:r w:rsidR="009F2D63" w:rsidRPr="00A65F4C">
              <w:rPr>
                <w:rFonts w:ascii="Times New Roman" w:hAnsi="Times New Roman"/>
                <w:sz w:val="24"/>
                <w:szCs w:val="24"/>
                <w:lang w:val="lv-LV"/>
              </w:rPr>
              <w:t xml:space="preserve"> – policijas kontrole – aizstāšanu ar jaunu kriminālsodu – probācijas uzraudzība </w:t>
            </w:r>
            <w:r w:rsidR="0004249B" w:rsidRPr="00A65F4C">
              <w:rPr>
                <w:rFonts w:ascii="Times New Roman" w:hAnsi="Times New Roman"/>
                <w:sz w:val="24"/>
                <w:szCs w:val="24"/>
                <w:lang w:val="lv-LV"/>
              </w:rPr>
              <w:t>–</w:t>
            </w:r>
            <w:r w:rsidR="00DA1012">
              <w:rPr>
                <w:rFonts w:ascii="Times New Roman" w:hAnsi="Times New Roman"/>
                <w:sz w:val="24"/>
                <w:szCs w:val="24"/>
                <w:lang w:val="lv-LV"/>
              </w:rPr>
              <w:t xml:space="preserve"> </w:t>
            </w:r>
            <w:r w:rsidR="009F2D63" w:rsidRPr="00A65F4C">
              <w:rPr>
                <w:rFonts w:ascii="Times New Roman" w:hAnsi="Times New Roman"/>
                <w:sz w:val="24"/>
                <w:szCs w:val="24"/>
                <w:lang w:val="lv-LV"/>
              </w:rPr>
              <w:t>izpildi</w:t>
            </w:r>
            <w:r w:rsidR="001D3187" w:rsidRPr="00A65F4C">
              <w:rPr>
                <w:rFonts w:ascii="Times New Roman" w:hAnsi="Times New Roman"/>
                <w:sz w:val="24"/>
                <w:szCs w:val="24"/>
                <w:lang w:val="lv-LV"/>
              </w:rPr>
              <w:t>.</w:t>
            </w:r>
            <w:r w:rsidR="002755B7">
              <w:rPr>
                <w:rFonts w:ascii="Times New Roman" w:hAnsi="Times New Roman"/>
                <w:sz w:val="24"/>
                <w:szCs w:val="24"/>
                <w:lang w:val="lv-LV"/>
              </w:rPr>
              <w:t xml:space="preserve"> </w:t>
            </w:r>
          </w:p>
          <w:p w:rsidR="00AF70DF" w:rsidRPr="002755B7" w:rsidRDefault="002755B7" w:rsidP="002755B7">
            <w:pPr>
              <w:pStyle w:val="ParastaisWeb"/>
              <w:spacing w:before="0" w:beforeAutospacing="0" w:after="0" w:afterAutospacing="0"/>
              <w:ind w:firstLine="566"/>
              <w:jc w:val="both"/>
              <w:rPr>
                <w:rFonts w:ascii="Times New Roman" w:hAnsi="Times New Roman"/>
                <w:sz w:val="24"/>
                <w:szCs w:val="24"/>
                <w:lang w:val="lv-LV"/>
              </w:rPr>
            </w:pPr>
            <w:r>
              <w:rPr>
                <w:rFonts w:ascii="Times New Roman" w:hAnsi="Times New Roman"/>
                <w:sz w:val="24"/>
                <w:szCs w:val="24"/>
                <w:lang w:val="lv-LV"/>
              </w:rPr>
              <w:t>Deklarācijas par Valda Dombrovska vadītā Ministru kabineta iecerēto darbību 5.2.punkts.</w:t>
            </w:r>
          </w:p>
        </w:tc>
      </w:tr>
      <w:tr w:rsidR="00190788" w:rsidRPr="00A65F4C" w:rsidTr="00C33852">
        <w:trPr>
          <w:trHeight w:val="274"/>
        </w:trPr>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2.</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Pašreizējā situācija un problēmas</w:t>
            </w:r>
          </w:p>
        </w:tc>
        <w:tc>
          <w:tcPr>
            <w:tcW w:w="6379" w:type="dxa"/>
          </w:tcPr>
          <w:p w:rsidR="00DB1AE0" w:rsidRPr="00A65F4C" w:rsidRDefault="00DB1AE0" w:rsidP="00A65F4C">
            <w:pPr>
              <w:spacing w:after="120" w:line="240" w:lineRule="auto"/>
              <w:ind w:firstLine="552"/>
              <w:jc w:val="both"/>
              <w:rPr>
                <w:rFonts w:ascii="Times New Roman" w:hAnsi="Times New Roman"/>
                <w:sz w:val="24"/>
                <w:szCs w:val="24"/>
              </w:rPr>
            </w:pPr>
            <w:r w:rsidRPr="00A65F4C">
              <w:rPr>
                <w:rFonts w:ascii="Times New Roman" w:hAnsi="Times New Roman"/>
                <w:color w:val="000000"/>
                <w:sz w:val="24"/>
                <w:szCs w:val="24"/>
              </w:rPr>
              <w:t xml:space="preserve">Koncepcijas sadaļā </w:t>
            </w:r>
            <w:r w:rsidRPr="00A65F4C">
              <w:rPr>
                <w:rFonts w:ascii="Times New Roman" w:hAnsi="Times New Roman"/>
                <w:sz w:val="24"/>
                <w:szCs w:val="24"/>
              </w:rPr>
              <w:t xml:space="preserve">1.1. „Kriminālsodi” </w:t>
            </w:r>
            <w:r w:rsidRPr="00A65F4C">
              <w:rPr>
                <w:rFonts w:ascii="Times New Roman" w:hAnsi="Times New Roman"/>
                <w:color w:val="000000"/>
                <w:sz w:val="24"/>
                <w:szCs w:val="24"/>
              </w:rPr>
              <w:t>secināts, ka</w:t>
            </w:r>
            <w:r w:rsidRPr="00A65F4C">
              <w:rPr>
                <w:rFonts w:ascii="Times New Roman" w:hAnsi="Times New Roman"/>
                <w:sz w:val="24"/>
                <w:szCs w:val="24"/>
              </w:rPr>
              <w:t xml:space="preserve"> policijas kontrolei ir svarīga nozīme speciālās noziedzīgu nodarījumu prevencijas nodrošināšanā. Šā soda piemērošana sekmē personas reintegrāciju sabiedrībā un garantē, ka intensīva personas uzvedības uzraudzība, kas tika īstenota brīvības atņemšanas vietā, pilnīgi neizbeigsies tajā dienā, kad personu atbrīvos no cietuma.</w:t>
            </w:r>
          </w:p>
          <w:p w:rsidR="00E92797" w:rsidRDefault="00DB1AE0" w:rsidP="00E92797">
            <w:pPr>
              <w:spacing w:after="120" w:line="240" w:lineRule="auto"/>
              <w:ind w:firstLine="552"/>
              <w:jc w:val="both"/>
              <w:rPr>
                <w:rFonts w:ascii="Times New Roman" w:hAnsi="Times New Roman"/>
                <w:sz w:val="24"/>
                <w:szCs w:val="24"/>
              </w:rPr>
            </w:pPr>
            <w:r w:rsidRPr="00A65F4C">
              <w:rPr>
                <w:rFonts w:ascii="Times New Roman" w:hAnsi="Times New Roman"/>
                <w:sz w:val="24"/>
                <w:szCs w:val="24"/>
              </w:rPr>
              <w:t>Vienlaikus koncepcijā secināts, ka policijas kontroles izpilde īsti neatbilst Valsts policijas uzdevumiem. Sabiedriskās drošības labā policijai jāveic profilakses darbs, tomēr uzraudzība pār cilvēkiem, kuri izcietuši brīvības atņemšanas sodu, lielākā mērā atbilst nevis Valsts policijas, bet gan Valsts probācijas dienesta (turpmāk – VPD) kompetencei. Pēc VPD izveidošanas tas pārņēma un sekmīgi nodrošina nosacīti notiesāto personu, pirms termiņa nosacīti atbrīvoto personu, kā arī personu, kuras izcieš piespiedu darbu, uzraudzību. Arī par tāda soda izpildi, ko piemēro, lai uzraudzītu no brīvības atņemšanas vietām atbrīvoto personu uzvedību, būtu jāatbild VPD. Tas ļautu atbrīvot Valsts policiju no kriminālsoda izpildes funkciju veikšanas (1), nodot kriminālsoda izpildes funkcijas VPD (2), efektīvāk izmantot VPD kapacitāti, metodes un pieredzi darbā ar sodītām personām (3), sekmēt šā soda transformāciju no „kontroles pār ierobežojumu ievērošanu” uz „personas uzvedības uzraudzību un palīdzības sniegšanu” (4).</w:t>
            </w:r>
          </w:p>
          <w:p w:rsidR="00DB1AE0" w:rsidRPr="00E92797" w:rsidRDefault="00E92797" w:rsidP="00E92797">
            <w:pPr>
              <w:spacing w:after="120" w:line="240" w:lineRule="auto"/>
              <w:ind w:firstLine="552"/>
              <w:jc w:val="both"/>
              <w:rPr>
                <w:rFonts w:ascii="Times New Roman" w:hAnsi="Times New Roman"/>
                <w:sz w:val="24"/>
                <w:szCs w:val="24"/>
              </w:rPr>
            </w:pPr>
            <w:r w:rsidRPr="00E92797">
              <w:rPr>
                <w:rFonts w:ascii="Times New Roman" w:hAnsi="Times New Roman"/>
                <w:sz w:val="24"/>
                <w:szCs w:val="24"/>
              </w:rPr>
              <w:t>Koncepcija paredz izslēgt no kriminālsodu sistēmas kriminālsodu – policijas kontrole, aizstājot to ar jaunu kriminālsodu – probācijas uzraudzība</w:t>
            </w:r>
            <w:r w:rsidR="00D02BAE">
              <w:rPr>
                <w:rFonts w:ascii="Times New Roman" w:hAnsi="Times New Roman"/>
                <w:sz w:val="24"/>
                <w:szCs w:val="24"/>
              </w:rPr>
              <w:t>.</w:t>
            </w:r>
            <w:r w:rsidRPr="00E92797">
              <w:rPr>
                <w:rFonts w:ascii="Times New Roman" w:hAnsi="Times New Roman"/>
                <w:sz w:val="24"/>
                <w:szCs w:val="24"/>
              </w:rPr>
              <w:t xml:space="preserve"> Ievērojot to, ka probācijas uzraudzības kā jauna kriminālsoda ieviešanai būs nepieciešams pārejas periods, koncepcija paredz, ka policijas kontroles aizstāšana ar probācijas uzraudzību var notikt ne agrāk kā 2015.gadā. </w:t>
            </w:r>
          </w:p>
          <w:p w:rsidR="001944EC" w:rsidRDefault="004F7276" w:rsidP="00A65F4C">
            <w:pPr>
              <w:pStyle w:val="naisf"/>
              <w:spacing w:before="0" w:beforeAutospacing="0" w:after="0" w:afterAutospacing="0"/>
              <w:ind w:firstLine="720"/>
              <w:jc w:val="both"/>
            </w:pPr>
            <w:r w:rsidRPr="007F5B4F">
              <w:t xml:space="preserve">Vienlaikus 2009.gada jūlijā VPD uzsāka Norvēģijas valdības divpusējā finanšu instrumenta līdzfinansētā projekta LV0068 ,,Par dzimumnoziegumiem notiesāto personu </w:t>
            </w:r>
            <w:r w:rsidRPr="007F5B4F">
              <w:lastRenderedPageBreak/>
              <w:t>uzvedības korekcijas sistēmas attīstīšana Latvijā”</w:t>
            </w:r>
            <w:r w:rsidRPr="00A65F4C">
              <w:rPr>
                <w:b/>
              </w:rPr>
              <w:t xml:space="preserve"> </w:t>
            </w:r>
            <w:r w:rsidRPr="007F5B4F">
              <w:t>(turpmāk – Projekts)</w:t>
            </w:r>
            <w:r w:rsidRPr="00A65F4C">
              <w:rPr>
                <w:b/>
              </w:rPr>
              <w:t xml:space="preserve"> </w:t>
            </w:r>
            <w:r w:rsidRPr="007F5B4F">
              <w:t xml:space="preserve">īstenošanu. </w:t>
            </w:r>
            <w:r w:rsidRPr="00A65F4C">
              <w:rPr>
                <w:u w:val="single"/>
              </w:rPr>
              <w:t>Projektu īstenošanu paredzēts pabeigt 2011.gada aprīlī</w:t>
            </w:r>
            <w:r w:rsidRPr="007F5B4F">
              <w:t>. Projekta ietvaros</w:t>
            </w:r>
            <w:r w:rsidRPr="00B51DED">
              <w:t xml:space="preserve"> </w:t>
            </w:r>
            <w:r w:rsidR="00A36C5F">
              <w:t xml:space="preserve">tiek </w:t>
            </w:r>
            <w:r w:rsidRPr="007F5B4F">
              <w:t xml:space="preserve">veikta 60 VPD darbinieku apmācība par speciāli dzimumnoziedzniekiem domātā recidīva novērtēšanas instrumenta izmantošanu un tam sekojoša 16 darbinieku (no minētajiem 60) apmācība darbam ar specializētu terapeitisku programmu darbam ar dzimumnoziedzniekiem, </w:t>
            </w:r>
            <w:r w:rsidRPr="0019033D">
              <w:t>kuri atrodas sabiedrībā</w:t>
            </w:r>
            <w:r w:rsidRPr="007F5B4F">
              <w:t xml:space="preserve">. Rezultātā </w:t>
            </w:r>
            <w:r w:rsidRPr="00A65F4C">
              <w:rPr>
                <w:u w:val="single"/>
              </w:rPr>
              <w:t>VPD ir speciāli apmācīti darbinieki, bet VPD nav pieejas klientiem, kuriem būtu piemērojamas VPD programmas</w:t>
            </w:r>
            <w:r w:rsidRPr="007F5B4F">
              <w:t xml:space="preserve"> līdz 2015.gadam, kad saskaņā ar koncepciju ir paredzēta </w:t>
            </w:r>
            <w:r w:rsidR="0012480A">
              <w:t>kriminālsoda</w:t>
            </w:r>
            <w:r w:rsidR="0012480A" w:rsidRPr="007F5B4F">
              <w:t xml:space="preserve"> </w:t>
            </w:r>
            <w:r w:rsidRPr="007F5B4F">
              <w:t xml:space="preserve">– policijas kontrole – aizstāšana ar jaunu kriminālsodu – probācijas uzraudzība. </w:t>
            </w:r>
          </w:p>
          <w:p w:rsidR="009B04E3" w:rsidRDefault="004F7276" w:rsidP="001944EC">
            <w:pPr>
              <w:pStyle w:val="naisf"/>
              <w:spacing w:before="0" w:beforeAutospacing="0" w:after="0" w:afterAutospacing="0"/>
              <w:ind w:firstLine="720"/>
              <w:jc w:val="both"/>
            </w:pPr>
            <w:r w:rsidRPr="007F5B4F">
              <w:t xml:space="preserve">Bez tam </w:t>
            </w:r>
            <w:r w:rsidR="009B04E3" w:rsidRPr="007F5B4F">
              <w:t>attiecībā pret dzim</w:t>
            </w:r>
            <w:r w:rsidR="00DA1012">
              <w:t>u</w:t>
            </w:r>
            <w:r w:rsidR="009B04E3" w:rsidRPr="007F5B4F">
              <w:t xml:space="preserve">mnoziedzniekiem, kas var tikt atbrīvotas pirms termiņa, arī nevar realizēt probācijas programmas, ievērojot budžeta taupības nolūkos </w:t>
            </w:r>
            <w:r w:rsidR="009B04E3">
              <w:t>KL</w:t>
            </w:r>
            <w:r w:rsidR="009B04E3" w:rsidRPr="007F5B4F">
              <w:t xml:space="preserve"> Pārejas noteikumu 6.punktā n</w:t>
            </w:r>
            <w:r w:rsidR="009B04E3">
              <w:t>o</w:t>
            </w:r>
            <w:r w:rsidR="00D02BAE">
              <w:t xml:space="preserve">teikto, ka </w:t>
            </w:r>
            <w:r w:rsidR="009B04E3" w:rsidRPr="007F5B4F">
              <w:t xml:space="preserve">grozījums </w:t>
            </w:r>
            <w:r w:rsidR="009B04E3">
              <w:t>KL</w:t>
            </w:r>
            <w:r w:rsidR="009B04E3" w:rsidRPr="007F5B4F">
              <w:t xml:space="preserve"> 61.panta ceturtajā daļā par obligāto pienākumu piedalīties probācijas programmās stājas spēkā 2013.gada 1.janvārī.</w:t>
            </w:r>
            <w:r w:rsidR="009B04E3">
              <w:t xml:space="preserve"> Ievērojot minēto, attiecībā uz dzimumnoziedzniekiem KL Pārejas noteikumu </w:t>
            </w:r>
            <w:r w:rsidR="009B04E3" w:rsidRPr="007F5B4F">
              <w:t>6.punktā</w:t>
            </w:r>
            <w:r w:rsidR="009B04E3">
              <w:t xml:space="preserve"> nepieciešams noteikt izņēmumu, lai dzimumnoziedzniekus būtu iespējams iesaistīt probācijas programm</w:t>
            </w:r>
            <w:r w:rsidR="00DA1012">
              <w:t>ā</w:t>
            </w:r>
            <w:r w:rsidR="009B04E3">
              <w:t>s sākot jau ar 2011.gada 1.jūliju.</w:t>
            </w:r>
          </w:p>
          <w:p w:rsidR="008D02DB" w:rsidRDefault="009B04E3" w:rsidP="00FA2FA7">
            <w:pPr>
              <w:pStyle w:val="naisf"/>
              <w:spacing w:before="0" w:beforeAutospacing="0" w:after="0" w:afterAutospacing="0"/>
              <w:ind w:firstLine="720"/>
              <w:jc w:val="both"/>
            </w:pPr>
            <w:r>
              <w:t xml:space="preserve">Rūpējoties par nepilngadīgo aizsardzību pret dzimumnoziedzniekiem, </w:t>
            </w:r>
            <w:r w:rsidRPr="007F5B4F">
              <w:t>2008.gad</w:t>
            </w:r>
            <w:r>
              <w:t>ā tika izdarīti</w:t>
            </w:r>
            <w:r w:rsidRPr="007F5B4F">
              <w:t xml:space="preserve"> grozījumi</w:t>
            </w:r>
            <w:r>
              <w:t xml:space="preserve"> KL 61.pantā, papildinot to ar sesto daļu,</w:t>
            </w:r>
            <w:r w:rsidRPr="007F5B4F">
              <w:t xml:space="preserve"> kas nosaka, ka par dzimumnoziegumiem notiesātās personas pirmstermiņa no soda neatbrīvo, ja tās noziegumu izdarījušas pret nepilngadīgo.</w:t>
            </w:r>
            <w:r>
              <w:t xml:space="preserve"> Šāds grozījums bija aktuāls un pamatots laikā, kad dzimu</w:t>
            </w:r>
            <w:r w:rsidR="00DA1012">
              <w:t>m</w:t>
            </w:r>
            <w:r>
              <w:t>noziedzniekus nebija iespējams pakļaut probācijas programmām, un kad VPD ne</w:t>
            </w:r>
            <w:r w:rsidR="00DD40AD">
              <w:t>b</w:t>
            </w:r>
            <w:r>
              <w:t>ija apmācītu speciālistu darbam ar šādiem noziedzniekiem.</w:t>
            </w:r>
            <w:r w:rsidR="00DD40AD">
              <w:t xml:space="preserve"> Pašlaik situācija ir mainījusies, jo VPD ir apmācīti speciālisti, un ir izstrādātas speciālas probācijas programmas </w:t>
            </w:r>
            <w:r w:rsidR="00FA2FA7">
              <w:t xml:space="preserve">darbam ar </w:t>
            </w:r>
            <w:r w:rsidR="00DD40AD">
              <w:t>dzimumnoziedzniekiem</w:t>
            </w:r>
            <w:r w:rsidR="004F7276" w:rsidRPr="007F5B4F">
              <w:t xml:space="preserve">. </w:t>
            </w:r>
            <w:r w:rsidR="00DD40AD">
              <w:t>Ja dzimumnoziedzniekam netiek dota iespēja atbrīvoties no soda izciešanas pirms termiņa, tad tam nav motivācijas iesaistīties probācijas programmās. Rezultātā, pēc pilna soda termiņa izciešanas, dzimumnoziedznieks var turpināt apdraudēt sabiedrības drošību, jo neveicot ar to resocializācijas darbu,  tam netiek mainīta uz atkārtotu noziegumu izdarīšanu tendētā domāšana un uzvedība</w:t>
            </w:r>
            <w:r w:rsidR="00FA2FA7">
              <w:t>. Lai novērstu minētos riskus un pakļautu dzimumnoziedzniekus probācijas programmām, no KL 61.panta nepieciešams izslēgt sesto daļu.</w:t>
            </w:r>
          </w:p>
          <w:p w:rsidR="00C33852" w:rsidRPr="007F5B4F" w:rsidRDefault="00C33852" w:rsidP="00C33852">
            <w:pPr>
              <w:pStyle w:val="naiskr"/>
              <w:spacing w:before="0" w:after="0"/>
              <w:ind w:firstLine="669"/>
              <w:jc w:val="both"/>
            </w:pPr>
            <w:r>
              <w:t>I</w:t>
            </w:r>
            <w:r w:rsidRPr="007F5B4F">
              <w:t>etverot papildsodu – probācijas uzraudzība</w:t>
            </w:r>
            <w:r>
              <w:t xml:space="preserve"> KL</w:t>
            </w:r>
            <w:r w:rsidRPr="007F5B4F">
              <w:t xml:space="preserve"> Sevišķās daļas pant</w:t>
            </w:r>
            <w:r>
              <w:t>u</w:t>
            </w:r>
            <w:r w:rsidRPr="007F5B4F">
              <w:t xml:space="preserve"> sankcij</w:t>
            </w:r>
            <w:r>
              <w:t>ās</w:t>
            </w:r>
            <w:r w:rsidRPr="007F5B4F">
              <w:t xml:space="preserve">, </w:t>
            </w:r>
            <w:r>
              <w:t xml:space="preserve"> </w:t>
            </w:r>
            <w:r w:rsidRPr="007F5B4F">
              <w:t>kur</w:t>
            </w:r>
            <w:r>
              <w:t>ās</w:t>
            </w:r>
            <w:r w:rsidRPr="007F5B4F">
              <w:t xml:space="preserve"> paredzēta kriminālatbildība par noziedzīgiem nodarījumiem, kas vērsti pret dzimumneaizskaramību un tikumību, atbilstoši koncepcijā paredzētajiem risinājumiem</w:t>
            </w:r>
            <w:r>
              <w:t xml:space="preserve">, nepieciešams nodrošināt to, ka sankcijas atbildīs </w:t>
            </w:r>
            <w:r w:rsidRPr="00225AF9">
              <w:t xml:space="preserve">noziedzīgo nodarījumu kaitīgumam, </w:t>
            </w:r>
            <w:r w:rsidRPr="00225AF9">
              <w:lastRenderedPageBreak/>
              <w:t>vienlaikus nodrošinot tiesai plašas izvēles iespējas, izvēloties piemērojamo soda veidu un apmēru.</w:t>
            </w:r>
            <w:r w:rsidRPr="00E20C00">
              <w:rPr>
                <w:b/>
              </w:rPr>
              <w:t xml:space="preserve"> </w:t>
            </w:r>
          </w:p>
        </w:tc>
      </w:tr>
      <w:tr w:rsidR="00190788" w:rsidRPr="00A65F4C" w:rsidTr="00A65F4C">
        <w:trPr>
          <w:trHeight w:val="694"/>
        </w:trPr>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lastRenderedPageBreak/>
              <w:t> 3.</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Saistītie politikas ietekmes novērtējumi un pētījumi</w:t>
            </w:r>
          </w:p>
        </w:tc>
        <w:tc>
          <w:tcPr>
            <w:tcW w:w="6379" w:type="dxa"/>
          </w:tcPr>
          <w:p w:rsidR="00D1739C" w:rsidRPr="00A65F4C" w:rsidRDefault="00190788" w:rsidP="00A65F4C">
            <w:pPr>
              <w:spacing w:before="75" w:after="75" w:line="240" w:lineRule="auto"/>
              <w:ind w:firstLine="552"/>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190788" w:rsidRPr="00A65F4C" w:rsidTr="00A65F4C">
        <w:trPr>
          <w:trHeight w:val="384"/>
        </w:trPr>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4.</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Tiesiskā regulējuma mērķis un būtība</w:t>
            </w:r>
          </w:p>
        </w:tc>
        <w:tc>
          <w:tcPr>
            <w:tcW w:w="6379" w:type="dxa"/>
          </w:tcPr>
          <w:p w:rsidR="00E92797" w:rsidRDefault="00416D64" w:rsidP="00416D64">
            <w:pPr>
              <w:pStyle w:val="Pamattekstsaratkpi"/>
            </w:pPr>
            <w:r w:rsidRPr="00A65F4C">
              <w:rPr>
                <w:u w:val="single"/>
              </w:rPr>
              <w:t xml:space="preserve">Lai nodrošinātu plašākas iespējas individualizēt piemērojamo krimināltiesisko represiju, efektīvāk ietekmēt sodītās personas un atturētu viņas no jaunu noziedzīgu nodarījumu izdarīšanas, </w:t>
            </w:r>
            <w:r>
              <w:rPr>
                <w:u w:val="single"/>
              </w:rPr>
              <w:t>likumprojekts</w:t>
            </w:r>
            <w:r w:rsidRPr="00A65F4C">
              <w:rPr>
                <w:u w:val="single"/>
              </w:rPr>
              <w:t xml:space="preserve"> paredz izslēgt no kriminālsodu sistēmas kriminālsodu – policijas kontrole, aizstājot to ar jaunu kriminālsodu – probācijas uzraudzība</w:t>
            </w:r>
            <w:r w:rsidRPr="007F5B4F">
              <w:t>.</w:t>
            </w:r>
          </w:p>
          <w:p w:rsidR="00416D64" w:rsidRPr="007F5B4F" w:rsidRDefault="009273E4" w:rsidP="00416D64">
            <w:pPr>
              <w:pStyle w:val="Pamattekstsaratkpi"/>
            </w:pPr>
            <w:r>
              <w:t xml:space="preserve">Likumprojekts paredz, ka </w:t>
            </w:r>
            <w:r w:rsidRPr="007F5B4F">
              <w:t xml:space="preserve">papildsods - probācijas uzraudzība </w:t>
            </w:r>
            <w:r w:rsidR="00DA1012">
              <w:t xml:space="preserve">- </w:t>
            </w:r>
            <w:r w:rsidRPr="007F5B4F">
              <w:t xml:space="preserve">nosakāms uz laiku no </w:t>
            </w:r>
            <w:r>
              <w:t xml:space="preserve">viena </w:t>
            </w:r>
            <w:r w:rsidRPr="007F5B4F">
              <w:t>līdz trīs gadiem</w:t>
            </w:r>
            <w:r>
              <w:t xml:space="preserve"> personām, kuras sodītas ar jebkādu KL paredzēto pamatsodu, lai gan sākotnēji</w:t>
            </w:r>
            <w:r w:rsidRPr="007F5B4F">
              <w:t xml:space="preserve"> </w:t>
            </w:r>
            <w:r>
              <w:t>k</w:t>
            </w:r>
            <w:r w:rsidR="00416D64" w:rsidRPr="007F5B4F">
              <w:t xml:space="preserve">oncepcija </w:t>
            </w:r>
            <w:r>
              <w:t>paredzēja</w:t>
            </w:r>
            <w:r w:rsidR="00416D64" w:rsidRPr="007F5B4F">
              <w:t xml:space="preserve">, ka papildsods - probācijas uzraudzība būtu nosakāms uz laiku no sešiem mēnešiem līdz trīs gadiem tām personām, kuras sodītas ar arestu vai brīvības atņemšanu. Likumprojekta izstrādes darba grupa secināja, ka probācijas uzraudzības noteikšana sākot no sešiem mēnešiem nebūs efektīga. Tik īsā laika periodā nav iespējams </w:t>
            </w:r>
            <w:r w:rsidR="00DA1012" w:rsidRPr="007F5B4F">
              <w:t xml:space="preserve">sekmīgi </w:t>
            </w:r>
            <w:r w:rsidR="00416D64" w:rsidRPr="007F5B4F">
              <w:t xml:space="preserve">realizēt probācijas uzraudzību, īpaši ja tā ir saistīta ar notiesātā iesaistīšanu probācijas programmās. Ievērojot minēto, </w:t>
            </w:r>
            <w:r w:rsidR="007C6B16">
              <w:t>likumprojekts nosaka</w:t>
            </w:r>
            <w:r w:rsidR="00416D64" w:rsidRPr="007F5B4F">
              <w:t xml:space="preserve">, ka probācijas uzraudzība </w:t>
            </w:r>
            <w:r w:rsidR="007C6B16">
              <w:t>ir</w:t>
            </w:r>
            <w:r w:rsidR="00416D64" w:rsidRPr="007F5B4F">
              <w:t xml:space="preserve"> nosakāma uz laiku no viena gada līdz trīs gadiem.   Papildus darba grupa secināja, ka </w:t>
            </w:r>
            <w:r w:rsidR="00416D64" w:rsidRPr="00A65F4C">
              <w:rPr>
                <w:bCs/>
              </w:rPr>
              <w:t>probācijas uzraudzību ir nepieciešams piemērot ne tikai tām personām, kuras sodītas ar brīvības atņemšanu, bet arī tām, kurām piespriests ar brīvības atņemšanu nesaistīts sods, t.i., piespiedu darbs vai naudas sods, jo minētie sodi var tikt piemēroti arī par tādu noziedzīgu nodarīju izdarīšanu, kas saistīti  ar vardarbību vai vardarbība</w:t>
            </w:r>
            <w:r w:rsidR="00DA1012">
              <w:rPr>
                <w:bCs/>
              </w:rPr>
              <w:t>s</w:t>
            </w:r>
            <w:r w:rsidR="00416D64" w:rsidRPr="00A65F4C">
              <w:rPr>
                <w:bCs/>
              </w:rPr>
              <w:t xml:space="preserve"> piedraudējumu. </w:t>
            </w:r>
            <w:r w:rsidR="007C6B16">
              <w:rPr>
                <w:bCs/>
              </w:rPr>
              <w:t xml:space="preserve">Ievērojot minēto, likumprojekts paredz, ka probācijas uzraudzību būs iespējams piemērot kā papildsodu pie jebkura pamatsoda. </w:t>
            </w:r>
          </w:p>
          <w:p w:rsidR="00416D64" w:rsidRPr="007F5B4F" w:rsidRDefault="007C6B16" w:rsidP="00416D64">
            <w:pPr>
              <w:pStyle w:val="Pamattekstsaratkpi"/>
            </w:pPr>
            <w:r>
              <w:t>Atbilstoši koncepcijai likumprojekts</w:t>
            </w:r>
            <w:r w:rsidR="00416D64" w:rsidRPr="007F5B4F">
              <w:t xml:space="preserve"> paredz, ka gadījumā, ja persona sodīta ar arestu vai brīvības atņemšanu, probācijas uzraudzību viņa sāk izciest no brīža, kad pilnībā ir izcietusi tai piespriesto pamatsodu, kas tādējādi nodrošinās, ka šis papildsods nedublēsies ar tiesas uzliktajiem pienākumiem pirmstermiņa atbrīvošanas gadījumā. Savukārt, ja probācijas uzraudzība piemērota ar citu pamatsodu, tad to izcieš no brīža, kad persona sāk izciest pamatsodu.</w:t>
            </w:r>
          </w:p>
          <w:p w:rsidR="00416D64" w:rsidRPr="007F5B4F" w:rsidRDefault="00416D64" w:rsidP="00416D64">
            <w:pPr>
              <w:pStyle w:val="naisf"/>
              <w:spacing w:before="0" w:beforeAutospacing="0" w:after="0" w:afterAutospacing="0"/>
              <w:ind w:firstLine="720"/>
              <w:jc w:val="both"/>
            </w:pPr>
            <w:r w:rsidRPr="007F5B4F">
              <w:t xml:space="preserve">Izciešot šo papildsodu, personai jāievēro probācijas uzraudzības obligātie pienākumi, </w:t>
            </w:r>
            <w:r>
              <w:t>kas tiks noteikti Latvijas Sodu izpildes kodeksā</w:t>
            </w:r>
            <w:r w:rsidRPr="007F5B4F">
              <w:t>. Likumprojekta izstrādes darba grupa secināja, ka</w:t>
            </w:r>
            <w:r w:rsidR="009E36D9">
              <w:t xml:space="preserve"> </w:t>
            </w:r>
            <w:r w:rsidR="00DA1012" w:rsidRPr="007F5B4F">
              <w:t xml:space="preserve">papildus </w:t>
            </w:r>
            <w:r w:rsidRPr="007F5B4F">
              <w:t xml:space="preserve">tiem pienākumiem, kurus noteiks VPD, tiesai nav jānosaka citi pienākumi. Probācijas uzraudzības </w:t>
            </w:r>
            <w:r>
              <w:t xml:space="preserve">izpildes </w:t>
            </w:r>
            <w:r w:rsidRPr="007F5B4F">
              <w:t>satura noteikšanai ir jābūt VPD kompetencē.</w:t>
            </w:r>
          </w:p>
          <w:p w:rsidR="00416D64" w:rsidRPr="007F5B4F" w:rsidRDefault="007C6B16" w:rsidP="00416D64">
            <w:pPr>
              <w:pStyle w:val="naisf"/>
              <w:spacing w:before="0" w:beforeAutospacing="0" w:after="0" w:afterAutospacing="0"/>
              <w:ind w:firstLine="720"/>
              <w:jc w:val="both"/>
            </w:pPr>
            <w:r>
              <w:t>Ar likumprojektu tiek</w:t>
            </w:r>
            <w:r w:rsidR="00416D64" w:rsidRPr="007F5B4F">
              <w:t xml:space="preserve"> </w:t>
            </w:r>
            <w:r>
              <w:t>izdarīti</w:t>
            </w:r>
            <w:r w:rsidR="00416D64" w:rsidRPr="007F5B4F">
              <w:t xml:space="preserve"> grozījumi KL 52.</w:t>
            </w:r>
            <w:r w:rsidR="00D71057">
              <w:t>p</w:t>
            </w:r>
            <w:r w:rsidR="00416D64" w:rsidRPr="007F5B4F">
              <w:t>antā</w:t>
            </w:r>
            <w:r w:rsidR="00D71057">
              <w:t>, paredzot</w:t>
            </w:r>
            <w:r w:rsidR="00416D64" w:rsidRPr="007F5B4F">
              <w:t xml:space="preserve"> </w:t>
            </w:r>
            <w:r w:rsidR="00D71057">
              <w:t>probācijas uzraudzības</w:t>
            </w:r>
            <w:r w:rsidR="00416D64" w:rsidRPr="007F5B4F">
              <w:t xml:space="preserve"> saskaitīšanas un aizstāšanas </w:t>
            </w:r>
            <w:r w:rsidR="00416D64" w:rsidRPr="007F5B4F">
              <w:lastRenderedPageBreak/>
              <w:t>kārtīb</w:t>
            </w:r>
            <w:r w:rsidR="00D71057">
              <w:t>u ar brīvības atņemšanu</w:t>
            </w:r>
            <w:r w:rsidR="00416D64" w:rsidRPr="007F5B4F">
              <w:t>.</w:t>
            </w:r>
          </w:p>
          <w:p w:rsidR="00D71057" w:rsidRDefault="00D71057" w:rsidP="007C6B16">
            <w:pPr>
              <w:pStyle w:val="naisf"/>
              <w:spacing w:before="0" w:beforeAutospacing="0" w:after="0" w:afterAutospacing="0"/>
              <w:ind w:firstLine="720"/>
              <w:jc w:val="both"/>
              <w:rPr>
                <w:b/>
              </w:rPr>
            </w:pPr>
            <w:r>
              <w:t xml:space="preserve">Vienlaikus ar </w:t>
            </w:r>
            <w:r w:rsidR="007C6B16" w:rsidRPr="00A65F4C">
              <w:rPr>
                <w:rStyle w:val="iil-resultnotpaid1"/>
                <w:rFonts w:ascii="Times New Roman" w:hAnsi="Times New Roman" w:cs="Times New Roman"/>
                <w:color w:val="000000"/>
                <w:sz w:val="24"/>
                <w:szCs w:val="24"/>
              </w:rPr>
              <w:t xml:space="preserve">grozījumiem </w:t>
            </w:r>
            <w:r w:rsidR="007C6B16">
              <w:rPr>
                <w:rStyle w:val="iil-resultnotpaid1"/>
                <w:rFonts w:ascii="Times New Roman" w:hAnsi="Times New Roman" w:cs="Times New Roman"/>
                <w:color w:val="000000"/>
                <w:sz w:val="24"/>
                <w:szCs w:val="24"/>
              </w:rPr>
              <w:t>KL</w:t>
            </w:r>
            <w:r w:rsidR="007C6B16" w:rsidRPr="00A65F4C">
              <w:rPr>
                <w:rStyle w:val="iil-resultnotpaid1"/>
                <w:rFonts w:ascii="Times New Roman" w:hAnsi="Times New Roman" w:cs="Times New Roman"/>
                <w:color w:val="000000"/>
                <w:sz w:val="24"/>
                <w:szCs w:val="24"/>
              </w:rPr>
              <w:t xml:space="preserve"> attiecībā </w:t>
            </w:r>
            <w:r w:rsidR="007C6B16" w:rsidRPr="007F5B4F">
              <w:t xml:space="preserve">par </w:t>
            </w:r>
            <w:r w:rsidR="007C6B16">
              <w:t>kriminālsoda</w:t>
            </w:r>
            <w:r w:rsidR="007C6B16" w:rsidRPr="007F5B4F">
              <w:t xml:space="preserve"> – policijas kontrole – aizstāšanu ar jaunu kriminālsodu – probācijas uzraudzība, </w:t>
            </w:r>
            <w:r>
              <w:t>likumprojektā tiek paredzēti divi</w:t>
            </w:r>
            <w:r w:rsidR="007C6B16" w:rsidRPr="007F5B4F">
              <w:t xml:space="preserve"> grozījumu spēkā stāšanās datum</w:t>
            </w:r>
            <w:r>
              <w:t>i</w:t>
            </w:r>
            <w:r w:rsidR="007C6B16" w:rsidRPr="007F5B4F">
              <w:t xml:space="preserve">: 1) </w:t>
            </w:r>
            <w:r w:rsidR="007C6B16" w:rsidRPr="00A65F4C">
              <w:rPr>
                <w:b/>
              </w:rPr>
              <w:t>2011.gada 1.jūlijs</w:t>
            </w:r>
            <w:r w:rsidR="007C6B16" w:rsidRPr="007F5B4F">
              <w:t xml:space="preserve"> - attiecībā uz noziedzīgiem nodarījumiem, kas vērsti pret dzimumneaizskaramību un tikumību; 2) </w:t>
            </w:r>
            <w:r w:rsidR="007C6B16" w:rsidRPr="00A65F4C">
              <w:rPr>
                <w:b/>
              </w:rPr>
              <w:t>2015.gada 1.janvāris</w:t>
            </w:r>
            <w:r w:rsidR="007C6B16" w:rsidRPr="007F5B4F">
              <w:t xml:space="preserve"> -attiecībā uz pārējiem noziedzīgajiem nodarījumiem.</w:t>
            </w:r>
          </w:p>
          <w:p w:rsidR="007C6B16" w:rsidRPr="007F5B4F" w:rsidRDefault="007C6B16" w:rsidP="007C6B16">
            <w:pPr>
              <w:pStyle w:val="naisf"/>
              <w:spacing w:before="0" w:beforeAutospacing="0" w:after="0" w:afterAutospacing="0"/>
              <w:ind w:firstLine="720"/>
              <w:jc w:val="both"/>
            </w:pPr>
            <w:r w:rsidRPr="007F5B4F">
              <w:t xml:space="preserve">Papildus </w:t>
            </w:r>
            <w:r w:rsidR="00D71057">
              <w:t xml:space="preserve">likumprojekts paredz </w:t>
            </w:r>
            <w:r w:rsidRPr="007F5B4F">
              <w:t>no</w:t>
            </w:r>
            <w:r w:rsidRPr="00A65F4C">
              <w:rPr>
                <w:rStyle w:val="iil-resultnotpaid1"/>
                <w:rFonts w:ascii="Times New Roman" w:hAnsi="Times New Roman" w:cs="Times New Roman"/>
                <w:color w:val="000000"/>
                <w:sz w:val="24"/>
                <w:szCs w:val="24"/>
              </w:rPr>
              <w:t xml:space="preserve"> </w:t>
            </w:r>
            <w:r>
              <w:rPr>
                <w:rStyle w:val="iil-resultnotpaid1"/>
                <w:rFonts w:ascii="Times New Roman" w:hAnsi="Times New Roman" w:cs="Times New Roman"/>
                <w:color w:val="000000"/>
                <w:sz w:val="24"/>
                <w:szCs w:val="24"/>
              </w:rPr>
              <w:t>KL</w:t>
            </w:r>
            <w:r w:rsidRPr="00A65F4C">
              <w:rPr>
                <w:rStyle w:val="iil-resultnotpaid1"/>
                <w:rFonts w:ascii="Times New Roman" w:hAnsi="Times New Roman" w:cs="Times New Roman"/>
                <w:color w:val="000000"/>
                <w:sz w:val="24"/>
                <w:szCs w:val="24"/>
              </w:rPr>
              <w:t xml:space="preserve"> izslēgt </w:t>
            </w:r>
            <w:r>
              <w:rPr>
                <w:rStyle w:val="iil-resultnotpaid1"/>
                <w:rFonts w:ascii="Times New Roman" w:hAnsi="Times New Roman" w:cs="Times New Roman"/>
                <w:color w:val="000000"/>
                <w:sz w:val="24"/>
                <w:szCs w:val="24"/>
              </w:rPr>
              <w:t>KL</w:t>
            </w:r>
            <w:r w:rsidRPr="00A65F4C">
              <w:rPr>
                <w:rStyle w:val="iil-resultnotpaid1"/>
                <w:rFonts w:ascii="Times New Roman" w:hAnsi="Times New Roman" w:cs="Times New Roman"/>
                <w:color w:val="000000"/>
                <w:sz w:val="24"/>
                <w:szCs w:val="24"/>
              </w:rPr>
              <w:t xml:space="preserve"> 61.panta sesto daļu. Savukārt, </w:t>
            </w:r>
            <w:r>
              <w:t>KL</w:t>
            </w:r>
            <w:r w:rsidRPr="007F5B4F">
              <w:t xml:space="preserve"> Pārejas noteikumu 6.punktā </w:t>
            </w:r>
            <w:r w:rsidR="00D71057">
              <w:t>tiek</w:t>
            </w:r>
            <w:r w:rsidRPr="007F5B4F">
              <w:t xml:space="preserve"> noteikt</w:t>
            </w:r>
            <w:r w:rsidR="00D71057">
              <w:t>s</w:t>
            </w:r>
            <w:r w:rsidRPr="007F5B4F">
              <w:t xml:space="preserve">, ka </w:t>
            </w:r>
            <w:r>
              <w:t>KL</w:t>
            </w:r>
            <w:r w:rsidRPr="007F5B4F">
              <w:t xml:space="preserve"> 61.panta ceturtajā daļā paredzētais pienākums piedalīties probācijas programmās attiecībā uz dzimumnoziedzniekiem stājas spēkā 2011.gada 1.jūlijā. </w:t>
            </w:r>
          </w:p>
          <w:p w:rsidR="00225AF9" w:rsidRDefault="007C6B16" w:rsidP="00225AF9">
            <w:pPr>
              <w:pStyle w:val="naiskr"/>
              <w:spacing w:before="0" w:after="0"/>
              <w:ind w:firstLine="669"/>
              <w:jc w:val="both"/>
            </w:pPr>
            <w:r w:rsidRPr="007F5B4F">
              <w:t>Visbeidzot, ietverot papildsodu – probācijas uzraudzība</w:t>
            </w:r>
            <w:r w:rsidR="00DA1012">
              <w:t xml:space="preserve"> – likumprojekts paredz grozīt</w:t>
            </w:r>
            <w:r w:rsidRPr="007F5B4F">
              <w:t xml:space="preserve"> </w:t>
            </w:r>
            <w:r>
              <w:t>KL</w:t>
            </w:r>
            <w:r w:rsidRPr="007F5B4F">
              <w:t xml:space="preserve"> Sevišķās daļas pant</w:t>
            </w:r>
            <w:r w:rsidR="00DA1012">
              <w:t>u</w:t>
            </w:r>
            <w:r w:rsidR="00225AF9" w:rsidRPr="007F5B4F">
              <w:t xml:space="preserve"> sankcijas</w:t>
            </w:r>
            <w:r w:rsidRPr="007F5B4F">
              <w:t xml:space="preserve">, </w:t>
            </w:r>
            <w:r w:rsidR="00ED7F7F">
              <w:t xml:space="preserve"> </w:t>
            </w:r>
            <w:r w:rsidRPr="007F5B4F">
              <w:t xml:space="preserve">kuros paredzēta kriminālatbildība par noziedzīgiem nodarījumiem, kas vērsti pret dzimumneaizskaramību un tikumību, </w:t>
            </w:r>
            <w:r w:rsidR="00EA62D6" w:rsidRPr="007F5B4F">
              <w:t>atbilstoši koncepcijā paredzētajiem risinājumiem</w:t>
            </w:r>
            <w:r w:rsidR="00225AF9">
              <w:t xml:space="preserve">, nodrošinot to, ka sankcijas atbildīs </w:t>
            </w:r>
            <w:r w:rsidR="00225AF9" w:rsidRPr="00225AF9">
              <w:t>noziedzīgo nodarījumu kaitīgumam, vienlaikus nodrošinot tiesai plašas izvēles iespējas, izvēloties piemērojamo soda veidu un apmēru.</w:t>
            </w:r>
            <w:r w:rsidR="00225AF9" w:rsidRPr="00E20C00">
              <w:rPr>
                <w:b/>
              </w:rPr>
              <w:t xml:space="preserve"> </w:t>
            </w:r>
          </w:p>
          <w:p w:rsidR="00AF2FF2" w:rsidRPr="007F5B4F" w:rsidRDefault="00ED7F7F" w:rsidP="00A65F4C">
            <w:pPr>
              <w:pStyle w:val="naiskr"/>
              <w:spacing w:before="0" w:after="0"/>
              <w:ind w:firstLine="669"/>
              <w:jc w:val="both"/>
            </w:pPr>
            <w:r>
              <w:t>Ievērojot minēto, l</w:t>
            </w:r>
            <w:r w:rsidR="00AF2FF2" w:rsidRPr="007F5B4F">
              <w:t>ai nodrošinātu koncepcij</w:t>
            </w:r>
            <w:r w:rsidR="00C065DE" w:rsidRPr="007F5B4F">
              <w:t>as</w:t>
            </w:r>
            <w:r w:rsidR="00AF2FF2" w:rsidRPr="007F5B4F">
              <w:t xml:space="preserve"> </w:t>
            </w:r>
            <w:r w:rsidR="00A271A2" w:rsidRPr="007F5B4F">
              <w:t>risinājum</w:t>
            </w:r>
            <w:r w:rsidR="00C065DE" w:rsidRPr="007F5B4F">
              <w:t>a</w:t>
            </w:r>
            <w:r w:rsidR="00A271A2" w:rsidRPr="007F5B4F">
              <w:t xml:space="preserve">, kas paredz </w:t>
            </w:r>
            <w:r w:rsidR="0012480A">
              <w:t>kriminālsoda</w:t>
            </w:r>
            <w:r w:rsidR="0012480A" w:rsidRPr="007F5B4F">
              <w:t xml:space="preserve"> </w:t>
            </w:r>
            <w:r w:rsidR="00A271A2" w:rsidRPr="007F5B4F">
              <w:t xml:space="preserve">– policijas kontrole – aizstāšanu ar jaunu kriminālsodu – probācijas uzraudzība, īstenošanu, un nodrošinātu savlaicīgu probācijas uzraudzības īstenošanu attiecībā pret dzimumnoziedzniekiem, likumprojektā </w:t>
            </w:r>
            <w:r w:rsidR="00C065DE" w:rsidRPr="007F5B4F">
              <w:t>ietverti šādi grozījumi:</w:t>
            </w:r>
          </w:p>
          <w:p w:rsidR="00AF2FF2" w:rsidRPr="007F5B4F" w:rsidRDefault="00AF2FF2" w:rsidP="00A65F4C">
            <w:pPr>
              <w:pStyle w:val="naiskr"/>
              <w:spacing w:before="0" w:after="0"/>
              <w:ind w:firstLine="669"/>
              <w:jc w:val="both"/>
            </w:pPr>
            <w:r w:rsidRPr="007F5B4F">
              <w:t>Likumprojekta 1. pants paredz izslēgt no KL 36.pantā ietverto papildsodu uzskaitījuma policijas kontroli, vienlaikus papildinot to ar jaunu papildsodu –</w:t>
            </w:r>
            <w:r w:rsidR="004C5FEF" w:rsidRPr="007F5B4F">
              <w:t xml:space="preserve"> probācijas uzraudzība;</w:t>
            </w:r>
          </w:p>
          <w:p w:rsidR="00AF2FF2" w:rsidRPr="007F5B4F" w:rsidRDefault="00AF2FF2" w:rsidP="00A65F4C">
            <w:pPr>
              <w:pStyle w:val="naiskr"/>
              <w:spacing w:before="0" w:after="0"/>
              <w:ind w:firstLine="669"/>
              <w:jc w:val="both"/>
            </w:pPr>
            <w:r w:rsidRPr="007F5B4F">
              <w:t>Likumprojekta 2. pants paredz izslēgt no K</w:t>
            </w:r>
            <w:r w:rsidR="00C065DE" w:rsidRPr="007F5B4F">
              <w:t>L 45.pantu „Policijas kontrole”;</w:t>
            </w:r>
          </w:p>
          <w:p w:rsidR="005C3608" w:rsidRPr="007F5B4F" w:rsidRDefault="005C3608" w:rsidP="00A65F4C">
            <w:pPr>
              <w:pStyle w:val="naiskr"/>
              <w:spacing w:before="0" w:after="0"/>
              <w:ind w:firstLine="669"/>
              <w:jc w:val="both"/>
            </w:pPr>
            <w:r w:rsidRPr="007F5B4F">
              <w:t xml:space="preserve">Likumprojekta 3. pants paredz papildināt KL ar jaunu </w:t>
            </w:r>
            <w:r w:rsidRPr="00A65F4C">
              <w:rPr>
                <w:bCs/>
              </w:rPr>
              <w:t>45</w:t>
            </w:r>
            <w:r w:rsidRPr="00A65F4C">
              <w:rPr>
                <w:bCs/>
                <w:vertAlign w:val="superscript"/>
              </w:rPr>
              <w:t>1</w:t>
            </w:r>
            <w:r w:rsidRPr="00A65F4C">
              <w:rPr>
                <w:bCs/>
              </w:rPr>
              <w:t>.pantu</w:t>
            </w:r>
            <w:r w:rsidR="005F1518" w:rsidRPr="007F5B4F">
              <w:t xml:space="preserve"> „Probācijas uzraudzība”. </w:t>
            </w:r>
            <w:r w:rsidRPr="007F5B4F">
              <w:t xml:space="preserve"> </w:t>
            </w:r>
            <w:r w:rsidR="005F1518" w:rsidRPr="007F5B4F">
              <w:t xml:space="preserve">Minētājā pantā </w:t>
            </w:r>
            <w:r w:rsidRPr="007F5B4F">
              <w:t>tiek definēt</w:t>
            </w:r>
            <w:r w:rsidR="00836E18" w:rsidRPr="007F5B4F">
              <w:t>i</w:t>
            </w:r>
            <w:r w:rsidRPr="007F5B4F">
              <w:t xml:space="preserve"> probācijas uzraudzība</w:t>
            </w:r>
            <w:r w:rsidR="00836E18" w:rsidRPr="007F5B4F">
              <w:t xml:space="preserve">s mērķi. </w:t>
            </w:r>
            <w:r w:rsidR="005F1518" w:rsidRPr="007F5B4F">
              <w:t>Tiek</w:t>
            </w:r>
            <w:r w:rsidR="00836E18" w:rsidRPr="007F5B4F">
              <w:t xml:space="preserve"> atrunāts, kas un kādos gadījumos</w:t>
            </w:r>
            <w:r w:rsidR="005F1518" w:rsidRPr="007F5B4F">
              <w:t>, un uz kādu laiku</w:t>
            </w:r>
            <w:r w:rsidR="00836E18" w:rsidRPr="007F5B4F">
              <w:t xml:space="preserve"> piemēro probācijas uzraudzību</w:t>
            </w:r>
            <w:r w:rsidRPr="007F5B4F">
              <w:t>.</w:t>
            </w:r>
            <w:r w:rsidR="005F1518" w:rsidRPr="007F5B4F">
              <w:t xml:space="preserve"> Tāpat tiek atrunāta probācijas uzraudzības izpildes kārtība, un rīcība gadījumos, kad tiek pārkāpta probācijas uzraudzības izpilde vai tiek izdar</w:t>
            </w:r>
            <w:r w:rsidR="00C065DE" w:rsidRPr="007F5B4F">
              <w:t>īts jauns noziedzīgs nodarījums;</w:t>
            </w:r>
          </w:p>
          <w:p w:rsidR="00E803B8" w:rsidRPr="007F5B4F" w:rsidRDefault="00A67868" w:rsidP="00A65F4C">
            <w:pPr>
              <w:pStyle w:val="naiskr"/>
              <w:spacing w:before="0" w:after="0"/>
              <w:ind w:firstLine="669"/>
              <w:jc w:val="both"/>
            </w:pPr>
            <w:r w:rsidRPr="007F5B4F">
              <w:t xml:space="preserve">Likumprojekta </w:t>
            </w:r>
            <w:r w:rsidR="00E803B8" w:rsidRPr="007F5B4F">
              <w:t>4</w:t>
            </w:r>
            <w:r w:rsidRPr="007F5B4F">
              <w:t xml:space="preserve">. pants paredz izslēgt no KL 52.panta </w:t>
            </w:r>
            <w:r w:rsidR="000E6DA8" w:rsidRPr="007F5B4F">
              <w:t xml:space="preserve">paredzētajiem </w:t>
            </w:r>
            <w:r w:rsidRPr="007F5B4F">
              <w:t>sodu saskaitīšanas un aizstāšanas noteikumiem</w:t>
            </w:r>
            <w:r w:rsidR="000E6DA8" w:rsidRPr="007F5B4F">
              <w:t xml:space="preserve"> policijas kontroli, vienlaikus nosakot sodu saskaitīšanas un aizstāšanas noteikum</w:t>
            </w:r>
            <w:r w:rsidR="00C065DE" w:rsidRPr="007F5B4F">
              <w:t>us probācijas uzraudzībai;</w:t>
            </w:r>
          </w:p>
          <w:p w:rsidR="005C3608" w:rsidRPr="007F5B4F" w:rsidRDefault="000E6DA8" w:rsidP="00A65F4C">
            <w:pPr>
              <w:pStyle w:val="naiskr"/>
              <w:spacing w:before="0" w:after="0"/>
              <w:ind w:firstLine="669"/>
              <w:jc w:val="both"/>
            </w:pPr>
            <w:r w:rsidRPr="007F5B4F">
              <w:t xml:space="preserve">  </w:t>
            </w:r>
            <w:r w:rsidR="00E803B8" w:rsidRPr="007F5B4F">
              <w:t xml:space="preserve">Likumprojekta 5. pants paredz KL </w:t>
            </w:r>
            <w:r w:rsidR="00CE5EFF" w:rsidRPr="007F5B4F">
              <w:t>55</w:t>
            </w:r>
            <w:r w:rsidR="00E803B8" w:rsidRPr="007F5B4F">
              <w:t>.pant</w:t>
            </w:r>
            <w:r w:rsidR="00CE2F01" w:rsidRPr="007F5B4F">
              <w:t>a piektajā daļā</w:t>
            </w:r>
            <w:r w:rsidR="00CE5EFF" w:rsidRPr="007F5B4F">
              <w:t xml:space="preserve"> noteikt, ka</w:t>
            </w:r>
            <w:r w:rsidR="00EA62D6">
              <w:t>,</w:t>
            </w:r>
            <w:r w:rsidR="00CE5EFF" w:rsidRPr="007F5B4F">
              <w:t xml:space="preserve"> nosacīti notiesājot, nevar piespriest papildsodu – probācijas uzraudzība, jo nosacīti notiesātie tiek pakļauti VPD </w:t>
            </w:r>
            <w:r w:rsidR="002C45E0" w:rsidRPr="007F5B4F">
              <w:t>uzraudzībai</w:t>
            </w:r>
            <w:r w:rsidR="00CE5EFF" w:rsidRPr="007F5B4F">
              <w:t xml:space="preserve"> un probācijas programmām saskaņā ar KL 55.panta sesto daļu.</w:t>
            </w:r>
            <w:r w:rsidR="00CE2F01" w:rsidRPr="007F5B4F">
              <w:t xml:space="preserve"> Vienlaikus no KL 55.panta piektās daļas t</w:t>
            </w:r>
            <w:r w:rsidR="00C065DE" w:rsidRPr="007F5B4F">
              <w:t>iek izslēgta policijas kontrole;</w:t>
            </w:r>
          </w:p>
          <w:p w:rsidR="00A979BA" w:rsidRPr="007F5B4F" w:rsidRDefault="00A979BA" w:rsidP="00A65F4C">
            <w:pPr>
              <w:pStyle w:val="naiskr"/>
              <w:spacing w:before="0" w:after="0"/>
              <w:ind w:firstLine="669"/>
              <w:jc w:val="both"/>
            </w:pPr>
            <w:r w:rsidRPr="007F5B4F">
              <w:lastRenderedPageBreak/>
              <w:t xml:space="preserve">Lai VPD </w:t>
            </w:r>
            <w:r w:rsidR="002C45E0" w:rsidRPr="007F5B4F">
              <w:t>uzraudzību</w:t>
            </w:r>
            <w:r w:rsidRPr="007F5B4F">
              <w:t xml:space="preserve"> un probācijas programmas varētu īstenot </w:t>
            </w:r>
            <w:r w:rsidR="002C45E0" w:rsidRPr="007F5B4F">
              <w:t xml:space="preserve">arī </w:t>
            </w:r>
            <w:r w:rsidRPr="007F5B4F">
              <w:t>attiecībā pret pilngadīgajām personām</w:t>
            </w:r>
            <w:r w:rsidR="002C45E0" w:rsidRPr="007F5B4F">
              <w:t>, kas sodītas ar brīvības atņemšanu</w:t>
            </w:r>
            <w:r w:rsidRPr="007F5B4F">
              <w:t xml:space="preserve"> par sevišķi smagu noziegumu, kas izdarīts pret nepilngadīgo un ir saistīts ar vardarbību vai vērsts pret dzimumneaizskaramību vai tikumību</w:t>
            </w:r>
            <w:r w:rsidR="002C45E0" w:rsidRPr="007F5B4F">
              <w:t>, likumprojekta 6. pants paredz iz</w:t>
            </w:r>
            <w:r w:rsidR="00C065DE" w:rsidRPr="007F5B4F">
              <w:t>slēgt no KL 61.panta sesto daļu;</w:t>
            </w:r>
          </w:p>
          <w:p w:rsidR="00A979BA" w:rsidRPr="007F5B4F" w:rsidRDefault="0064312A" w:rsidP="00A65F4C">
            <w:pPr>
              <w:pStyle w:val="naiskr"/>
              <w:spacing w:before="0" w:after="0"/>
              <w:ind w:firstLine="669"/>
              <w:jc w:val="both"/>
            </w:pPr>
            <w:r w:rsidRPr="007F5B4F">
              <w:t xml:space="preserve">Likumprojekta </w:t>
            </w:r>
            <w:r w:rsidR="006342BF" w:rsidRPr="006342BF">
              <w:t xml:space="preserve">7.–12.pants, 20.pants., 22.– 51.pants </w:t>
            </w:r>
            <w:r w:rsidRPr="006342BF">
              <w:t>paredz aizstāt</w:t>
            </w:r>
            <w:r w:rsidRPr="007F5B4F">
              <w:t xml:space="preserve"> visā</w:t>
            </w:r>
            <w:r w:rsidR="004F7C29">
              <w:t>s</w:t>
            </w:r>
            <w:r w:rsidRPr="007F5B4F">
              <w:t xml:space="preserve"> KL Sevišķ</w:t>
            </w:r>
            <w:r w:rsidR="0012480A">
              <w:t>ās</w:t>
            </w:r>
            <w:r w:rsidRPr="007F5B4F">
              <w:t xml:space="preserve"> daļ</w:t>
            </w:r>
            <w:r w:rsidR="0012480A">
              <w:t>as pantu sankcijās</w:t>
            </w:r>
            <w:r w:rsidRPr="007F5B4F">
              <w:t xml:space="preserve"> papildsodu – policijas kontrole – ar jaunu papildsodu – probācijas uzraudzība</w:t>
            </w:r>
            <w:r w:rsidR="00C065DE" w:rsidRPr="007F5B4F">
              <w:t>;</w:t>
            </w:r>
          </w:p>
          <w:p w:rsidR="00C95D7D" w:rsidRPr="007F5B4F" w:rsidRDefault="005A3A3E" w:rsidP="00A65F4C">
            <w:pPr>
              <w:pStyle w:val="naiskr"/>
              <w:spacing w:before="0" w:after="0"/>
              <w:ind w:firstLine="669"/>
              <w:jc w:val="both"/>
            </w:pPr>
            <w:r>
              <w:t xml:space="preserve">Likumprojekta </w:t>
            </w:r>
            <w:r w:rsidR="006342BF">
              <w:t>13</w:t>
            </w:r>
            <w:r>
              <w:t>.</w:t>
            </w:r>
            <w:r w:rsidRPr="00E3615C">
              <w:t>–</w:t>
            </w:r>
            <w:r w:rsidR="006342BF">
              <w:t>19</w:t>
            </w:r>
            <w:r w:rsidR="00C95D7D" w:rsidRPr="007F5B4F">
              <w:t>.</w:t>
            </w:r>
            <w:r>
              <w:t xml:space="preserve"> un </w:t>
            </w:r>
            <w:r w:rsidR="006342BF">
              <w:t>21</w:t>
            </w:r>
            <w:r>
              <w:t>.</w:t>
            </w:r>
            <w:r w:rsidR="00003D5F" w:rsidRPr="007F5B4F">
              <w:t>p</w:t>
            </w:r>
            <w:r w:rsidR="00C95D7D" w:rsidRPr="007F5B4F">
              <w:t>ants</w:t>
            </w:r>
            <w:r w:rsidR="00003D5F" w:rsidRPr="007F5B4F">
              <w:t xml:space="preserve"> paredz</w:t>
            </w:r>
            <w:r w:rsidR="005567F3" w:rsidRPr="007F5B4F">
              <w:t xml:space="preserve"> ietvert papildsodu – probācijas uzraudzība </w:t>
            </w:r>
            <w:r w:rsidR="00102FA8">
              <w:t>KL</w:t>
            </w:r>
            <w:r w:rsidR="005567F3" w:rsidRPr="007F5B4F">
              <w:t xml:space="preserve"> Sevišķās daļas 159., 160., 161., 162., 162.</w:t>
            </w:r>
            <w:r w:rsidR="005567F3" w:rsidRPr="00A65F4C">
              <w:rPr>
                <w:vertAlign w:val="superscript"/>
              </w:rPr>
              <w:t>1</w:t>
            </w:r>
            <w:r w:rsidR="00003D5F" w:rsidRPr="007F5B4F">
              <w:t>., 164.., 165. un 166.</w:t>
            </w:r>
            <w:r w:rsidR="005567F3" w:rsidRPr="007F5B4F">
              <w:t>pant</w:t>
            </w:r>
            <w:r w:rsidR="00003D5F" w:rsidRPr="007F5B4F">
              <w:t>ā</w:t>
            </w:r>
            <w:r w:rsidR="005567F3" w:rsidRPr="007F5B4F">
              <w:t xml:space="preserve">, kuros paredzēta kriminālatbildība par noziedzīgiem nodarījumiem, kas vērsti pret dzimumneaizskaramību un tikumību, papildus </w:t>
            </w:r>
            <w:r w:rsidR="00003D5F" w:rsidRPr="007F5B4F">
              <w:t>grozot</w:t>
            </w:r>
            <w:r w:rsidR="005567F3" w:rsidRPr="007F5B4F">
              <w:t xml:space="preserve"> arī citas minēto pantu sankcijas atbilstoši koncep</w:t>
            </w:r>
            <w:r w:rsidR="00C065DE" w:rsidRPr="007F5B4F">
              <w:t>cijā paredzētajiem risinājumiem;</w:t>
            </w:r>
          </w:p>
          <w:p w:rsidR="00417FF8" w:rsidRDefault="00417FF8" w:rsidP="00A65F4C">
            <w:pPr>
              <w:pStyle w:val="naiskr"/>
              <w:spacing w:before="0" w:after="0"/>
              <w:ind w:firstLine="669"/>
              <w:jc w:val="both"/>
            </w:pPr>
            <w:r w:rsidRPr="007F5B4F">
              <w:t xml:space="preserve">Likumprojekta </w:t>
            </w:r>
            <w:r w:rsidR="00D02BAE">
              <w:t>5</w:t>
            </w:r>
            <w:r w:rsidR="006342BF">
              <w:t>2</w:t>
            </w:r>
            <w:r w:rsidRPr="007F5B4F">
              <w:t xml:space="preserve">.pants paredz papildināt KL </w:t>
            </w:r>
            <w:r w:rsidR="006342BF">
              <w:t>p</w:t>
            </w:r>
            <w:r w:rsidRPr="007F5B4F">
              <w:t xml:space="preserve">ārejas noteikumu 6.punktu ar jaunu teikumu, nosakot, ka </w:t>
            </w:r>
            <w:r w:rsidR="004F7C29">
              <w:t>a</w:t>
            </w:r>
            <w:r w:rsidRPr="007F5B4F">
              <w:t xml:space="preserve">ttiecībā uz personām, kas sodītas pēc </w:t>
            </w:r>
            <w:r w:rsidR="009C6167">
              <w:t>KL</w:t>
            </w:r>
            <w:r w:rsidRPr="007F5B4F">
              <w:t xml:space="preserve"> 159., 160., 161.,162., 162.</w:t>
            </w:r>
            <w:r w:rsidRPr="00A65F4C">
              <w:rPr>
                <w:vertAlign w:val="superscript"/>
              </w:rPr>
              <w:t>1</w:t>
            </w:r>
            <w:r w:rsidRPr="007F5B4F">
              <w:t>, 164., 165. un 166.panta, grozījums šā likuma 61.panta ceturtajā daļā par obligāto pienākumu piedalīties probācijas programmās stājas spēkā 2011.gada 1.jūlijā</w:t>
            </w:r>
            <w:r w:rsidR="00C065DE" w:rsidRPr="007F5B4F">
              <w:t>;</w:t>
            </w:r>
          </w:p>
          <w:p w:rsidR="00F26553" w:rsidRDefault="00F26553" w:rsidP="00F26553">
            <w:pPr>
              <w:pStyle w:val="naiskr"/>
              <w:spacing w:before="0" w:after="0"/>
              <w:ind w:firstLine="669"/>
              <w:jc w:val="both"/>
            </w:pPr>
            <w:r w:rsidRPr="007F5B4F">
              <w:t xml:space="preserve">Likumprojekta </w:t>
            </w:r>
            <w:r>
              <w:t>53</w:t>
            </w:r>
            <w:r w:rsidRPr="007F5B4F">
              <w:t xml:space="preserve">.pants paredz </w:t>
            </w:r>
            <w:r>
              <w:t>p</w:t>
            </w:r>
            <w:r w:rsidRPr="001007BE">
              <w:t xml:space="preserve">apildināt pārejas noteikumus ar </w:t>
            </w:r>
            <w:r>
              <w:t>10</w:t>
            </w:r>
            <w:r w:rsidRPr="001007BE">
              <w:t>.punktu</w:t>
            </w:r>
            <w:r>
              <w:t>, kas nosaka, kādos KL pantos grozījumi par papildsoda – policijas kontrole aizstāšanu ar papildsodu – probācijas uzraudzība stājas spēkā 2015.gada 1.janvārī</w:t>
            </w:r>
            <w:r w:rsidRPr="00ED50B5">
              <w:t>.</w:t>
            </w:r>
          </w:p>
          <w:p w:rsidR="00E55905" w:rsidRPr="00ED50B5" w:rsidRDefault="00F26553" w:rsidP="00A65F4C">
            <w:pPr>
              <w:pStyle w:val="naiskr"/>
              <w:spacing w:before="0" w:after="0"/>
              <w:ind w:firstLine="669"/>
              <w:jc w:val="both"/>
            </w:pPr>
            <w:r>
              <w:t>Tāpat l</w:t>
            </w:r>
            <w:r w:rsidR="005A3A3E" w:rsidRPr="007F5B4F">
              <w:t xml:space="preserve">ikumprojekta </w:t>
            </w:r>
            <w:r w:rsidR="006342BF">
              <w:t>53</w:t>
            </w:r>
            <w:r w:rsidR="005A3A3E" w:rsidRPr="007F5B4F">
              <w:t xml:space="preserve">.pants paredz </w:t>
            </w:r>
            <w:r w:rsidR="005A3A3E">
              <w:t>p</w:t>
            </w:r>
            <w:r w:rsidR="005A3A3E" w:rsidRPr="001007BE">
              <w:t xml:space="preserve">apildināt pārejas noteikumus ar </w:t>
            </w:r>
            <w:r>
              <w:t>11</w:t>
            </w:r>
            <w:r w:rsidR="005A3A3E" w:rsidRPr="001007BE">
              <w:t>.punktu</w:t>
            </w:r>
            <w:r w:rsidR="005A3A3E">
              <w:t xml:space="preserve">, </w:t>
            </w:r>
            <w:r w:rsidR="00064D75">
              <w:t>kas nosaka</w:t>
            </w:r>
            <w:r w:rsidR="007A182C">
              <w:t>,</w:t>
            </w:r>
            <w:r w:rsidR="00E55905">
              <w:t xml:space="preserve"> ka</w:t>
            </w:r>
            <w:r w:rsidR="00E55905" w:rsidRPr="008E491E">
              <w:t xml:space="preserve"> </w:t>
            </w:r>
            <w:r w:rsidR="00B2016F" w:rsidRPr="00ED50B5">
              <w:t>papildsodu – probācijas uzraudzība sāk piemērot ar 2011.gada 1.j</w:t>
            </w:r>
            <w:r w:rsidR="00D02BAE">
              <w:t>ū</w:t>
            </w:r>
            <w:r w:rsidR="00B2016F" w:rsidRPr="00ED50B5">
              <w:t>liju personām, kuras nav notiesātas pēc KL 159., 160., 161., 162., 162.</w:t>
            </w:r>
            <w:r w:rsidR="00B2016F" w:rsidRPr="00ED50B5">
              <w:rPr>
                <w:vertAlign w:val="superscript"/>
              </w:rPr>
              <w:t>1</w:t>
            </w:r>
            <w:r w:rsidR="00B2016F" w:rsidRPr="00ED50B5">
              <w:t xml:space="preserve">, 164., 165. un 166.panta, bet ar 2015.gada 1.janvāri </w:t>
            </w:r>
            <w:r w:rsidR="004F7C29">
              <w:t xml:space="preserve">- </w:t>
            </w:r>
            <w:r w:rsidR="00B2016F" w:rsidRPr="00ED50B5">
              <w:t>personām, kuras nav notiesātas pēc citiem KL Sevišķās daļas pantiem</w:t>
            </w:r>
            <w:r w:rsidR="00E55905" w:rsidRPr="00ED50B5">
              <w:t>.</w:t>
            </w:r>
          </w:p>
          <w:p w:rsidR="00E22068" w:rsidRPr="009C6167" w:rsidRDefault="00F26553" w:rsidP="00A65F4C">
            <w:pPr>
              <w:pStyle w:val="naiskr"/>
              <w:spacing w:before="0" w:after="0"/>
              <w:ind w:firstLine="669"/>
              <w:jc w:val="both"/>
            </w:pPr>
            <w:r>
              <w:t>Visbeidzot</w:t>
            </w:r>
            <w:r w:rsidR="00D02BAE">
              <w:t xml:space="preserve"> likumprojekta </w:t>
            </w:r>
            <w:r w:rsidR="006342BF">
              <w:t>53</w:t>
            </w:r>
            <w:r w:rsidR="00ED50B5" w:rsidRPr="00ED50B5">
              <w:t xml:space="preserve">.pants paredz papildināt pārejas noteikumus ar </w:t>
            </w:r>
            <w:r>
              <w:t>12</w:t>
            </w:r>
            <w:r w:rsidR="00ED50B5" w:rsidRPr="00ED50B5">
              <w:t xml:space="preserve">.punktu, </w:t>
            </w:r>
            <w:r w:rsidR="00E22068" w:rsidRPr="00ED50B5">
              <w:t>kas nosaka, ka</w:t>
            </w:r>
            <w:r w:rsidR="009C6167" w:rsidRPr="00ED50B5">
              <w:t xml:space="preserve"> </w:t>
            </w:r>
            <w:r w:rsidR="00ED50B5" w:rsidRPr="00ED50B5">
              <w:t>papildsodu – policijas kontrole turpina izciest personas, kurām tas piespriests līdz</w:t>
            </w:r>
            <w:proofErr w:type="gramStart"/>
            <w:r w:rsidR="00ED50B5" w:rsidRPr="00ED50B5">
              <w:t xml:space="preserve">  </w:t>
            </w:r>
            <w:proofErr w:type="gramEnd"/>
            <w:r w:rsidR="00ED50B5" w:rsidRPr="00ED50B5">
              <w:t>2011.gada 31.jūnijam pēc KL 159., 160., 161.,162.,  162.</w:t>
            </w:r>
            <w:r w:rsidR="00ED50B5" w:rsidRPr="00ED50B5">
              <w:rPr>
                <w:vertAlign w:val="superscript"/>
              </w:rPr>
              <w:t>1</w:t>
            </w:r>
            <w:r w:rsidR="00ED50B5" w:rsidRPr="00ED50B5">
              <w:t>, 164., 165. un 166.panta, un personas, kurām tas piespriests līdz  2014.gada 31.decembrim pēc citiem KL Sevišķās daļas</w:t>
            </w:r>
            <w:r w:rsidR="00ED50B5" w:rsidRPr="001725EE">
              <w:rPr>
                <w:u w:val="single"/>
              </w:rPr>
              <w:t xml:space="preserve"> </w:t>
            </w:r>
            <w:r w:rsidR="00ED50B5" w:rsidRPr="006342BF">
              <w:t>pantiem</w:t>
            </w:r>
            <w:r w:rsidR="009C6167" w:rsidRPr="009C6167">
              <w:t>. Papildus minētajā p</w:t>
            </w:r>
            <w:r w:rsidR="004F7C29">
              <w:t>ā</w:t>
            </w:r>
            <w:r w:rsidR="009C6167" w:rsidRPr="009C6167">
              <w:t>rejas noteikumu punktā tiek atrunāti policijas kontroles izpildes nosacījumi</w:t>
            </w:r>
            <w:r w:rsidR="004F7C29" w:rsidRPr="009C6167">
              <w:t xml:space="preserve"> šādām personām</w:t>
            </w:r>
            <w:r w:rsidR="009C6167" w:rsidRPr="009C6167">
              <w:t xml:space="preserve">, ievērojot to, ka 2015.gada 1.janvārī no KL pilnībā tiks izslēgts KL 45.pants „Policijas kontrole”. </w:t>
            </w:r>
          </w:p>
          <w:p w:rsidR="00E55905" w:rsidRPr="007F5B4F" w:rsidRDefault="00E55905" w:rsidP="00A65F4C">
            <w:pPr>
              <w:pStyle w:val="naiskr"/>
              <w:spacing w:before="0" w:after="0"/>
              <w:ind w:firstLine="669"/>
              <w:jc w:val="both"/>
            </w:pPr>
            <w:r>
              <w:t xml:space="preserve">Vispārīgais likumprojekta spēkā stāšanās datums </w:t>
            </w:r>
            <w:r w:rsidR="004F7C29">
              <w:t>ir</w:t>
            </w:r>
            <w:proofErr w:type="gramStart"/>
            <w:r w:rsidR="004F7C29">
              <w:t xml:space="preserve"> </w:t>
            </w:r>
            <w:r>
              <w:t xml:space="preserve"> </w:t>
            </w:r>
            <w:proofErr w:type="gramEnd"/>
            <w:r w:rsidRPr="008E491E">
              <w:t>2011.gada 1.jūlij</w:t>
            </w:r>
            <w:r>
              <w:t>s.</w:t>
            </w:r>
          </w:p>
        </w:tc>
      </w:tr>
      <w:tr w:rsidR="00190788" w:rsidRPr="00A65F4C" w:rsidTr="00A65F4C">
        <w:trPr>
          <w:trHeight w:val="476"/>
        </w:trPr>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lastRenderedPageBreak/>
              <w:t> 5.</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Projekta izstrādē iesaistītās institūcijas</w:t>
            </w:r>
          </w:p>
        </w:tc>
        <w:tc>
          <w:tcPr>
            <w:tcW w:w="6379" w:type="dxa"/>
          </w:tcPr>
          <w:p w:rsidR="00D1739C" w:rsidRPr="00A65F4C" w:rsidRDefault="00D02BAE" w:rsidP="00D02BAE">
            <w:pPr>
              <w:spacing w:after="120" w:line="240" w:lineRule="auto"/>
              <w:ind w:firstLine="552"/>
              <w:jc w:val="both"/>
              <w:rPr>
                <w:rFonts w:ascii="Times New Roman" w:eastAsia="Times New Roman" w:hAnsi="Times New Roman"/>
                <w:sz w:val="24"/>
                <w:szCs w:val="24"/>
                <w:lang w:eastAsia="lv-LV"/>
              </w:rPr>
            </w:pPr>
            <w:r>
              <w:rPr>
                <w:rFonts w:ascii="Times New Roman" w:hAnsi="Times New Roman"/>
                <w:sz w:val="24"/>
                <w:szCs w:val="24"/>
              </w:rPr>
              <w:t>K</w:t>
            </w:r>
            <w:r w:rsidRPr="00A65F4C">
              <w:rPr>
                <w:rFonts w:ascii="Times New Roman" w:hAnsi="Times New Roman"/>
                <w:sz w:val="24"/>
                <w:szCs w:val="24"/>
              </w:rPr>
              <w:t xml:space="preserve">oncepcijas īstenošanas </w:t>
            </w:r>
            <w:r>
              <w:rPr>
                <w:rFonts w:ascii="Times New Roman" w:hAnsi="Times New Roman"/>
                <w:sz w:val="24"/>
                <w:szCs w:val="24"/>
              </w:rPr>
              <w:t>likumprojekta izstrādei</w:t>
            </w:r>
            <w:r>
              <w:rPr>
                <w:rFonts w:ascii="Times New Roman" w:eastAsia="Times New Roman" w:hAnsi="Times New Roman"/>
                <w:sz w:val="24"/>
                <w:szCs w:val="24"/>
                <w:lang w:eastAsia="lv-LV"/>
              </w:rPr>
              <w:t xml:space="preserve"> a</w:t>
            </w:r>
            <w:r w:rsidR="001F4362" w:rsidRPr="00A65F4C">
              <w:rPr>
                <w:rFonts w:ascii="Times New Roman" w:eastAsia="Times New Roman" w:hAnsi="Times New Roman"/>
                <w:sz w:val="24"/>
                <w:szCs w:val="24"/>
                <w:lang w:eastAsia="lv-LV"/>
              </w:rPr>
              <w:t xml:space="preserve">r tieslietu ministra 2009. gada 19. februāra rīkojumu Nr.1-1/50 </w:t>
            </w:r>
            <w:r w:rsidR="001F4362" w:rsidRPr="00A65F4C">
              <w:rPr>
                <w:rFonts w:ascii="Times New Roman" w:hAnsi="Times New Roman"/>
                <w:sz w:val="24"/>
                <w:szCs w:val="24"/>
              </w:rPr>
              <w:lastRenderedPageBreak/>
              <w:t>izveidot</w:t>
            </w:r>
            <w:r w:rsidR="00ED7F7F">
              <w:rPr>
                <w:rFonts w:ascii="Times New Roman" w:hAnsi="Times New Roman"/>
                <w:sz w:val="24"/>
                <w:szCs w:val="24"/>
              </w:rPr>
              <w:t>ās</w:t>
            </w:r>
            <w:r w:rsidR="001F4362" w:rsidRPr="00A65F4C">
              <w:rPr>
                <w:rFonts w:ascii="Times New Roman" w:hAnsi="Times New Roman"/>
                <w:sz w:val="24"/>
                <w:szCs w:val="24"/>
              </w:rPr>
              <w:t xml:space="preserve"> darba grupa</w:t>
            </w:r>
            <w:r w:rsidR="00ED7F7F">
              <w:rPr>
                <w:rFonts w:ascii="Times New Roman" w:hAnsi="Times New Roman"/>
                <w:sz w:val="24"/>
                <w:szCs w:val="24"/>
              </w:rPr>
              <w:t>s</w:t>
            </w:r>
            <w:r>
              <w:rPr>
                <w:rFonts w:ascii="Times New Roman" w:hAnsi="Times New Roman"/>
                <w:sz w:val="24"/>
                <w:szCs w:val="24"/>
              </w:rPr>
              <w:t xml:space="preserve"> sastāvā</w:t>
            </w:r>
            <w:r w:rsidR="00ED7F7F">
              <w:rPr>
                <w:rFonts w:ascii="Times New Roman" w:hAnsi="Times New Roman"/>
                <w:sz w:val="24"/>
                <w:szCs w:val="24"/>
              </w:rPr>
              <w:t xml:space="preserve"> tika iesaistīti p</w:t>
            </w:r>
            <w:r w:rsidR="001F4362" w:rsidRPr="00A65F4C">
              <w:rPr>
                <w:rFonts w:ascii="Times New Roman" w:hAnsi="Times New Roman"/>
                <w:sz w:val="24"/>
                <w:szCs w:val="24"/>
              </w:rPr>
              <w:t>ārstāvji no Ģenerālprokuratūras, Iekšlietu ministrijas, Valsts policijas, Sabiedriskās politikas centra PROVIDUS, Valsts probācijas dienesta, Ieslodzījuma vietu pārvaldes.</w:t>
            </w:r>
            <w:r w:rsidR="00B90B55" w:rsidRPr="00A65F4C">
              <w:rPr>
                <w:rFonts w:ascii="Times New Roman" w:hAnsi="Times New Roman"/>
                <w:sz w:val="24"/>
                <w:szCs w:val="24"/>
              </w:rPr>
              <w:t xml:space="preserve"> </w:t>
            </w:r>
          </w:p>
        </w:tc>
      </w:tr>
      <w:tr w:rsidR="00190788" w:rsidRPr="00A65F4C" w:rsidTr="00A65F4C">
        <w:trPr>
          <w:trHeight w:val="904"/>
        </w:trPr>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lastRenderedPageBreak/>
              <w:t> 6.</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Iemesli, kādēļ netika nodrošināta sabiedrības līdzdalība</w:t>
            </w:r>
          </w:p>
        </w:tc>
        <w:tc>
          <w:tcPr>
            <w:tcW w:w="6379" w:type="dxa"/>
          </w:tcPr>
          <w:p w:rsidR="00D1739C" w:rsidRPr="00A65F4C" w:rsidRDefault="00C86677" w:rsidP="00A65F4C">
            <w:pPr>
              <w:spacing w:before="75" w:after="75" w:line="240" w:lineRule="auto"/>
              <w:ind w:firstLine="552"/>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190788" w:rsidRPr="00A65F4C" w:rsidTr="00A65F4C">
        <w:tc>
          <w:tcPr>
            <w:tcW w:w="528"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7.</w:t>
            </w:r>
          </w:p>
        </w:tc>
        <w:tc>
          <w:tcPr>
            <w:tcW w:w="241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Cita informācija</w:t>
            </w:r>
          </w:p>
        </w:tc>
        <w:tc>
          <w:tcPr>
            <w:tcW w:w="6379" w:type="dxa"/>
          </w:tcPr>
          <w:p w:rsidR="00D1739C" w:rsidRPr="00A65F4C" w:rsidRDefault="00C86677" w:rsidP="00A65F4C">
            <w:pPr>
              <w:spacing w:before="75" w:after="75" w:line="240" w:lineRule="auto"/>
              <w:ind w:firstLine="552"/>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w:t>
            </w:r>
          </w:p>
        </w:tc>
      </w:tr>
    </w:tbl>
    <w:p w:rsidR="00D1739C" w:rsidRPr="007F5B4F" w:rsidRDefault="00D1739C" w:rsidP="00D1739C">
      <w:pPr>
        <w:spacing w:before="75" w:after="75" w:line="240" w:lineRule="auto"/>
        <w:ind w:firstLine="375"/>
        <w:jc w:val="both"/>
        <w:rPr>
          <w:rFonts w:ascii="Times New Roman" w:eastAsia="Times New Roman" w:hAnsi="Times New Roman"/>
          <w:sz w:val="24"/>
          <w:szCs w:val="24"/>
          <w:lang w:eastAsia="lv-LV"/>
        </w:rPr>
      </w:pPr>
      <w:r w:rsidRPr="007F5B4F">
        <w:rPr>
          <w:rFonts w:ascii="Times New Roman" w:eastAsia="Times New Roman" w:hAnsi="Times New Roman"/>
          <w:sz w:val="24"/>
          <w:szCs w:val="24"/>
          <w:lang w:eastAsia="lv-LV"/>
        </w:rPr>
        <w:t>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
        <w:gridCol w:w="2422"/>
        <w:gridCol w:w="6379"/>
      </w:tblGrid>
      <w:tr w:rsidR="00D1739C" w:rsidRPr="00A65F4C" w:rsidTr="00A65F4C">
        <w:tc>
          <w:tcPr>
            <w:tcW w:w="9322" w:type="dxa"/>
            <w:gridSpan w:val="3"/>
          </w:tcPr>
          <w:p w:rsidR="00D1739C" w:rsidRPr="00A65F4C" w:rsidRDefault="00D1739C" w:rsidP="00A65F4C">
            <w:pPr>
              <w:spacing w:before="150" w:after="150" w:line="240" w:lineRule="auto"/>
              <w:jc w:val="center"/>
              <w:rPr>
                <w:rFonts w:ascii="Times New Roman" w:eastAsia="Times New Roman" w:hAnsi="Times New Roman"/>
                <w:b/>
                <w:bCs/>
                <w:sz w:val="24"/>
                <w:szCs w:val="24"/>
                <w:lang w:eastAsia="lv-LV"/>
              </w:rPr>
            </w:pPr>
            <w:r w:rsidRPr="00A65F4C">
              <w:rPr>
                <w:rFonts w:ascii="Times New Roman" w:eastAsia="Times New Roman" w:hAnsi="Times New Roman"/>
                <w:b/>
                <w:bCs/>
                <w:sz w:val="24"/>
                <w:szCs w:val="24"/>
                <w:lang w:eastAsia="lv-LV"/>
              </w:rPr>
              <w:t> II. Tiesību akta projekta ietekme uz sabiedrību</w:t>
            </w:r>
          </w:p>
        </w:tc>
      </w:tr>
      <w:tr w:rsidR="00D1739C" w:rsidRPr="00A65F4C" w:rsidTr="00A65F4C">
        <w:trPr>
          <w:trHeight w:val="467"/>
        </w:trPr>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1.</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Sabiedrības mērķgrupa</w:t>
            </w:r>
          </w:p>
        </w:tc>
        <w:tc>
          <w:tcPr>
            <w:tcW w:w="6379" w:type="dxa"/>
          </w:tcPr>
          <w:p w:rsidR="007D350E" w:rsidRPr="00A65F4C" w:rsidRDefault="00695F75" w:rsidP="00A65F4C">
            <w:pPr>
              <w:spacing w:before="75" w:after="75" w:line="240" w:lineRule="auto"/>
              <w:ind w:firstLine="441"/>
              <w:jc w:val="both"/>
              <w:rPr>
                <w:rFonts w:ascii="Times New Roman" w:hAnsi="Times New Roman"/>
                <w:sz w:val="24"/>
                <w:szCs w:val="24"/>
              </w:rPr>
            </w:pPr>
            <w:r w:rsidRPr="00A65F4C">
              <w:rPr>
                <w:rFonts w:ascii="Times New Roman" w:hAnsi="Times New Roman"/>
                <w:sz w:val="24"/>
                <w:szCs w:val="24"/>
              </w:rPr>
              <w:t xml:space="preserve">Aizstājot </w:t>
            </w:r>
            <w:r w:rsidR="0012480A" w:rsidRPr="00A65F4C">
              <w:rPr>
                <w:rFonts w:ascii="Times New Roman" w:hAnsi="Times New Roman"/>
                <w:sz w:val="24"/>
                <w:szCs w:val="24"/>
              </w:rPr>
              <w:t xml:space="preserve">kriminālsodu </w:t>
            </w:r>
            <w:r w:rsidRPr="00A65F4C">
              <w:rPr>
                <w:rFonts w:ascii="Times New Roman" w:hAnsi="Times New Roman"/>
                <w:sz w:val="24"/>
                <w:szCs w:val="24"/>
              </w:rPr>
              <w:t>– policijas kontrole</w:t>
            </w:r>
            <w:r w:rsidR="004F7C29">
              <w:rPr>
                <w:rFonts w:ascii="Times New Roman" w:hAnsi="Times New Roman"/>
                <w:sz w:val="24"/>
                <w:szCs w:val="24"/>
              </w:rPr>
              <w:t xml:space="preserve"> -</w:t>
            </w:r>
            <w:r w:rsidRPr="00A65F4C">
              <w:rPr>
                <w:rFonts w:ascii="Times New Roman" w:hAnsi="Times New Roman"/>
                <w:sz w:val="24"/>
                <w:szCs w:val="24"/>
              </w:rPr>
              <w:t xml:space="preserve"> ar jaunu kriminālsodu – probācijas uzraudzība, tiks nodrošinātas plašākas iespējas individualizēt piemērojamo krimināltiesisko represiju, efektīvāk ietekmēt sodītās personas un atturētu viņas no jaunu noziedzīgu nodarījumu izdarīšanas. </w:t>
            </w:r>
          </w:p>
        </w:tc>
      </w:tr>
      <w:tr w:rsidR="00D1739C" w:rsidRPr="00A65F4C" w:rsidTr="00A65F4C">
        <w:trPr>
          <w:trHeight w:val="523"/>
        </w:trPr>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2.</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Citas sabiedrības grupas (bez mērķgrupas), kuras tiesiskais regulējums arī ietekmē vai varētu ietekmēt</w:t>
            </w:r>
          </w:p>
        </w:tc>
        <w:tc>
          <w:tcPr>
            <w:tcW w:w="6379" w:type="dxa"/>
          </w:tcPr>
          <w:p w:rsidR="00D1739C" w:rsidRPr="00A65F4C" w:rsidRDefault="007F5B4F" w:rsidP="00ED7F7F">
            <w:pPr>
              <w:spacing w:before="75" w:after="75" w:line="240" w:lineRule="auto"/>
              <w:ind w:firstLine="461"/>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xml:space="preserve"> </w:t>
            </w:r>
            <w:r w:rsidR="00E75CDC" w:rsidRPr="00A65F4C">
              <w:rPr>
                <w:rFonts w:ascii="Times New Roman" w:eastAsia="Times New Roman" w:hAnsi="Times New Roman"/>
                <w:sz w:val="24"/>
                <w:szCs w:val="24"/>
                <w:lang w:eastAsia="lv-LV"/>
              </w:rPr>
              <w:t>Ieviešot</w:t>
            </w:r>
            <w:r w:rsidR="00695F75" w:rsidRPr="00A65F4C">
              <w:rPr>
                <w:rFonts w:ascii="Times New Roman" w:eastAsia="Times New Roman" w:hAnsi="Times New Roman"/>
                <w:sz w:val="24"/>
                <w:szCs w:val="24"/>
                <w:lang w:eastAsia="lv-LV"/>
              </w:rPr>
              <w:t xml:space="preserve"> kriminālsodu – probācijas uzraudzība, tiks samazināts noziedzīgu nodarījumu recidīvs, tādējādi </w:t>
            </w:r>
            <w:r w:rsidR="00403BCD">
              <w:rPr>
                <w:rFonts w:ascii="Times New Roman" w:eastAsia="Times New Roman" w:hAnsi="Times New Roman"/>
                <w:sz w:val="24"/>
                <w:szCs w:val="24"/>
                <w:lang w:eastAsia="lv-LV"/>
              </w:rPr>
              <w:t>palielinot</w:t>
            </w:r>
            <w:r w:rsidR="00695F75" w:rsidRPr="00A65F4C">
              <w:rPr>
                <w:rFonts w:ascii="Times New Roman" w:eastAsia="Times New Roman" w:hAnsi="Times New Roman"/>
                <w:sz w:val="24"/>
                <w:szCs w:val="24"/>
                <w:lang w:eastAsia="lv-LV"/>
              </w:rPr>
              <w:t xml:space="preserve"> sabiedrības drošību</w:t>
            </w:r>
            <w:r w:rsidR="00ED7F7F">
              <w:rPr>
                <w:rFonts w:ascii="Times New Roman" w:eastAsia="Times New Roman" w:hAnsi="Times New Roman"/>
                <w:sz w:val="24"/>
                <w:szCs w:val="24"/>
                <w:lang w:eastAsia="lv-LV"/>
              </w:rPr>
              <w:t>, jo īpaši attiecībā pret dzimumnoziedzniekiem.</w:t>
            </w:r>
          </w:p>
        </w:tc>
      </w:tr>
      <w:tr w:rsidR="00D1739C" w:rsidRPr="00A65F4C" w:rsidTr="00A65F4C">
        <w:trPr>
          <w:trHeight w:val="517"/>
        </w:trPr>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3.</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Tiesiskā regulējuma finansiālā ietekme</w:t>
            </w:r>
          </w:p>
        </w:tc>
        <w:tc>
          <w:tcPr>
            <w:tcW w:w="6379" w:type="dxa"/>
          </w:tcPr>
          <w:p w:rsidR="00D1739C" w:rsidRPr="00A65F4C" w:rsidRDefault="00E47FC8" w:rsidP="00A65F4C">
            <w:pPr>
              <w:pStyle w:val="Pamatteksts"/>
              <w:jc w:val="both"/>
              <w:rPr>
                <w:rFonts w:ascii="Times New Roman" w:hAnsi="Times New Roman"/>
                <w:sz w:val="24"/>
                <w:szCs w:val="24"/>
              </w:rPr>
            </w:pPr>
            <w:r w:rsidRPr="00A65F4C">
              <w:rPr>
                <w:b/>
                <w:sz w:val="24"/>
                <w:szCs w:val="24"/>
              </w:rPr>
              <w:t xml:space="preserve">       </w:t>
            </w:r>
            <w:r w:rsidR="007F5B4F" w:rsidRPr="00A65F4C">
              <w:rPr>
                <w:b/>
                <w:sz w:val="24"/>
                <w:szCs w:val="24"/>
              </w:rPr>
              <w:t xml:space="preserve">    </w:t>
            </w:r>
            <w:r w:rsidRPr="00A65F4C">
              <w:rPr>
                <w:rFonts w:ascii="Times New Roman" w:hAnsi="Times New Roman"/>
                <w:sz w:val="24"/>
                <w:szCs w:val="24"/>
              </w:rPr>
              <w:t>Lai nodrošinātu kriminālsoda – probācijas uzraudzība</w:t>
            </w:r>
            <w:r w:rsidR="004F7C29">
              <w:rPr>
                <w:rFonts w:ascii="Times New Roman" w:hAnsi="Times New Roman"/>
                <w:sz w:val="24"/>
                <w:szCs w:val="24"/>
              </w:rPr>
              <w:t xml:space="preserve"> –</w:t>
            </w:r>
            <w:r w:rsidRPr="00A65F4C">
              <w:rPr>
                <w:rFonts w:ascii="Times New Roman" w:hAnsi="Times New Roman"/>
                <w:sz w:val="24"/>
                <w:szCs w:val="24"/>
              </w:rPr>
              <w:t xml:space="preserve"> izpildi</w:t>
            </w:r>
            <w:r w:rsidR="004F7C29">
              <w:rPr>
                <w:rFonts w:ascii="Times New Roman" w:hAnsi="Times New Roman"/>
                <w:sz w:val="24"/>
                <w:szCs w:val="24"/>
              </w:rPr>
              <w:t>,</w:t>
            </w:r>
            <w:r w:rsidRPr="00A65F4C">
              <w:rPr>
                <w:rFonts w:ascii="Times New Roman" w:hAnsi="Times New Roman"/>
                <w:sz w:val="24"/>
                <w:szCs w:val="24"/>
              </w:rPr>
              <w:t xml:space="preserve"> VPD būs nepieciešams papildu finansējums no valsts budžeta, ievērojot to, ka probācijas uzraudzības saturs ir daudz plašāks</w:t>
            </w:r>
            <w:r w:rsidR="00763884" w:rsidRPr="00A65F4C">
              <w:rPr>
                <w:rFonts w:ascii="Times New Roman" w:hAnsi="Times New Roman"/>
                <w:sz w:val="24"/>
                <w:szCs w:val="24"/>
              </w:rPr>
              <w:t xml:space="preserve"> par policijas kontroles saturu, un tā realizēšanai </w:t>
            </w:r>
            <w:r w:rsidR="00E75CDC" w:rsidRPr="00A65F4C">
              <w:rPr>
                <w:rFonts w:ascii="Times New Roman" w:hAnsi="Times New Roman"/>
                <w:sz w:val="24"/>
                <w:szCs w:val="24"/>
              </w:rPr>
              <w:t xml:space="preserve">VPD </w:t>
            </w:r>
            <w:r w:rsidR="00763884" w:rsidRPr="00A65F4C">
              <w:rPr>
                <w:rFonts w:ascii="Times New Roman" w:hAnsi="Times New Roman"/>
                <w:sz w:val="24"/>
                <w:szCs w:val="24"/>
              </w:rPr>
              <w:t>nepieciešam</w:t>
            </w:r>
            <w:r w:rsidR="00E75CDC" w:rsidRPr="00A65F4C">
              <w:rPr>
                <w:rFonts w:ascii="Times New Roman" w:hAnsi="Times New Roman"/>
                <w:sz w:val="24"/>
                <w:szCs w:val="24"/>
              </w:rPr>
              <w:t>s</w:t>
            </w:r>
            <w:r w:rsidR="00763884" w:rsidRPr="00A65F4C">
              <w:rPr>
                <w:rFonts w:ascii="Times New Roman" w:hAnsi="Times New Roman"/>
                <w:sz w:val="24"/>
                <w:szCs w:val="24"/>
              </w:rPr>
              <w:t xml:space="preserve"> papildus personāl</w:t>
            </w:r>
            <w:r w:rsidR="00E75CDC" w:rsidRPr="00A65F4C">
              <w:rPr>
                <w:rFonts w:ascii="Times New Roman" w:hAnsi="Times New Roman"/>
                <w:sz w:val="24"/>
                <w:szCs w:val="24"/>
              </w:rPr>
              <w:t>s</w:t>
            </w:r>
            <w:r w:rsidR="00763884" w:rsidRPr="00A65F4C">
              <w:rPr>
                <w:rFonts w:ascii="Times New Roman" w:hAnsi="Times New Roman"/>
                <w:sz w:val="24"/>
                <w:szCs w:val="24"/>
              </w:rPr>
              <w:t xml:space="preserve"> un citi resursi</w:t>
            </w:r>
            <w:r w:rsidRPr="00A65F4C">
              <w:rPr>
                <w:rFonts w:ascii="Times New Roman" w:hAnsi="Times New Roman"/>
                <w:sz w:val="24"/>
                <w:szCs w:val="24"/>
              </w:rPr>
              <w:t>.</w:t>
            </w:r>
            <w:r w:rsidR="00763884" w:rsidRPr="00A65F4C">
              <w:rPr>
                <w:rFonts w:ascii="Times New Roman" w:hAnsi="Times New Roman"/>
                <w:sz w:val="24"/>
                <w:szCs w:val="24"/>
              </w:rPr>
              <w:t xml:space="preserve"> Vienlaikus tiks ietaupīti Valsts policijas resursi, kurus tā pašreiz izlieto kriminālsoda - policijas kontrole</w:t>
            </w:r>
            <w:r w:rsidR="004F7C29">
              <w:rPr>
                <w:rFonts w:ascii="Times New Roman" w:hAnsi="Times New Roman"/>
                <w:sz w:val="24"/>
                <w:szCs w:val="24"/>
              </w:rPr>
              <w:t xml:space="preserve"> -</w:t>
            </w:r>
            <w:r w:rsidR="00763884" w:rsidRPr="00A65F4C">
              <w:rPr>
                <w:rFonts w:ascii="Times New Roman" w:hAnsi="Times New Roman"/>
                <w:sz w:val="24"/>
                <w:szCs w:val="24"/>
              </w:rPr>
              <w:t xml:space="preserve"> izpildes nodrošināšanai.</w:t>
            </w:r>
          </w:p>
        </w:tc>
      </w:tr>
      <w:tr w:rsidR="00D1739C" w:rsidRPr="00A65F4C" w:rsidTr="00FA24BD">
        <w:trPr>
          <w:trHeight w:val="2094"/>
        </w:trPr>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4.</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Tiesiskā regulējuma nefinansiālā ietekme</w:t>
            </w:r>
          </w:p>
        </w:tc>
        <w:tc>
          <w:tcPr>
            <w:tcW w:w="6379" w:type="dxa"/>
          </w:tcPr>
          <w:p w:rsidR="00250AD3" w:rsidRPr="00A65F4C" w:rsidRDefault="004F5D33" w:rsidP="004F7C29">
            <w:pPr>
              <w:spacing w:line="288" w:lineRule="auto"/>
              <w:jc w:val="both"/>
              <w:rPr>
                <w:rFonts w:ascii="Times New Roman" w:hAnsi="Times New Roman"/>
                <w:sz w:val="24"/>
                <w:szCs w:val="24"/>
              </w:rPr>
            </w:pPr>
            <w:r w:rsidRPr="00A65F4C">
              <w:rPr>
                <w:rFonts w:ascii="Times New Roman" w:hAnsi="Times New Roman"/>
                <w:sz w:val="24"/>
                <w:szCs w:val="24"/>
              </w:rPr>
              <w:t xml:space="preserve">      </w:t>
            </w:r>
            <w:r w:rsidR="007F5B4F" w:rsidRPr="00A65F4C">
              <w:rPr>
                <w:rFonts w:ascii="Times New Roman" w:hAnsi="Times New Roman"/>
                <w:sz w:val="24"/>
                <w:szCs w:val="24"/>
              </w:rPr>
              <w:t xml:space="preserve">  </w:t>
            </w:r>
            <w:r w:rsidRPr="00A65F4C">
              <w:rPr>
                <w:rFonts w:ascii="Times New Roman" w:hAnsi="Times New Roman"/>
                <w:sz w:val="24"/>
                <w:szCs w:val="24"/>
              </w:rPr>
              <w:t xml:space="preserve">Paredzot KL iespēju </w:t>
            </w:r>
            <w:r w:rsidR="004F7C29" w:rsidRPr="00A65F4C">
              <w:rPr>
                <w:rFonts w:ascii="Times New Roman" w:hAnsi="Times New Roman"/>
                <w:sz w:val="24"/>
                <w:szCs w:val="24"/>
              </w:rPr>
              <w:t xml:space="preserve">dzimumnoziedzniekiem </w:t>
            </w:r>
            <w:r w:rsidRPr="00A65F4C">
              <w:rPr>
                <w:rFonts w:ascii="Times New Roman" w:hAnsi="Times New Roman"/>
                <w:sz w:val="24"/>
                <w:szCs w:val="24"/>
              </w:rPr>
              <w:t>piemērot papildsodu - probācijas uzraudzība</w:t>
            </w:r>
            <w:r w:rsidR="004F7C29">
              <w:rPr>
                <w:rFonts w:ascii="Times New Roman" w:hAnsi="Times New Roman"/>
                <w:sz w:val="24"/>
                <w:szCs w:val="24"/>
              </w:rPr>
              <w:t xml:space="preserve"> -</w:t>
            </w:r>
            <w:r w:rsidRPr="00A65F4C">
              <w:rPr>
                <w:rFonts w:ascii="Times New Roman" w:hAnsi="Times New Roman"/>
                <w:sz w:val="24"/>
                <w:szCs w:val="24"/>
              </w:rPr>
              <w:t xml:space="preserve"> jau no 2011.gada 1.jūlija, VPD speciālistiem, kuri ir īpaši sagatavoti darbam ar dzimumnoziedzniekiem, tiks radīta iespēja praksē piemērot savas zināšanas un iemaņas, šādi rūpējoties par sabiedrības drošību un mazinot dzimumnoziegumu recidīva gadījumus. </w:t>
            </w:r>
          </w:p>
        </w:tc>
      </w:tr>
      <w:tr w:rsidR="00D1739C" w:rsidRPr="00A65F4C" w:rsidTr="00A65F4C">
        <w:trPr>
          <w:trHeight w:val="531"/>
        </w:trPr>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5.</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Administratīvās procedūras raksturojums</w:t>
            </w:r>
          </w:p>
        </w:tc>
        <w:tc>
          <w:tcPr>
            <w:tcW w:w="6379" w:type="dxa"/>
          </w:tcPr>
          <w:p w:rsidR="00D1739C" w:rsidRPr="00A65F4C" w:rsidRDefault="006C6DAA" w:rsidP="00A65F4C">
            <w:pPr>
              <w:spacing w:before="75" w:after="75" w:line="240" w:lineRule="auto"/>
              <w:ind w:firstLine="461"/>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D1739C" w:rsidRPr="00A65F4C" w:rsidTr="00A65F4C">
        <w:trPr>
          <w:trHeight w:val="357"/>
        </w:trPr>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6.</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Administratīvo izmaksu monetārs novērtējums</w:t>
            </w:r>
          </w:p>
        </w:tc>
        <w:tc>
          <w:tcPr>
            <w:tcW w:w="6379" w:type="dxa"/>
          </w:tcPr>
          <w:p w:rsidR="00D1739C" w:rsidRPr="00A65F4C" w:rsidRDefault="006C6DAA" w:rsidP="00A65F4C">
            <w:pPr>
              <w:spacing w:before="75" w:after="75" w:line="240" w:lineRule="auto"/>
              <w:ind w:firstLine="461"/>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D1739C" w:rsidRPr="00A65F4C" w:rsidTr="00A65F4C">
        <w:tc>
          <w:tcPr>
            <w:tcW w:w="521"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lastRenderedPageBreak/>
              <w:t> 7.</w:t>
            </w:r>
          </w:p>
        </w:tc>
        <w:tc>
          <w:tcPr>
            <w:tcW w:w="2422"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Cita informācija</w:t>
            </w:r>
          </w:p>
        </w:tc>
        <w:tc>
          <w:tcPr>
            <w:tcW w:w="6379" w:type="dxa"/>
          </w:tcPr>
          <w:p w:rsidR="00D1739C" w:rsidRPr="00A65F4C" w:rsidRDefault="006C6DAA" w:rsidP="00A65F4C">
            <w:pPr>
              <w:spacing w:before="75" w:after="75" w:line="240" w:lineRule="auto"/>
              <w:ind w:firstLine="461"/>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w:t>
            </w:r>
          </w:p>
        </w:tc>
      </w:tr>
    </w:tbl>
    <w:p w:rsidR="00D1739C" w:rsidRDefault="00D1739C" w:rsidP="00A91395">
      <w:pPr>
        <w:spacing w:before="75" w:after="75" w:line="240" w:lineRule="auto"/>
        <w:jc w:val="both"/>
        <w:rPr>
          <w:rFonts w:ascii="Times New Roman" w:eastAsia="Times New Roman" w:hAnsi="Times New Roman"/>
          <w:sz w:val="24"/>
          <w:szCs w:val="24"/>
          <w:lang w:eastAsia="lv-LV"/>
        </w:rPr>
      </w:pPr>
    </w:p>
    <w:tbl>
      <w:tblPr>
        <w:tblW w:w="5123" w:type="pct"/>
        <w:tblInd w:w="-112"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3398"/>
        <w:gridCol w:w="1138"/>
        <w:gridCol w:w="1628"/>
        <w:gridCol w:w="994"/>
        <w:gridCol w:w="994"/>
        <w:gridCol w:w="1204"/>
      </w:tblGrid>
      <w:tr w:rsidR="00565824" w:rsidRPr="00103D2B" w:rsidTr="00565824">
        <w:tc>
          <w:tcPr>
            <w:tcW w:w="5000" w:type="pct"/>
            <w:gridSpan w:val="6"/>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jc w:val="center"/>
              <w:rPr>
                <w:rFonts w:ascii="Times New Roman" w:hAnsi="Times New Roman"/>
                <w:b/>
                <w:bCs/>
                <w:sz w:val="24"/>
                <w:szCs w:val="24"/>
              </w:rPr>
            </w:pPr>
            <w:r w:rsidRPr="00103D2B">
              <w:rPr>
                <w:rFonts w:ascii="Times New Roman" w:hAnsi="Times New Roman"/>
                <w:b/>
                <w:bCs/>
                <w:sz w:val="24"/>
                <w:szCs w:val="24"/>
              </w:rPr>
              <w:t>III. Tiesību akta projekta ietekme uz valsts budžetu un pašvaldību budžetiem</w:t>
            </w:r>
          </w:p>
        </w:tc>
      </w:tr>
      <w:tr w:rsidR="00565824" w:rsidRPr="00103D2B" w:rsidTr="00565824">
        <w:trPr>
          <w:trHeight w:val="379"/>
        </w:trPr>
        <w:tc>
          <w:tcPr>
            <w:tcW w:w="1822" w:type="pct"/>
            <w:vMerge w:val="restart"/>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b/>
                <w:bCs/>
                <w:sz w:val="24"/>
                <w:szCs w:val="24"/>
              </w:rPr>
            </w:pPr>
            <w:r w:rsidRPr="00103D2B">
              <w:rPr>
                <w:rFonts w:ascii="Times New Roman" w:hAnsi="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b/>
                <w:bCs/>
                <w:sz w:val="24"/>
                <w:szCs w:val="24"/>
              </w:rPr>
            </w:pPr>
            <w:r w:rsidRPr="00103D2B">
              <w:rPr>
                <w:rFonts w:ascii="Times New Roman" w:hAnsi="Times New Roman"/>
                <w:b/>
                <w:bCs/>
                <w:sz w:val="24"/>
                <w:szCs w:val="24"/>
              </w:rPr>
              <w:t>2010 gads</w:t>
            </w:r>
          </w:p>
        </w:tc>
        <w:tc>
          <w:tcPr>
            <w:tcW w:w="1882" w:type="pct"/>
            <w:gridSpan w:val="3"/>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Turpmākie trīs gadi (tūkst</w:t>
            </w:r>
            <w:smartTag w:uri="schemas-tilde-lv/tildestengine" w:element="currency2">
              <w:smartTagPr>
                <w:attr w:name="currency_id" w:val="48"/>
                <w:attr w:name="currency_key" w:val="LVL"/>
                <w:attr w:name="currency_value" w:val="."/>
                <w:attr w:name="currency_text" w:val="latu"/>
              </w:smartTagPr>
              <w:r w:rsidRPr="00103D2B">
                <w:rPr>
                  <w:rFonts w:ascii="Times New Roman" w:hAnsi="Times New Roman"/>
                  <w:sz w:val="24"/>
                  <w:szCs w:val="24"/>
                </w:rPr>
                <w:t>. latu</w:t>
              </w:r>
            </w:smartTag>
            <w:r w:rsidRPr="00103D2B">
              <w:rPr>
                <w:rFonts w:ascii="Times New Roman" w:hAnsi="Times New Roman"/>
                <w:sz w:val="24"/>
                <w:szCs w:val="24"/>
              </w:rPr>
              <w:t>)</w:t>
            </w:r>
          </w:p>
        </w:tc>
      </w:tr>
      <w:tr w:rsidR="00565824" w:rsidRPr="00103D2B" w:rsidTr="00565824">
        <w:tc>
          <w:tcPr>
            <w:tcW w:w="1822" w:type="pct"/>
            <w:vMerge/>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rPr>
                <w:rFonts w:ascii="Times New Roman" w:hAnsi="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rPr>
                <w:rFonts w:ascii="Times New Roman" w:hAnsi="Times New Roman"/>
                <w:b/>
                <w:bCs/>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b/>
                <w:bCs/>
                <w:sz w:val="24"/>
                <w:szCs w:val="24"/>
              </w:rPr>
            </w:pPr>
            <w:r w:rsidRPr="00103D2B">
              <w:rPr>
                <w:rFonts w:ascii="Times New Roman" w:hAnsi="Times New Roman"/>
                <w:b/>
                <w:bCs/>
                <w:sz w:val="24"/>
                <w:szCs w:val="24"/>
              </w:rPr>
              <w:t>2011</w:t>
            </w:r>
          </w:p>
        </w:tc>
        <w:tc>
          <w:tcPr>
            <w:tcW w:w="0" w:type="auto"/>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b/>
                <w:bCs/>
                <w:sz w:val="24"/>
                <w:szCs w:val="24"/>
              </w:rPr>
            </w:pPr>
            <w:r w:rsidRPr="00103D2B">
              <w:rPr>
                <w:rFonts w:ascii="Times New Roman" w:hAnsi="Times New Roman"/>
                <w:b/>
                <w:bCs/>
                <w:sz w:val="24"/>
                <w:szCs w:val="24"/>
              </w:rPr>
              <w:t>2012</w:t>
            </w:r>
          </w:p>
        </w:tc>
        <w:tc>
          <w:tcPr>
            <w:tcW w:w="649" w:type="pct"/>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b/>
                <w:bCs/>
                <w:sz w:val="24"/>
                <w:szCs w:val="24"/>
              </w:rPr>
            </w:pPr>
            <w:r w:rsidRPr="00103D2B">
              <w:rPr>
                <w:rFonts w:ascii="Times New Roman" w:hAnsi="Times New Roman"/>
                <w:b/>
                <w:bCs/>
                <w:sz w:val="24"/>
                <w:szCs w:val="24"/>
              </w:rPr>
              <w:t>2013</w:t>
            </w:r>
          </w:p>
        </w:tc>
      </w:tr>
      <w:tr w:rsidR="00565824" w:rsidRPr="00103D2B" w:rsidTr="00565824">
        <w:tc>
          <w:tcPr>
            <w:tcW w:w="1822" w:type="pct"/>
            <w:vMerge/>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rPr>
                <w:rFonts w:ascii="Times New Roman" w:hAnsi="Times New Roman"/>
                <w:b/>
                <w:bCs/>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Saskaņā ar valsts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Izmaiņas, salīdzinot ar kārtējo gadu</w:t>
            </w:r>
          </w:p>
        </w:tc>
        <w:tc>
          <w:tcPr>
            <w:tcW w:w="0" w:type="auto"/>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Izmaiņas, salīdzinot ar kārtējo gadu</w:t>
            </w:r>
          </w:p>
        </w:tc>
        <w:tc>
          <w:tcPr>
            <w:tcW w:w="649" w:type="pct"/>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Izmaiņas, salīdzinot ar kārtējo gadu</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5</w:t>
            </w:r>
          </w:p>
        </w:tc>
        <w:tc>
          <w:tcPr>
            <w:tcW w:w="649" w:type="pct"/>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6</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1. Budžeta ieņēmumi:</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1.1. valsts pamatbudžets, tai skaitā ieņēmumi no maksas pakalpo-jumiem un citi pašu ieņēmumi</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1.2. valsts speciālais budžets</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F554D2" w:rsidP="00190478">
            <w:pPr>
              <w:spacing w:line="360" w:lineRule="auto"/>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1.3. pašvaldību budžets</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F554D2" w:rsidP="00190478">
            <w:pPr>
              <w:spacing w:line="360" w:lineRule="auto"/>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F554D2" w:rsidP="00190478">
            <w:pPr>
              <w:spacing w:line="360" w:lineRule="auto"/>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2. Budžeta izdevumi:</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F554D2" w:rsidP="00190478">
            <w:pPr>
              <w:spacing w:line="360" w:lineRule="auto"/>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+ 13</w:t>
            </w:r>
            <w:r w:rsidR="00270BFF">
              <w:rPr>
                <w:rFonts w:ascii="Times New Roman" w:hAnsi="Times New Roman"/>
                <w:sz w:val="24"/>
                <w:szCs w:val="24"/>
              </w:rPr>
              <w:t>,1</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2.1. valsts pamatbudžets</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270BFF" w:rsidP="00190478">
            <w:pPr>
              <w:spacing w:line="360" w:lineRule="auto"/>
              <w:rPr>
                <w:rFonts w:ascii="Times New Roman" w:hAnsi="Times New Roman"/>
                <w:sz w:val="24"/>
                <w:szCs w:val="24"/>
              </w:rPr>
            </w:pPr>
            <w:r>
              <w:rPr>
                <w:rFonts w:ascii="Times New Roman" w:hAnsi="Times New Roman"/>
                <w:sz w:val="24"/>
                <w:szCs w:val="24"/>
              </w:rPr>
              <w:t> + 13,1</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2.2. valsts speciālais budžets</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2.3. pašvaldību budžets</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3. Finansiālā ietekme:</w:t>
            </w:r>
          </w:p>
        </w:tc>
        <w:tc>
          <w:tcPr>
            <w:tcW w:w="0" w:type="auto"/>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270BFF" w:rsidP="00190478">
            <w:pPr>
              <w:spacing w:line="360" w:lineRule="auto"/>
              <w:rPr>
                <w:rFonts w:ascii="Times New Roman" w:hAnsi="Times New Roman"/>
                <w:sz w:val="24"/>
                <w:szCs w:val="24"/>
              </w:rPr>
            </w:pPr>
            <w:r>
              <w:rPr>
                <w:rFonts w:ascii="Times New Roman" w:hAnsi="Times New Roman"/>
                <w:sz w:val="24"/>
                <w:szCs w:val="24"/>
              </w:rPr>
              <w:t> - 13,1</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3.1. valsts pamatbudžets</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F554D2" w:rsidP="00190478">
            <w:pPr>
              <w:spacing w:line="360" w:lineRule="auto"/>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F554D2" w:rsidP="00190478">
            <w:pPr>
              <w:spacing w:line="360" w:lineRule="auto"/>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270BFF" w:rsidP="00190478">
            <w:pPr>
              <w:spacing w:line="360" w:lineRule="auto"/>
              <w:rPr>
                <w:rFonts w:ascii="Times New Roman" w:hAnsi="Times New Roman"/>
                <w:sz w:val="24"/>
                <w:szCs w:val="24"/>
              </w:rPr>
            </w:pPr>
            <w:r>
              <w:rPr>
                <w:rFonts w:ascii="Times New Roman" w:hAnsi="Times New Roman"/>
                <w:sz w:val="24"/>
                <w:szCs w:val="24"/>
              </w:rPr>
              <w:t> - 13,1</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3.2. speciālais budžets</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3.3. pašvaldību budžets</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F554D2" w:rsidP="00190478">
            <w:pPr>
              <w:spacing w:line="360" w:lineRule="auto"/>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r>
      <w:tr w:rsidR="00565824" w:rsidRPr="00103D2B" w:rsidTr="00565824">
        <w:trPr>
          <w:trHeight w:val="1140"/>
        </w:trPr>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lastRenderedPageBreak/>
              <w:t>4. Finanšu līdzekļi papildu izde</w:t>
            </w:r>
            <w:r w:rsidRPr="00103D2B">
              <w:rPr>
                <w:rFonts w:ascii="Times New Roman" w:hAnsi="Times New Roman"/>
                <w:sz w:val="24"/>
                <w:szCs w:val="24"/>
              </w:rPr>
              <w:softHyphen/>
              <w:t>vumu finansēšanai (kompensējošu izdevumu samazinājumu norāda ar "+" zīmi)</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X</w:t>
            </w:r>
          </w:p>
        </w:tc>
        <w:tc>
          <w:tcPr>
            <w:tcW w:w="0" w:type="auto"/>
            <w:tcBorders>
              <w:top w:val="outset" w:sz="6" w:space="0" w:color="000000"/>
              <w:left w:val="outset" w:sz="6" w:space="0" w:color="000000"/>
              <w:right w:val="outset" w:sz="6" w:space="0" w:color="000000"/>
            </w:tcBorders>
          </w:tcPr>
          <w:p w:rsidR="00565824" w:rsidRPr="00103D2B" w:rsidRDefault="00F554D2" w:rsidP="00190478">
            <w:pPr>
              <w:spacing w:line="360" w:lineRule="auto"/>
              <w:rPr>
                <w:rFonts w:ascii="Times New Roman" w:hAnsi="Times New Roman"/>
                <w:sz w:val="24"/>
                <w:szCs w:val="24"/>
              </w:rPr>
            </w:pPr>
            <w:r>
              <w:rPr>
                <w:rFonts w:ascii="Times New Roman" w:hAnsi="Times New Roman"/>
                <w:sz w:val="24"/>
                <w:szCs w:val="24"/>
              </w:rPr>
              <w:t>0</w:t>
            </w:r>
          </w:p>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p>
        </w:tc>
        <w:tc>
          <w:tcPr>
            <w:tcW w:w="0" w:type="auto"/>
            <w:tcBorders>
              <w:top w:val="outset" w:sz="6" w:space="0" w:color="000000"/>
              <w:left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p>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p>
        </w:tc>
        <w:tc>
          <w:tcPr>
            <w:tcW w:w="0" w:type="auto"/>
            <w:tcBorders>
              <w:top w:val="outset" w:sz="6" w:space="0" w:color="000000"/>
              <w:left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p>
        </w:tc>
        <w:tc>
          <w:tcPr>
            <w:tcW w:w="649" w:type="pct"/>
            <w:tcBorders>
              <w:top w:val="outset" w:sz="6" w:space="0" w:color="000000"/>
              <w:left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5. Precizēta finansiālā ietekme:</w:t>
            </w:r>
          </w:p>
        </w:tc>
        <w:tc>
          <w:tcPr>
            <w:tcW w:w="0" w:type="auto"/>
            <w:vMerge w:val="restar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jc w:val="center"/>
              <w:rPr>
                <w:rFonts w:ascii="Times New Roman" w:hAnsi="Times New Roman"/>
                <w:sz w:val="24"/>
                <w:szCs w:val="24"/>
              </w:rPr>
            </w:pPr>
            <w:r w:rsidRPr="00103D2B">
              <w:rPr>
                <w:rFonts w:ascii="Times New Roman" w:hAnsi="Times New Roman"/>
                <w:sz w:val="24"/>
                <w:szCs w:val="24"/>
              </w:rPr>
              <w:t>X</w:t>
            </w:r>
          </w:p>
        </w:tc>
        <w:tc>
          <w:tcPr>
            <w:tcW w:w="0" w:type="auto"/>
            <w:vMerge w:val="restart"/>
            <w:tcBorders>
              <w:top w:val="outset" w:sz="6" w:space="0" w:color="000000"/>
              <w:left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r w:rsidR="00F554D2">
              <w:rPr>
                <w:rFonts w:ascii="Times New Roman" w:hAnsi="Times New Roman"/>
                <w:sz w:val="24"/>
                <w:szCs w:val="24"/>
              </w:rPr>
              <w:t>0</w:t>
            </w:r>
          </w:p>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F554D2" w:rsidP="00190478">
            <w:pPr>
              <w:spacing w:line="360" w:lineRule="auto"/>
              <w:rPr>
                <w:rFonts w:ascii="Times New Roman" w:hAnsi="Times New Roman"/>
                <w:sz w:val="24"/>
                <w:szCs w:val="24"/>
              </w:rPr>
            </w:pPr>
            <w:r>
              <w:rPr>
                <w:rFonts w:ascii="Times New Roman" w:hAnsi="Times New Roman"/>
                <w:sz w:val="24"/>
                <w:szCs w:val="24"/>
              </w:rPr>
              <w:t> -</w:t>
            </w:r>
            <w:r w:rsidR="00270BFF">
              <w:rPr>
                <w:rFonts w:ascii="Times New Roman" w:hAnsi="Times New Roman"/>
                <w:sz w:val="24"/>
                <w:szCs w:val="24"/>
              </w:rPr>
              <w:t xml:space="preserve"> 13,1</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5.1. valsts pamatbudžets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rPr>
                <w:rFonts w:ascii="Times New Roman" w:hAnsi="Times New Roman"/>
                <w:sz w:val="24"/>
                <w:szCs w:val="24"/>
              </w:rPr>
            </w:pPr>
          </w:p>
        </w:tc>
        <w:tc>
          <w:tcPr>
            <w:tcW w:w="0" w:type="auto"/>
            <w:vMerge/>
            <w:tcBorders>
              <w:left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F554D2" w:rsidP="00190478">
            <w:pPr>
              <w:spacing w:line="360" w:lineRule="auto"/>
              <w:rPr>
                <w:rFonts w:ascii="Times New Roman" w:hAnsi="Times New Roman"/>
                <w:sz w:val="24"/>
                <w:szCs w:val="24"/>
              </w:rPr>
            </w:pPr>
            <w:r>
              <w:rPr>
                <w:rFonts w:ascii="Times New Roman" w:hAnsi="Times New Roman"/>
                <w:sz w:val="24"/>
                <w:szCs w:val="24"/>
              </w:rPr>
              <w:t> -</w:t>
            </w:r>
            <w:r w:rsidR="00270BFF">
              <w:rPr>
                <w:rFonts w:ascii="Times New Roman" w:hAnsi="Times New Roman"/>
                <w:sz w:val="24"/>
                <w:szCs w:val="24"/>
              </w:rPr>
              <w:t xml:space="preserve"> 13,1</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5.2. speciālais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rPr>
                <w:rFonts w:ascii="Times New Roman" w:hAnsi="Times New Roman"/>
                <w:sz w:val="24"/>
                <w:szCs w:val="24"/>
              </w:rPr>
            </w:pPr>
          </w:p>
        </w:tc>
        <w:tc>
          <w:tcPr>
            <w:tcW w:w="0" w:type="auto"/>
            <w:vMerge/>
            <w:tcBorders>
              <w:left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5.3. pašvaldību budžets</w:t>
            </w:r>
          </w:p>
        </w:tc>
        <w:tc>
          <w:tcPr>
            <w:tcW w:w="0" w:type="auto"/>
            <w:vMerge/>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0" w:type="auto"/>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c>
          <w:tcPr>
            <w:tcW w:w="649"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line="360" w:lineRule="auto"/>
              <w:rPr>
                <w:rFonts w:ascii="Times New Roman" w:hAnsi="Times New Roman"/>
                <w:sz w:val="24"/>
                <w:szCs w:val="24"/>
              </w:rPr>
            </w:pPr>
            <w:r w:rsidRPr="00103D2B">
              <w:rPr>
                <w:rFonts w:ascii="Times New Roman" w:hAnsi="Times New Roman"/>
                <w:sz w:val="24"/>
                <w:szCs w:val="24"/>
              </w:rPr>
              <w:t> 0</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6. Detalizēts ieņēmumu un izdevu</w:t>
            </w:r>
            <w:r w:rsidRPr="00103D2B">
              <w:rPr>
                <w:rFonts w:ascii="Times New Roman" w:hAnsi="Times New Roman"/>
                <w:sz w:val="24"/>
                <w:szCs w:val="24"/>
              </w:rPr>
              <w:softHyphen/>
              <w:t>mu aprēķins (ja nepieciešams, detalizētu ieņēmumu un izdevumu aprēķinu var pievienot anotācijas pielikumā):</w:t>
            </w:r>
          </w:p>
        </w:tc>
        <w:tc>
          <w:tcPr>
            <w:tcW w:w="3178" w:type="pct"/>
            <w:gridSpan w:val="5"/>
            <w:vMerge w:val="restart"/>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t xml:space="preserve">Papildsoda probācijas uzraudzība ieviešana iecerēta pakāpeniski – probācijas klientu palielinājums šī papildsoda ietvaros Valsts probācijas dienestam ilgs no 2011.gada 1. jūlija līdz 2024. gadam, kad tam būtu jāstabilizējas. Kopumā šī papildsoda izpildes nodrošināšanai Valsts probācijas dienestam 2023.gadā papildus būs nepieciešami 42 darbinieki - 2013.gadā papildus būs nepieciešams tikai viens darbinieks un tālāk ar katru gadu būs nepieciešams darbinieku skaita pakāpenisks palielinājums saskaņā ar anotācijas pielikumā norādīto detalizēto izdevumu aprēķinu. </w:t>
            </w:r>
          </w:p>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t>Kopējie plānotie izdevumi probācijas uzraudzības ieviešanai:</w:t>
            </w:r>
          </w:p>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t xml:space="preserve">2013.gadā – 13 </w:t>
            </w:r>
            <w:smartTag w:uri="schemas-tilde-lv/tildestengine" w:element="currency2">
              <w:smartTagPr>
                <w:attr w:name="currency_id" w:val="48"/>
                <w:attr w:name="currency_key" w:val="LVL"/>
                <w:attr w:name="currency_value" w:val="126"/>
                <w:attr w:name="currency_text" w:val="LVL"/>
              </w:smartTagPr>
              <w:r w:rsidRPr="00103D2B">
                <w:rPr>
                  <w:rFonts w:ascii="Times New Roman" w:hAnsi="Times New Roman"/>
                  <w:sz w:val="24"/>
                  <w:szCs w:val="24"/>
                </w:rPr>
                <w:t>126 LVL</w:t>
              </w:r>
            </w:smartTag>
          </w:p>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t xml:space="preserve">2014.gadā – 25 </w:t>
            </w:r>
            <w:smartTag w:uri="schemas-tilde-lv/tildestengine" w:element="currency2">
              <w:smartTagPr>
                <w:attr w:name="currency_id" w:val="48"/>
                <w:attr w:name="currency_key" w:val="LVL"/>
                <w:attr w:name="currency_value" w:val="074"/>
                <w:attr w:name="currency_text" w:val="LVL"/>
              </w:smartTagPr>
              <w:r w:rsidRPr="00103D2B">
                <w:rPr>
                  <w:rFonts w:ascii="Times New Roman" w:hAnsi="Times New Roman"/>
                  <w:sz w:val="24"/>
                  <w:szCs w:val="24"/>
                </w:rPr>
                <w:t>074 LVL</w:t>
              </w:r>
            </w:smartTag>
          </w:p>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t xml:space="preserve">2015.gadā – 36 </w:t>
            </w:r>
            <w:smartTag w:uri="schemas-tilde-lv/tildestengine" w:element="currency2">
              <w:smartTagPr>
                <w:attr w:name="currency_id" w:val="48"/>
                <w:attr w:name="currency_key" w:val="LVL"/>
                <w:attr w:name="currency_value" w:val="901"/>
                <w:attr w:name="currency_text" w:val="LVL"/>
              </w:smartTagPr>
              <w:r w:rsidRPr="00103D2B">
                <w:rPr>
                  <w:rFonts w:ascii="Times New Roman" w:hAnsi="Times New Roman"/>
                  <w:sz w:val="24"/>
                  <w:szCs w:val="24"/>
                </w:rPr>
                <w:t>901 LVL</w:t>
              </w:r>
            </w:smartTag>
          </w:p>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t xml:space="preserve">2016.gadā – 35 </w:t>
            </w:r>
            <w:smartTag w:uri="schemas-tilde-lv/tildestengine" w:element="currency2">
              <w:smartTagPr>
                <w:attr w:name="currency_id" w:val="48"/>
                <w:attr w:name="currency_key" w:val="LVL"/>
                <w:attr w:name="currency_value" w:val="481"/>
                <w:attr w:name="currency_text" w:val="LVL"/>
              </w:smartTagPr>
              <w:r w:rsidRPr="00103D2B">
                <w:rPr>
                  <w:rFonts w:ascii="Times New Roman" w:hAnsi="Times New Roman"/>
                  <w:sz w:val="24"/>
                  <w:szCs w:val="24"/>
                </w:rPr>
                <w:t>481 LVL</w:t>
              </w:r>
            </w:smartTag>
          </w:p>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t xml:space="preserve">2017.gadā – 35 </w:t>
            </w:r>
            <w:smartTag w:uri="schemas-tilde-lv/tildestengine" w:element="currency2">
              <w:smartTagPr>
                <w:attr w:name="currency_id" w:val="48"/>
                <w:attr w:name="currency_key" w:val="LVL"/>
                <w:attr w:name="currency_value" w:val="481"/>
                <w:attr w:name="currency_text" w:val="LVL"/>
              </w:smartTagPr>
              <w:r w:rsidRPr="00103D2B">
                <w:rPr>
                  <w:rFonts w:ascii="Times New Roman" w:hAnsi="Times New Roman"/>
                  <w:sz w:val="24"/>
                  <w:szCs w:val="24"/>
                </w:rPr>
                <w:t>481 LVL</w:t>
              </w:r>
            </w:smartTag>
          </w:p>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t xml:space="preserve">2018.gadā – </w:t>
            </w:r>
            <w:smartTag w:uri="schemas-tilde-lv/tildestengine" w:element="currency2">
              <w:smartTagPr>
                <w:attr w:name="currency_id" w:val="48"/>
                <w:attr w:name="currency_key" w:val="LVL"/>
                <w:attr w:name="currency_value" w:val="141720"/>
                <w:attr w:name="currency_text" w:val="LVL"/>
              </w:smartTagPr>
              <w:r w:rsidRPr="00103D2B">
                <w:rPr>
                  <w:rFonts w:ascii="Times New Roman" w:hAnsi="Times New Roman"/>
                  <w:sz w:val="24"/>
                  <w:szCs w:val="24"/>
                </w:rPr>
                <w:t>141720 LVL</w:t>
              </w:r>
            </w:smartTag>
          </w:p>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t xml:space="preserve">2019.gadā – 211 </w:t>
            </w:r>
            <w:smartTag w:uri="schemas-tilde-lv/tildestengine" w:element="currency2">
              <w:smartTagPr>
                <w:attr w:name="currency_id" w:val="48"/>
                <w:attr w:name="currency_key" w:val="LVL"/>
                <w:attr w:name="currency_value" w:val="583"/>
                <w:attr w:name="currency_text" w:val="LVL"/>
              </w:smartTagPr>
              <w:r w:rsidRPr="00103D2B">
                <w:rPr>
                  <w:rFonts w:ascii="Times New Roman" w:hAnsi="Times New Roman"/>
                  <w:sz w:val="24"/>
                  <w:szCs w:val="24"/>
                </w:rPr>
                <w:t>583 LVL</w:t>
              </w:r>
            </w:smartTag>
          </w:p>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t xml:space="preserve">2020.gadā – 288 </w:t>
            </w:r>
            <w:smartTag w:uri="schemas-tilde-lv/tildestengine" w:element="currency2">
              <w:smartTagPr>
                <w:attr w:name="currency_id" w:val="48"/>
                <w:attr w:name="currency_key" w:val="LVL"/>
                <w:attr w:name="currency_value" w:val="195"/>
                <w:attr w:name="currency_text" w:val="LVL"/>
              </w:smartTagPr>
              <w:r w:rsidRPr="00103D2B">
                <w:rPr>
                  <w:rFonts w:ascii="Times New Roman" w:hAnsi="Times New Roman"/>
                  <w:sz w:val="24"/>
                  <w:szCs w:val="24"/>
                </w:rPr>
                <w:t>195 LVL</w:t>
              </w:r>
            </w:smartTag>
          </w:p>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t xml:space="preserve">2021.gadā – 363 </w:t>
            </w:r>
            <w:smartTag w:uri="schemas-tilde-lv/tildestengine" w:element="currency2">
              <w:smartTagPr>
                <w:attr w:name="currency_id" w:val="48"/>
                <w:attr w:name="currency_key" w:val="LVL"/>
                <w:attr w:name="currency_value" w:val="197"/>
                <w:attr w:name="currency_text" w:val="LVL"/>
              </w:smartTagPr>
              <w:r w:rsidRPr="00103D2B">
                <w:rPr>
                  <w:rFonts w:ascii="Times New Roman" w:hAnsi="Times New Roman"/>
                  <w:sz w:val="24"/>
                  <w:szCs w:val="24"/>
                </w:rPr>
                <w:t>197 LVL</w:t>
              </w:r>
            </w:smartTag>
          </w:p>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lastRenderedPageBreak/>
              <w:t xml:space="preserve">2022.gadā – 441 </w:t>
            </w:r>
            <w:smartTag w:uri="schemas-tilde-lv/tildestengine" w:element="currency2">
              <w:smartTagPr>
                <w:attr w:name="currency_id" w:val="48"/>
                <w:attr w:name="currency_key" w:val="LVL"/>
                <w:attr w:name="currency_value" w:val="946"/>
                <w:attr w:name="currency_text" w:val="LVL"/>
              </w:smartTagPr>
              <w:r w:rsidRPr="00103D2B">
                <w:rPr>
                  <w:rFonts w:ascii="Times New Roman" w:hAnsi="Times New Roman"/>
                  <w:sz w:val="24"/>
                  <w:szCs w:val="24"/>
                </w:rPr>
                <w:t>946 LVL</w:t>
              </w:r>
            </w:smartTag>
          </w:p>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t xml:space="preserve">2023.gadā un turpmāk – 495 </w:t>
            </w:r>
            <w:smartTag w:uri="schemas-tilde-lv/tildestengine" w:element="currency2">
              <w:smartTagPr>
                <w:attr w:name="currency_id" w:val="48"/>
                <w:attr w:name="currency_key" w:val="LVL"/>
                <w:attr w:name="currency_value" w:val="121"/>
                <w:attr w:name="currency_text" w:val="LVL"/>
              </w:smartTagPr>
              <w:r w:rsidRPr="00103D2B">
                <w:rPr>
                  <w:rFonts w:ascii="Times New Roman" w:hAnsi="Times New Roman"/>
                  <w:sz w:val="24"/>
                  <w:szCs w:val="24"/>
                </w:rPr>
                <w:t>121 LVL</w:t>
              </w:r>
            </w:smartTag>
          </w:p>
          <w:p w:rsidR="00565824" w:rsidRPr="00103D2B" w:rsidRDefault="00565824" w:rsidP="00190478">
            <w:pPr>
              <w:jc w:val="both"/>
              <w:rPr>
                <w:rFonts w:ascii="Times New Roman" w:hAnsi="Times New Roman"/>
                <w:sz w:val="24"/>
                <w:szCs w:val="24"/>
              </w:rPr>
            </w:pPr>
            <w:r w:rsidRPr="00103D2B">
              <w:rPr>
                <w:rFonts w:ascii="Times New Roman" w:hAnsi="Times New Roman"/>
                <w:sz w:val="24"/>
                <w:szCs w:val="24"/>
              </w:rPr>
              <w:t xml:space="preserve">Detalizēts izdevumu aprēķins </w:t>
            </w:r>
            <w:r w:rsidR="00F554D2">
              <w:rPr>
                <w:rFonts w:ascii="Times New Roman" w:hAnsi="Times New Roman"/>
                <w:sz w:val="24"/>
                <w:szCs w:val="24"/>
              </w:rPr>
              <w:t xml:space="preserve">kārtējam un diviem turpmākajiem gadiem </w:t>
            </w:r>
            <w:r w:rsidRPr="00103D2B">
              <w:rPr>
                <w:rFonts w:ascii="Times New Roman" w:hAnsi="Times New Roman"/>
                <w:sz w:val="24"/>
                <w:szCs w:val="24"/>
              </w:rPr>
              <w:t>anotācijas pielikumā.</w:t>
            </w: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6.1. detalizēts ieņēmumu aprēķins</w:t>
            </w:r>
          </w:p>
        </w:tc>
        <w:tc>
          <w:tcPr>
            <w:tcW w:w="3178" w:type="pct"/>
            <w:gridSpan w:val="5"/>
            <w:vMerge/>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rPr>
                <w:rFonts w:ascii="Times New Roman" w:hAnsi="Times New Roman"/>
                <w:sz w:val="24"/>
                <w:szCs w:val="24"/>
              </w:rPr>
            </w:pP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6.2. detalizēts izdevumu aprēķins</w:t>
            </w:r>
          </w:p>
        </w:tc>
        <w:tc>
          <w:tcPr>
            <w:tcW w:w="3178" w:type="pct"/>
            <w:gridSpan w:val="5"/>
            <w:vMerge/>
            <w:tcBorders>
              <w:top w:val="outset" w:sz="6" w:space="0" w:color="000000"/>
              <w:left w:val="outset" w:sz="6" w:space="0" w:color="000000"/>
              <w:bottom w:val="outset" w:sz="6" w:space="0" w:color="000000"/>
              <w:right w:val="outset" w:sz="6" w:space="0" w:color="000000"/>
            </w:tcBorders>
            <w:vAlign w:val="center"/>
          </w:tcPr>
          <w:p w:rsidR="00565824" w:rsidRPr="00103D2B" w:rsidRDefault="00565824" w:rsidP="00190478">
            <w:pPr>
              <w:rPr>
                <w:rFonts w:ascii="Times New Roman" w:hAnsi="Times New Roman"/>
                <w:sz w:val="24"/>
                <w:szCs w:val="24"/>
              </w:rPr>
            </w:pPr>
          </w:p>
        </w:tc>
      </w:tr>
      <w:tr w:rsidR="00565824" w:rsidRPr="00103D2B" w:rsidTr="00565824">
        <w:tc>
          <w:tcPr>
            <w:tcW w:w="1822" w:type="pct"/>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lastRenderedPageBreak/>
              <w:t>7. Cita informācija</w:t>
            </w:r>
          </w:p>
        </w:tc>
        <w:tc>
          <w:tcPr>
            <w:tcW w:w="3178" w:type="pct"/>
            <w:gridSpan w:val="5"/>
            <w:tcBorders>
              <w:top w:val="outset" w:sz="6" w:space="0" w:color="000000"/>
              <w:left w:val="outset" w:sz="6" w:space="0" w:color="000000"/>
              <w:bottom w:val="outset" w:sz="6" w:space="0" w:color="000000"/>
              <w:right w:val="outset" w:sz="6" w:space="0" w:color="000000"/>
            </w:tcBorders>
          </w:tcPr>
          <w:p w:rsidR="00565824" w:rsidRPr="00103D2B" w:rsidRDefault="00565824" w:rsidP="00190478">
            <w:pPr>
              <w:spacing w:before="100" w:beforeAutospacing="1" w:after="100" w:afterAutospacing="1"/>
              <w:rPr>
                <w:rFonts w:ascii="Times New Roman" w:hAnsi="Times New Roman"/>
                <w:sz w:val="24"/>
                <w:szCs w:val="24"/>
              </w:rPr>
            </w:pPr>
            <w:r w:rsidRPr="00103D2B">
              <w:rPr>
                <w:rFonts w:ascii="Times New Roman" w:hAnsi="Times New Roman"/>
                <w:sz w:val="24"/>
                <w:szCs w:val="24"/>
              </w:rPr>
              <w:t>Ņemot vērā, ka papildsoda probācijas uzraudzība ieviešanas rezultātā ar to tiks pakāpeniski aizstāts papildsods policijas kontrole, lemjot jautājumu par budžeta līdzekļu piešķiršanu katram nākošajam gadam, ir jāņem vērā informācija par policijas kontroles ietvaros paliekošajiem un to ikgadējo samazinājumu. Tādējādi nodrošinot līdzekļu adekvātu sadali starp Iekšlietu un Tieslietu resoriem.</w:t>
            </w:r>
          </w:p>
        </w:tc>
      </w:tr>
    </w:tbl>
    <w:p w:rsidR="00565824" w:rsidRDefault="00565824" w:rsidP="00A91395">
      <w:pPr>
        <w:spacing w:before="75" w:after="75" w:line="240" w:lineRule="auto"/>
        <w:jc w:val="both"/>
        <w:rPr>
          <w:rFonts w:ascii="Times New Roman" w:eastAsia="Times New Roman" w:hAnsi="Times New Roman"/>
          <w:sz w:val="24"/>
          <w:szCs w:val="24"/>
          <w:lang w:eastAsia="lv-LV"/>
        </w:rPr>
      </w:pPr>
    </w:p>
    <w:tbl>
      <w:tblPr>
        <w:tblW w:w="9251" w:type="dxa"/>
        <w:jc w:val="center"/>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2887"/>
        <w:gridCol w:w="5848"/>
      </w:tblGrid>
      <w:tr w:rsidR="00912648" w:rsidRPr="007F5B4F" w:rsidTr="007F5B4F">
        <w:trPr>
          <w:jc w:val="center"/>
        </w:trPr>
        <w:tc>
          <w:tcPr>
            <w:tcW w:w="9251" w:type="dxa"/>
            <w:gridSpan w:val="3"/>
          </w:tcPr>
          <w:p w:rsidR="00912648" w:rsidRPr="007F5B4F" w:rsidRDefault="00912648" w:rsidP="00A54F6E">
            <w:pPr>
              <w:pStyle w:val="naisnod"/>
              <w:spacing w:before="0" w:after="0"/>
            </w:pPr>
            <w:r w:rsidRPr="007F5B4F">
              <w:t>IV. Tiesību akta projekta ietekme uz spēkā esošo tiesību normu sistēmu</w:t>
            </w:r>
          </w:p>
        </w:tc>
      </w:tr>
      <w:tr w:rsidR="00912648" w:rsidRPr="007F5B4F" w:rsidTr="000761E6">
        <w:trPr>
          <w:jc w:val="center"/>
        </w:trPr>
        <w:tc>
          <w:tcPr>
            <w:tcW w:w="516" w:type="dxa"/>
          </w:tcPr>
          <w:p w:rsidR="00912648" w:rsidRPr="007F5B4F" w:rsidRDefault="00912648" w:rsidP="00A54F6E">
            <w:pPr>
              <w:pStyle w:val="naiskr"/>
              <w:tabs>
                <w:tab w:val="left" w:pos="2628"/>
              </w:tabs>
              <w:spacing w:before="0" w:after="0"/>
              <w:jc w:val="both"/>
              <w:rPr>
                <w:iCs/>
              </w:rPr>
            </w:pPr>
            <w:r w:rsidRPr="007F5B4F">
              <w:rPr>
                <w:iCs/>
              </w:rPr>
              <w:t>1.</w:t>
            </w:r>
          </w:p>
        </w:tc>
        <w:tc>
          <w:tcPr>
            <w:tcW w:w="2887" w:type="dxa"/>
          </w:tcPr>
          <w:p w:rsidR="00912648" w:rsidRPr="007F5B4F" w:rsidRDefault="00912648" w:rsidP="00A54F6E">
            <w:pPr>
              <w:pStyle w:val="naiskr"/>
              <w:tabs>
                <w:tab w:val="left" w:pos="2628"/>
              </w:tabs>
              <w:spacing w:before="0" w:after="0"/>
              <w:jc w:val="both"/>
              <w:rPr>
                <w:iCs/>
              </w:rPr>
            </w:pPr>
            <w:r w:rsidRPr="007F5B4F">
              <w:t>Nepieciešamie saistītie tiesību aktu projekti</w:t>
            </w:r>
          </w:p>
        </w:tc>
        <w:tc>
          <w:tcPr>
            <w:tcW w:w="5848" w:type="dxa"/>
          </w:tcPr>
          <w:p w:rsidR="00912648" w:rsidRPr="0019033D" w:rsidRDefault="00912648" w:rsidP="00912648">
            <w:pPr>
              <w:pStyle w:val="naispant"/>
              <w:spacing w:before="0" w:after="0"/>
              <w:ind w:left="0" w:firstLine="0"/>
              <w:rPr>
                <w:b w:val="0"/>
                <w:color w:val="000000"/>
                <w:highlight w:val="yellow"/>
              </w:rPr>
            </w:pPr>
            <w:r w:rsidRPr="0019033D">
              <w:t xml:space="preserve">       </w:t>
            </w:r>
            <w:r w:rsidRPr="0019033D">
              <w:rPr>
                <w:b w:val="0"/>
              </w:rPr>
              <w:t xml:space="preserve">Īstenojot koncepcijā ietverto risinājumu par </w:t>
            </w:r>
            <w:r w:rsidR="0012480A" w:rsidRPr="0019033D">
              <w:rPr>
                <w:b w:val="0"/>
              </w:rPr>
              <w:t>kriminālsoda</w:t>
            </w:r>
            <w:r w:rsidR="0012480A" w:rsidRPr="0019033D">
              <w:t xml:space="preserve"> </w:t>
            </w:r>
            <w:r w:rsidRPr="0019033D">
              <w:rPr>
                <w:b w:val="0"/>
              </w:rPr>
              <w:t>– policijas kontrole</w:t>
            </w:r>
            <w:r w:rsidR="005933A5">
              <w:rPr>
                <w:b w:val="0"/>
              </w:rPr>
              <w:t xml:space="preserve"> -</w:t>
            </w:r>
            <w:r w:rsidRPr="0019033D">
              <w:rPr>
                <w:b w:val="0"/>
              </w:rPr>
              <w:t xml:space="preserve"> aizstāšanu ar jaunu kriminālsodu – probācijas uzraudzība, paralēli šim likumprojektam ir sagatavots</w:t>
            </w:r>
            <w:r w:rsidRPr="0019033D">
              <w:rPr>
                <w:b w:val="0"/>
                <w:color w:val="000000"/>
              </w:rPr>
              <w:t xml:space="preserve"> likumprojekts „Grozījumi Latvijas Sodu izpildes kodeksā”</w:t>
            </w:r>
            <w:r w:rsidRPr="0019033D">
              <w:rPr>
                <w:b w:val="0"/>
              </w:rPr>
              <w:t xml:space="preserve"> </w:t>
            </w:r>
            <w:r w:rsidRPr="0019033D">
              <w:rPr>
                <w:b w:val="0"/>
                <w:color w:val="000000"/>
              </w:rPr>
              <w:t>un</w:t>
            </w:r>
            <w:r w:rsidRPr="0019033D">
              <w:rPr>
                <w:b w:val="0"/>
              </w:rPr>
              <w:t xml:space="preserve"> likumprojekts </w:t>
            </w:r>
            <w:r w:rsidRPr="0019033D">
              <w:t>„</w:t>
            </w:r>
            <w:r w:rsidRPr="0019033D">
              <w:rPr>
                <w:rStyle w:val="Izteiksmgs"/>
                <w:bCs/>
                <w:color w:val="000000"/>
              </w:rPr>
              <w:t>Grozījumi Valsts probācijas dienesta likumā</w:t>
            </w:r>
            <w:r w:rsidRPr="0019033D">
              <w:t>”</w:t>
            </w:r>
            <w:r w:rsidRPr="0019033D">
              <w:rPr>
                <w:color w:val="000000"/>
              </w:rPr>
              <w:t>.</w:t>
            </w:r>
          </w:p>
        </w:tc>
      </w:tr>
      <w:tr w:rsidR="00912648" w:rsidRPr="007F5B4F" w:rsidTr="000761E6">
        <w:trPr>
          <w:jc w:val="center"/>
        </w:trPr>
        <w:tc>
          <w:tcPr>
            <w:tcW w:w="516" w:type="dxa"/>
          </w:tcPr>
          <w:p w:rsidR="00912648" w:rsidRPr="007F5B4F" w:rsidRDefault="00912648" w:rsidP="00A54F6E">
            <w:pPr>
              <w:pStyle w:val="naiskr"/>
              <w:tabs>
                <w:tab w:val="left" w:pos="2628"/>
              </w:tabs>
              <w:spacing w:before="0" w:after="0"/>
              <w:jc w:val="both"/>
              <w:rPr>
                <w:iCs/>
              </w:rPr>
            </w:pPr>
            <w:r w:rsidRPr="007F5B4F">
              <w:rPr>
                <w:iCs/>
              </w:rPr>
              <w:t>2.</w:t>
            </w:r>
          </w:p>
        </w:tc>
        <w:tc>
          <w:tcPr>
            <w:tcW w:w="2887" w:type="dxa"/>
          </w:tcPr>
          <w:p w:rsidR="00912648" w:rsidRPr="007F5B4F" w:rsidRDefault="00912648" w:rsidP="00A54F6E">
            <w:pPr>
              <w:pStyle w:val="naiskr"/>
              <w:tabs>
                <w:tab w:val="left" w:pos="2628"/>
              </w:tabs>
              <w:spacing w:before="0" w:after="0"/>
              <w:jc w:val="both"/>
              <w:rPr>
                <w:iCs/>
              </w:rPr>
            </w:pPr>
            <w:r w:rsidRPr="007F5B4F">
              <w:t>Cita informācija</w:t>
            </w:r>
          </w:p>
        </w:tc>
        <w:tc>
          <w:tcPr>
            <w:tcW w:w="5848" w:type="dxa"/>
          </w:tcPr>
          <w:p w:rsidR="00912648" w:rsidRPr="007F5B4F" w:rsidRDefault="00912648" w:rsidP="00A54F6E">
            <w:pPr>
              <w:pStyle w:val="naiskr"/>
              <w:tabs>
                <w:tab w:val="left" w:pos="2628"/>
              </w:tabs>
              <w:spacing w:before="0" w:after="0"/>
              <w:ind w:firstLine="459"/>
              <w:jc w:val="both"/>
              <w:rPr>
                <w:iCs/>
              </w:rPr>
            </w:pPr>
            <w:r w:rsidRPr="007F5B4F">
              <w:t xml:space="preserve">Nav.             </w:t>
            </w:r>
          </w:p>
        </w:tc>
      </w:tr>
    </w:tbl>
    <w:p w:rsidR="007149F6" w:rsidRPr="007F5B4F" w:rsidRDefault="007149F6" w:rsidP="00A91395">
      <w:pPr>
        <w:spacing w:before="75" w:after="75" w:line="240" w:lineRule="auto"/>
        <w:jc w:val="both"/>
        <w:rPr>
          <w:rFonts w:ascii="Times New Roman" w:eastAsia="Times New Roman" w:hAnsi="Times New Roman"/>
          <w:sz w:val="24"/>
          <w:szCs w:val="24"/>
          <w:lang w:eastAsia="lv-LV"/>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1"/>
      </w:tblGrid>
      <w:tr w:rsidR="00A31DA0" w:rsidRPr="007F5B4F" w:rsidTr="007F5B4F">
        <w:tc>
          <w:tcPr>
            <w:tcW w:w="9321" w:type="dxa"/>
          </w:tcPr>
          <w:p w:rsidR="00A31DA0" w:rsidRPr="007F5B4F" w:rsidRDefault="00A31DA0" w:rsidP="00EA4983">
            <w:pPr>
              <w:spacing w:before="75" w:after="75" w:line="240" w:lineRule="auto"/>
              <w:jc w:val="both"/>
              <w:rPr>
                <w:rFonts w:ascii="Times New Roman" w:eastAsia="Times New Roman" w:hAnsi="Times New Roman"/>
                <w:b/>
                <w:sz w:val="24"/>
                <w:szCs w:val="24"/>
                <w:lang w:eastAsia="lv-LV"/>
              </w:rPr>
            </w:pPr>
            <w:r w:rsidRPr="007F5B4F">
              <w:rPr>
                <w:rFonts w:ascii="Times New Roman" w:hAnsi="Times New Roman"/>
                <w:b/>
                <w:sz w:val="24"/>
                <w:szCs w:val="24"/>
              </w:rPr>
              <w:t>V. Tiesību akta projekta atbilstība Latvijas Republikas starptautiskajām saistībām</w:t>
            </w:r>
          </w:p>
        </w:tc>
      </w:tr>
      <w:tr w:rsidR="00A31DA0" w:rsidRPr="007F5B4F" w:rsidTr="007F5B4F">
        <w:tc>
          <w:tcPr>
            <w:tcW w:w="9321" w:type="dxa"/>
          </w:tcPr>
          <w:p w:rsidR="00A31DA0" w:rsidRPr="007F5B4F" w:rsidRDefault="00A31DA0" w:rsidP="00EA4983">
            <w:pPr>
              <w:spacing w:before="75" w:after="75" w:line="240" w:lineRule="auto"/>
              <w:jc w:val="center"/>
              <w:rPr>
                <w:rFonts w:ascii="Times New Roman" w:eastAsia="Times New Roman" w:hAnsi="Times New Roman"/>
                <w:sz w:val="24"/>
                <w:szCs w:val="24"/>
                <w:lang w:eastAsia="lv-LV"/>
              </w:rPr>
            </w:pPr>
            <w:r w:rsidRPr="007F5B4F">
              <w:rPr>
                <w:rFonts w:ascii="Times New Roman" w:eastAsia="Times New Roman" w:hAnsi="Times New Roman"/>
                <w:sz w:val="24"/>
                <w:szCs w:val="24"/>
                <w:lang w:eastAsia="lv-LV"/>
              </w:rPr>
              <w:t>Nav attiecināms</w:t>
            </w:r>
            <w:r w:rsidR="00301937" w:rsidRPr="007F5B4F">
              <w:rPr>
                <w:rFonts w:ascii="Times New Roman" w:eastAsia="Times New Roman" w:hAnsi="Times New Roman"/>
                <w:sz w:val="24"/>
                <w:szCs w:val="24"/>
                <w:lang w:eastAsia="lv-LV"/>
              </w:rPr>
              <w:t>.</w:t>
            </w:r>
          </w:p>
        </w:tc>
      </w:tr>
    </w:tbl>
    <w:p w:rsidR="007149F6" w:rsidRPr="007F5B4F" w:rsidRDefault="007149F6" w:rsidP="00A91395">
      <w:pPr>
        <w:spacing w:before="75" w:after="75" w:line="240" w:lineRule="auto"/>
        <w:jc w:val="both"/>
        <w:rPr>
          <w:rFonts w:ascii="Times New Roman" w:eastAsia="Times New Roman" w:hAnsi="Times New Roman"/>
          <w:sz w:val="24"/>
          <w:szCs w:val="24"/>
          <w:lang w:eastAsia="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9"/>
        <w:gridCol w:w="3990"/>
        <w:gridCol w:w="4758"/>
      </w:tblGrid>
      <w:tr w:rsidR="00D1739C" w:rsidRPr="00A65F4C" w:rsidTr="00A65F4C">
        <w:tc>
          <w:tcPr>
            <w:tcW w:w="10410" w:type="dxa"/>
            <w:gridSpan w:val="3"/>
          </w:tcPr>
          <w:p w:rsidR="00D1739C" w:rsidRPr="00A65F4C" w:rsidRDefault="00D1739C" w:rsidP="00A65F4C">
            <w:pPr>
              <w:spacing w:before="75" w:after="75" w:line="240" w:lineRule="auto"/>
              <w:jc w:val="center"/>
              <w:rPr>
                <w:rFonts w:ascii="Times New Roman" w:eastAsia="Times New Roman" w:hAnsi="Times New Roman"/>
                <w:sz w:val="24"/>
                <w:szCs w:val="24"/>
                <w:lang w:eastAsia="lv-LV"/>
              </w:rPr>
            </w:pPr>
            <w:r w:rsidRPr="00A65F4C">
              <w:rPr>
                <w:rFonts w:ascii="Times New Roman" w:eastAsia="Times New Roman" w:hAnsi="Times New Roman"/>
                <w:b/>
                <w:bCs/>
                <w:sz w:val="24"/>
                <w:szCs w:val="24"/>
                <w:lang w:eastAsia="lv-LV"/>
              </w:rPr>
              <w:t> VI. Sabiedrības līdzdalība un šīs līdzdalības rezultāti</w:t>
            </w:r>
          </w:p>
        </w:tc>
      </w:tr>
      <w:tr w:rsidR="00D1739C" w:rsidRPr="00A65F4C" w:rsidTr="00A65F4C">
        <w:trPr>
          <w:trHeight w:val="553"/>
        </w:trPr>
        <w:tc>
          <w:tcPr>
            <w:tcW w:w="55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1.</w:t>
            </w:r>
          </w:p>
        </w:tc>
        <w:tc>
          <w:tcPr>
            <w:tcW w:w="448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Sabiedrības informēšana par projekta izstrādes uzsākšanu</w:t>
            </w:r>
          </w:p>
        </w:tc>
        <w:tc>
          <w:tcPr>
            <w:tcW w:w="5355" w:type="dxa"/>
          </w:tcPr>
          <w:p w:rsidR="00D1739C" w:rsidRPr="00A65F4C" w:rsidRDefault="0090706C" w:rsidP="00A65F4C">
            <w:pPr>
              <w:spacing w:before="75" w:after="75" w:line="240" w:lineRule="auto"/>
              <w:ind w:firstLine="416"/>
              <w:jc w:val="both"/>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D1739C" w:rsidRPr="00A65F4C" w:rsidTr="00A65F4C">
        <w:trPr>
          <w:trHeight w:val="339"/>
        </w:trPr>
        <w:tc>
          <w:tcPr>
            <w:tcW w:w="55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2.</w:t>
            </w:r>
          </w:p>
        </w:tc>
        <w:tc>
          <w:tcPr>
            <w:tcW w:w="448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Sabiedrības līdzdalība projekta izstrādē</w:t>
            </w:r>
          </w:p>
        </w:tc>
        <w:tc>
          <w:tcPr>
            <w:tcW w:w="5355" w:type="dxa"/>
          </w:tcPr>
          <w:p w:rsidR="00460C1A" w:rsidRPr="00A65F4C" w:rsidRDefault="0090706C" w:rsidP="00A65F4C">
            <w:pPr>
              <w:spacing w:before="75" w:after="75" w:line="240" w:lineRule="auto"/>
              <w:ind w:firstLine="416"/>
              <w:jc w:val="both"/>
              <w:rPr>
                <w:rFonts w:ascii="Times New Roman" w:hAnsi="Times New Roman"/>
                <w:sz w:val="24"/>
                <w:szCs w:val="24"/>
              </w:rPr>
            </w:pPr>
            <w:r w:rsidRPr="00A65F4C">
              <w:rPr>
                <w:rFonts w:ascii="Times New Roman" w:eastAsia="Times New Roman" w:hAnsi="Times New Roman"/>
                <w:sz w:val="24"/>
                <w:szCs w:val="24"/>
                <w:lang w:eastAsia="lv-LV"/>
              </w:rPr>
              <w:t xml:space="preserve">Konsultācijas par likumprojekta izstrādāti notikušas ar </w:t>
            </w:r>
            <w:r w:rsidR="00912648" w:rsidRPr="00A65F4C">
              <w:rPr>
                <w:rFonts w:ascii="Times New Roman" w:hAnsi="Times New Roman"/>
                <w:sz w:val="24"/>
                <w:szCs w:val="24"/>
              </w:rPr>
              <w:t>Sabiedriskās politikas centru PROVIDUS</w:t>
            </w:r>
            <w:r w:rsidR="00460C1A" w:rsidRPr="00A65F4C">
              <w:rPr>
                <w:rFonts w:ascii="Times New Roman" w:hAnsi="Times New Roman"/>
                <w:sz w:val="24"/>
                <w:szCs w:val="24"/>
              </w:rPr>
              <w:t>.</w:t>
            </w:r>
          </w:p>
        </w:tc>
      </w:tr>
      <w:tr w:rsidR="00D1739C" w:rsidRPr="00A65F4C" w:rsidTr="00A65F4C">
        <w:trPr>
          <w:trHeight w:val="375"/>
        </w:trPr>
        <w:tc>
          <w:tcPr>
            <w:tcW w:w="55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3.</w:t>
            </w:r>
          </w:p>
        </w:tc>
        <w:tc>
          <w:tcPr>
            <w:tcW w:w="448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Sabiedrības līdzdalības rezultāti</w:t>
            </w:r>
          </w:p>
        </w:tc>
        <w:tc>
          <w:tcPr>
            <w:tcW w:w="5355" w:type="dxa"/>
          </w:tcPr>
          <w:p w:rsidR="004F731E" w:rsidRPr="00A65F4C" w:rsidRDefault="00A54F6E" w:rsidP="00A65F4C">
            <w:pPr>
              <w:spacing w:before="75" w:after="75" w:line="240" w:lineRule="auto"/>
              <w:ind w:firstLine="416"/>
              <w:jc w:val="both"/>
              <w:rPr>
                <w:rFonts w:ascii="Times New Roman" w:eastAsia="Times New Roman" w:hAnsi="Times New Roman"/>
                <w:sz w:val="24"/>
                <w:szCs w:val="24"/>
                <w:lang w:eastAsia="lv-LV"/>
              </w:rPr>
            </w:pPr>
            <w:r w:rsidRPr="00A65F4C">
              <w:rPr>
                <w:rFonts w:ascii="Times New Roman" w:hAnsi="Times New Roman"/>
                <w:sz w:val="24"/>
                <w:szCs w:val="24"/>
              </w:rPr>
              <w:t xml:space="preserve">Sabiedriskās politikas centrs PROVIDUS </w:t>
            </w:r>
            <w:r w:rsidR="00301937" w:rsidRPr="00A65F4C">
              <w:rPr>
                <w:rFonts w:ascii="Times New Roman" w:hAnsi="Times New Roman"/>
                <w:sz w:val="24"/>
                <w:szCs w:val="24"/>
              </w:rPr>
              <w:t>atbalstīj</w:t>
            </w:r>
            <w:r w:rsidRPr="00A65F4C">
              <w:rPr>
                <w:rFonts w:ascii="Times New Roman" w:hAnsi="Times New Roman"/>
                <w:sz w:val="24"/>
                <w:szCs w:val="24"/>
              </w:rPr>
              <w:t>a</w:t>
            </w:r>
            <w:r w:rsidR="00301937" w:rsidRPr="00A65F4C">
              <w:rPr>
                <w:rFonts w:ascii="Times New Roman" w:hAnsi="Times New Roman"/>
                <w:sz w:val="24"/>
                <w:szCs w:val="24"/>
              </w:rPr>
              <w:t xml:space="preserve"> izstrādāto likumprojekta redakciju.</w:t>
            </w:r>
          </w:p>
        </w:tc>
      </w:tr>
      <w:tr w:rsidR="00D1739C" w:rsidRPr="00A65F4C" w:rsidTr="00A65F4C">
        <w:trPr>
          <w:trHeight w:val="397"/>
        </w:trPr>
        <w:tc>
          <w:tcPr>
            <w:tcW w:w="55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4.</w:t>
            </w:r>
          </w:p>
        </w:tc>
        <w:tc>
          <w:tcPr>
            <w:tcW w:w="448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Saeimas un ekspertu līdzdalība</w:t>
            </w:r>
          </w:p>
        </w:tc>
        <w:tc>
          <w:tcPr>
            <w:tcW w:w="5355" w:type="dxa"/>
          </w:tcPr>
          <w:p w:rsidR="00D1739C" w:rsidRPr="00A65F4C" w:rsidRDefault="00EA427B" w:rsidP="00A65F4C">
            <w:pPr>
              <w:spacing w:before="75" w:after="75" w:line="240" w:lineRule="auto"/>
              <w:ind w:firstLine="416"/>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 attiecināms.</w:t>
            </w:r>
          </w:p>
        </w:tc>
      </w:tr>
      <w:tr w:rsidR="00D1739C" w:rsidRPr="00A65F4C" w:rsidTr="00A65F4C">
        <w:trPr>
          <w:trHeight w:val="476"/>
        </w:trPr>
        <w:tc>
          <w:tcPr>
            <w:tcW w:w="55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5.</w:t>
            </w:r>
          </w:p>
        </w:tc>
        <w:tc>
          <w:tcPr>
            <w:tcW w:w="4485" w:type="dxa"/>
          </w:tcPr>
          <w:p w:rsidR="00D1739C" w:rsidRPr="00A65F4C" w:rsidRDefault="00D1739C" w:rsidP="00A65F4C">
            <w:pPr>
              <w:spacing w:before="75" w:after="75" w:line="240" w:lineRule="auto"/>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 Cita informācija</w:t>
            </w:r>
          </w:p>
        </w:tc>
        <w:tc>
          <w:tcPr>
            <w:tcW w:w="5355" w:type="dxa"/>
          </w:tcPr>
          <w:p w:rsidR="00CF2F05" w:rsidRPr="00A65F4C" w:rsidRDefault="00EA427B" w:rsidP="00A65F4C">
            <w:pPr>
              <w:spacing w:before="75" w:after="75" w:line="240" w:lineRule="auto"/>
              <w:ind w:firstLine="416"/>
              <w:rPr>
                <w:rFonts w:ascii="Times New Roman" w:eastAsia="Times New Roman" w:hAnsi="Times New Roman"/>
                <w:sz w:val="24"/>
                <w:szCs w:val="24"/>
                <w:lang w:eastAsia="lv-LV"/>
              </w:rPr>
            </w:pPr>
            <w:r w:rsidRPr="00A65F4C">
              <w:rPr>
                <w:rFonts w:ascii="Times New Roman" w:eastAsia="Times New Roman" w:hAnsi="Times New Roman"/>
                <w:sz w:val="24"/>
                <w:szCs w:val="24"/>
                <w:lang w:eastAsia="lv-LV"/>
              </w:rPr>
              <w:t>Nav.</w:t>
            </w:r>
          </w:p>
        </w:tc>
      </w:tr>
    </w:tbl>
    <w:p w:rsidR="00D1739C" w:rsidRPr="007F5B4F" w:rsidRDefault="00D1739C" w:rsidP="00922DD7">
      <w:pPr>
        <w:spacing w:before="75" w:after="75" w:line="240" w:lineRule="auto"/>
        <w:ind w:firstLine="375"/>
        <w:jc w:val="both"/>
        <w:rPr>
          <w:rFonts w:ascii="Times New Roman" w:eastAsia="Times New Roman" w:hAnsi="Times New Roman"/>
          <w:sz w:val="24"/>
          <w:szCs w:val="24"/>
          <w:lang w:eastAsia="lv-LV"/>
        </w:rPr>
      </w:pPr>
      <w:r w:rsidRPr="007F5B4F">
        <w:rPr>
          <w:rFonts w:ascii="Times New Roman" w:eastAsia="Times New Roman" w:hAnsi="Times New Roman"/>
          <w:sz w:val="24"/>
          <w:szCs w:val="24"/>
          <w:lang w:eastAsia="lv-LV"/>
        </w:rPr>
        <w:t> </w:t>
      </w: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3969"/>
        <w:gridCol w:w="4819"/>
      </w:tblGrid>
      <w:tr w:rsidR="00A54F6E" w:rsidRPr="007F5B4F" w:rsidTr="007F5B4F">
        <w:tc>
          <w:tcPr>
            <w:tcW w:w="9356" w:type="dxa"/>
            <w:gridSpan w:val="3"/>
            <w:tcBorders>
              <w:top w:val="single" w:sz="4" w:space="0" w:color="auto"/>
            </w:tcBorders>
          </w:tcPr>
          <w:p w:rsidR="00A54F6E" w:rsidRPr="007F5B4F" w:rsidRDefault="00A54F6E" w:rsidP="00A54F6E">
            <w:pPr>
              <w:pStyle w:val="naisnod"/>
              <w:spacing w:before="0" w:after="0"/>
              <w:ind w:left="57" w:right="57"/>
            </w:pPr>
            <w:r w:rsidRPr="007F5B4F">
              <w:t>VII. Tiesību akta projekta izpildes nodrošināšana un tās ietekme uz institūcijām</w:t>
            </w:r>
          </w:p>
        </w:tc>
      </w:tr>
      <w:tr w:rsidR="00A54F6E" w:rsidRPr="007F5B4F" w:rsidTr="007F5B4F">
        <w:trPr>
          <w:trHeight w:val="427"/>
        </w:trPr>
        <w:tc>
          <w:tcPr>
            <w:tcW w:w="568" w:type="dxa"/>
          </w:tcPr>
          <w:p w:rsidR="00A54F6E" w:rsidRPr="007F5B4F" w:rsidRDefault="00A54F6E" w:rsidP="00A54F6E">
            <w:pPr>
              <w:pStyle w:val="naisnod"/>
              <w:spacing w:before="0" w:after="0"/>
              <w:ind w:left="57" w:right="57"/>
              <w:jc w:val="left"/>
              <w:rPr>
                <w:b w:val="0"/>
              </w:rPr>
            </w:pPr>
            <w:r w:rsidRPr="007F5B4F">
              <w:rPr>
                <w:b w:val="0"/>
              </w:rPr>
              <w:t>1.</w:t>
            </w:r>
          </w:p>
        </w:tc>
        <w:tc>
          <w:tcPr>
            <w:tcW w:w="3969" w:type="dxa"/>
          </w:tcPr>
          <w:p w:rsidR="00A54F6E" w:rsidRPr="007F5B4F" w:rsidRDefault="00A54F6E" w:rsidP="00A54F6E">
            <w:pPr>
              <w:pStyle w:val="naisf"/>
              <w:spacing w:before="0" w:after="0"/>
              <w:ind w:left="57" w:right="57"/>
            </w:pPr>
            <w:r w:rsidRPr="007F5B4F">
              <w:t xml:space="preserve">Projekta izpildē iesaistītās institūcijas </w:t>
            </w:r>
          </w:p>
        </w:tc>
        <w:tc>
          <w:tcPr>
            <w:tcW w:w="4819" w:type="dxa"/>
          </w:tcPr>
          <w:p w:rsidR="00A54F6E" w:rsidRPr="007F5B4F" w:rsidRDefault="00A54F6E" w:rsidP="00E37FCC">
            <w:pPr>
              <w:pStyle w:val="naisf"/>
              <w:spacing w:before="0" w:after="0"/>
              <w:rPr>
                <w:highlight w:val="yellow"/>
              </w:rPr>
            </w:pPr>
            <w:r w:rsidRPr="007F5B4F">
              <w:t xml:space="preserve">Tiesību akta izpilde notiks esošo valsts institūciju </w:t>
            </w:r>
            <w:r w:rsidRPr="007F5B4F">
              <w:lastRenderedPageBreak/>
              <w:t xml:space="preserve">ietvaros. </w:t>
            </w:r>
            <w:r w:rsidR="00E37FCC">
              <w:t>Likumprojektā paredzētā papildsoda – probācijas uzraudzība izpildi nodrošinās Valsts probācijas dienests.</w:t>
            </w:r>
          </w:p>
        </w:tc>
      </w:tr>
      <w:tr w:rsidR="00A54F6E" w:rsidRPr="007F5B4F" w:rsidTr="007F5B4F">
        <w:trPr>
          <w:trHeight w:val="463"/>
        </w:trPr>
        <w:tc>
          <w:tcPr>
            <w:tcW w:w="568" w:type="dxa"/>
          </w:tcPr>
          <w:p w:rsidR="00A54F6E" w:rsidRPr="007F5B4F" w:rsidRDefault="00A54F6E" w:rsidP="00A54F6E">
            <w:pPr>
              <w:pStyle w:val="naisnod"/>
              <w:spacing w:before="0" w:after="0"/>
              <w:ind w:left="57" w:right="57"/>
              <w:jc w:val="left"/>
              <w:rPr>
                <w:b w:val="0"/>
              </w:rPr>
            </w:pPr>
            <w:r w:rsidRPr="007F5B4F">
              <w:rPr>
                <w:b w:val="0"/>
              </w:rPr>
              <w:lastRenderedPageBreak/>
              <w:t>2.</w:t>
            </w:r>
          </w:p>
        </w:tc>
        <w:tc>
          <w:tcPr>
            <w:tcW w:w="3969" w:type="dxa"/>
          </w:tcPr>
          <w:p w:rsidR="00A54F6E" w:rsidRPr="007F5B4F" w:rsidRDefault="00A54F6E" w:rsidP="00A54F6E">
            <w:pPr>
              <w:pStyle w:val="naisf"/>
              <w:spacing w:before="0" w:after="0"/>
              <w:ind w:left="57" w:right="57"/>
            </w:pPr>
            <w:r w:rsidRPr="007F5B4F">
              <w:t xml:space="preserve">Projekta izpildes ietekme uz pārvaldes funkcijām </w:t>
            </w:r>
          </w:p>
        </w:tc>
        <w:tc>
          <w:tcPr>
            <w:tcW w:w="4819" w:type="dxa"/>
          </w:tcPr>
          <w:p w:rsidR="00A54F6E" w:rsidRPr="007F5B4F" w:rsidRDefault="00A54F6E" w:rsidP="00A54F6E">
            <w:pPr>
              <w:pStyle w:val="naisnod"/>
              <w:spacing w:before="0" w:after="0"/>
              <w:ind w:left="57" w:right="57" w:firstLine="296"/>
              <w:jc w:val="left"/>
              <w:rPr>
                <w:b w:val="0"/>
              </w:rPr>
            </w:pPr>
            <w:r w:rsidRPr="007F5B4F">
              <w:rPr>
                <w:b w:val="0"/>
                <w:iCs/>
              </w:rPr>
              <w:t>Nav attiecināms.</w:t>
            </w:r>
          </w:p>
        </w:tc>
      </w:tr>
      <w:tr w:rsidR="00A54F6E" w:rsidRPr="007F5B4F" w:rsidTr="007F5B4F">
        <w:trPr>
          <w:trHeight w:val="725"/>
        </w:trPr>
        <w:tc>
          <w:tcPr>
            <w:tcW w:w="568" w:type="dxa"/>
          </w:tcPr>
          <w:p w:rsidR="00A54F6E" w:rsidRPr="007F5B4F" w:rsidRDefault="00A54F6E" w:rsidP="00A54F6E">
            <w:pPr>
              <w:pStyle w:val="naisnod"/>
              <w:spacing w:before="0" w:after="0"/>
              <w:ind w:left="57" w:right="57"/>
              <w:jc w:val="left"/>
              <w:rPr>
                <w:b w:val="0"/>
              </w:rPr>
            </w:pPr>
            <w:r w:rsidRPr="007F5B4F">
              <w:rPr>
                <w:b w:val="0"/>
              </w:rPr>
              <w:t>3.</w:t>
            </w:r>
          </w:p>
        </w:tc>
        <w:tc>
          <w:tcPr>
            <w:tcW w:w="3969" w:type="dxa"/>
          </w:tcPr>
          <w:p w:rsidR="00A54F6E" w:rsidRPr="007F5B4F" w:rsidRDefault="00A54F6E" w:rsidP="007F5B4F">
            <w:pPr>
              <w:pStyle w:val="naisf"/>
              <w:spacing w:before="0" w:after="0"/>
              <w:ind w:left="57" w:right="57"/>
            </w:pPr>
            <w:r w:rsidRPr="007F5B4F">
              <w:t>Projekta izpildes ietekme uz pārvaldes institucionālo struktūru.</w:t>
            </w:r>
            <w:r w:rsidR="007F5B4F" w:rsidRPr="007F5B4F">
              <w:t xml:space="preserve"> </w:t>
            </w:r>
            <w:r w:rsidRPr="007F5B4F">
              <w:t>Jaunu institūciju izveide</w:t>
            </w:r>
          </w:p>
        </w:tc>
        <w:tc>
          <w:tcPr>
            <w:tcW w:w="4819" w:type="dxa"/>
          </w:tcPr>
          <w:p w:rsidR="00A54F6E" w:rsidRPr="007F5B4F" w:rsidRDefault="00A54F6E" w:rsidP="00A54F6E">
            <w:pPr>
              <w:pStyle w:val="naisnod"/>
              <w:spacing w:before="0" w:after="0"/>
              <w:ind w:left="57" w:right="57" w:firstLine="296"/>
              <w:jc w:val="left"/>
              <w:rPr>
                <w:b w:val="0"/>
                <w:highlight w:val="yellow"/>
              </w:rPr>
            </w:pPr>
            <w:r w:rsidRPr="007F5B4F">
              <w:rPr>
                <w:b w:val="0"/>
              </w:rPr>
              <w:t xml:space="preserve">Jaunas valsts institūcijas netiek radītas. </w:t>
            </w:r>
          </w:p>
        </w:tc>
      </w:tr>
      <w:tr w:rsidR="00A54F6E" w:rsidRPr="007F5B4F" w:rsidTr="007F5B4F">
        <w:trPr>
          <w:trHeight w:val="780"/>
        </w:trPr>
        <w:tc>
          <w:tcPr>
            <w:tcW w:w="568" w:type="dxa"/>
          </w:tcPr>
          <w:p w:rsidR="00A54F6E" w:rsidRPr="007F5B4F" w:rsidRDefault="00A54F6E" w:rsidP="00A54F6E">
            <w:pPr>
              <w:pStyle w:val="naisnod"/>
              <w:spacing w:before="0" w:after="0"/>
              <w:ind w:left="57" w:right="57"/>
              <w:jc w:val="left"/>
              <w:rPr>
                <w:b w:val="0"/>
              </w:rPr>
            </w:pPr>
            <w:r w:rsidRPr="007F5B4F">
              <w:rPr>
                <w:b w:val="0"/>
              </w:rPr>
              <w:t>4.</w:t>
            </w:r>
          </w:p>
        </w:tc>
        <w:tc>
          <w:tcPr>
            <w:tcW w:w="3969" w:type="dxa"/>
          </w:tcPr>
          <w:p w:rsidR="00A54F6E" w:rsidRPr="007F5B4F" w:rsidRDefault="00A54F6E" w:rsidP="007F5B4F">
            <w:pPr>
              <w:pStyle w:val="naisf"/>
              <w:spacing w:before="0" w:after="0"/>
              <w:ind w:left="57" w:right="57"/>
            </w:pPr>
            <w:r w:rsidRPr="007F5B4F">
              <w:t>Projekta izpildes ietekme uz pārvaldes institucionālo struktūru.</w:t>
            </w:r>
            <w:r w:rsidR="007F5B4F" w:rsidRPr="007F5B4F">
              <w:t xml:space="preserve"> </w:t>
            </w:r>
            <w:r w:rsidRPr="007F5B4F">
              <w:t>Esošu institūciju likvidācija</w:t>
            </w:r>
          </w:p>
        </w:tc>
        <w:tc>
          <w:tcPr>
            <w:tcW w:w="4819" w:type="dxa"/>
          </w:tcPr>
          <w:p w:rsidR="00A54F6E" w:rsidRPr="007F5B4F" w:rsidRDefault="00A54F6E" w:rsidP="00A54F6E">
            <w:pPr>
              <w:pStyle w:val="naisnod"/>
              <w:spacing w:before="0" w:after="0"/>
              <w:ind w:left="57" w:right="57" w:firstLine="296"/>
              <w:jc w:val="left"/>
              <w:rPr>
                <w:b w:val="0"/>
                <w:highlight w:val="yellow"/>
              </w:rPr>
            </w:pPr>
            <w:r w:rsidRPr="007F5B4F">
              <w:rPr>
                <w:b w:val="0"/>
                <w:iCs/>
              </w:rPr>
              <w:t>Nav attiecināms.</w:t>
            </w:r>
          </w:p>
        </w:tc>
      </w:tr>
      <w:tr w:rsidR="00A54F6E" w:rsidRPr="007F5B4F" w:rsidTr="007F5B4F">
        <w:trPr>
          <w:trHeight w:val="703"/>
        </w:trPr>
        <w:tc>
          <w:tcPr>
            <w:tcW w:w="568" w:type="dxa"/>
          </w:tcPr>
          <w:p w:rsidR="00A54F6E" w:rsidRPr="007F5B4F" w:rsidRDefault="00A54F6E" w:rsidP="00A54F6E">
            <w:pPr>
              <w:pStyle w:val="naisnod"/>
              <w:spacing w:before="0" w:after="0"/>
              <w:ind w:left="57" w:right="57"/>
              <w:jc w:val="left"/>
              <w:rPr>
                <w:b w:val="0"/>
              </w:rPr>
            </w:pPr>
            <w:r w:rsidRPr="007F5B4F">
              <w:rPr>
                <w:b w:val="0"/>
              </w:rPr>
              <w:t>5.</w:t>
            </w:r>
          </w:p>
        </w:tc>
        <w:tc>
          <w:tcPr>
            <w:tcW w:w="3969" w:type="dxa"/>
          </w:tcPr>
          <w:p w:rsidR="00A54F6E" w:rsidRPr="007F5B4F" w:rsidRDefault="00A54F6E" w:rsidP="007F5B4F">
            <w:pPr>
              <w:pStyle w:val="naisf"/>
              <w:spacing w:before="0" w:after="0"/>
              <w:ind w:left="57" w:right="57"/>
            </w:pPr>
            <w:r w:rsidRPr="007F5B4F">
              <w:t>Projekta izpildes ietekme uz pārvaldes institucionālo struktūru.</w:t>
            </w:r>
            <w:r w:rsidR="007F5B4F" w:rsidRPr="007F5B4F">
              <w:t xml:space="preserve"> </w:t>
            </w:r>
            <w:r w:rsidRPr="007F5B4F">
              <w:t>Esošu institūciju reorganizācija</w:t>
            </w:r>
          </w:p>
        </w:tc>
        <w:tc>
          <w:tcPr>
            <w:tcW w:w="4819" w:type="dxa"/>
          </w:tcPr>
          <w:p w:rsidR="00A54F6E" w:rsidRPr="007F5B4F" w:rsidRDefault="00A54F6E" w:rsidP="00A54F6E">
            <w:pPr>
              <w:pStyle w:val="naisnod"/>
              <w:spacing w:before="0" w:after="0"/>
              <w:ind w:left="57" w:right="57" w:firstLine="296"/>
              <w:jc w:val="left"/>
              <w:rPr>
                <w:b w:val="0"/>
              </w:rPr>
            </w:pPr>
            <w:r w:rsidRPr="007F5B4F">
              <w:rPr>
                <w:b w:val="0"/>
                <w:iCs/>
              </w:rPr>
              <w:t>Nav attiecināms.</w:t>
            </w:r>
          </w:p>
        </w:tc>
      </w:tr>
      <w:tr w:rsidR="00A54F6E" w:rsidRPr="007F5B4F" w:rsidTr="007F5B4F">
        <w:trPr>
          <w:trHeight w:val="476"/>
        </w:trPr>
        <w:tc>
          <w:tcPr>
            <w:tcW w:w="568" w:type="dxa"/>
          </w:tcPr>
          <w:p w:rsidR="00A54F6E" w:rsidRPr="007F5B4F" w:rsidRDefault="00A54F6E" w:rsidP="00A54F6E">
            <w:pPr>
              <w:pStyle w:val="naiskr"/>
              <w:spacing w:before="0" w:after="0"/>
              <w:ind w:left="57" w:right="57"/>
            </w:pPr>
            <w:r w:rsidRPr="007F5B4F">
              <w:t>6.</w:t>
            </w:r>
          </w:p>
        </w:tc>
        <w:tc>
          <w:tcPr>
            <w:tcW w:w="3969" w:type="dxa"/>
          </w:tcPr>
          <w:p w:rsidR="00A54F6E" w:rsidRPr="007F5B4F" w:rsidRDefault="00A54F6E" w:rsidP="00A54F6E">
            <w:pPr>
              <w:pStyle w:val="naiskr"/>
              <w:spacing w:before="0" w:after="0"/>
              <w:ind w:left="57" w:right="57"/>
            </w:pPr>
            <w:r w:rsidRPr="007F5B4F">
              <w:t>Cita informācija</w:t>
            </w:r>
          </w:p>
        </w:tc>
        <w:tc>
          <w:tcPr>
            <w:tcW w:w="4819" w:type="dxa"/>
          </w:tcPr>
          <w:p w:rsidR="00A54F6E" w:rsidRPr="007F5B4F" w:rsidRDefault="00A54F6E" w:rsidP="00A54F6E">
            <w:pPr>
              <w:pStyle w:val="naiskr"/>
              <w:spacing w:before="0" w:after="0"/>
              <w:ind w:left="57" w:right="57" w:firstLine="296"/>
            </w:pPr>
            <w:r w:rsidRPr="007F5B4F">
              <w:t>Nav.</w:t>
            </w:r>
          </w:p>
        </w:tc>
      </w:tr>
    </w:tbl>
    <w:p w:rsidR="00000C18" w:rsidRPr="007F5B4F" w:rsidRDefault="00000C18" w:rsidP="00D779E9">
      <w:pPr>
        <w:pStyle w:val="naisf"/>
        <w:tabs>
          <w:tab w:val="left" w:pos="6710"/>
        </w:tabs>
        <w:spacing w:before="0" w:beforeAutospacing="0" w:after="0" w:afterAutospacing="0"/>
      </w:pPr>
    </w:p>
    <w:p w:rsidR="00491098" w:rsidRPr="007F5B4F" w:rsidRDefault="00491098" w:rsidP="00D779E9">
      <w:pPr>
        <w:pStyle w:val="naisf"/>
        <w:tabs>
          <w:tab w:val="left" w:pos="6710"/>
        </w:tabs>
        <w:spacing w:before="0" w:beforeAutospacing="0" w:after="0" w:afterAutospacing="0"/>
      </w:pPr>
    </w:p>
    <w:p w:rsidR="007F5B4F" w:rsidRPr="007F5B4F" w:rsidRDefault="002755B7" w:rsidP="007F5B4F">
      <w:pPr>
        <w:tabs>
          <w:tab w:val="right" w:pos="8820"/>
        </w:tabs>
        <w:rPr>
          <w:rFonts w:ascii="Times New Roman" w:hAnsi="Times New Roman"/>
          <w:sz w:val="24"/>
          <w:szCs w:val="24"/>
        </w:rPr>
      </w:pPr>
      <w:r>
        <w:rPr>
          <w:rFonts w:ascii="Times New Roman" w:hAnsi="Times New Roman"/>
          <w:sz w:val="24"/>
          <w:szCs w:val="24"/>
        </w:rPr>
        <w:t>Tieslietu</w:t>
      </w:r>
      <w:r w:rsidR="007F5B4F" w:rsidRPr="007F5B4F">
        <w:rPr>
          <w:rFonts w:ascii="Times New Roman" w:hAnsi="Times New Roman"/>
          <w:sz w:val="24"/>
          <w:szCs w:val="24"/>
        </w:rPr>
        <w:t xml:space="preserve"> ministrs                                                                                         </w:t>
      </w:r>
      <w:r>
        <w:rPr>
          <w:rFonts w:ascii="Times New Roman" w:hAnsi="Times New Roman"/>
          <w:color w:val="000000"/>
          <w:sz w:val="24"/>
          <w:szCs w:val="24"/>
        </w:rPr>
        <w:t>A</w:t>
      </w:r>
      <w:r w:rsidR="007F5B4F" w:rsidRPr="007F5B4F">
        <w:rPr>
          <w:rFonts w:ascii="Times New Roman" w:hAnsi="Times New Roman"/>
          <w:color w:val="000000"/>
          <w:sz w:val="24"/>
          <w:szCs w:val="24"/>
        </w:rPr>
        <w:t>.</w:t>
      </w:r>
      <w:r>
        <w:rPr>
          <w:rFonts w:ascii="Times New Roman" w:hAnsi="Times New Roman"/>
          <w:color w:val="000000"/>
          <w:sz w:val="24"/>
          <w:szCs w:val="24"/>
        </w:rPr>
        <w:t>Štokenbergs</w:t>
      </w:r>
    </w:p>
    <w:p w:rsidR="007F5B4F" w:rsidRPr="007F5B4F" w:rsidRDefault="007F5B4F" w:rsidP="007F5B4F">
      <w:pPr>
        <w:spacing w:after="0" w:line="240" w:lineRule="auto"/>
        <w:rPr>
          <w:rFonts w:ascii="Times New Roman" w:hAnsi="Times New Roman"/>
          <w:sz w:val="24"/>
          <w:szCs w:val="24"/>
        </w:rPr>
      </w:pPr>
    </w:p>
    <w:p w:rsidR="007F5B4F" w:rsidRPr="007F5B4F" w:rsidRDefault="007F5B4F" w:rsidP="007F5B4F">
      <w:pPr>
        <w:spacing w:after="0" w:line="240" w:lineRule="auto"/>
        <w:rPr>
          <w:rFonts w:ascii="Times New Roman" w:hAnsi="Times New Roman"/>
          <w:sz w:val="24"/>
          <w:szCs w:val="24"/>
        </w:rPr>
      </w:pPr>
    </w:p>
    <w:p w:rsidR="007F5B4F" w:rsidRPr="007F5B4F" w:rsidRDefault="007F5B4F" w:rsidP="007F5B4F">
      <w:pPr>
        <w:spacing w:after="0" w:line="240" w:lineRule="auto"/>
        <w:rPr>
          <w:rFonts w:ascii="Times New Roman" w:hAnsi="Times New Roman"/>
          <w:sz w:val="24"/>
          <w:szCs w:val="24"/>
        </w:rPr>
      </w:pPr>
    </w:p>
    <w:p w:rsidR="007F5B4F" w:rsidRPr="007F5B4F" w:rsidRDefault="007F5B4F" w:rsidP="007F5B4F">
      <w:pPr>
        <w:spacing w:after="0" w:line="240" w:lineRule="auto"/>
        <w:rPr>
          <w:rFonts w:ascii="Times New Roman" w:hAnsi="Times New Roman"/>
          <w:sz w:val="24"/>
          <w:szCs w:val="24"/>
        </w:rPr>
      </w:pPr>
    </w:p>
    <w:p w:rsidR="007F5B4F" w:rsidRPr="007F5B4F" w:rsidRDefault="007F5B4F" w:rsidP="007F5B4F">
      <w:pPr>
        <w:spacing w:after="0" w:line="240" w:lineRule="auto"/>
        <w:rPr>
          <w:rFonts w:ascii="Times New Roman" w:hAnsi="Times New Roman"/>
          <w:sz w:val="24"/>
          <w:szCs w:val="24"/>
        </w:rPr>
      </w:pPr>
    </w:p>
    <w:p w:rsidR="007F5B4F" w:rsidRDefault="007F5B4F" w:rsidP="007F5B4F">
      <w:pPr>
        <w:spacing w:after="0" w:line="240" w:lineRule="auto"/>
        <w:rPr>
          <w:rFonts w:ascii="Times New Roman" w:hAnsi="Times New Roman"/>
          <w:sz w:val="24"/>
          <w:szCs w:val="24"/>
        </w:rPr>
      </w:pPr>
    </w:p>
    <w:p w:rsidR="00CA2CEE" w:rsidRDefault="00CA2CEE" w:rsidP="007F5B4F">
      <w:pPr>
        <w:spacing w:after="0" w:line="240" w:lineRule="auto"/>
        <w:rPr>
          <w:rFonts w:ascii="Times New Roman" w:hAnsi="Times New Roman"/>
          <w:sz w:val="24"/>
          <w:szCs w:val="24"/>
        </w:rPr>
      </w:pPr>
    </w:p>
    <w:p w:rsidR="00CA2CEE" w:rsidRDefault="00CA2CEE" w:rsidP="007F5B4F">
      <w:pPr>
        <w:spacing w:after="0" w:line="240" w:lineRule="auto"/>
        <w:rPr>
          <w:rFonts w:ascii="Times New Roman" w:hAnsi="Times New Roman"/>
          <w:sz w:val="24"/>
          <w:szCs w:val="24"/>
        </w:rPr>
      </w:pPr>
    </w:p>
    <w:p w:rsidR="00CA2CEE" w:rsidRDefault="00CA2CEE" w:rsidP="007F5B4F">
      <w:pPr>
        <w:spacing w:after="0" w:line="240" w:lineRule="auto"/>
        <w:rPr>
          <w:rFonts w:ascii="Times New Roman" w:hAnsi="Times New Roman"/>
          <w:sz w:val="24"/>
          <w:szCs w:val="24"/>
        </w:rPr>
      </w:pPr>
    </w:p>
    <w:p w:rsidR="00CA2CEE" w:rsidRDefault="00CA2CEE" w:rsidP="007F5B4F">
      <w:pPr>
        <w:spacing w:after="0" w:line="240" w:lineRule="auto"/>
        <w:rPr>
          <w:rFonts w:ascii="Times New Roman" w:hAnsi="Times New Roman"/>
          <w:sz w:val="24"/>
          <w:szCs w:val="24"/>
        </w:rPr>
      </w:pPr>
    </w:p>
    <w:p w:rsidR="00E10969" w:rsidRDefault="00E10969" w:rsidP="007F5B4F">
      <w:pPr>
        <w:spacing w:after="0" w:line="240" w:lineRule="auto"/>
        <w:rPr>
          <w:rFonts w:ascii="Times New Roman" w:hAnsi="Times New Roman"/>
          <w:sz w:val="24"/>
          <w:szCs w:val="24"/>
        </w:rPr>
      </w:pPr>
    </w:p>
    <w:p w:rsidR="00E10969" w:rsidRDefault="00E10969" w:rsidP="007F5B4F">
      <w:pPr>
        <w:spacing w:after="0" w:line="240" w:lineRule="auto"/>
        <w:rPr>
          <w:rFonts w:ascii="Times New Roman" w:hAnsi="Times New Roman"/>
          <w:sz w:val="24"/>
          <w:szCs w:val="24"/>
        </w:rPr>
      </w:pPr>
    </w:p>
    <w:p w:rsidR="00E10969" w:rsidRDefault="00E10969" w:rsidP="007F5B4F">
      <w:pPr>
        <w:spacing w:after="0" w:line="240" w:lineRule="auto"/>
        <w:rPr>
          <w:rFonts w:ascii="Times New Roman" w:hAnsi="Times New Roman"/>
          <w:sz w:val="24"/>
          <w:szCs w:val="24"/>
        </w:rPr>
      </w:pPr>
    </w:p>
    <w:p w:rsidR="00E10969" w:rsidRDefault="00E10969" w:rsidP="007F5B4F">
      <w:pPr>
        <w:spacing w:after="0" w:line="240" w:lineRule="auto"/>
        <w:rPr>
          <w:rFonts w:ascii="Times New Roman" w:hAnsi="Times New Roman"/>
          <w:sz w:val="24"/>
          <w:szCs w:val="24"/>
        </w:rPr>
      </w:pPr>
    </w:p>
    <w:p w:rsidR="00E10969" w:rsidRDefault="00E10969" w:rsidP="007F5B4F">
      <w:pPr>
        <w:spacing w:after="0" w:line="240" w:lineRule="auto"/>
        <w:rPr>
          <w:rFonts w:ascii="Times New Roman" w:hAnsi="Times New Roman"/>
          <w:sz w:val="24"/>
          <w:szCs w:val="24"/>
        </w:rPr>
      </w:pPr>
    </w:p>
    <w:p w:rsidR="00E10969" w:rsidRDefault="00E10969" w:rsidP="007F5B4F">
      <w:pPr>
        <w:spacing w:after="0" w:line="240" w:lineRule="auto"/>
        <w:rPr>
          <w:rFonts w:ascii="Times New Roman" w:hAnsi="Times New Roman"/>
          <w:sz w:val="24"/>
          <w:szCs w:val="24"/>
        </w:rPr>
      </w:pPr>
    </w:p>
    <w:p w:rsidR="00E10969" w:rsidRDefault="00E10969" w:rsidP="007F5B4F">
      <w:pPr>
        <w:spacing w:after="0" w:line="240" w:lineRule="auto"/>
        <w:rPr>
          <w:rFonts w:ascii="Times New Roman" w:hAnsi="Times New Roman"/>
          <w:sz w:val="24"/>
          <w:szCs w:val="24"/>
        </w:rPr>
      </w:pPr>
    </w:p>
    <w:p w:rsidR="00CA2CEE" w:rsidRPr="007F5B4F" w:rsidRDefault="00CA2CEE" w:rsidP="007F5B4F">
      <w:pPr>
        <w:spacing w:after="0" w:line="240" w:lineRule="auto"/>
        <w:rPr>
          <w:rFonts w:ascii="Times New Roman" w:hAnsi="Times New Roman"/>
          <w:sz w:val="24"/>
          <w:szCs w:val="24"/>
        </w:rPr>
      </w:pPr>
    </w:p>
    <w:p w:rsidR="0001532E" w:rsidRPr="007F5B4F" w:rsidRDefault="0001532E" w:rsidP="007F5B4F">
      <w:pPr>
        <w:spacing w:after="0" w:line="240" w:lineRule="auto"/>
        <w:rPr>
          <w:rFonts w:ascii="Times New Roman" w:hAnsi="Times New Roman"/>
          <w:sz w:val="24"/>
          <w:szCs w:val="24"/>
        </w:rPr>
      </w:pPr>
    </w:p>
    <w:p w:rsidR="007F5B4F" w:rsidRPr="007F5B4F" w:rsidRDefault="0004249B" w:rsidP="007F5B4F">
      <w:pPr>
        <w:spacing w:after="0" w:line="240" w:lineRule="auto"/>
        <w:rPr>
          <w:rFonts w:ascii="Times New Roman" w:hAnsi="Times New Roman"/>
          <w:sz w:val="20"/>
          <w:szCs w:val="20"/>
        </w:rPr>
      </w:pPr>
      <w:r>
        <w:rPr>
          <w:rFonts w:ascii="Times New Roman" w:hAnsi="Times New Roman"/>
          <w:sz w:val="20"/>
          <w:szCs w:val="20"/>
        </w:rPr>
        <w:t>12</w:t>
      </w:r>
      <w:r w:rsidR="007F5B4F" w:rsidRPr="007F5B4F">
        <w:rPr>
          <w:rFonts w:ascii="Times New Roman" w:hAnsi="Times New Roman"/>
          <w:sz w:val="20"/>
          <w:szCs w:val="20"/>
        </w:rPr>
        <w:t>.</w:t>
      </w:r>
      <w:r>
        <w:rPr>
          <w:rFonts w:ascii="Times New Roman" w:hAnsi="Times New Roman"/>
          <w:sz w:val="20"/>
          <w:szCs w:val="20"/>
        </w:rPr>
        <w:t>01</w:t>
      </w:r>
      <w:r w:rsidR="007F5B4F" w:rsidRPr="007F5B4F">
        <w:rPr>
          <w:rFonts w:ascii="Times New Roman" w:hAnsi="Times New Roman"/>
          <w:sz w:val="20"/>
          <w:szCs w:val="20"/>
        </w:rPr>
        <w:t>.</w:t>
      </w:r>
      <w:r>
        <w:rPr>
          <w:rFonts w:ascii="Times New Roman" w:hAnsi="Times New Roman"/>
          <w:sz w:val="20"/>
          <w:szCs w:val="20"/>
        </w:rPr>
        <w:t>2011</w:t>
      </w:r>
      <w:r w:rsidR="007F5B4F" w:rsidRPr="007F5B4F">
        <w:rPr>
          <w:rFonts w:ascii="Times New Roman" w:hAnsi="Times New Roman"/>
          <w:sz w:val="20"/>
          <w:szCs w:val="20"/>
        </w:rPr>
        <w:t xml:space="preserve">. </w:t>
      </w:r>
      <w:r w:rsidR="00270BFF">
        <w:rPr>
          <w:rFonts w:ascii="Times New Roman" w:hAnsi="Times New Roman"/>
          <w:sz w:val="20"/>
          <w:szCs w:val="20"/>
        </w:rPr>
        <w:t>16</w:t>
      </w:r>
      <w:r w:rsidR="007F5B4F" w:rsidRPr="007F5B4F">
        <w:rPr>
          <w:rFonts w:ascii="Times New Roman" w:hAnsi="Times New Roman"/>
          <w:sz w:val="20"/>
          <w:szCs w:val="20"/>
        </w:rPr>
        <w:t>:0</w:t>
      </w:r>
      <w:r w:rsidR="000D6DE0">
        <w:rPr>
          <w:rFonts w:ascii="Times New Roman" w:hAnsi="Times New Roman"/>
          <w:sz w:val="20"/>
          <w:szCs w:val="20"/>
        </w:rPr>
        <w:t>7</w:t>
      </w:r>
    </w:p>
    <w:p w:rsidR="007F5B4F" w:rsidRPr="007F5B4F" w:rsidRDefault="00F26553" w:rsidP="007F5B4F">
      <w:pPr>
        <w:spacing w:after="0" w:line="240" w:lineRule="auto"/>
        <w:rPr>
          <w:rFonts w:ascii="Times New Roman" w:hAnsi="Times New Roman"/>
          <w:sz w:val="20"/>
          <w:szCs w:val="20"/>
        </w:rPr>
      </w:pPr>
      <w:r>
        <w:rPr>
          <w:rFonts w:ascii="Times New Roman" w:hAnsi="Times New Roman"/>
          <w:sz w:val="20"/>
          <w:szCs w:val="20"/>
        </w:rPr>
        <w:t>2502</w:t>
      </w:r>
    </w:p>
    <w:p w:rsidR="007F5B4F" w:rsidRPr="007F5B4F" w:rsidRDefault="007F5B4F" w:rsidP="007F5B4F">
      <w:pPr>
        <w:spacing w:after="0" w:line="240" w:lineRule="auto"/>
        <w:rPr>
          <w:rFonts w:ascii="Times New Roman" w:hAnsi="Times New Roman"/>
          <w:sz w:val="20"/>
          <w:szCs w:val="20"/>
        </w:rPr>
      </w:pPr>
      <w:r w:rsidRPr="007F5B4F">
        <w:rPr>
          <w:rFonts w:ascii="Times New Roman" w:hAnsi="Times New Roman"/>
          <w:sz w:val="20"/>
          <w:szCs w:val="20"/>
        </w:rPr>
        <w:t>U. Zemzars</w:t>
      </w:r>
    </w:p>
    <w:p w:rsidR="007F5B4F" w:rsidRPr="007F5B4F" w:rsidRDefault="007F5B4F" w:rsidP="007F5B4F">
      <w:pPr>
        <w:spacing w:after="0" w:line="240" w:lineRule="auto"/>
        <w:rPr>
          <w:rFonts w:ascii="Times New Roman" w:hAnsi="Times New Roman"/>
          <w:sz w:val="20"/>
          <w:szCs w:val="20"/>
        </w:rPr>
      </w:pPr>
      <w:r w:rsidRPr="007F5B4F">
        <w:rPr>
          <w:rFonts w:ascii="Times New Roman" w:hAnsi="Times New Roman"/>
          <w:sz w:val="20"/>
          <w:szCs w:val="20"/>
        </w:rPr>
        <w:t>67036943, Uldis.Zemzars@tm.gov.lv</w:t>
      </w:r>
    </w:p>
    <w:p w:rsidR="006E196A" w:rsidRPr="007F5B4F" w:rsidRDefault="006E196A" w:rsidP="007F5B4F">
      <w:pPr>
        <w:spacing w:after="0" w:line="240" w:lineRule="auto"/>
        <w:rPr>
          <w:rFonts w:ascii="Times New Roman" w:hAnsi="Times New Roman"/>
          <w:color w:val="000000"/>
          <w:sz w:val="20"/>
          <w:szCs w:val="20"/>
        </w:rPr>
      </w:pPr>
    </w:p>
    <w:sectPr w:rsidR="006E196A" w:rsidRPr="007F5B4F" w:rsidSect="00DF572D">
      <w:headerReference w:type="default" r:id="rId7"/>
      <w:footerReference w:type="default" r:id="rId8"/>
      <w:footerReference w:type="first" r:id="rId9"/>
      <w:pgSz w:w="11906" w:h="16838"/>
      <w:pgMar w:top="1276" w:right="1134" w:bottom="1560" w:left="1701" w:header="709" w:footer="7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369" w:rsidRDefault="009E2369" w:rsidP="0075141E">
      <w:pPr>
        <w:spacing w:after="0" w:line="240" w:lineRule="auto"/>
      </w:pPr>
      <w:r>
        <w:separator/>
      </w:r>
    </w:p>
  </w:endnote>
  <w:endnote w:type="continuationSeparator" w:id="1">
    <w:p w:rsidR="009E2369" w:rsidRDefault="009E2369" w:rsidP="007514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52" w:rsidRPr="004A1B2F" w:rsidRDefault="00C33852" w:rsidP="004A1B2F">
    <w:pPr>
      <w:pStyle w:val="Kjene"/>
      <w:rPr>
        <w:rFonts w:ascii="Times New Roman" w:hAnsi="Times New Roman"/>
        <w:sz w:val="20"/>
        <w:szCs w:val="20"/>
      </w:rPr>
    </w:pPr>
    <w:r w:rsidRPr="004A1B2F">
      <w:rPr>
        <w:rFonts w:ascii="Times New Roman" w:hAnsi="Times New Roman"/>
        <w:sz w:val="20"/>
        <w:szCs w:val="20"/>
      </w:rPr>
      <w:t>TMAnot_</w:t>
    </w:r>
    <w:r w:rsidR="0004249B">
      <w:rPr>
        <w:rFonts w:ascii="Times New Roman" w:hAnsi="Times New Roman"/>
        <w:sz w:val="20"/>
        <w:szCs w:val="20"/>
      </w:rPr>
      <w:t>120111</w:t>
    </w:r>
    <w:r w:rsidRPr="004A1B2F">
      <w:rPr>
        <w:rFonts w:ascii="Times New Roman" w:hAnsi="Times New Roman"/>
        <w:sz w:val="20"/>
        <w:szCs w:val="20"/>
      </w:rPr>
      <w:t>_KL; Likumprojekta „Grozījumi Krimināllikumā”</w:t>
    </w:r>
    <w:r>
      <w:rPr>
        <w:rFonts w:ascii="Times New Roman" w:hAnsi="Times New Roman"/>
        <w:sz w:val="20"/>
        <w:szCs w:val="20"/>
      </w:rPr>
      <w:t xml:space="preserve"> </w:t>
    </w:r>
    <w:r w:rsidRPr="004A1B2F">
      <w:rPr>
        <w:rFonts w:ascii="Times New Roman" w:hAnsi="Times New Roman"/>
        <w:sz w:val="20"/>
        <w:szCs w:val="20"/>
      </w:rPr>
      <w:t xml:space="preserve">sākotnējās ietekmes novērtējuma </w:t>
    </w:r>
    <w:smartTag w:uri="schemas-tilde-lv/tildestengine" w:element="veidnes">
      <w:smartTagPr>
        <w:attr w:name="text" w:val="ziņojums"/>
        <w:attr w:name="baseform" w:val="ziņojums"/>
        <w:attr w:name="id" w:val="-1"/>
      </w:smartTagPr>
      <w:r w:rsidRPr="004A1B2F">
        <w:rPr>
          <w:rFonts w:ascii="Times New Roman" w:hAnsi="Times New Roman"/>
          <w:sz w:val="20"/>
          <w:szCs w:val="20"/>
        </w:rPr>
        <w:t>ziņojums</w:t>
      </w:r>
    </w:smartTag>
    <w:r w:rsidRPr="004A1B2F">
      <w:rPr>
        <w:rFonts w:ascii="Times New Roman" w:hAnsi="Times New Roman"/>
        <w:sz w:val="20"/>
        <w:szCs w:val="20"/>
      </w:rPr>
      <w:t xml:space="preserve"> </w:t>
    </w:r>
    <w:r w:rsidRPr="004A1B2F">
      <w:rPr>
        <w:rFonts w:ascii="Times New Roman" w:hAnsi="Times New Roman"/>
        <w:bCs/>
        <w:sz w:val="20"/>
        <w:szCs w:val="20"/>
        <w:lang w:eastAsia="lv-LV"/>
      </w:rPr>
      <w:t>(anotācija)</w:t>
    </w:r>
  </w:p>
  <w:p w:rsidR="00C33852" w:rsidRPr="0098555C" w:rsidRDefault="00C33852" w:rsidP="0098555C">
    <w:pPr>
      <w:pStyle w:val="ParastaisWeb"/>
      <w:spacing w:before="0" w:beforeAutospacing="0" w:after="0" w:afterAutospacing="0"/>
      <w:jc w:val="both"/>
      <w:rPr>
        <w:rFonts w:ascii="Times New Roman" w:hAnsi="Times New Roman"/>
        <w:sz w:val="22"/>
        <w:szCs w:val="22"/>
        <w:lang w:val="lv-LV"/>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52" w:rsidRPr="004A1B2F" w:rsidRDefault="00C33852" w:rsidP="004A1B2F">
    <w:pPr>
      <w:pStyle w:val="Kjene"/>
      <w:rPr>
        <w:rFonts w:ascii="Times New Roman" w:hAnsi="Times New Roman"/>
        <w:sz w:val="20"/>
        <w:szCs w:val="20"/>
      </w:rPr>
    </w:pPr>
    <w:r w:rsidRPr="004A1B2F">
      <w:rPr>
        <w:rFonts w:ascii="Times New Roman" w:hAnsi="Times New Roman"/>
        <w:sz w:val="20"/>
        <w:szCs w:val="20"/>
      </w:rPr>
      <w:t>TMAnot_</w:t>
    </w:r>
    <w:r w:rsidR="0004249B">
      <w:rPr>
        <w:rFonts w:ascii="Times New Roman" w:hAnsi="Times New Roman"/>
        <w:sz w:val="20"/>
        <w:szCs w:val="20"/>
      </w:rPr>
      <w:t>120111</w:t>
    </w:r>
    <w:r w:rsidRPr="004A1B2F">
      <w:rPr>
        <w:rFonts w:ascii="Times New Roman" w:hAnsi="Times New Roman"/>
        <w:sz w:val="20"/>
        <w:szCs w:val="20"/>
      </w:rPr>
      <w:t>_KL; Likumprojekta „Grozījumi Krimināllikumā”</w:t>
    </w:r>
    <w:r>
      <w:rPr>
        <w:rFonts w:ascii="Times New Roman" w:hAnsi="Times New Roman"/>
        <w:sz w:val="20"/>
        <w:szCs w:val="20"/>
      </w:rPr>
      <w:t xml:space="preserve"> </w:t>
    </w:r>
    <w:r w:rsidRPr="004A1B2F">
      <w:rPr>
        <w:rFonts w:ascii="Times New Roman" w:hAnsi="Times New Roman"/>
        <w:sz w:val="20"/>
        <w:szCs w:val="20"/>
      </w:rPr>
      <w:t xml:space="preserve">sākotnējās ietekmes novērtējuma </w:t>
    </w:r>
    <w:smartTag w:uri="schemas-tilde-lv/tildestengine" w:element="veidnes">
      <w:smartTagPr>
        <w:attr w:name="text" w:val="ziņojums"/>
        <w:attr w:name="baseform" w:val="ziņojums"/>
        <w:attr w:name="id" w:val="-1"/>
      </w:smartTagPr>
      <w:r w:rsidRPr="004A1B2F">
        <w:rPr>
          <w:rFonts w:ascii="Times New Roman" w:hAnsi="Times New Roman"/>
          <w:sz w:val="20"/>
          <w:szCs w:val="20"/>
        </w:rPr>
        <w:t>ziņojums</w:t>
      </w:r>
    </w:smartTag>
    <w:r w:rsidRPr="004A1B2F">
      <w:rPr>
        <w:rFonts w:ascii="Times New Roman" w:hAnsi="Times New Roman"/>
        <w:sz w:val="20"/>
        <w:szCs w:val="20"/>
      </w:rPr>
      <w:t xml:space="preserve"> </w:t>
    </w:r>
    <w:r w:rsidRPr="004A1B2F">
      <w:rPr>
        <w:rFonts w:ascii="Times New Roman" w:hAnsi="Times New Roman"/>
        <w:bCs/>
        <w:sz w:val="20"/>
        <w:szCs w:val="20"/>
        <w:lang w:eastAsia="lv-LV"/>
      </w:rPr>
      <w:t>(anotācija)</w:t>
    </w:r>
  </w:p>
  <w:p w:rsidR="00C33852" w:rsidRPr="0098555C" w:rsidRDefault="00C33852" w:rsidP="00B90B55">
    <w:pPr>
      <w:pStyle w:val="ParastaisWeb"/>
      <w:spacing w:before="0" w:beforeAutospacing="0" w:after="0" w:afterAutospacing="0"/>
      <w:jc w:val="both"/>
      <w:rPr>
        <w:rFonts w:ascii="Times New Roman" w:hAnsi="Times New Roman"/>
        <w:sz w:val="22"/>
        <w:szCs w:val="22"/>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369" w:rsidRDefault="009E2369" w:rsidP="0075141E">
      <w:pPr>
        <w:spacing w:after="0" w:line="240" w:lineRule="auto"/>
      </w:pPr>
      <w:r>
        <w:separator/>
      </w:r>
    </w:p>
  </w:footnote>
  <w:footnote w:type="continuationSeparator" w:id="1">
    <w:p w:rsidR="009E2369" w:rsidRDefault="009E2369" w:rsidP="007514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52" w:rsidRPr="002226F8" w:rsidRDefault="005E3660" w:rsidP="0001022C">
    <w:pPr>
      <w:pStyle w:val="Galvene"/>
      <w:jc w:val="center"/>
      <w:rPr>
        <w:rFonts w:ascii="Times New Roman" w:hAnsi="Times New Roman"/>
        <w:sz w:val="24"/>
        <w:szCs w:val="24"/>
      </w:rPr>
    </w:pPr>
    <w:r w:rsidRPr="00BA5B93">
      <w:rPr>
        <w:rFonts w:ascii="Times New Roman" w:hAnsi="Times New Roman"/>
        <w:sz w:val="24"/>
        <w:szCs w:val="24"/>
      </w:rPr>
      <w:fldChar w:fldCharType="begin"/>
    </w:r>
    <w:r w:rsidR="00C33852" w:rsidRPr="00BA5B93">
      <w:rPr>
        <w:rFonts w:ascii="Times New Roman" w:hAnsi="Times New Roman"/>
        <w:sz w:val="24"/>
        <w:szCs w:val="24"/>
      </w:rPr>
      <w:instrText xml:space="preserve"> PAGE   \* MERGEFORMAT </w:instrText>
    </w:r>
    <w:r w:rsidRPr="00BA5B93">
      <w:rPr>
        <w:rFonts w:ascii="Times New Roman" w:hAnsi="Times New Roman"/>
        <w:sz w:val="24"/>
        <w:szCs w:val="24"/>
      </w:rPr>
      <w:fldChar w:fldCharType="separate"/>
    </w:r>
    <w:r w:rsidR="00FD1E7B">
      <w:rPr>
        <w:rFonts w:ascii="Times New Roman" w:hAnsi="Times New Roman"/>
        <w:noProof/>
        <w:sz w:val="24"/>
        <w:szCs w:val="24"/>
      </w:rPr>
      <w:t>10</w:t>
    </w:r>
    <w:r w:rsidRPr="00BA5B93">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39B4"/>
    <w:multiLevelType w:val="hybridMultilevel"/>
    <w:tmpl w:val="3230E2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897436C"/>
    <w:multiLevelType w:val="hybridMultilevel"/>
    <w:tmpl w:val="E41201E6"/>
    <w:lvl w:ilvl="0" w:tplc="7564DD7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nsid w:val="2B7D03F4"/>
    <w:multiLevelType w:val="hybridMultilevel"/>
    <w:tmpl w:val="3F12188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nsid w:val="344A49D7"/>
    <w:multiLevelType w:val="hybridMultilevel"/>
    <w:tmpl w:val="DDFEDA48"/>
    <w:lvl w:ilvl="0" w:tplc="1D0A63A2">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4">
    <w:nsid w:val="376E3EB9"/>
    <w:multiLevelType w:val="hybridMultilevel"/>
    <w:tmpl w:val="E3C0C6B2"/>
    <w:lvl w:ilvl="0" w:tplc="04260011">
      <w:start w:val="1"/>
      <w:numFmt w:val="decimal"/>
      <w:lvlText w:val="%1)"/>
      <w:lvlJc w:val="left"/>
      <w:pPr>
        <w:ind w:left="36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F0D4A46"/>
    <w:multiLevelType w:val="hybridMultilevel"/>
    <w:tmpl w:val="0804DED6"/>
    <w:lvl w:ilvl="0" w:tplc="AD808774">
      <w:start w:val="1"/>
      <w:numFmt w:val="decimal"/>
      <w:lvlText w:val="%1."/>
      <w:lvlJc w:val="left"/>
      <w:pPr>
        <w:ind w:left="930" w:hanging="57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8AD6453"/>
    <w:multiLevelType w:val="hybridMultilevel"/>
    <w:tmpl w:val="735E6428"/>
    <w:lvl w:ilvl="0" w:tplc="E34A43CA">
      <w:start w:val="1"/>
      <w:numFmt w:val="decimal"/>
      <w:lvlText w:val="%1."/>
      <w:lvlJc w:val="left"/>
      <w:pPr>
        <w:ind w:left="720" w:hanging="360"/>
      </w:pPr>
      <w:rPr>
        <w:rFonts w:ascii="Times New Roman" w:eastAsia="Times New Roman" w:hAnsi="Times New Roman" w:cs="Times New Roman"/>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0B2284"/>
    <w:rsid w:val="00000C18"/>
    <w:rsid w:val="00003D5F"/>
    <w:rsid w:val="0001022C"/>
    <w:rsid w:val="0001532E"/>
    <w:rsid w:val="00024A68"/>
    <w:rsid w:val="0003359C"/>
    <w:rsid w:val="00036706"/>
    <w:rsid w:val="0004249B"/>
    <w:rsid w:val="00052839"/>
    <w:rsid w:val="00064D75"/>
    <w:rsid w:val="000761E6"/>
    <w:rsid w:val="0008039A"/>
    <w:rsid w:val="0009500A"/>
    <w:rsid w:val="000A2889"/>
    <w:rsid w:val="000A4CAA"/>
    <w:rsid w:val="000A5DF2"/>
    <w:rsid w:val="000B17B7"/>
    <w:rsid w:val="000B2284"/>
    <w:rsid w:val="000C2331"/>
    <w:rsid w:val="000C49D7"/>
    <w:rsid w:val="000C53F8"/>
    <w:rsid w:val="000C56DE"/>
    <w:rsid w:val="000D2F76"/>
    <w:rsid w:val="000D6DE0"/>
    <w:rsid w:val="000E35D7"/>
    <w:rsid w:val="000E6DA8"/>
    <w:rsid w:val="001027A7"/>
    <w:rsid w:val="00102FA8"/>
    <w:rsid w:val="001060E8"/>
    <w:rsid w:val="00111EFE"/>
    <w:rsid w:val="00113107"/>
    <w:rsid w:val="001156BD"/>
    <w:rsid w:val="00117C1A"/>
    <w:rsid w:val="0012480A"/>
    <w:rsid w:val="00126EDD"/>
    <w:rsid w:val="0014037E"/>
    <w:rsid w:val="00170D18"/>
    <w:rsid w:val="001737B3"/>
    <w:rsid w:val="00184685"/>
    <w:rsid w:val="0019033D"/>
    <w:rsid w:val="00190478"/>
    <w:rsid w:val="00190788"/>
    <w:rsid w:val="001944EC"/>
    <w:rsid w:val="001A084C"/>
    <w:rsid w:val="001A3511"/>
    <w:rsid w:val="001A5F17"/>
    <w:rsid w:val="001B7460"/>
    <w:rsid w:val="001C7A4B"/>
    <w:rsid w:val="001D3187"/>
    <w:rsid w:val="001E0870"/>
    <w:rsid w:val="001E3942"/>
    <w:rsid w:val="001E4DFF"/>
    <w:rsid w:val="001E5A9B"/>
    <w:rsid w:val="001E73E5"/>
    <w:rsid w:val="001F22AF"/>
    <w:rsid w:val="001F4362"/>
    <w:rsid w:val="00200A0D"/>
    <w:rsid w:val="00206A98"/>
    <w:rsid w:val="00207417"/>
    <w:rsid w:val="00210764"/>
    <w:rsid w:val="00212389"/>
    <w:rsid w:val="00214864"/>
    <w:rsid w:val="00220A56"/>
    <w:rsid w:val="00222130"/>
    <w:rsid w:val="00225AF9"/>
    <w:rsid w:val="00226F81"/>
    <w:rsid w:val="002450D9"/>
    <w:rsid w:val="00250537"/>
    <w:rsid w:val="00250AD3"/>
    <w:rsid w:val="0025133F"/>
    <w:rsid w:val="00267085"/>
    <w:rsid w:val="00270BFF"/>
    <w:rsid w:val="00272A2F"/>
    <w:rsid w:val="002755B7"/>
    <w:rsid w:val="00283A98"/>
    <w:rsid w:val="002846A4"/>
    <w:rsid w:val="002A7965"/>
    <w:rsid w:val="002B019F"/>
    <w:rsid w:val="002C45E0"/>
    <w:rsid w:val="002C4B3E"/>
    <w:rsid w:val="002C620D"/>
    <w:rsid w:val="002D651E"/>
    <w:rsid w:val="002F4582"/>
    <w:rsid w:val="00300233"/>
    <w:rsid w:val="00301937"/>
    <w:rsid w:val="00301E8C"/>
    <w:rsid w:val="003139F3"/>
    <w:rsid w:val="00316070"/>
    <w:rsid w:val="003244DC"/>
    <w:rsid w:val="00324F76"/>
    <w:rsid w:val="00334CB7"/>
    <w:rsid w:val="003404D9"/>
    <w:rsid w:val="003472CD"/>
    <w:rsid w:val="003518B6"/>
    <w:rsid w:val="0037046C"/>
    <w:rsid w:val="003762DA"/>
    <w:rsid w:val="00380040"/>
    <w:rsid w:val="0038449F"/>
    <w:rsid w:val="003972B7"/>
    <w:rsid w:val="003A2786"/>
    <w:rsid w:val="003A6A98"/>
    <w:rsid w:val="003B5281"/>
    <w:rsid w:val="003B7570"/>
    <w:rsid w:val="003C3A00"/>
    <w:rsid w:val="003D3012"/>
    <w:rsid w:val="003E627F"/>
    <w:rsid w:val="00403BCD"/>
    <w:rsid w:val="00407B95"/>
    <w:rsid w:val="00407D3B"/>
    <w:rsid w:val="00416D64"/>
    <w:rsid w:val="00417FF8"/>
    <w:rsid w:val="00424B0C"/>
    <w:rsid w:val="004419E6"/>
    <w:rsid w:val="00453364"/>
    <w:rsid w:val="00453E7E"/>
    <w:rsid w:val="00460C1A"/>
    <w:rsid w:val="00464F21"/>
    <w:rsid w:val="00470203"/>
    <w:rsid w:val="0047088B"/>
    <w:rsid w:val="004729B2"/>
    <w:rsid w:val="00476DFF"/>
    <w:rsid w:val="004814E8"/>
    <w:rsid w:val="00491098"/>
    <w:rsid w:val="00491E68"/>
    <w:rsid w:val="00495923"/>
    <w:rsid w:val="004A1B2F"/>
    <w:rsid w:val="004B61E1"/>
    <w:rsid w:val="004C5FEF"/>
    <w:rsid w:val="004D6706"/>
    <w:rsid w:val="004D7F73"/>
    <w:rsid w:val="004E305C"/>
    <w:rsid w:val="004F5D33"/>
    <w:rsid w:val="004F7276"/>
    <w:rsid w:val="004F731E"/>
    <w:rsid w:val="004F7C29"/>
    <w:rsid w:val="00536DFF"/>
    <w:rsid w:val="00537594"/>
    <w:rsid w:val="00551DB5"/>
    <w:rsid w:val="0055307D"/>
    <w:rsid w:val="00555EA8"/>
    <w:rsid w:val="005567F3"/>
    <w:rsid w:val="0056039A"/>
    <w:rsid w:val="00560801"/>
    <w:rsid w:val="00560AEA"/>
    <w:rsid w:val="00565824"/>
    <w:rsid w:val="00571005"/>
    <w:rsid w:val="0057432D"/>
    <w:rsid w:val="005933A5"/>
    <w:rsid w:val="00597789"/>
    <w:rsid w:val="005A3A3E"/>
    <w:rsid w:val="005B176C"/>
    <w:rsid w:val="005B3650"/>
    <w:rsid w:val="005C0678"/>
    <w:rsid w:val="005C1C08"/>
    <w:rsid w:val="005C30B0"/>
    <w:rsid w:val="005C3608"/>
    <w:rsid w:val="005C409A"/>
    <w:rsid w:val="005C7E89"/>
    <w:rsid w:val="005D0C92"/>
    <w:rsid w:val="005D4B2B"/>
    <w:rsid w:val="005E3660"/>
    <w:rsid w:val="005E3911"/>
    <w:rsid w:val="005F1518"/>
    <w:rsid w:val="006033EB"/>
    <w:rsid w:val="006163C5"/>
    <w:rsid w:val="00617FC8"/>
    <w:rsid w:val="006260E7"/>
    <w:rsid w:val="006301AC"/>
    <w:rsid w:val="00631CFD"/>
    <w:rsid w:val="006342BF"/>
    <w:rsid w:val="00641722"/>
    <w:rsid w:val="00641E61"/>
    <w:rsid w:val="0064312A"/>
    <w:rsid w:val="0064366F"/>
    <w:rsid w:val="00685963"/>
    <w:rsid w:val="006861E0"/>
    <w:rsid w:val="00693334"/>
    <w:rsid w:val="0069444E"/>
    <w:rsid w:val="00695F75"/>
    <w:rsid w:val="006A0410"/>
    <w:rsid w:val="006A5FFD"/>
    <w:rsid w:val="006B101E"/>
    <w:rsid w:val="006B2DC5"/>
    <w:rsid w:val="006C2D83"/>
    <w:rsid w:val="006C3CE8"/>
    <w:rsid w:val="006C6DAA"/>
    <w:rsid w:val="006D4D97"/>
    <w:rsid w:val="006E196A"/>
    <w:rsid w:val="006E4240"/>
    <w:rsid w:val="006E51BD"/>
    <w:rsid w:val="006F6472"/>
    <w:rsid w:val="006F6739"/>
    <w:rsid w:val="006F746D"/>
    <w:rsid w:val="007149F6"/>
    <w:rsid w:val="00721E5F"/>
    <w:rsid w:val="00727196"/>
    <w:rsid w:val="0073463A"/>
    <w:rsid w:val="0073477B"/>
    <w:rsid w:val="0073700D"/>
    <w:rsid w:val="00740DB9"/>
    <w:rsid w:val="00745AF9"/>
    <w:rsid w:val="007506B1"/>
    <w:rsid w:val="0075141E"/>
    <w:rsid w:val="007544A0"/>
    <w:rsid w:val="00763884"/>
    <w:rsid w:val="00770429"/>
    <w:rsid w:val="007737B0"/>
    <w:rsid w:val="007751E2"/>
    <w:rsid w:val="00782A4D"/>
    <w:rsid w:val="0078704D"/>
    <w:rsid w:val="00787A0D"/>
    <w:rsid w:val="00791EF3"/>
    <w:rsid w:val="00795C74"/>
    <w:rsid w:val="007A182C"/>
    <w:rsid w:val="007A2E40"/>
    <w:rsid w:val="007A5FF6"/>
    <w:rsid w:val="007B4DD0"/>
    <w:rsid w:val="007C096C"/>
    <w:rsid w:val="007C6B16"/>
    <w:rsid w:val="007D350E"/>
    <w:rsid w:val="007E1A4B"/>
    <w:rsid w:val="007E4D22"/>
    <w:rsid w:val="007E6A8A"/>
    <w:rsid w:val="007F2FAB"/>
    <w:rsid w:val="007F5B4F"/>
    <w:rsid w:val="007F704F"/>
    <w:rsid w:val="00804C36"/>
    <w:rsid w:val="008116CD"/>
    <w:rsid w:val="0083153D"/>
    <w:rsid w:val="008315F2"/>
    <w:rsid w:val="00836E18"/>
    <w:rsid w:val="00844033"/>
    <w:rsid w:val="008457ED"/>
    <w:rsid w:val="00850C27"/>
    <w:rsid w:val="008513BA"/>
    <w:rsid w:val="008575E9"/>
    <w:rsid w:val="00871BE4"/>
    <w:rsid w:val="00874505"/>
    <w:rsid w:val="00877E0D"/>
    <w:rsid w:val="00880D07"/>
    <w:rsid w:val="008937B9"/>
    <w:rsid w:val="008B066B"/>
    <w:rsid w:val="008B307C"/>
    <w:rsid w:val="008B3526"/>
    <w:rsid w:val="008C5536"/>
    <w:rsid w:val="008C69BF"/>
    <w:rsid w:val="008C7255"/>
    <w:rsid w:val="008D02DB"/>
    <w:rsid w:val="008D0AAE"/>
    <w:rsid w:val="008D28B8"/>
    <w:rsid w:val="008E31E9"/>
    <w:rsid w:val="008F62BA"/>
    <w:rsid w:val="008F6F47"/>
    <w:rsid w:val="00905415"/>
    <w:rsid w:val="0090706C"/>
    <w:rsid w:val="00912648"/>
    <w:rsid w:val="00915E74"/>
    <w:rsid w:val="00922DD7"/>
    <w:rsid w:val="009273E4"/>
    <w:rsid w:val="00927637"/>
    <w:rsid w:val="0094476E"/>
    <w:rsid w:val="009476E9"/>
    <w:rsid w:val="00953165"/>
    <w:rsid w:val="00953BCF"/>
    <w:rsid w:val="00960F90"/>
    <w:rsid w:val="00975754"/>
    <w:rsid w:val="00976B23"/>
    <w:rsid w:val="0098555C"/>
    <w:rsid w:val="00992F2A"/>
    <w:rsid w:val="009969C6"/>
    <w:rsid w:val="00996A60"/>
    <w:rsid w:val="009A5F9D"/>
    <w:rsid w:val="009B04E3"/>
    <w:rsid w:val="009C4E6A"/>
    <w:rsid w:val="009C6167"/>
    <w:rsid w:val="009E2369"/>
    <w:rsid w:val="009E36D9"/>
    <w:rsid w:val="009E741D"/>
    <w:rsid w:val="009F2C01"/>
    <w:rsid w:val="009F2D63"/>
    <w:rsid w:val="00A019E8"/>
    <w:rsid w:val="00A12DF0"/>
    <w:rsid w:val="00A139DF"/>
    <w:rsid w:val="00A17953"/>
    <w:rsid w:val="00A24FFD"/>
    <w:rsid w:val="00A271A2"/>
    <w:rsid w:val="00A31DA0"/>
    <w:rsid w:val="00A3479C"/>
    <w:rsid w:val="00A36C5F"/>
    <w:rsid w:val="00A44E6D"/>
    <w:rsid w:val="00A53C44"/>
    <w:rsid w:val="00A54F6E"/>
    <w:rsid w:val="00A566BD"/>
    <w:rsid w:val="00A61167"/>
    <w:rsid w:val="00A65F4C"/>
    <w:rsid w:val="00A67868"/>
    <w:rsid w:val="00A70CB8"/>
    <w:rsid w:val="00A8429A"/>
    <w:rsid w:val="00A91395"/>
    <w:rsid w:val="00A94E43"/>
    <w:rsid w:val="00A979BA"/>
    <w:rsid w:val="00AA2F5E"/>
    <w:rsid w:val="00AA4376"/>
    <w:rsid w:val="00AA6B75"/>
    <w:rsid w:val="00AB0B1F"/>
    <w:rsid w:val="00AB3946"/>
    <w:rsid w:val="00AC38DB"/>
    <w:rsid w:val="00AC7D07"/>
    <w:rsid w:val="00AF1562"/>
    <w:rsid w:val="00AF2824"/>
    <w:rsid w:val="00AF2FF2"/>
    <w:rsid w:val="00AF6250"/>
    <w:rsid w:val="00AF70DF"/>
    <w:rsid w:val="00B03A37"/>
    <w:rsid w:val="00B03F68"/>
    <w:rsid w:val="00B2016F"/>
    <w:rsid w:val="00B22C13"/>
    <w:rsid w:val="00B2538C"/>
    <w:rsid w:val="00B25AD9"/>
    <w:rsid w:val="00B31EB9"/>
    <w:rsid w:val="00B33756"/>
    <w:rsid w:val="00B352F5"/>
    <w:rsid w:val="00B41C17"/>
    <w:rsid w:val="00B514B7"/>
    <w:rsid w:val="00B51DED"/>
    <w:rsid w:val="00B9073A"/>
    <w:rsid w:val="00B90B55"/>
    <w:rsid w:val="00BA076B"/>
    <w:rsid w:val="00BA11AB"/>
    <w:rsid w:val="00BB1611"/>
    <w:rsid w:val="00BC42DD"/>
    <w:rsid w:val="00BC67BC"/>
    <w:rsid w:val="00BF1107"/>
    <w:rsid w:val="00BF744A"/>
    <w:rsid w:val="00C0279F"/>
    <w:rsid w:val="00C03361"/>
    <w:rsid w:val="00C065DE"/>
    <w:rsid w:val="00C103E2"/>
    <w:rsid w:val="00C16ECF"/>
    <w:rsid w:val="00C33852"/>
    <w:rsid w:val="00C43463"/>
    <w:rsid w:val="00C53EA6"/>
    <w:rsid w:val="00C62CF8"/>
    <w:rsid w:val="00C6389D"/>
    <w:rsid w:val="00C64287"/>
    <w:rsid w:val="00C66EE6"/>
    <w:rsid w:val="00C76262"/>
    <w:rsid w:val="00C86677"/>
    <w:rsid w:val="00C95D7D"/>
    <w:rsid w:val="00CA2CEE"/>
    <w:rsid w:val="00CA5F0B"/>
    <w:rsid w:val="00CA7A3E"/>
    <w:rsid w:val="00CB42CC"/>
    <w:rsid w:val="00CC26B5"/>
    <w:rsid w:val="00CC706B"/>
    <w:rsid w:val="00CD264C"/>
    <w:rsid w:val="00CE2F01"/>
    <w:rsid w:val="00CE5EFF"/>
    <w:rsid w:val="00CE688D"/>
    <w:rsid w:val="00CE7A64"/>
    <w:rsid w:val="00CF2F05"/>
    <w:rsid w:val="00CF6604"/>
    <w:rsid w:val="00D02BAE"/>
    <w:rsid w:val="00D05A4A"/>
    <w:rsid w:val="00D06DDE"/>
    <w:rsid w:val="00D1739C"/>
    <w:rsid w:val="00D34702"/>
    <w:rsid w:val="00D62E6E"/>
    <w:rsid w:val="00D71057"/>
    <w:rsid w:val="00D777C5"/>
    <w:rsid w:val="00D779E9"/>
    <w:rsid w:val="00D93B17"/>
    <w:rsid w:val="00D96CA8"/>
    <w:rsid w:val="00D975AB"/>
    <w:rsid w:val="00DA1012"/>
    <w:rsid w:val="00DA4432"/>
    <w:rsid w:val="00DB1AE0"/>
    <w:rsid w:val="00DC08FA"/>
    <w:rsid w:val="00DC7EC7"/>
    <w:rsid w:val="00DD40AD"/>
    <w:rsid w:val="00DD677E"/>
    <w:rsid w:val="00DE39AD"/>
    <w:rsid w:val="00DF551D"/>
    <w:rsid w:val="00DF572D"/>
    <w:rsid w:val="00DF6FED"/>
    <w:rsid w:val="00E0004D"/>
    <w:rsid w:val="00E01E97"/>
    <w:rsid w:val="00E05831"/>
    <w:rsid w:val="00E10969"/>
    <w:rsid w:val="00E125CF"/>
    <w:rsid w:val="00E12E22"/>
    <w:rsid w:val="00E22068"/>
    <w:rsid w:val="00E247B5"/>
    <w:rsid w:val="00E268E2"/>
    <w:rsid w:val="00E2701D"/>
    <w:rsid w:val="00E27C25"/>
    <w:rsid w:val="00E30499"/>
    <w:rsid w:val="00E3615C"/>
    <w:rsid w:val="00E37FCC"/>
    <w:rsid w:val="00E410EB"/>
    <w:rsid w:val="00E4163F"/>
    <w:rsid w:val="00E47FC8"/>
    <w:rsid w:val="00E55905"/>
    <w:rsid w:val="00E657C9"/>
    <w:rsid w:val="00E72CB3"/>
    <w:rsid w:val="00E75CDC"/>
    <w:rsid w:val="00E803B8"/>
    <w:rsid w:val="00E92797"/>
    <w:rsid w:val="00E92CAA"/>
    <w:rsid w:val="00E9507B"/>
    <w:rsid w:val="00EA427B"/>
    <w:rsid w:val="00EA4983"/>
    <w:rsid w:val="00EA4C92"/>
    <w:rsid w:val="00EA62D6"/>
    <w:rsid w:val="00EA7F4D"/>
    <w:rsid w:val="00EB16C1"/>
    <w:rsid w:val="00EB4F33"/>
    <w:rsid w:val="00EC4A60"/>
    <w:rsid w:val="00ED04D7"/>
    <w:rsid w:val="00ED50B5"/>
    <w:rsid w:val="00ED7F7F"/>
    <w:rsid w:val="00EE5EFC"/>
    <w:rsid w:val="00EF0B2C"/>
    <w:rsid w:val="00EF46EF"/>
    <w:rsid w:val="00F0209C"/>
    <w:rsid w:val="00F06AE9"/>
    <w:rsid w:val="00F178B3"/>
    <w:rsid w:val="00F26553"/>
    <w:rsid w:val="00F34F0B"/>
    <w:rsid w:val="00F430A0"/>
    <w:rsid w:val="00F546E5"/>
    <w:rsid w:val="00F554D2"/>
    <w:rsid w:val="00F7476F"/>
    <w:rsid w:val="00F82F63"/>
    <w:rsid w:val="00F91B75"/>
    <w:rsid w:val="00F92030"/>
    <w:rsid w:val="00F94CB3"/>
    <w:rsid w:val="00FA1518"/>
    <w:rsid w:val="00FA24BD"/>
    <w:rsid w:val="00FA2F7B"/>
    <w:rsid w:val="00FA2FA7"/>
    <w:rsid w:val="00FA6849"/>
    <w:rsid w:val="00FB273C"/>
    <w:rsid w:val="00FB32E0"/>
    <w:rsid w:val="00FD18BF"/>
    <w:rsid w:val="00FD1E7B"/>
    <w:rsid w:val="00FD7C8D"/>
    <w:rsid w:val="00FE0208"/>
    <w:rsid w:val="00FE799D"/>
    <w:rsid w:val="00FE7A58"/>
    <w:rsid w:val="00FF0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B2284"/>
    <w:pPr>
      <w:spacing w:after="200" w:line="276" w:lineRule="auto"/>
    </w:pPr>
    <w:rPr>
      <w:sz w:val="22"/>
      <w:szCs w:val="22"/>
      <w:lang w:eastAsia="en-US"/>
    </w:rPr>
  </w:style>
  <w:style w:type="paragraph" w:styleId="Virsraksts1">
    <w:name w:val="heading 1"/>
    <w:basedOn w:val="Parastais"/>
    <w:link w:val="Virsraksts1Rakstz"/>
    <w:uiPriority w:val="9"/>
    <w:qFormat/>
    <w:rsid w:val="001D3187"/>
    <w:pPr>
      <w:spacing w:after="0" w:line="240" w:lineRule="auto"/>
      <w:outlineLvl w:val="0"/>
    </w:pPr>
    <w:rPr>
      <w:rFonts w:ascii="Tahoma" w:eastAsia="Times New Roman" w:hAnsi="Tahoma" w:cs="Tahoma"/>
      <w:b/>
      <w:bCs/>
      <w:kern w:val="36"/>
      <w:sz w:val="38"/>
      <w:szCs w:val="3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rsid w:val="000B2284"/>
    <w:pPr>
      <w:spacing w:before="100" w:beforeAutospacing="1" w:after="100" w:afterAutospacing="1" w:line="240" w:lineRule="auto"/>
    </w:pPr>
    <w:rPr>
      <w:rFonts w:ascii="Times New Roman" w:eastAsia="Times New Roman" w:hAnsi="Times New Roman"/>
      <w:sz w:val="24"/>
      <w:szCs w:val="24"/>
      <w:lang w:eastAsia="lv-LV"/>
    </w:rPr>
  </w:style>
  <w:style w:type="paragraph" w:styleId="Galvene">
    <w:name w:val="header"/>
    <w:basedOn w:val="Parastais"/>
    <w:link w:val="GalveneRakstz"/>
    <w:uiPriority w:val="99"/>
    <w:unhideWhenUsed/>
    <w:rsid w:val="000B2284"/>
    <w:pPr>
      <w:tabs>
        <w:tab w:val="center" w:pos="4153"/>
        <w:tab w:val="right" w:pos="8306"/>
      </w:tabs>
    </w:pPr>
  </w:style>
  <w:style w:type="character" w:customStyle="1" w:styleId="GalveneRakstz">
    <w:name w:val="Galvene Rakstz."/>
    <w:basedOn w:val="Noklusjumarindkopasfonts"/>
    <w:link w:val="Galvene"/>
    <w:uiPriority w:val="99"/>
    <w:rsid w:val="000B2284"/>
    <w:rPr>
      <w:rFonts w:ascii="Calibri" w:eastAsia="Calibri" w:hAnsi="Calibri" w:cs="Times New Roman"/>
    </w:rPr>
  </w:style>
  <w:style w:type="paragraph" w:styleId="Kjene">
    <w:name w:val="footer"/>
    <w:basedOn w:val="Parastais"/>
    <w:link w:val="KjeneRakstz"/>
    <w:uiPriority w:val="99"/>
    <w:unhideWhenUsed/>
    <w:rsid w:val="000B2284"/>
    <w:pPr>
      <w:tabs>
        <w:tab w:val="center" w:pos="4153"/>
        <w:tab w:val="right" w:pos="8306"/>
      </w:tabs>
    </w:pPr>
  </w:style>
  <w:style w:type="character" w:customStyle="1" w:styleId="KjeneRakstz">
    <w:name w:val="Kājene Rakstz."/>
    <w:basedOn w:val="Noklusjumarindkopasfonts"/>
    <w:link w:val="Kjene"/>
    <w:uiPriority w:val="99"/>
    <w:rsid w:val="000B2284"/>
    <w:rPr>
      <w:rFonts w:ascii="Calibri" w:eastAsia="Calibri" w:hAnsi="Calibri" w:cs="Times New Roman"/>
    </w:rPr>
  </w:style>
  <w:style w:type="character" w:styleId="Hipersaite">
    <w:name w:val="Hyperlink"/>
    <w:basedOn w:val="Noklusjumarindkopasfonts"/>
    <w:uiPriority w:val="99"/>
    <w:unhideWhenUsed/>
    <w:rsid w:val="000B2284"/>
    <w:rPr>
      <w:color w:val="0000FF"/>
      <w:u w:val="single"/>
    </w:rPr>
  </w:style>
  <w:style w:type="paragraph" w:customStyle="1" w:styleId="StyleRight">
    <w:name w:val="Style Right"/>
    <w:basedOn w:val="Parastais"/>
    <w:rsid w:val="000B2284"/>
    <w:pPr>
      <w:spacing w:after="120" w:line="240" w:lineRule="auto"/>
      <w:ind w:firstLine="720"/>
      <w:jc w:val="right"/>
    </w:pPr>
    <w:rPr>
      <w:rFonts w:ascii="Times New Roman" w:eastAsia="Times New Roman" w:hAnsi="Times New Roman"/>
      <w:sz w:val="28"/>
      <w:szCs w:val="28"/>
    </w:rPr>
  </w:style>
  <w:style w:type="paragraph" w:styleId="ParastaisWeb">
    <w:name w:val="Normal (Web)"/>
    <w:basedOn w:val="Parastais"/>
    <w:uiPriority w:val="99"/>
    <w:unhideWhenUsed/>
    <w:rsid w:val="000B2284"/>
    <w:pPr>
      <w:spacing w:before="100" w:beforeAutospacing="1" w:after="100" w:afterAutospacing="1" w:line="240" w:lineRule="auto"/>
    </w:pPr>
    <w:rPr>
      <w:rFonts w:ascii="Verdana" w:eastAsia="Times New Roman" w:hAnsi="Verdana"/>
      <w:sz w:val="18"/>
      <w:szCs w:val="18"/>
      <w:lang w:val="en-US"/>
    </w:rPr>
  </w:style>
  <w:style w:type="character" w:styleId="Izteiksmgs">
    <w:name w:val="Strong"/>
    <w:basedOn w:val="Noklusjumarindkopasfonts"/>
    <w:uiPriority w:val="22"/>
    <w:qFormat/>
    <w:rsid w:val="000B2284"/>
    <w:rPr>
      <w:b/>
      <w:bCs/>
    </w:rPr>
  </w:style>
  <w:style w:type="paragraph" w:customStyle="1" w:styleId="Char">
    <w:name w:val="Char"/>
    <w:basedOn w:val="Parastais"/>
    <w:next w:val="Parastais"/>
    <w:rsid w:val="00E12E22"/>
    <w:pPr>
      <w:spacing w:before="120" w:after="160" w:line="240" w:lineRule="exact"/>
      <w:ind w:firstLine="720"/>
      <w:jc w:val="both"/>
    </w:pPr>
    <w:rPr>
      <w:rFonts w:ascii="Verdana" w:eastAsia="Times New Roman" w:hAnsi="Verdana"/>
      <w:sz w:val="20"/>
      <w:szCs w:val="20"/>
      <w:lang w:val="en-US"/>
    </w:rPr>
  </w:style>
  <w:style w:type="paragraph" w:styleId="Sarakstarindkopa">
    <w:name w:val="List Paragraph"/>
    <w:basedOn w:val="Parastais"/>
    <w:uiPriority w:val="34"/>
    <w:qFormat/>
    <w:rsid w:val="008C7255"/>
    <w:pPr>
      <w:ind w:left="720"/>
      <w:contextualSpacing/>
    </w:pPr>
  </w:style>
  <w:style w:type="paragraph" w:customStyle="1" w:styleId="Char0">
    <w:name w:val="Char"/>
    <w:basedOn w:val="Parastais"/>
    <w:next w:val="Parastais"/>
    <w:rsid w:val="00A3479C"/>
    <w:pPr>
      <w:spacing w:before="120" w:after="160" w:line="240" w:lineRule="exact"/>
      <w:ind w:firstLine="720"/>
      <w:jc w:val="both"/>
    </w:pPr>
    <w:rPr>
      <w:rFonts w:ascii="Verdana" w:eastAsia="Times New Roman" w:hAnsi="Verdana"/>
      <w:sz w:val="20"/>
      <w:szCs w:val="20"/>
      <w:lang w:val="en-US"/>
    </w:rPr>
  </w:style>
  <w:style w:type="paragraph" w:customStyle="1" w:styleId="naisnod">
    <w:name w:val="naisnod"/>
    <w:basedOn w:val="Parastais"/>
    <w:rsid w:val="00D1739C"/>
    <w:pPr>
      <w:spacing w:before="150" w:after="150" w:line="240" w:lineRule="auto"/>
      <w:jc w:val="center"/>
    </w:pPr>
    <w:rPr>
      <w:rFonts w:ascii="Times New Roman" w:eastAsia="Times New Roman" w:hAnsi="Times New Roman"/>
      <w:b/>
      <w:bCs/>
      <w:sz w:val="24"/>
      <w:szCs w:val="24"/>
      <w:lang w:eastAsia="lv-LV"/>
    </w:rPr>
  </w:style>
  <w:style w:type="paragraph" w:customStyle="1" w:styleId="naislab">
    <w:name w:val="naislab"/>
    <w:basedOn w:val="Parastais"/>
    <w:rsid w:val="00D1739C"/>
    <w:pPr>
      <w:spacing w:before="75" w:after="75" w:line="240" w:lineRule="auto"/>
      <w:jc w:val="right"/>
    </w:pPr>
    <w:rPr>
      <w:rFonts w:ascii="Times New Roman" w:eastAsia="Times New Roman" w:hAnsi="Times New Roman"/>
      <w:sz w:val="24"/>
      <w:szCs w:val="24"/>
      <w:lang w:eastAsia="lv-LV"/>
    </w:rPr>
  </w:style>
  <w:style w:type="paragraph" w:customStyle="1" w:styleId="naiskr">
    <w:name w:val="naiskr"/>
    <w:basedOn w:val="Parastais"/>
    <w:rsid w:val="00D1739C"/>
    <w:pPr>
      <w:spacing w:before="75" w:after="75" w:line="240" w:lineRule="auto"/>
    </w:pPr>
    <w:rPr>
      <w:rFonts w:ascii="Times New Roman" w:eastAsia="Times New Roman" w:hAnsi="Times New Roman"/>
      <w:sz w:val="24"/>
      <w:szCs w:val="24"/>
      <w:lang w:eastAsia="lv-LV"/>
    </w:rPr>
  </w:style>
  <w:style w:type="paragraph" w:customStyle="1" w:styleId="naisc">
    <w:name w:val="naisc"/>
    <w:basedOn w:val="Parastais"/>
    <w:rsid w:val="00D1739C"/>
    <w:pPr>
      <w:spacing w:before="75" w:after="75" w:line="240" w:lineRule="auto"/>
      <w:jc w:val="center"/>
    </w:pPr>
    <w:rPr>
      <w:rFonts w:ascii="Times New Roman" w:eastAsia="Times New Roman" w:hAnsi="Times New Roman"/>
      <w:sz w:val="24"/>
      <w:szCs w:val="24"/>
      <w:lang w:eastAsia="lv-LV"/>
    </w:rPr>
  </w:style>
  <w:style w:type="table" w:styleId="Reatabula">
    <w:name w:val="Table Grid"/>
    <w:basedOn w:val="Parastatabula"/>
    <w:uiPriority w:val="59"/>
    <w:rsid w:val="007D35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Virsraksts1Rakstz">
    <w:name w:val="Virsraksts 1 Rakstz."/>
    <w:basedOn w:val="Noklusjumarindkopasfonts"/>
    <w:link w:val="Virsraksts1"/>
    <w:uiPriority w:val="9"/>
    <w:rsid w:val="001D3187"/>
    <w:rPr>
      <w:rFonts w:ascii="Tahoma" w:eastAsia="Times New Roman" w:hAnsi="Tahoma" w:cs="Tahoma"/>
      <w:b/>
      <w:bCs/>
      <w:kern w:val="36"/>
      <w:sz w:val="38"/>
      <w:szCs w:val="38"/>
    </w:rPr>
  </w:style>
  <w:style w:type="paragraph" w:customStyle="1" w:styleId="naispant">
    <w:name w:val="naispant"/>
    <w:basedOn w:val="Parastais"/>
    <w:rsid w:val="00272A2F"/>
    <w:pPr>
      <w:spacing w:before="300" w:after="150" w:line="240" w:lineRule="auto"/>
      <w:ind w:left="375" w:firstLine="375"/>
      <w:jc w:val="both"/>
    </w:pPr>
    <w:rPr>
      <w:rFonts w:ascii="Times New Roman" w:eastAsia="Times New Roman" w:hAnsi="Times New Roman"/>
      <w:b/>
      <w:bCs/>
      <w:sz w:val="24"/>
      <w:szCs w:val="24"/>
      <w:lang w:eastAsia="lv-LV"/>
    </w:rPr>
  </w:style>
  <w:style w:type="paragraph" w:styleId="Pamattekstsaratkpi">
    <w:name w:val="Body Text Indent"/>
    <w:basedOn w:val="Parastais"/>
    <w:link w:val="PamattekstsaratkpiRakstz"/>
    <w:uiPriority w:val="99"/>
    <w:rsid w:val="00DB1AE0"/>
    <w:pPr>
      <w:spacing w:after="0" w:line="240" w:lineRule="auto"/>
      <w:ind w:firstLine="720"/>
      <w:jc w:val="both"/>
    </w:pPr>
    <w:rPr>
      <w:rFonts w:ascii="Times New Roman" w:eastAsia="Times New Roman" w:hAnsi="Times New Roman"/>
      <w:sz w:val="24"/>
      <w:szCs w:val="24"/>
      <w:lang w:eastAsia="ru-RU"/>
    </w:rPr>
  </w:style>
  <w:style w:type="character" w:customStyle="1" w:styleId="PamattekstsaratkpiRakstz">
    <w:name w:val="Pamatteksts ar atkāpi Rakstz."/>
    <w:basedOn w:val="Noklusjumarindkopasfonts"/>
    <w:link w:val="Pamattekstsaratkpi"/>
    <w:uiPriority w:val="99"/>
    <w:rsid w:val="00DB1AE0"/>
    <w:rPr>
      <w:rFonts w:ascii="Times New Roman" w:eastAsia="Times New Roman" w:hAnsi="Times New Roman"/>
      <w:sz w:val="24"/>
      <w:szCs w:val="24"/>
      <w:lang w:eastAsia="ru-RU"/>
    </w:rPr>
  </w:style>
  <w:style w:type="paragraph" w:styleId="Vresteksts">
    <w:name w:val="footnote text"/>
    <w:basedOn w:val="Parastais"/>
    <w:link w:val="VrestekstsRakstz"/>
    <w:semiHidden/>
    <w:rsid w:val="00052839"/>
    <w:pPr>
      <w:spacing w:after="0" w:line="240" w:lineRule="auto"/>
    </w:pPr>
    <w:rPr>
      <w:rFonts w:ascii="Times New Roman" w:eastAsia="Times New Roman" w:hAnsi="Times New Roman"/>
      <w:sz w:val="20"/>
      <w:szCs w:val="20"/>
      <w:lang w:eastAsia="ru-RU"/>
    </w:rPr>
  </w:style>
  <w:style w:type="character" w:customStyle="1" w:styleId="VrestekstsRakstz">
    <w:name w:val="Vēres teksts Rakstz."/>
    <w:basedOn w:val="Noklusjumarindkopasfonts"/>
    <w:link w:val="Vresteksts"/>
    <w:semiHidden/>
    <w:rsid w:val="00052839"/>
    <w:rPr>
      <w:rFonts w:ascii="Times New Roman" w:eastAsia="Times New Roman" w:hAnsi="Times New Roman"/>
      <w:lang w:eastAsia="ru-RU"/>
    </w:rPr>
  </w:style>
  <w:style w:type="character" w:styleId="Vresatsauce">
    <w:name w:val="footnote reference"/>
    <w:basedOn w:val="Noklusjumarindkopasfonts"/>
    <w:semiHidden/>
    <w:rsid w:val="00052839"/>
    <w:rPr>
      <w:rFonts w:cs="Times New Roman"/>
      <w:vertAlign w:val="superscript"/>
    </w:rPr>
  </w:style>
  <w:style w:type="character" w:customStyle="1" w:styleId="iil-resultnotpaid1">
    <w:name w:val="iil-resultnotpaid1"/>
    <w:basedOn w:val="Noklusjumarindkopasfonts"/>
    <w:rsid w:val="004F7276"/>
    <w:rPr>
      <w:rFonts w:ascii="Arial" w:hAnsi="Arial" w:cs="Arial" w:hint="default"/>
      <w:color w:val="0F1478"/>
      <w:sz w:val="15"/>
      <w:szCs w:val="15"/>
    </w:rPr>
  </w:style>
  <w:style w:type="paragraph" w:styleId="Pamatteksts">
    <w:name w:val="Body Text"/>
    <w:basedOn w:val="Parastais"/>
    <w:link w:val="PamattekstsRakstz"/>
    <w:uiPriority w:val="99"/>
    <w:unhideWhenUsed/>
    <w:rsid w:val="00E47FC8"/>
    <w:pPr>
      <w:spacing w:after="120"/>
    </w:pPr>
  </w:style>
  <w:style w:type="character" w:customStyle="1" w:styleId="PamattekstsRakstz">
    <w:name w:val="Pamatteksts Rakstz."/>
    <w:basedOn w:val="Noklusjumarindkopasfonts"/>
    <w:link w:val="Pamatteksts"/>
    <w:uiPriority w:val="99"/>
    <w:rsid w:val="00E47FC8"/>
    <w:rPr>
      <w:sz w:val="22"/>
      <w:szCs w:val="22"/>
      <w:lang w:eastAsia="en-US"/>
    </w:rPr>
  </w:style>
  <w:style w:type="paragraph" w:styleId="Balonteksts">
    <w:name w:val="Balloon Text"/>
    <w:basedOn w:val="Parastais"/>
    <w:link w:val="BalontekstsRakstz"/>
    <w:uiPriority w:val="99"/>
    <w:semiHidden/>
    <w:unhideWhenUsed/>
    <w:rsid w:val="004F7C29"/>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F7C29"/>
    <w:rPr>
      <w:rFonts w:ascii="Tahoma" w:hAnsi="Tahoma" w:cs="Tahoma"/>
      <w:sz w:val="16"/>
      <w:szCs w:val="16"/>
      <w:lang w:eastAsia="en-US"/>
    </w:rPr>
  </w:style>
  <w:style w:type="paragraph" w:styleId="Pamattekstaatkpe3">
    <w:name w:val="Body Text Indent 3"/>
    <w:basedOn w:val="Parastais"/>
    <w:link w:val="Pamattekstaatkpe3Rakstz"/>
    <w:uiPriority w:val="99"/>
    <w:semiHidden/>
    <w:unhideWhenUsed/>
    <w:rsid w:val="00225AF9"/>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225AF9"/>
    <w:rPr>
      <w:sz w:val="16"/>
      <w:szCs w:val="16"/>
      <w:lang w:eastAsia="en-US"/>
    </w:rPr>
  </w:style>
</w:styles>
</file>

<file path=word/webSettings.xml><?xml version="1.0" encoding="utf-8"?>
<w:webSettings xmlns:r="http://schemas.openxmlformats.org/officeDocument/2006/relationships" xmlns:w="http://schemas.openxmlformats.org/wordprocessingml/2006/main">
  <w:divs>
    <w:div w:id="129252921">
      <w:bodyDiv w:val="1"/>
      <w:marLeft w:val="0"/>
      <w:marRight w:val="0"/>
      <w:marTop w:val="0"/>
      <w:marBottom w:val="0"/>
      <w:divBdr>
        <w:top w:val="none" w:sz="0" w:space="0" w:color="auto"/>
        <w:left w:val="none" w:sz="0" w:space="0" w:color="auto"/>
        <w:bottom w:val="none" w:sz="0" w:space="0" w:color="auto"/>
        <w:right w:val="none" w:sz="0" w:space="0" w:color="auto"/>
      </w:divBdr>
    </w:div>
    <w:div w:id="456876439">
      <w:bodyDiv w:val="1"/>
      <w:marLeft w:val="0"/>
      <w:marRight w:val="0"/>
      <w:marTop w:val="0"/>
      <w:marBottom w:val="0"/>
      <w:divBdr>
        <w:top w:val="none" w:sz="0" w:space="0" w:color="auto"/>
        <w:left w:val="none" w:sz="0" w:space="0" w:color="auto"/>
        <w:bottom w:val="none" w:sz="0" w:space="0" w:color="auto"/>
        <w:right w:val="none" w:sz="0" w:space="0" w:color="auto"/>
      </w:divBdr>
    </w:div>
    <w:div w:id="491533933">
      <w:bodyDiv w:val="1"/>
      <w:marLeft w:val="0"/>
      <w:marRight w:val="0"/>
      <w:marTop w:val="0"/>
      <w:marBottom w:val="0"/>
      <w:divBdr>
        <w:top w:val="none" w:sz="0" w:space="0" w:color="auto"/>
        <w:left w:val="none" w:sz="0" w:space="0" w:color="auto"/>
        <w:bottom w:val="none" w:sz="0" w:space="0" w:color="auto"/>
        <w:right w:val="none" w:sz="0" w:space="0" w:color="auto"/>
      </w:divBdr>
    </w:div>
    <w:div w:id="1220626660">
      <w:bodyDiv w:val="1"/>
      <w:marLeft w:val="0"/>
      <w:marRight w:val="0"/>
      <w:marTop w:val="0"/>
      <w:marBottom w:val="0"/>
      <w:divBdr>
        <w:top w:val="none" w:sz="0" w:space="0" w:color="auto"/>
        <w:left w:val="none" w:sz="0" w:space="0" w:color="auto"/>
        <w:bottom w:val="none" w:sz="0" w:space="0" w:color="auto"/>
        <w:right w:val="none" w:sz="0" w:space="0" w:color="auto"/>
      </w:divBdr>
    </w:div>
    <w:div w:id="2009407283">
      <w:bodyDiv w:val="1"/>
      <w:marLeft w:val="0"/>
      <w:marRight w:val="0"/>
      <w:marTop w:val="0"/>
      <w:marBottom w:val="0"/>
      <w:divBdr>
        <w:top w:val="none" w:sz="0" w:space="0" w:color="auto"/>
        <w:left w:val="none" w:sz="0" w:space="0" w:color="auto"/>
        <w:bottom w:val="none" w:sz="0" w:space="0" w:color="auto"/>
        <w:right w:val="none" w:sz="0" w:space="0" w:color="auto"/>
      </w:divBdr>
    </w:div>
    <w:div w:id="209670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12945</Words>
  <Characters>7379</Characters>
  <Application>Microsoft Office Word</Application>
  <DocSecurity>0</DocSecurity>
  <Lines>61</Lines>
  <Paragraphs>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Krimināllikumā”</vt:lpstr>
      <vt:lpstr>Likumprojekts „Grozījumi Civilprocesa likumā”</vt:lpstr>
    </vt:vector>
  </TitlesOfParts>
  <Company>LR Ekonomikas ministrija</Company>
  <LinksUpToDate>false</LinksUpToDate>
  <CharactersWithSpaces>20284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Krimināllikumā”</dc:title>
  <dc:subject>Anotācija</dc:subject>
  <dc:creator>Uldis Zemzars</dc:creator>
  <dc:description>uldis.zemzars@tm.gov.lv; 67036943</dc:description>
  <cp:lastModifiedBy>uz1401</cp:lastModifiedBy>
  <cp:revision>2</cp:revision>
  <cp:lastPrinted>2010-09-22T09:00:00Z</cp:lastPrinted>
  <dcterms:created xsi:type="dcterms:W3CDTF">2011-01-17T06:37:00Z</dcterms:created>
  <dcterms:modified xsi:type="dcterms:W3CDTF">2011-01-17T06:37:00Z</dcterms:modified>
</cp:coreProperties>
</file>