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A" w:rsidRPr="00D77CEC" w:rsidRDefault="00647610" w:rsidP="00FC535A">
      <w:pPr>
        <w:pStyle w:val="Virsraksts2"/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OLE_LINK7"/>
      <w:bookmarkStart w:id="1" w:name="OLE_LINK8"/>
      <w:r w:rsidRPr="00D77CEC">
        <w:rPr>
          <w:rFonts w:ascii="Times New Roman" w:hAnsi="Times New Roman"/>
          <w:sz w:val="28"/>
          <w:szCs w:val="28"/>
        </w:rPr>
        <w:t>Ministru kabineta noteikumu projekt</w:t>
      </w:r>
      <w:bookmarkEnd w:id="0"/>
      <w:bookmarkEnd w:id="1"/>
      <w:r w:rsidRPr="00D77CEC">
        <w:rPr>
          <w:rFonts w:ascii="Times New Roman" w:hAnsi="Times New Roman"/>
          <w:sz w:val="28"/>
          <w:szCs w:val="28"/>
        </w:rPr>
        <w:t>a „</w:t>
      </w:r>
      <w:bookmarkStart w:id="2" w:name="OLE_LINK2"/>
      <w:bookmarkStart w:id="3" w:name="OLE_LINK1"/>
      <w:r w:rsidR="00FC535A" w:rsidRPr="00D77CEC">
        <w:rPr>
          <w:rFonts w:ascii="Times New Roman" w:hAnsi="Times New Roman"/>
          <w:sz w:val="28"/>
          <w:szCs w:val="28"/>
          <w:lang w:val="lv-LV"/>
        </w:rPr>
        <w:t xml:space="preserve">Grozījumi </w:t>
      </w:r>
    </w:p>
    <w:p w:rsidR="00FC535A" w:rsidRPr="00D77CEC" w:rsidRDefault="00FC535A" w:rsidP="00FC535A">
      <w:pPr>
        <w:pStyle w:val="Virsraksts2"/>
        <w:jc w:val="center"/>
        <w:rPr>
          <w:rFonts w:ascii="Times New Roman" w:hAnsi="Times New Roman"/>
          <w:sz w:val="28"/>
          <w:szCs w:val="28"/>
          <w:lang w:val="lv-LV"/>
        </w:rPr>
      </w:pPr>
      <w:r w:rsidRPr="00D77CEC">
        <w:rPr>
          <w:rFonts w:ascii="Times New Roman" w:hAnsi="Times New Roman"/>
          <w:sz w:val="28"/>
          <w:szCs w:val="28"/>
          <w:lang w:val="lv-LV"/>
        </w:rPr>
        <w:t>Ministru kabineta 2008.</w:t>
      </w:r>
      <w:r w:rsidR="007D700E" w:rsidRPr="00D77CEC">
        <w:rPr>
          <w:rFonts w:ascii="Times New Roman" w:hAnsi="Times New Roman"/>
          <w:sz w:val="28"/>
          <w:szCs w:val="28"/>
          <w:lang w:val="lv-LV"/>
        </w:rPr>
        <w:t> </w:t>
      </w:r>
      <w:r w:rsidRPr="00D77CEC">
        <w:rPr>
          <w:rFonts w:ascii="Times New Roman" w:hAnsi="Times New Roman"/>
          <w:sz w:val="28"/>
          <w:szCs w:val="28"/>
          <w:lang w:val="lv-LV"/>
        </w:rPr>
        <w:t>gada 10.</w:t>
      </w:r>
      <w:r w:rsidR="007D700E" w:rsidRPr="00D77CEC">
        <w:rPr>
          <w:rFonts w:ascii="Times New Roman" w:hAnsi="Times New Roman"/>
          <w:sz w:val="28"/>
          <w:szCs w:val="28"/>
          <w:lang w:val="lv-LV"/>
        </w:rPr>
        <w:t> </w:t>
      </w:r>
      <w:r w:rsidRPr="00D77CEC">
        <w:rPr>
          <w:rFonts w:ascii="Times New Roman" w:hAnsi="Times New Roman"/>
          <w:sz w:val="28"/>
          <w:szCs w:val="28"/>
          <w:lang w:val="lv-LV"/>
        </w:rPr>
        <w:t>jūnija noteikumos Nr.</w:t>
      </w:r>
      <w:r w:rsidR="007D700E" w:rsidRPr="00D77CEC">
        <w:rPr>
          <w:rFonts w:ascii="Times New Roman" w:hAnsi="Times New Roman"/>
          <w:sz w:val="28"/>
          <w:szCs w:val="28"/>
          <w:lang w:val="lv-LV"/>
        </w:rPr>
        <w:t> </w:t>
      </w:r>
      <w:r w:rsidRPr="00D77CEC">
        <w:rPr>
          <w:rFonts w:ascii="Times New Roman" w:hAnsi="Times New Roman"/>
          <w:sz w:val="28"/>
          <w:szCs w:val="28"/>
          <w:lang w:val="lv-LV"/>
        </w:rPr>
        <w:t>427</w:t>
      </w:r>
    </w:p>
    <w:p w:rsidR="00FC535A" w:rsidRPr="00D77CEC" w:rsidRDefault="00FC535A" w:rsidP="00FC535A">
      <w:pPr>
        <w:pStyle w:val="Pamatteksts2"/>
        <w:spacing w:after="0" w:line="240" w:lineRule="auto"/>
        <w:jc w:val="center"/>
        <w:rPr>
          <w:b/>
          <w:sz w:val="28"/>
          <w:szCs w:val="28"/>
        </w:rPr>
      </w:pPr>
      <w:r w:rsidRPr="00D77CEC">
        <w:rPr>
          <w:b/>
          <w:sz w:val="28"/>
          <w:szCs w:val="28"/>
        </w:rPr>
        <w:t>„Tiesu eksperta sertifikācijas un resertifikācijas kārtība””</w:t>
      </w:r>
    </w:p>
    <w:bookmarkEnd w:id="2"/>
    <w:bookmarkEnd w:id="3"/>
    <w:p w:rsidR="00FC535A" w:rsidRPr="00D77CEC" w:rsidRDefault="00FC535A" w:rsidP="00FC535A">
      <w:pPr>
        <w:pStyle w:val="naislab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D77CEC">
        <w:rPr>
          <w:b/>
          <w:sz w:val="28"/>
          <w:szCs w:val="28"/>
        </w:rPr>
        <w:t>sākotnējās ietekmes novērtējuma ziņojums (anotācija)</w:t>
      </w:r>
    </w:p>
    <w:p w:rsidR="00647610" w:rsidRPr="00D77CEC" w:rsidRDefault="00647610" w:rsidP="0064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/>
      </w:tblPr>
      <w:tblGrid>
        <w:gridCol w:w="524"/>
        <w:gridCol w:w="3837"/>
        <w:gridCol w:w="4926"/>
      </w:tblGrid>
      <w:tr w:rsidR="00647610" w:rsidRPr="00D77CEC" w:rsidTr="00FE7BD3">
        <w:tc>
          <w:tcPr>
            <w:tcW w:w="9287" w:type="dxa"/>
            <w:gridSpan w:val="3"/>
            <w:hideMark/>
          </w:tcPr>
          <w:p w:rsidR="00647610" w:rsidRPr="00D77CEC" w:rsidRDefault="00647610" w:rsidP="007640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47610" w:rsidRPr="00D77CEC" w:rsidTr="00FE7BD3">
        <w:trPr>
          <w:trHeight w:val="630"/>
        </w:trPr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3837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Pamatojums</w:t>
            </w:r>
          </w:p>
        </w:tc>
        <w:tc>
          <w:tcPr>
            <w:tcW w:w="4926" w:type="dxa"/>
            <w:hideMark/>
          </w:tcPr>
          <w:p w:rsidR="00647610" w:rsidRPr="00D77CEC" w:rsidRDefault="00397E84" w:rsidP="00DC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Tiesu ekspertu likuma 6.</w:t>
            </w:r>
            <w:r w:rsidR="00C75B87" w:rsidRPr="00D7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panta sestā daļa, 7.</w:t>
            </w:r>
            <w:r w:rsidR="008C07EA" w:rsidRPr="00D7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EFE" w:rsidRPr="00D77CEC">
              <w:rPr>
                <w:rFonts w:ascii="Times New Roman" w:hAnsi="Times New Roman" w:cs="Times New Roman"/>
                <w:sz w:val="28"/>
                <w:szCs w:val="28"/>
              </w:rPr>
              <w:t>panta piektā un septītā daļā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B87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C07EA" w:rsidRPr="00D7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EFE" w:rsidRPr="00D77CEC">
              <w:rPr>
                <w:rFonts w:ascii="Times New Roman" w:hAnsi="Times New Roman" w:cs="Times New Roman"/>
                <w:sz w:val="28"/>
                <w:szCs w:val="28"/>
              </w:rPr>
              <w:t>panta pirmā un otrā daļa</w:t>
            </w:r>
            <w:r w:rsidR="00C75B87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un 26.</w:t>
            </w:r>
            <w:r w:rsidR="008C07EA" w:rsidRPr="00D7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EFE" w:rsidRPr="00D77CEC">
              <w:rPr>
                <w:rFonts w:ascii="Times New Roman" w:hAnsi="Times New Roman" w:cs="Times New Roman"/>
                <w:sz w:val="28"/>
                <w:szCs w:val="28"/>
              </w:rPr>
              <w:t>panta trešā daļa</w:t>
            </w:r>
            <w:r w:rsidR="001952C5" w:rsidRPr="00D7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610" w:rsidRPr="00D77CEC" w:rsidTr="00FE7BD3">
        <w:trPr>
          <w:trHeight w:val="472"/>
        </w:trPr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3837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Pašreizējā situācija un problēmas</w:t>
            </w:r>
          </w:p>
        </w:tc>
        <w:tc>
          <w:tcPr>
            <w:tcW w:w="4926" w:type="dxa"/>
            <w:hideMark/>
          </w:tcPr>
          <w:p w:rsidR="000E7977" w:rsidRPr="00D77CEC" w:rsidRDefault="000E7977" w:rsidP="00DC2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Šobrīd tiesu ekspertu sertifikāciju noteic Ministru kabineta 2008</w:t>
            </w:r>
            <w:r w:rsidR="007D700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. gada 10. jūnija noteikumi Nr. </w:t>
            </w:r>
            <w:r w:rsidR="00E86F69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427 „Tiesu eksperta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sertifikācijas un resertifikācijas kārtība”(turpmāk – noteikumi</w:t>
            </w:r>
            <w:r w:rsidR="007D700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Nr. </w:t>
            </w:r>
            <w:r w:rsidR="00460AC0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427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  <w:r w:rsidR="00E86F69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Noteikumi noteic tiesu eksperta sertifikācijas un resertifikācijas kārtību, tai skaitā 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maksu p</w:t>
            </w:r>
            <w:r w:rsidR="009C0FF0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ar tiesu eksperta sertifikācijas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pārbaudījuma</w:t>
            </w:r>
            <w:r w:rsidR="00392B78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kārtošanu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2B78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Ls 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apmērā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C6284" w:rsidRPr="00D77CEC" w:rsidRDefault="000E7977" w:rsidP="006C6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Analizējot šī brīža praksi, konstatēts, ka 80% no 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tiesu eksperta </w:t>
            </w:r>
            <w:r w:rsidR="00E86F69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sertifikācijas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pārbaudījuma kārtotājiem ir personas, kuras jau strādā un pēc sertifikāta iegūšanas turpinās darba attiecības valsts tiesu ekspertīžu iestādēs. Turklāt, pamatojoties uz Valsts un pašvaldību institūciju amatpersonu un darbinieku atlīdzības</w:t>
            </w:r>
            <w:r w:rsidR="007D700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likuma Pārejas noteikumu 1.15. </w:t>
            </w:r>
            <w:r w:rsid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apakšpunktu ar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2010. gada 1. jūliju spēku zaudē Ministru kabineta 2008</w:t>
            </w:r>
            <w:r w:rsidR="007D700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. gada 30. jūnija noteikumi Nr. 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466 „Valsts tiesu eksperta mācību maksas un </w:t>
            </w:r>
            <w:r w:rsidR="00392B78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kvalifikācijas paaugstināšanas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izdevumu segšanas un atmaksāšanas kārtība”, kas noteica arī kārtību, kādā valsts tiesu ekspertīžu iestāde atmaksā valsts tiesu ekspertam izdevumus, kas saistīti ar tiesu eksperta sertifikāta iegūšanu kādā no specialitātēm. </w:t>
            </w:r>
          </w:p>
          <w:p w:rsidR="000E7977" w:rsidRPr="00D77CEC" w:rsidRDefault="000E7977" w:rsidP="00DC2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Ņemot vērā minēto, 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maksa par tiesu eksperta </w:t>
            </w:r>
            <w:r w:rsidR="00E86F69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sertifikācijas 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pārbaudījuma kārtošanu </w:t>
            </w:r>
            <w:r w:rsidR="00392B78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392B78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Ls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apmērā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valsts iestādē strādājošai personai, kurai pienākumu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pildīšanai ir jāiegūst tiesu eksperta sertifikāts, nav adekvāta šobrīd esošajam ekspertu kandidātu un ekspertu atalgojumam.</w:t>
            </w:r>
          </w:p>
          <w:p w:rsidR="000E7977" w:rsidRPr="00D77CEC" w:rsidRDefault="000E7977" w:rsidP="00DC2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Neveicot izmaiņas s</w:t>
            </w:r>
            <w:r w:rsidR="006C6284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pēkā esošajos Noteikumos Nr. </w:t>
            </w:r>
            <w:r w:rsidR="00460AC0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427</w:t>
            </w:r>
            <w:r w:rsidR="006C6284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kas reglamentē tiesu ekspertu sertifikāciju, tiesu ekspertīžu sistēma netiks attīstīta un esošā ekspertu kapacitāte nespēs nodrošināt procesa virzītāju un tiesu pieprasījumus pēc ekspertīzēm adekvātos termiņos. </w:t>
            </w:r>
            <w:r w:rsidR="00DC20A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Līdz ar to </w:t>
            </w:r>
            <w:r w:rsidR="00DC20AE" w:rsidRPr="00D77C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ir</w:t>
            </w:r>
            <w:r w:rsidRPr="00D77C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nepieciešams r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adīt vienotu un sistematizētu pieeju visu valsts tiesu ekspertu neatkarīgi no tā vai viņi ir </w:t>
            </w:r>
            <w:proofErr w:type="spellStart"/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civilierēdņi</w:t>
            </w:r>
            <w:proofErr w:type="spellEnd"/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ārsti, policisti vai līgumdarbinieki, apmācības un kvalifikācijas paaugstināšanas izdevumu segšanai un atmaksai. </w:t>
            </w:r>
          </w:p>
          <w:p w:rsidR="0014719E" w:rsidRPr="00D77CEC" w:rsidRDefault="006C6284" w:rsidP="00BB57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Vienlaikus norādām, ka </w:t>
            </w:r>
            <w:r w:rsidR="007D700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Noteikumu Nr. </w:t>
            </w:r>
            <w:r w:rsidR="00460AC0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427 </w:t>
            </w:r>
            <w:r w:rsidR="000E7977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pielietošanas gaitā ir konstatēt</w:t>
            </w:r>
            <w:r w:rsidR="00EF4911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 neprecizitātes un nepilnības, līdz ar to, lai </w:t>
            </w:r>
            <w:r w:rsidR="000E7977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nodrošinātu</w:t>
            </w:r>
            <w:r w:rsidR="00EF4911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minēto</w:t>
            </w:r>
            <w:r w:rsidR="000E7977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AC0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noteikumu</w:t>
            </w:r>
            <w:r w:rsidR="00460AC0" w:rsidRPr="00D77CE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7977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normu vienādu izpratni, kā arī reglamentētu procedūras, nepieciešams aktualizēt </w:t>
            </w:r>
            <w:r w:rsidR="001139C6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tiesu ekspertu </w:t>
            </w:r>
            <w:r w:rsidR="000E7977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sertifikācijas un resertifikācijas </w:t>
            </w:r>
            <w:r w:rsidR="0014719E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kārtību, proti, precizējot tiesu ekspertu sertifikācijas un resertifikācijas aprakstu, sertifikācijas pārbaudījuma organizēšanas, norises un vērtēšanas kārtību.</w:t>
            </w:r>
          </w:p>
          <w:p w:rsidR="0014719E" w:rsidRPr="00D77CEC" w:rsidRDefault="006B5FC1" w:rsidP="006B5FC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Objektīvas un efektīvas resertifikācijas procedūras nodrošināšanai Noteikumos Nr. 427 ir nepieciešams precizēt pieteikumam pievienojamo dokumentu uzskaitījumu, jo praksē konstatēts, ka ne vienmēr Tiesu ekspertu darbības pārskatā minētās aktivitātes atbilst patiesībai.</w:t>
            </w:r>
          </w:p>
        </w:tc>
      </w:tr>
      <w:tr w:rsidR="00647610" w:rsidRPr="00D77CEC" w:rsidTr="00FE7BD3">
        <w:trPr>
          <w:trHeight w:val="605"/>
        </w:trPr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3.</w:t>
            </w:r>
          </w:p>
        </w:tc>
        <w:tc>
          <w:tcPr>
            <w:tcW w:w="3837" w:type="dxa"/>
            <w:hideMark/>
          </w:tcPr>
          <w:p w:rsidR="00647610" w:rsidRPr="00D77CEC" w:rsidRDefault="00647610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Saistītie politikas ietekmes novērtējumi un pētījumi</w:t>
            </w:r>
          </w:p>
        </w:tc>
        <w:tc>
          <w:tcPr>
            <w:tcW w:w="4926" w:type="dxa"/>
            <w:hideMark/>
          </w:tcPr>
          <w:p w:rsidR="001E501C" w:rsidRPr="00D77CEC" w:rsidRDefault="00216573" w:rsidP="001E50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</w:t>
            </w:r>
          </w:p>
        </w:tc>
      </w:tr>
      <w:tr w:rsidR="00647610" w:rsidRPr="00D77CEC" w:rsidTr="00FE7BD3">
        <w:trPr>
          <w:trHeight w:val="384"/>
        </w:trPr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3837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Tiesiskā regulējuma mērķis un būtība</w:t>
            </w:r>
          </w:p>
        </w:tc>
        <w:tc>
          <w:tcPr>
            <w:tcW w:w="4926" w:type="dxa"/>
            <w:hideMark/>
          </w:tcPr>
          <w:p w:rsidR="00647610" w:rsidRPr="00D77CEC" w:rsidRDefault="00EF306E" w:rsidP="00DC20A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Izstrādātais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noteikumu projekts „Grozījumi Ministru kabineta 2008. gada 10. jūnija noteikumos Nr. 427„Tiesu eksperta sertifikācijas un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resertifikācijas kārtība”” (turpmāk - </w:t>
            </w:r>
            <w:r w:rsidR="00FC092F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noteikumu projekts</w:t>
            </w: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FC092F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4276C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precizē</w:t>
            </w:r>
            <w:r w:rsidR="00FC092F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B4647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esošo tiesu ekspertu sertifikācijas un resertifikācijas kārtību, izmainot </w:t>
            </w:r>
            <w:r w:rsidR="00951414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tiesu eksperta </w:t>
            </w:r>
            <w:r w:rsidR="009C0FF0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sertifikācijas </w:t>
            </w:r>
            <w:r w:rsidR="00951414"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pārbaudījuma</w:t>
            </w:r>
            <w:r w:rsidR="00951414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maksu kopumā,</w:t>
            </w:r>
            <w:r w:rsidR="00CB4647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nosakot to atbilstoši sniegto pakalpojumu pašreizējām izmaksā</w:t>
            </w:r>
            <w:r w:rsidR="00F22935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</w:p>
          <w:p w:rsidR="00F22935" w:rsidRPr="00D77CEC" w:rsidRDefault="00F22935" w:rsidP="00F2293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</w:t>
            </w:r>
            <w:r w:rsidR="008B372F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nosaka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maksu par atkārtota tiesu eksperta sertifikācijas pārbaudījuma kārtošanu.</w:t>
            </w:r>
          </w:p>
          <w:p w:rsidR="00870F39" w:rsidRPr="00D77CEC" w:rsidRDefault="00AF4250" w:rsidP="00870F3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</w:t>
            </w:r>
            <w:r w:rsidR="00350A43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papildina Noteikumus Nr. 427 ar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tiesu eksperta</w:t>
            </w:r>
            <w:proofErr w:type="gramStart"/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sertifi</w:t>
            </w:r>
            <w:r w:rsidR="00350A43" w:rsidRPr="00D77CEC">
              <w:rPr>
                <w:rFonts w:ascii="Times New Roman" w:hAnsi="Times New Roman" w:cs="Times New Roman"/>
                <w:sz w:val="28"/>
                <w:szCs w:val="28"/>
              </w:rPr>
              <w:t>kācijas pieteikumam pievienojamo dokumentu – individuālo apmācības plānu.</w:t>
            </w:r>
            <w:r w:rsidR="00870F39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Individuālais apmācības plāns</w:t>
            </w:r>
            <w:r w:rsidR="0042663E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ir nepieciešams apmācības programmas sagatavošanai, jo</w:t>
            </w:r>
            <w:r w:rsidR="00870F39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sniegs papildu informāciju par kandidāta sagatavotības līmeni attiecīgajā specialitātē.</w:t>
            </w:r>
          </w:p>
          <w:p w:rsidR="009038DB" w:rsidRPr="00D77CEC" w:rsidRDefault="00BB57AB" w:rsidP="00F2293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Noteikumu projekts precizē</w:t>
            </w:r>
            <w:r w:rsidR="00D73474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recenzijā norādāmo</w:t>
            </w:r>
            <w:r w:rsidR="00190428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informāciju, proti, vai tiesu eksperta izmantotās izpētes metodes atbilst Tiesu ekspertu padomē reģistrētām metodēm vai zinātniski pamatotām metodēm, ja tās Tiesu ekspertu padomē nav reģistrētas.</w:t>
            </w:r>
          </w:p>
          <w:p w:rsidR="009038DB" w:rsidRPr="00D77CEC" w:rsidRDefault="004A24BA" w:rsidP="00F2293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precizē </w:t>
            </w:r>
            <w:r w:rsidR="0042663E" w:rsidRPr="00D77C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26920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oteikumu </w:t>
            </w:r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>Nr. 427</w:t>
            </w:r>
            <w:r w:rsidR="000553D0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20., 23. un</w:t>
            </w:r>
            <w:r w:rsidR="001A1481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26.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punktu</w:t>
            </w:r>
            <w:r w:rsidR="00481433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atbilstoši </w:t>
            </w:r>
            <w:r w:rsidR="00DC6817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minēto noteikumu </w:t>
            </w:r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> punktā noteiktajam</w:t>
            </w:r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>, ka tiesu eksperta sertifikācij</w:t>
            </w:r>
            <w:r w:rsidR="007D182F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pārbaudījumam ir divas daļas. </w:t>
            </w:r>
            <w:r w:rsidR="00416CEE" w:rsidRPr="00D77CEC">
              <w:rPr>
                <w:rFonts w:ascii="Times New Roman" w:hAnsi="Times New Roman" w:cs="Times New Roman"/>
                <w:sz w:val="28"/>
                <w:szCs w:val="28"/>
              </w:rPr>
              <w:t>Pārbaudījuma p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irmajā daļā </w:t>
            </w:r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>kandidāts sniedz rakstiskas atbildes uz 60 testa</w:t>
            </w:r>
            <w:r w:rsidR="00A26920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>jautājumiem par apmā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>cību programmas vispārīgo daļu un</w:t>
            </w:r>
            <w:r w:rsidR="00A26920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otro daļu; </w:t>
            </w:r>
            <w:r w:rsidR="00416CEE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pārbaudījuma </w:t>
            </w:r>
            <w:r w:rsidR="00DF7685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otrajā daļā </w:t>
            </w:r>
            <w:r w:rsidR="009038DB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kandidāts mutiski sniedz atbildes uz biļetē norādītajiem trijiem jautājumiem par apmācību programmas speciālo daļu </w:t>
            </w:r>
            <w:r w:rsidR="004510ED" w:rsidRPr="00D77CEC">
              <w:rPr>
                <w:rFonts w:ascii="Times New Roman" w:hAnsi="Times New Roman" w:cs="Times New Roman"/>
                <w:sz w:val="28"/>
                <w:szCs w:val="28"/>
              </w:rPr>
              <w:t>un aizstāv recenzētos atzinumus, vienlaikus nosakot, ka</w:t>
            </w:r>
            <w:r w:rsidR="00BE6A0B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kandidāts kārto tikai pārbaudījuma otro daļu, ja iepriekšējo divu gadu laikā jau ieguvis tiesu ekspertu </w:t>
            </w:r>
            <w:r w:rsidR="00BE6A0B" w:rsidRPr="00D7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sertifikātu kādā no specialitātēm.”.</w:t>
            </w:r>
          </w:p>
          <w:p w:rsidR="00D73474" w:rsidRPr="00D77CEC" w:rsidRDefault="00D73474" w:rsidP="00F2293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</w:t>
            </w:r>
            <w:r w:rsidR="00E4276C" w:rsidRPr="00D77CEC">
              <w:rPr>
                <w:rFonts w:ascii="Times New Roman" w:hAnsi="Times New Roman" w:cs="Times New Roman"/>
                <w:sz w:val="28"/>
                <w:szCs w:val="28"/>
              </w:rPr>
              <w:t>papildina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noteikumus Nr. 427 ar pārbaudījuma otrās daļas otrajā specialitātē norises kārtību.</w:t>
            </w:r>
          </w:p>
          <w:p w:rsidR="002D5BE8" w:rsidRPr="00D77CEC" w:rsidRDefault="008B372F" w:rsidP="00F2293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Noteikumu projekts precizē</w:t>
            </w:r>
            <w:r w:rsidR="007D700E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474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pārbaudījuma </w:t>
            </w:r>
            <w:r w:rsidR="002D5BE8" w:rsidRPr="00D77CEC">
              <w:rPr>
                <w:rFonts w:ascii="Times New Roman" w:hAnsi="Times New Roman" w:cs="Times New Roman"/>
                <w:sz w:val="28"/>
                <w:szCs w:val="28"/>
              </w:rPr>
              <w:t>vērtēšanas kārtību, r</w:t>
            </w:r>
            <w:r w:rsidR="00A02672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esertifikācijas kārtību, kā arī </w:t>
            </w:r>
            <w:r w:rsidR="002D5BE8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atkārtota pārbaudījuma kārtošanas nosacījumus. </w:t>
            </w:r>
          </w:p>
          <w:p w:rsidR="00011FFE" w:rsidRPr="00D77CEC" w:rsidRDefault="00283395" w:rsidP="0028339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Objektīvas un efektīvas resertifikācijas procedūras nodrošināšanai noteikumu projekts precizē</w:t>
            </w:r>
            <w:r w:rsidR="00011FFE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tiesu eksperta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FFE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resertifikācijas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pieteikumam pievienojamo dokumentu uzskaitījumu</w:t>
            </w:r>
            <w:r w:rsidR="00011FFE" w:rsidRPr="00D7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EF0" w:rsidRPr="00D77CEC" w:rsidRDefault="00F84EF0" w:rsidP="0028339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Noteikumu projekts precizē termiņu, kādā iesniedzams pieteikums uz tiesu eksperta resertifikāciju.</w:t>
            </w:r>
          </w:p>
          <w:p w:rsidR="00B1481B" w:rsidRPr="00D77CEC" w:rsidRDefault="00F84EF0" w:rsidP="0028339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Noteikumu projekts</w:t>
            </w:r>
            <w:r w:rsidR="00BD677B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2EC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papildina noteikumus Nr. 427 </w:t>
            </w:r>
            <w:r w:rsidR="00321464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ar </w:t>
            </w:r>
            <w:r w:rsidR="00D77CEC">
              <w:rPr>
                <w:rFonts w:ascii="Times New Roman" w:hAnsi="Times New Roman" w:cs="Times New Roman"/>
                <w:sz w:val="28"/>
                <w:szCs w:val="28"/>
              </w:rPr>
              <w:t xml:space="preserve">diviem jauniem tiesu eksperta </w:t>
            </w:r>
            <w:r w:rsidR="003D50A4" w:rsidRPr="00D77CEC">
              <w:rPr>
                <w:rFonts w:ascii="Times New Roman" w:hAnsi="Times New Roman" w:cs="Times New Roman"/>
                <w:sz w:val="28"/>
                <w:szCs w:val="28"/>
              </w:rPr>
              <w:t>resertifikācijas atteikšanas kritērijiem</w:t>
            </w:r>
            <w:r w:rsidR="00B1481B" w:rsidRPr="00D7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0A4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Minētie papildinājumi novērsīs praksē pastāvošo problēmu, ka </w:t>
            </w:r>
            <w:r w:rsidR="00FF62EC" w:rsidRPr="00D77CEC">
              <w:rPr>
                <w:rFonts w:ascii="Times New Roman" w:hAnsi="Times New Roman" w:cs="Times New Roman"/>
                <w:sz w:val="28"/>
                <w:szCs w:val="28"/>
              </w:rPr>
              <w:t>tiesu eksperti Noteikumu 427 47. punktā noteiktajā termiņā neiesniedz pieteikumu ti</w:t>
            </w:r>
            <w:r w:rsidR="003D50A4" w:rsidRPr="00D77CEC">
              <w:rPr>
                <w:rFonts w:ascii="Times New Roman" w:hAnsi="Times New Roman" w:cs="Times New Roman"/>
                <w:sz w:val="28"/>
                <w:szCs w:val="28"/>
              </w:rPr>
              <w:t>esu eksperta resertifikācijai, kā arī nodrošinās, ka tiesu eksperti ekspertīzes veikšanai izma</w:t>
            </w:r>
            <w:r w:rsidR="00B1481B" w:rsidRPr="00D77CEC">
              <w:rPr>
                <w:rFonts w:ascii="Times New Roman" w:hAnsi="Times New Roman" w:cs="Times New Roman"/>
                <w:sz w:val="28"/>
                <w:szCs w:val="28"/>
              </w:rPr>
              <w:t>ntos tikai Tiesu ekspertu padomē reģistrētas metodes, vai zinātniski pamatotas metodes.</w:t>
            </w:r>
          </w:p>
          <w:p w:rsidR="002B0BA4" w:rsidRPr="00D77CEC" w:rsidRDefault="002B0BA4" w:rsidP="002B0BA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precizē noteikumu Nr. 427 5., 8. un 9. pielikumu, tai skaitā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tiesu ekspertu specialitātes, tiesu ekspertu resertifikācijas kā</w:t>
            </w:r>
            <w:r w:rsidR="002D32D7" w:rsidRPr="00D77CE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rtību saistītajās specialitātēs un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tiesu </w:t>
            </w:r>
            <w:r w:rsidR="002D32D7" w:rsidRPr="00D77CE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eksperta darbības vērtēšanas kritērijus, 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kā arī papildina tos ar jaunu 10. un 11. pielikumu. </w:t>
            </w:r>
          </w:p>
          <w:p w:rsidR="00BB57AB" w:rsidRPr="00D77CEC" w:rsidRDefault="002E2A39" w:rsidP="00457BE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Noteikumu projekta 11. pielikums nodrošinās Tiesu ekspertu padomes</w:t>
            </w:r>
            <w:r w:rsidR="00527569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 locekļu vērtējumu pārskatāmību, </w:t>
            </w:r>
            <w:r w:rsidR="006B5FC1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tai skaitā </w:t>
            </w:r>
            <w:r w:rsidR="00704831" w:rsidRPr="00D77CEC">
              <w:rPr>
                <w:rFonts w:ascii="Times New Roman" w:hAnsi="Times New Roman" w:cs="Times New Roman"/>
                <w:sz w:val="28"/>
                <w:szCs w:val="28"/>
              </w:rPr>
              <w:t xml:space="preserve">informēs </w:t>
            </w:r>
            <w:r w:rsidR="00A02672" w:rsidRPr="00D77CEC">
              <w:rPr>
                <w:rFonts w:ascii="Times New Roman" w:hAnsi="Times New Roman" w:cs="Times New Roman"/>
                <w:sz w:val="28"/>
                <w:szCs w:val="28"/>
              </w:rPr>
              <w:t>par vienu no tiesu eksperta darbības vērtēšanas kritērijiem disciplinārsoda esamību vai neesamību.</w:t>
            </w:r>
          </w:p>
        </w:tc>
      </w:tr>
      <w:tr w:rsidR="00647610" w:rsidRPr="00D77CEC" w:rsidTr="00FE7BD3">
        <w:trPr>
          <w:trHeight w:val="476"/>
        </w:trPr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5.</w:t>
            </w:r>
          </w:p>
        </w:tc>
        <w:tc>
          <w:tcPr>
            <w:tcW w:w="3837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izstrādē iesaistītās institūcijas</w:t>
            </w:r>
          </w:p>
        </w:tc>
        <w:tc>
          <w:tcPr>
            <w:tcW w:w="4926" w:type="dxa"/>
            <w:hideMark/>
          </w:tcPr>
          <w:p w:rsidR="00647610" w:rsidRPr="00D77CEC" w:rsidRDefault="00CB4647" w:rsidP="00DC20AE">
            <w:pPr>
              <w:tabs>
                <w:tab w:val="left" w:pos="25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Tieslietu ministrija un</w:t>
            </w:r>
            <w:r w:rsidR="00216573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Valsts tiesu ekspertīžu birojs</w:t>
            </w:r>
            <w:r w:rsidR="001952C5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47610" w:rsidRPr="00D77CEC" w:rsidTr="00FE7BD3">
        <w:trPr>
          <w:trHeight w:val="471"/>
        </w:trPr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3837" w:type="dxa"/>
            <w:hideMark/>
          </w:tcPr>
          <w:p w:rsidR="00647610" w:rsidRPr="00D77CEC" w:rsidRDefault="00647610" w:rsidP="001E5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Iemesli, kādēļ netika nodrošināta sabiedrības līdzdalīb</w:t>
            </w:r>
            <w:r w:rsidR="0024239D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4926" w:type="dxa"/>
            <w:hideMark/>
          </w:tcPr>
          <w:p w:rsidR="00CB4647" w:rsidRPr="00D77CEC" w:rsidRDefault="001952C5" w:rsidP="00DC20A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Nav attiecināms</w:t>
            </w:r>
          </w:p>
        </w:tc>
      </w:tr>
      <w:tr w:rsidR="00647610" w:rsidRPr="00D77CEC" w:rsidTr="00FE7BD3">
        <w:tc>
          <w:tcPr>
            <w:tcW w:w="524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7.</w:t>
            </w:r>
          </w:p>
        </w:tc>
        <w:tc>
          <w:tcPr>
            <w:tcW w:w="3837" w:type="dxa"/>
            <w:hideMark/>
          </w:tcPr>
          <w:p w:rsidR="00647610" w:rsidRPr="00D77CEC" w:rsidRDefault="00647610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4926" w:type="dxa"/>
            <w:hideMark/>
          </w:tcPr>
          <w:p w:rsidR="00647610" w:rsidRPr="00D77CEC" w:rsidRDefault="00216573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647610" w:rsidRPr="00D77CEC" w:rsidRDefault="00647610" w:rsidP="00764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/>
      </w:tblPr>
      <w:tblGrid>
        <w:gridCol w:w="518"/>
        <w:gridCol w:w="3843"/>
        <w:gridCol w:w="4926"/>
      </w:tblGrid>
      <w:tr w:rsidR="00647610" w:rsidRPr="00D77CEC" w:rsidTr="00FE7BD3">
        <w:tc>
          <w:tcPr>
            <w:tcW w:w="9287" w:type="dxa"/>
            <w:gridSpan w:val="3"/>
            <w:hideMark/>
          </w:tcPr>
          <w:p w:rsidR="00647610" w:rsidRPr="00D77CEC" w:rsidRDefault="00647610" w:rsidP="007640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II. Tiesību akta projekta ietekme uz sabiedrību</w:t>
            </w:r>
          </w:p>
        </w:tc>
      </w:tr>
      <w:tr w:rsidR="00647610" w:rsidRPr="00D77CEC" w:rsidTr="00FE7BD3">
        <w:trPr>
          <w:trHeight w:val="467"/>
        </w:trPr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3843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Sabiedrības mērķgrupa</w:t>
            </w:r>
          </w:p>
        </w:tc>
        <w:tc>
          <w:tcPr>
            <w:tcW w:w="4926" w:type="dxa"/>
            <w:hideMark/>
          </w:tcPr>
          <w:p w:rsidR="00125D3D" w:rsidRPr="00D77CEC" w:rsidRDefault="00125D3D" w:rsidP="00DC20AE">
            <w:pPr>
              <w:pStyle w:val="naiskr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D77CEC">
              <w:rPr>
                <w:sz w:val="28"/>
                <w:szCs w:val="28"/>
              </w:rPr>
              <w:t>Noteikumu projekts ir attiecināms uz šādām mērķa grupām:</w:t>
            </w:r>
          </w:p>
          <w:p w:rsidR="00125D3D" w:rsidRPr="00D77CEC" w:rsidRDefault="00F93BB4" w:rsidP="00125D3D">
            <w:pPr>
              <w:pStyle w:val="naiskr"/>
              <w:spacing w:before="0" w:beforeAutospacing="0" w:after="0" w:afterAutospacing="0"/>
              <w:ind w:left="57" w:right="57" w:firstLine="284"/>
              <w:jc w:val="both"/>
              <w:rPr>
                <w:sz w:val="28"/>
                <w:szCs w:val="28"/>
              </w:rPr>
            </w:pPr>
            <w:r w:rsidRPr="00D77CEC">
              <w:rPr>
                <w:sz w:val="28"/>
                <w:szCs w:val="28"/>
              </w:rPr>
              <w:t>1) tiesu ekspertu</w:t>
            </w:r>
            <w:r w:rsidR="00125D3D" w:rsidRPr="00D77CEC">
              <w:rPr>
                <w:sz w:val="28"/>
                <w:szCs w:val="28"/>
              </w:rPr>
              <w:t xml:space="preserve"> kandidāti;</w:t>
            </w:r>
          </w:p>
          <w:p w:rsidR="00F93BB4" w:rsidRPr="00D77CEC" w:rsidRDefault="00125D3D" w:rsidP="002176AB">
            <w:pPr>
              <w:pStyle w:val="naiskr"/>
              <w:spacing w:before="0" w:beforeAutospacing="0" w:after="0" w:afterAutospacing="0"/>
              <w:ind w:left="57" w:right="57" w:firstLine="284"/>
              <w:jc w:val="both"/>
              <w:rPr>
                <w:sz w:val="28"/>
                <w:szCs w:val="28"/>
              </w:rPr>
            </w:pPr>
            <w:r w:rsidRPr="00D77CEC">
              <w:rPr>
                <w:sz w:val="28"/>
                <w:szCs w:val="28"/>
              </w:rPr>
              <w:t>2) tiesu eksperti.</w:t>
            </w:r>
          </w:p>
        </w:tc>
      </w:tr>
      <w:tr w:rsidR="00647610" w:rsidRPr="00D77CEC" w:rsidTr="00FE7BD3">
        <w:trPr>
          <w:trHeight w:val="523"/>
        </w:trPr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3843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Citas sabiedrības grupas (bez mērķgrupas), kuras tiesiskais regulējums arī ietekmē vai varētu ietekmēt</w:t>
            </w:r>
          </w:p>
        </w:tc>
        <w:tc>
          <w:tcPr>
            <w:tcW w:w="4926" w:type="dxa"/>
            <w:hideMark/>
          </w:tcPr>
          <w:p w:rsidR="00647610" w:rsidRPr="00D77CEC" w:rsidRDefault="00647610" w:rsidP="00216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216573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</w:t>
            </w:r>
          </w:p>
        </w:tc>
      </w:tr>
      <w:tr w:rsidR="00647610" w:rsidRPr="00D77CEC" w:rsidTr="00FE7BD3">
        <w:trPr>
          <w:trHeight w:val="517"/>
        </w:trPr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</w:t>
            </w:r>
          </w:p>
        </w:tc>
        <w:tc>
          <w:tcPr>
            <w:tcW w:w="3843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Tiesiskā regulējuma finansiālā ietekme</w:t>
            </w:r>
          </w:p>
        </w:tc>
        <w:tc>
          <w:tcPr>
            <w:tcW w:w="4926" w:type="dxa"/>
            <w:hideMark/>
          </w:tcPr>
          <w:p w:rsidR="00647610" w:rsidRPr="00D77CEC" w:rsidRDefault="00647610" w:rsidP="00216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216573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</w:t>
            </w:r>
          </w:p>
        </w:tc>
      </w:tr>
      <w:tr w:rsidR="00647610" w:rsidRPr="00D77CEC" w:rsidTr="00FE7BD3">
        <w:trPr>
          <w:trHeight w:val="517"/>
        </w:trPr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3843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Tiesiskā regulējuma nefinansiālā ietekme</w:t>
            </w:r>
          </w:p>
        </w:tc>
        <w:tc>
          <w:tcPr>
            <w:tcW w:w="4926" w:type="dxa"/>
            <w:hideMark/>
          </w:tcPr>
          <w:p w:rsidR="00647610" w:rsidRPr="00D77CEC" w:rsidRDefault="00647610" w:rsidP="00F93B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F93BB4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</w:t>
            </w:r>
          </w:p>
        </w:tc>
      </w:tr>
      <w:tr w:rsidR="00647610" w:rsidRPr="00D77CEC" w:rsidTr="00FE7BD3">
        <w:trPr>
          <w:trHeight w:val="531"/>
        </w:trPr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3843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Administratīvās procedūras raksturojums</w:t>
            </w:r>
          </w:p>
        </w:tc>
        <w:tc>
          <w:tcPr>
            <w:tcW w:w="4926" w:type="dxa"/>
            <w:hideMark/>
          </w:tcPr>
          <w:p w:rsidR="00647610" w:rsidRPr="00D77CEC" w:rsidRDefault="00647610" w:rsidP="00410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410A53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</w:t>
            </w:r>
          </w:p>
        </w:tc>
      </w:tr>
      <w:tr w:rsidR="00647610" w:rsidRPr="00D77CEC" w:rsidTr="00FE7BD3">
        <w:trPr>
          <w:trHeight w:val="357"/>
        </w:trPr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3843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Administratīvo izmaksu monetārs novērtējums</w:t>
            </w:r>
          </w:p>
        </w:tc>
        <w:tc>
          <w:tcPr>
            <w:tcW w:w="4926" w:type="dxa"/>
            <w:hideMark/>
          </w:tcPr>
          <w:p w:rsidR="00647610" w:rsidRPr="00D77CEC" w:rsidRDefault="00647610" w:rsidP="00410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410A53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</w:t>
            </w:r>
          </w:p>
        </w:tc>
      </w:tr>
      <w:tr w:rsidR="00647610" w:rsidRPr="00D77CEC" w:rsidTr="00FE7BD3">
        <w:tc>
          <w:tcPr>
            <w:tcW w:w="518" w:type="dxa"/>
            <w:hideMark/>
          </w:tcPr>
          <w:p w:rsidR="00647610" w:rsidRPr="00D77CEC" w:rsidRDefault="00647610" w:rsidP="00647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7.</w:t>
            </w:r>
          </w:p>
        </w:tc>
        <w:tc>
          <w:tcPr>
            <w:tcW w:w="3843" w:type="dxa"/>
            <w:hideMark/>
          </w:tcPr>
          <w:p w:rsidR="00647610" w:rsidRPr="00D77CEC" w:rsidRDefault="00647610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4926" w:type="dxa"/>
            <w:hideMark/>
          </w:tcPr>
          <w:p w:rsidR="001E501C" w:rsidRPr="00D77CEC" w:rsidRDefault="00647610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410A53"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1E501C" w:rsidRPr="00D77CEC" w:rsidRDefault="001E501C" w:rsidP="0067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9356" w:type="dxa"/>
        <w:tblLook w:val="04A0"/>
      </w:tblPr>
      <w:tblGrid>
        <w:gridCol w:w="2512"/>
        <w:gridCol w:w="1239"/>
        <w:gridCol w:w="1315"/>
        <w:gridCol w:w="1430"/>
        <w:gridCol w:w="1430"/>
        <w:gridCol w:w="1430"/>
      </w:tblGrid>
      <w:tr w:rsidR="001E501C" w:rsidRPr="00D77CEC" w:rsidTr="001D36B7">
        <w:trPr>
          <w:trHeight w:val="395"/>
        </w:trPr>
        <w:tc>
          <w:tcPr>
            <w:tcW w:w="9356" w:type="dxa"/>
            <w:gridSpan w:val="6"/>
            <w:hideMark/>
          </w:tcPr>
          <w:p w:rsidR="001E501C" w:rsidRPr="00D77CEC" w:rsidRDefault="001E501C" w:rsidP="00E473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E501C" w:rsidRPr="00D77CEC" w:rsidTr="001D36B7">
        <w:tc>
          <w:tcPr>
            <w:tcW w:w="3067" w:type="dxa"/>
            <w:vMerge w:val="restart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7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2601" w:type="dxa"/>
            <w:gridSpan w:val="2"/>
            <w:vMerge w:val="restart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2011.gads</w:t>
            </w:r>
          </w:p>
        </w:tc>
        <w:tc>
          <w:tcPr>
            <w:tcW w:w="3688" w:type="dxa"/>
            <w:gridSpan w:val="3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Turpmākie trīs gadi (tūkst. latu)</w:t>
            </w:r>
          </w:p>
        </w:tc>
      </w:tr>
      <w:tr w:rsidR="001E501C" w:rsidRPr="00D77CEC" w:rsidTr="001D36B7">
        <w:tc>
          <w:tcPr>
            <w:tcW w:w="3067" w:type="dxa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2012.gads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2013.gads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2014.gads</w:t>
            </w:r>
          </w:p>
        </w:tc>
      </w:tr>
      <w:tr w:rsidR="001E501C" w:rsidRPr="00D77CEC" w:rsidTr="001D36B7">
        <w:tc>
          <w:tcPr>
            <w:tcW w:w="3067" w:type="dxa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Saskaņā ar valsts budžetu kārtējam gadam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Izmaiņas kārtējā gadā, salīdzinot ar budžetu kārtējam gadam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Izmaiņas, salīdzinot ar kārtējo (n) gadu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Izmaiņas, salīdzinot ar kārtējo (n) gadu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Izmaiņas, salīdzinot ar kārtējo (n) gadu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 Budžeta ieņēmumi: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1.1. valsts </w:t>
            </w: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pamatbudžets, tai skaitā ieņēmumi no maksas pakalpojumiem un citi pašu ieņēmumi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2,4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1.2. valsts speciālais 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1.3. pašvaldību 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 Budžeta izdevumi: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2.1. valsts pamatbudžets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2.2. valsts speciālais 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2.3. pašvaldību 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 Finansiālā ietekme: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3.1. valsts pamatbudžets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3.2. speciālais 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3.3. pašvaldību budžets</w:t>
            </w:r>
          </w:p>
        </w:tc>
        <w:tc>
          <w:tcPr>
            <w:tcW w:w="1275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vMerge w:val="restart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4. Finanšu līdzekļi papildu izde</w:t>
            </w: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1275" w:type="dxa"/>
            <w:vMerge w:val="restart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1E501C" w:rsidRPr="00D77CEC" w:rsidRDefault="001E501C" w:rsidP="00E473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1E501C" w:rsidRPr="00D77CEC" w:rsidRDefault="001E501C" w:rsidP="00E473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 Precizēta finansiālā ietekme:</w:t>
            </w:r>
          </w:p>
        </w:tc>
        <w:tc>
          <w:tcPr>
            <w:tcW w:w="1275" w:type="dxa"/>
            <w:vMerge w:val="restart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5.1. valsts pamatbudžets</w:t>
            </w:r>
          </w:p>
        </w:tc>
        <w:tc>
          <w:tcPr>
            <w:tcW w:w="0" w:type="auto"/>
            <w:vMerge/>
            <w:hideMark/>
          </w:tcPr>
          <w:p w:rsidR="001E501C" w:rsidRPr="00D77CEC" w:rsidRDefault="001E501C" w:rsidP="00E473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5.2. speciālais budžets</w:t>
            </w:r>
          </w:p>
        </w:tc>
        <w:tc>
          <w:tcPr>
            <w:tcW w:w="0" w:type="auto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5.3. pašvaldību budžets</w:t>
            </w:r>
          </w:p>
        </w:tc>
        <w:tc>
          <w:tcPr>
            <w:tcW w:w="0" w:type="auto"/>
            <w:vMerge/>
            <w:hideMark/>
          </w:tcPr>
          <w:p w:rsidR="001E501C" w:rsidRPr="00D77CEC" w:rsidRDefault="001E501C" w:rsidP="00E47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26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1309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1070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6. Detalizēts ieņēmumu un </w:t>
            </w: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izdevu</w:t>
            </w: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89" w:type="dxa"/>
            <w:gridSpan w:val="5"/>
            <w:vMerge w:val="restart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 </w:t>
            </w:r>
            <w:r w:rsidRPr="00D77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6.1. detalizēts ieņēmumu aprēķins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v-LV"/>
              </w:rPr>
              <w:lastRenderedPageBreak/>
              <w:t>2011.gads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Ievērojot, </w:t>
            </w:r>
            <w:proofErr w:type="gramStart"/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 ka</w:t>
            </w:r>
            <w:proofErr w:type="gramEnd"/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tiesu ekspertu kvalifikācijas pārbaudījumu kārtošana paredzēta 2011.gada 2.pusgadā paredzēts, ka maksa par pārbadījuma kārtošanu tiks iekasēta Ls 60.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1) 35 ekspertu kandidāti x maksa par tiesu eksperta kvalifikācijas pārbaudījuma kārtošanu Ls 60 apmērā valsts iestādē strādājošai personai, kurai pienākumu pildīšanai ir jāiegūst tiesu eksperta sertifikāts = Ls 2100;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2) 10 ekspertu kandidāti x maksa par atkārtotu tiesu eksperta kvalifikācijas pārbaudījuma kārtošanu Ls 30 apmērā = Ls 300.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Kopā ieņēmumi 2011.gadā – Ls 2400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2012.gads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1) 35 ekspertu kandidāti x maksa par tiesu eksperta kvalifikācijas pārbaudījuma kārtošanu Ls 60 apmērā valsts iestādē strādājošai personai, kurai pienākumu pildīšanai ir jāiegūst tiesu eksperta sertifikāts = Ls 2100;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2) 10 ekspertu kandidāti x maksa par atkārtotu tiesu eksperta kvalifikācijas pārbaudījuma kārtošanu Ls 30 apmērā = Ls 300.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Kopā ieņēmumi 2012.gadā – Ls 2400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2013.gads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1) 35 ekspertu kandidāti x maksa par tiesu eksperta kvalifikācijas pārbaudījuma kārtošanu Ls 60 apmērā valsts iestādē strādājošai personai, kurai pienākumu pildīšanai ir jāiegūst tiesu eksperta sertifikāts = Ls 2100;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2) 10 ekspertu kandidāti x maksa par atkārtotu tiesu eksperta kvalifikācijas pārbaudījuma kārtošanu Ls 30 apmērā = Ls 300.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Kopā ieņēmumi 2013.gadā – Ls 2400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6.2. detalizēts izdevumu aprēķins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2011.gads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2011.gadā plānots, ka eksperta kvalifikācijas pārbaudījumu kārtos 35 ekspertu kandidāti un 65 eksperti pieteiksies resertifikācijai; kopā 100 ekspertu kandidāti un eksperti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1) pasta sūtījumu izdevumi lēmumu nosūtīšanai ekspertu kandidātiem, kuriem piešķirta eksperta kvalifikācija; 91 eksperti x Ls 0,41 ( Ls 0,06 aploksne, Ls 0,35 vēstules marķēšana) = Ls 37 + Ls 4 (9 ekspertu kandidātiem, kuri atkārtoti kārto pārbaudījumu); kopā Ls 41;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2) pasta sūtījumu izdevumi lēmumu nosūtīšanai ekspertu kandidātiem, kuriem nav piešķirta eksperta kvalifikācija; 9 ekspertu kandidāti x Ls 0,99 par ierakstītu vēstuli = Ls 9; Ls 1 (1 ekspertu kandidātam, kurš atkārtoti kārto pārbaudījumu); kopā Ls 10;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3) Sludinājums laikrakstā „Latvijas Vēstnesis” – Ls 26;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4) Ekspertu kandidātu atzinumu recenzēšana: 6 atzinumi x Ls 69 atlīdzība recenzentam x 2 (par otru specialitāti) = Ls 828;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5) Atzinumu tulkošana Ls 260;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6) Ārvalstu recenzenta eksperta piedalīšanās sertifikācijas komisijas darbā (komandējuma izdevumi)</w:t>
            </w:r>
            <w:proofErr w:type="gramStart"/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Ls 1151;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7) Sertifikātu izgatavošana: 100 sertifikāti x Ls 0,40 par vienu sertifikātu x 2 (par otru specialitāti) + Ls 4 (10 ekspertu kandidāti kārto atkārtoti x Ls 0,40 ) = Ls 84.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Kopā izdevumi 2011.gadā – Ls 2400.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2012.gads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2012.gadā plānots, ka eksperta kvalifikācijas pārbaudījumu kārtos 35 ekspertu kandidāti un 118 eksperti pieteiksies resertifikācijai; kopā 153 ekspertu kandidāti un eksperti;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pasta sūtījumu izdevumi lēmumu nosūtīšanai ekspertu kandidātiem, kuriem piešķirta eksperta kvalifikācija; 138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eksperti x Ls 0,41 ( Ls 0,06 aploksne, Ls 0,35 vēstules marķēšana) = Ls 57 + Ls 4 (9 ekspertu kandidātiem, kuri atkārtoti kārto pārbaudījumu); kopā Ls 61;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2) pasta sūtījumu izdevumi lēmumu nosūtīšanai ekspertu kandidātiem, kuriem nav piešķirta eksperta kvalifikācija; 15 ekspertu kandidāti x Ls 0,99 par ierakstītu vēstuli = Ls 15; Ls 1 (1 ekspertu kandidātam, kurš atkārtoti kārto pārbaudījumu); kopā Ls 16;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3) Sludinājums laikrakstā „Latvijas Vēstnesis” – Ls 26;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4) Ekspertu kandidātu atzinumu recenzēšana: 6 atzinumi x Ls 69 atlīdzība recenzentam x 2 (par otru specialitāti) = Ls 828;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5) Atzinumu tulkošana Ls 260;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6) Ārvalstu recenzenta eksperta piedalīšanās sertifikācijas komisijas darbā (komandējuma izdevumi) Ls 1083 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7) Sertifikātu izgatavošana: 153 sertifikāti x Ls 0,40 par vienu sertifikātu x 2 (par otru specialitāti) + Ls 4 (10 ekspertu kandidāti kārto atkārtoti x Ls 0,40 ) = Ls 126.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Kopā izdevumi 2012.gadā – Ls 2400.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2013.gads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2013.gadā plānots, ka eksperta kvalifikācijas pārbaudījumu kārtos 35 ekspertu kandidāti un 183 eksperti pieteiksies resertifikācijai; kopā 218 ekspertu kandidāti un eksperti;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1) pasta sūtījumu izdevumi lēmumu nosūtīšanai ekspertu kandidātiem, kuriem piešķirta eksperta kvalifikācija; 195 eksperti x Ls 0,41 ( Ls 0,06 aploksne, Ls 0,35 vēstules marķēšana) = Ls 80 + Ls 4 (9 ekspertu kandidātiem, kuri atkārtoti kārto pārbaudījumu); kopā Ls 84;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pasta sūtījumu izdevumi lēmumu nosūtīšanai ekspertu kandidātiem, kuriem nav piešķirta eksperta kvalifikācija; 23 ekspertu kandidāti x Ls 0,99 par ierakstītu vēstuli = Ls 23; Ls 1 (1 ekspertu kandidātam, kurš atkārtoti kārto </w:t>
            </w: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pārbaudījumu); kopā Ls 24;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3) Sludinājums laikrakstā „Latvijas Vēstnesis” – Ls 26;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4) Ekspertu kandidātu atzinumu recenzēšana: 6 atzinumi x Ls 69 atlīdzība recenzentam x 2 (par otru specialitāti) = Ls 828;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5) Atzinumu tulkošana Ls 260;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6) Ārvalstu recenzenta eksperta piedalīšanās sertifikācijas komisijas darbā (komandējuma izdevumi) Ls 1000;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sz w:val="28"/>
                <w:szCs w:val="28"/>
              </w:rPr>
              <w:t>7) Sertifikātu izgatavošana: 218 sertifikāti x Ls 0,40 par vienu sertifikātu x 2 (par otru specialitāti) + Ls 4 (10 ekspertu kandidāti kārto atkārtoti x Ls 0,40 ) = Ls 178.</w:t>
            </w:r>
          </w:p>
          <w:p w:rsidR="001E501C" w:rsidRPr="00D77CEC" w:rsidRDefault="001E501C" w:rsidP="00E473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Kopā izdevumi 2013.gadā – Ls 2400</w:t>
            </w: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6.1. detalizēts ieņēmumu aprēķins</w:t>
            </w:r>
          </w:p>
        </w:tc>
        <w:tc>
          <w:tcPr>
            <w:tcW w:w="6289" w:type="dxa"/>
            <w:gridSpan w:val="5"/>
            <w:vMerge/>
            <w:hideMark/>
          </w:tcPr>
          <w:p w:rsidR="001E501C" w:rsidRPr="00D77CEC" w:rsidRDefault="001E501C" w:rsidP="00E4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E47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6.2. detalizēts izdevumu aprēķins</w:t>
            </w:r>
          </w:p>
        </w:tc>
        <w:tc>
          <w:tcPr>
            <w:tcW w:w="6289" w:type="dxa"/>
            <w:gridSpan w:val="5"/>
            <w:vMerge/>
            <w:hideMark/>
          </w:tcPr>
          <w:p w:rsidR="001E501C" w:rsidRPr="00D77CEC" w:rsidRDefault="001E501C" w:rsidP="00E4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E501C" w:rsidRPr="00D77CEC" w:rsidTr="001D36B7">
        <w:tc>
          <w:tcPr>
            <w:tcW w:w="3067" w:type="dxa"/>
            <w:hideMark/>
          </w:tcPr>
          <w:p w:rsidR="001E501C" w:rsidRPr="00D77CEC" w:rsidRDefault="001E501C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7. Cita informācija</w:t>
            </w:r>
          </w:p>
        </w:tc>
        <w:tc>
          <w:tcPr>
            <w:tcW w:w="6289" w:type="dxa"/>
            <w:gridSpan w:val="5"/>
            <w:hideMark/>
          </w:tcPr>
          <w:p w:rsidR="001E501C" w:rsidRPr="00D77CEC" w:rsidRDefault="001E501C" w:rsidP="001E50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Nav</w:t>
            </w:r>
          </w:p>
        </w:tc>
      </w:tr>
    </w:tbl>
    <w:p w:rsidR="0067380C" w:rsidRPr="00D77CEC" w:rsidRDefault="0067380C" w:rsidP="0067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/>
      </w:tblPr>
      <w:tblGrid>
        <w:gridCol w:w="534"/>
        <w:gridCol w:w="3969"/>
        <w:gridCol w:w="4784"/>
      </w:tblGrid>
      <w:tr w:rsidR="0067380C" w:rsidRPr="00D77CEC" w:rsidTr="00FE7BD3">
        <w:tc>
          <w:tcPr>
            <w:tcW w:w="9287" w:type="dxa"/>
            <w:gridSpan w:val="3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67380C" w:rsidRPr="00D77CEC" w:rsidTr="00FE7BD3">
        <w:tc>
          <w:tcPr>
            <w:tcW w:w="534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3969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Nepieciešamie saistītie tiesību aktu projekti</w:t>
            </w:r>
          </w:p>
        </w:tc>
        <w:tc>
          <w:tcPr>
            <w:tcW w:w="4784" w:type="dxa"/>
            <w:hideMark/>
          </w:tcPr>
          <w:p w:rsidR="0067380C" w:rsidRPr="00D77CEC" w:rsidRDefault="0067380C" w:rsidP="00BB3DE1">
            <w:pPr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Noteikumu projekts tiek virzīts kopā ar Ministru kabineta noteikumu projektu „Tiesu ekspe</w:t>
            </w:r>
            <w:r w:rsidR="00BB3DE1" w:rsidRPr="00D77CEC">
              <w:rPr>
                <w:rFonts w:ascii="Times New Roman" w:hAnsi="Times New Roman" w:cs="Times New Roman"/>
                <w:sz w:val="28"/>
                <w:szCs w:val="28"/>
              </w:rPr>
              <w:t>rtu specialitāšu klasifikators”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80C" w:rsidRPr="00D77CEC" w:rsidTr="00FE7BD3">
        <w:tc>
          <w:tcPr>
            <w:tcW w:w="534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3969" w:type="dxa"/>
            <w:hideMark/>
          </w:tcPr>
          <w:p w:rsidR="0067380C" w:rsidRPr="00D77CEC" w:rsidRDefault="0067380C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4784" w:type="dxa"/>
            <w:hideMark/>
          </w:tcPr>
          <w:p w:rsidR="001E501C" w:rsidRPr="00D77CEC" w:rsidRDefault="0067380C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Nav</w:t>
            </w:r>
          </w:p>
        </w:tc>
      </w:tr>
    </w:tbl>
    <w:p w:rsidR="0067380C" w:rsidRPr="00D77CEC" w:rsidRDefault="0067380C" w:rsidP="00673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7C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Anotācijas V un VI sadaļa – nav attiecināms </w:t>
      </w:r>
    </w:p>
    <w:tbl>
      <w:tblPr>
        <w:tblStyle w:val="Reatabula"/>
        <w:tblW w:w="0" w:type="auto"/>
        <w:tblLook w:val="04A0"/>
      </w:tblPr>
      <w:tblGrid>
        <w:gridCol w:w="500"/>
        <w:gridCol w:w="4018"/>
        <w:gridCol w:w="4769"/>
      </w:tblGrid>
      <w:tr w:rsidR="0067380C" w:rsidRPr="00D77CEC" w:rsidTr="001D36B7">
        <w:tc>
          <w:tcPr>
            <w:tcW w:w="9369" w:type="dxa"/>
            <w:gridSpan w:val="3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7380C" w:rsidRPr="00D77CEC" w:rsidTr="001D36B7">
        <w:trPr>
          <w:trHeight w:val="427"/>
        </w:trPr>
        <w:tc>
          <w:tcPr>
            <w:tcW w:w="500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4052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izpildē iesaistītās institūcijas</w:t>
            </w:r>
          </w:p>
        </w:tc>
        <w:tc>
          <w:tcPr>
            <w:tcW w:w="4817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hAnsi="Times New Roman" w:cs="Times New Roman"/>
                <w:iCs/>
                <w:sz w:val="28"/>
                <w:szCs w:val="28"/>
              </w:rPr>
              <w:t>Tiesu ekspertu padome.</w:t>
            </w:r>
          </w:p>
        </w:tc>
      </w:tr>
      <w:tr w:rsidR="0067380C" w:rsidRPr="00D77CEC" w:rsidTr="001D36B7">
        <w:trPr>
          <w:trHeight w:val="463"/>
        </w:trPr>
        <w:tc>
          <w:tcPr>
            <w:tcW w:w="500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4052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funkcijām</w:t>
            </w:r>
          </w:p>
        </w:tc>
        <w:tc>
          <w:tcPr>
            <w:tcW w:w="4817" w:type="dxa"/>
            <w:hideMark/>
          </w:tcPr>
          <w:p w:rsidR="0067380C" w:rsidRPr="00D77CEC" w:rsidRDefault="0067380C" w:rsidP="00CA4BDB">
            <w:pPr>
              <w:spacing w:before="100" w:beforeAutospacing="1" w:after="100" w:afterAutospacing="1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Institūciju funkcijas un uzdevumi ar šo projektu netiek sašaurinātas vai paplašinātas.</w:t>
            </w:r>
          </w:p>
        </w:tc>
      </w:tr>
      <w:tr w:rsidR="0067380C" w:rsidRPr="00D77CEC" w:rsidTr="001D36B7">
        <w:trPr>
          <w:trHeight w:val="725"/>
        </w:trPr>
        <w:tc>
          <w:tcPr>
            <w:tcW w:w="500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</w:t>
            </w:r>
          </w:p>
        </w:tc>
        <w:tc>
          <w:tcPr>
            <w:tcW w:w="4052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institucionālo struktūru.</w:t>
            </w:r>
          </w:p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4817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Jaunu institūciju izveidi projekts neparedz.</w:t>
            </w:r>
          </w:p>
        </w:tc>
      </w:tr>
      <w:tr w:rsidR="0067380C" w:rsidRPr="00D77CEC" w:rsidTr="001D36B7">
        <w:trPr>
          <w:trHeight w:val="780"/>
        </w:trPr>
        <w:tc>
          <w:tcPr>
            <w:tcW w:w="500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4052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Projekta izpildes ietekme uz pārvaldes institucionālo </w:t>
            </w: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struktūru.</w:t>
            </w:r>
          </w:p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4817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Esošās institūcijas projekts neparedz likvidēt.</w:t>
            </w:r>
          </w:p>
        </w:tc>
      </w:tr>
      <w:tr w:rsidR="0067380C" w:rsidRPr="00D77CEC" w:rsidTr="001D36B7">
        <w:trPr>
          <w:trHeight w:val="703"/>
        </w:trPr>
        <w:tc>
          <w:tcPr>
            <w:tcW w:w="500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5.</w:t>
            </w:r>
          </w:p>
        </w:tc>
        <w:tc>
          <w:tcPr>
            <w:tcW w:w="4052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institucionālo struktūru.</w:t>
            </w:r>
          </w:p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4817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Esošās institūcijas projekts neparedz reorganizēt.</w:t>
            </w:r>
          </w:p>
        </w:tc>
      </w:tr>
      <w:tr w:rsidR="0067380C" w:rsidRPr="00D77CEC" w:rsidTr="001D36B7">
        <w:trPr>
          <w:trHeight w:val="476"/>
        </w:trPr>
        <w:tc>
          <w:tcPr>
            <w:tcW w:w="500" w:type="dxa"/>
            <w:hideMark/>
          </w:tcPr>
          <w:p w:rsidR="0067380C" w:rsidRPr="00D77CEC" w:rsidRDefault="0067380C" w:rsidP="00BB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4052" w:type="dxa"/>
            <w:hideMark/>
          </w:tcPr>
          <w:p w:rsidR="0067380C" w:rsidRPr="00D77CEC" w:rsidRDefault="0067380C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4817" w:type="dxa"/>
            <w:hideMark/>
          </w:tcPr>
          <w:p w:rsidR="001E501C" w:rsidRPr="00D77CEC" w:rsidRDefault="0067380C" w:rsidP="001E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C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Nav</w:t>
            </w:r>
          </w:p>
        </w:tc>
      </w:tr>
    </w:tbl>
    <w:p w:rsidR="0067380C" w:rsidRPr="00D77CEC" w:rsidRDefault="0067380C" w:rsidP="0067380C">
      <w:pPr>
        <w:pStyle w:val="Pamattekstsaratkpi"/>
        <w:tabs>
          <w:tab w:val="left" w:pos="6840"/>
        </w:tabs>
        <w:spacing w:after="0"/>
        <w:ind w:left="-284" w:right="-51"/>
        <w:jc w:val="both"/>
        <w:rPr>
          <w:sz w:val="28"/>
          <w:szCs w:val="28"/>
        </w:rPr>
      </w:pPr>
    </w:p>
    <w:p w:rsidR="0067380C" w:rsidRPr="00D77CEC" w:rsidRDefault="0067380C" w:rsidP="0067380C">
      <w:pPr>
        <w:pStyle w:val="Pamattekstsaratkpi"/>
        <w:tabs>
          <w:tab w:val="left" w:pos="6840"/>
        </w:tabs>
        <w:spacing w:after="0"/>
        <w:ind w:left="-284" w:right="-51"/>
        <w:jc w:val="both"/>
        <w:rPr>
          <w:sz w:val="28"/>
          <w:szCs w:val="28"/>
        </w:rPr>
      </w:pPr>
    </w:p>
    <w:p w:rsidR="0067380C" w:rsidRPr="00D77CEC" w:rsidRDefault="00C84DC2" w:rsidP="00673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A. Štokenbergs</w:t>
      </w:r>
      <w:r w:rsidR="0067380C" w:rsidRPr="00D77C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0B193B" w:rsidRPr="00D77CEC" w:rsidRDefault="000B193B" w:rsidP="00673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827F3" w:rsidRPr="00D77CEC" w:rsidRDefault="004827F3" w:rsidP="00B23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92D64" w:rsidRDefault="00F92D64" w:rsidP="00B2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EC" w:rsidRDefault="00D77CEC" w:rsidP="00B2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EC" w:rsidRPr="00D77CEC" w:rsidRDefault="00D77CEC" w:rsidP="00B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C" w:rsidRPr="00AE696A" w:rsidRDefault="00C84DC2" w:rsidP="002230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9046FD" w:rsidRPr="00AE696A">
        <w:rPr>
          <w:rFonts w:ascii="Times New Roman" w:hAnsi="Times New Roman" w:cs="Times New Roman"/>
          <w:sz w:val="20"/>
          <w:szCs w:val="20"/>
        </w:rPr>
        <w:t>.05</w:t>
      </w:r>
      <w:r w:rsidR="00DE1F3D" w:rsidRPr="00AE696A">
        <w:rPr>
          <w:rFonts w:ascii="Times New Roman" w:hAnsi="Times New Roman" w:cs="Times New Roman"/>
          <w:sz w:val="20"/>
          <w:szCs w:val="20"/>
        </w:rPr>
        <w:t>.2011</w:t>
      </w:r>
      <w:r w:rsidR="00CA4BDB" w:rsidRPr="00AE696A">
        <w:rPr>
          <w:rFonts w:ascii="Times New Roman" w:hAnsi="Times New Roman" w:cs="Times New Roman"/>
          <w:sz w:val="20"/>
          <w:szCs w:val="20"/>
        </w:rPr>
        <w:t>.</w:t>
      </w:r>
      <w:r w:rsidR="00270845">
        <w:rPr>
          <w:rFonts w:ascii="Times New Roman" w:hAnsi="Times New Roman" w:cs="Times New Roman"/>
          <w:sz w:val="20"/>
          <w:szCs w:val="20"/>
        </w:rPr>
        <w:t xml:space="preserve"> 15</w:t>
      </w:r>
      <w:r w:rsidR="00870CD3" w:rsidRPr="00AE696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="00FE7BD3">
        <w:rPr>
          <w:rFonts w:ascii="Times New Roman" w:hAnsi="Times New Roman" w:cs="Times New Roman"/>
          <w:sz w:val="20"/>
          <w:szCs w:val="20"/>
        </w:rPr>
        <w:t>8</w:t>
      </w:r>
    </w:p>
    <w:p w:rsidR="00661A20" w:rsidRDefault="0076023D" w:rsidP="002230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E696A">
        <w:rPr>
          <w:rFonts w:ascii="Times New Roman" w:hAnsi="Times New Roman" w:cs="Times New Roman"/>
          <w:sz w:val="20"/>
          <w:szCs w:val="20"/>
        </w:rPr>
        <w:t>195</w:t>
      </w:r>
      <w:r w:rsidR="00C84DC2">
        <w:rPr>
          <w:rFonts w:ascii="Times New Roman" w:hAnsi="Times New Roman" w:cs="Times New Roman"/>
          <w:sz w:val="20"/>
          <w:szCs w:val="20"/>
        </w:rPr>
        <w:t>2</w:t>
      </w:r>
    </w:p>
    <w:p w:rsidR="0067380C" w:rsidRPr="00AE696A" w:rsidRDefault="008F38B9" w:rsidP="002230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E696A">
        <w:rPr>
          <w:rFonts w:ascii="Times New Roman" w:hAnsi="Times New Roman" w:cs="Times New Roman"/>
          <w:sz w:val="20"/>
          <w:szCs w:val="20"/>
        </w:rPr>
        <w:t>K.</w:t>
      </w:r>
      <w:r w:rsidR="00CF767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67380C" w:rsidRPr="00AE696A">
        <w:rPr>
          <w:rFonts w:ascii="Times New Roman" w:hAnsi="Times New Roman" w:cs="Times New Roman"/>
          <w:sz w:val="20"/>
          <w:szCs w:val="20"/>
        </w:rPr>
        <w:t>Bajāre</w:t>
      </w:r>
      <w:proofErr w:type="spellEnd"/>
    </w:p>
    <w:p w:rsidR="00712B1F" w:rsidRPr="00AE696A" w:rsidRDefault="0067380C" w:rsidP="00A67DC6">
      <w:pPr>
        <w:pStyle w:val="HTMLiepriekformattais"/>
        <w:jc w:val="both"/>
        <w:rPr>
          <w:rFonts w:ascii="Times New Roman" w:hAnsi="Times New Roman" w:cs="Times New Roman"/>
        </w:rPr>
      </w:pPr>
      <w:r w:rsidRPr="00AE696A">
        <w:rPr>
          <w:rFonts w:ascii="Times New Roman" w:hAnsi="Times New Roman" w:cs="Times New Roman"/>
        </w:rPr>
        <w:t>67036775, Kintija.Bajare@tm.gov.lv</w:t>
      </w:r>
    </w:p>
    <w:sectPr w:rsidR="00712B1F" w:rsidRPr="00AE696A" w:rsidSect="00AE696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33" w:rsidRDefault="00481433" w:rsidP="002C637C">
      <w:pPr>
        <w:spacing w:after="0" w:line="240" w:lineRule="auto"/>
      </w:pPr>
      <w:r>
        <w:separator/>
      </w:r>
    </w:p>
  </w:endnote>
  <w:endnote w:type="continuationSeparator" w:id="0">
    <w:p w:rsidR="00481433" w:rsidRDefault="00481433" w:rsidP="002C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33" w:rsidRPr="007D700E" w:rsidRDefault="00C84DC2" w:rsidP="006E3A4E">
    <w:pPr>
      <w:pStyle w:val="Virsraksts2"/>
      <w:jc w:val="both"/>
      <w:rPr>
        <w:rFonts w:ascii="Times New Roman" w:hAnsi="Times New Roman"/>
        <w:b w:val="0"/>
        <w:sz w:val="24"/>
        <w:szCs w:val="24"/>
        <w:lang w:val="lv-LV"/>
      </w:rPr>
    </w:pPr>
    <w:r>
      <w:rPr>
        <w:rFonts w:ascii="Times New Roman" w:hAnsi="Times New Roman"/>
        <w:b w:val="0"/>
        <w:lang w:val="lv-LV"/>
      </w:rPr>
      <w:t>TMAnot_12</w:t>
    </w:r>
    <w:r w:rsidR="009046FD">
      <w:rPr>
        <w:rFonts w:ascii="Times New Roman" w:hAnsi="Times New Roman"/>
        <w:b w:val="0"/>
        <w:lang w:val="lv-LV"/>
      </w:rPr>
      <w:t>05</w:t>
    </w:r>
    <w:r w:rsidR="00481433">
      <w:rPr>
        <w:rFonts w:ascii="Times New Roman" w:hAnsi="Times New Roman"/>
        <w:b w:val="0"/>
        <w:lang w:val="lv-LV"/>
      </w:rPr>
      <w:t>11_sertifikacija</w:t>
    </w:r>
    <w:r w:rsidR="00481433" w:rsidRPr="007D700E">
      <w:rPr>
        <w:rFonts w:ascii="Times New Roman" w:hAnsi="Times New Roman"/>
        <w:b w:val="0"/>
        <w:lang w:val="lv-LV"/>
      </w:rPr>
      <w:t>;</w:t>
    </w:r>
    <w:r w:rsidR="00481433" w:rsidRPr="007D700E">
      <w:rPr>
        <w:rFonts w:ascii="Times New Roman" w:hAnsi="Times New Roman"/>
        <w:b w:val="0"/>
        <w:sz w:val="24"/>
        <w:szCs w:val="24"/>
        <w:lang w:val="lv-LV"/>
      </w:rPr>
      <w:t xml:space="preserve"> </w:t>
    </w:r>
    <w:r w:rsidR="00481433" w:rsidRPr="007D700E">
      <w:rPr>
        <w:rFonts w:ascii="Times New Roman" w:hAnsi="Times New Roman"/>
        <w:b w:val="0"/>
        <w:lang w:val="lv-LV"/>
      </w:rPr>
      <w:t>Ministru kabineta noteikumu projekta „Grozījumi Ministru kabineta 2008. gada 10. jūnija noteikumos Nr. 427</w:t>
    </w:r>
    <w:r w:rsidR="00481433" w:rsidRPr="007D700E">
      <w:rPr>
        <w:rFonts w:ascii="Times New Roman" w:hAnsi="Times New Roman"/>
        <w:b w:val="0"/>
        <w:sz w:val="24"/>
        <w:szCs w:val="24"/>
        <w:lang w:val="lv-LV"/>
      </w:rPr>
      <w:t xml:space="preserve"> </w:t>
    </w:r>
    <w:r w:rsidR="00481433" w:rsidRPr="007D700E">
      <w:rPr>
        <w:rFonts w:ascii="Times New Roman" w:hAnsi="Times New Roman"/>
        <w:b w:val="0"/>
        <w:lang w:val="lv-LV"/>
      </w:rPr>
      <w:t>„Tiesu eksperta sertifikācijas un resertifikācijas kārtība”” sākotnējās ietekmes novērtējuma ziņojums (anotācija)</w:t>
    </w:r>
    <w:r w:rsidR="000F6C1C" w:rsidRPr="000F6C1C">
      <w:rPr>
        <w:rFonts w:ascii="Times New Roman" w:hAnsi="Times New Roman"/>
        <w:b w:val="0"/>
        <w:lang w:val="lv-LV"/>
      </w:rPr>
      <w:t xml:space="preserve"> </w:t>
    </w:r>
    <w:r w:rsidR="000F6C1C">
      <w:rPr>
        <w:rFonts w:ascii="Times New Roman" w:hAnsi="Times New Roman"/>
        <w:b w:val="0"/>
        <w:lang w:val="lv-LV"/>
      </w:rPr>
      <w:t>(VSS-211)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33" w:rsidRPr="00970B79" w:rsidRDefault="00C84DC2" w:rsidP="00E019E4">
    <w:pPr>
      <w:pStyle w:val="Virsraksts2"/>
      <w:jc w:val="both"/>
      <w:rPr>
        <w:rFonts w:ascii="Times New Roman" w:hAnsi="Times New Roman"/>
        <w:b w:val="0"/>
        <w:sz w:val="24"/>
        <w:szCs w:val="24"/>
        <w:lang w:val="lv-LV"/>
      </w:rPr>
    </w:pPr>
    <w:r>
      <w:rPr>
        <w:rFonts w:ascii="Times New Roman" w:hAnsi="Times New Roman"/>
        <w:b w:val="0"/>
        <w:lang w:val="lv-LV"/>
      </w:rPr>
      <w:t>TMAnot_12</w:t>
    </w:r>
    <w:r w:rsidR="009046FD">
      <w:rPr>
        <w:rFonts w:ascii="Times New Roman" w:hAnsi="Times New Roman"/>
        <w:b w:val="0"/>
        <w:lang w:val="lv-LV"/>
      </w:rPr>
      <w:t>05</w:t>
    </w:r>
    <w:r w:rsidR="00481433">
      <w:rPr>
        <w:rFonts w:ascii="Times New Roman" w:hAnsi="Times New Roman"/>
        <w:b w:val="0"/>
        <w:lang w:val="lv-LV"/>
      </w:rPr>
      <w:t>11_sertifikacija</w:t>
    </w:r>
    <w:r w:rsidR="00481433" w:rsidRPr="00970B79">
      <w:rPr>
        <w:rFonts w:ascii="Times New Roman" w:hAnsi="Times New Roman"/>
        <w:b w:val="0"/>
        <w:lang w:val="lv-LV"/>
      </w:rPr>
      <w:t>;</w:t>
    </w:r>
    <w:r w:rsidR="00481433" w:rsidRPr="00970B79">
      <w:rPr>
        <w:rFonts w:ascii="Times New Roman" w:hAnsi="Times New Roman"/>
        <w:b w:val="0"/>
        <w:sz w:val="24"/>
        <w:szCs w:val="24"/>
        <w:lang w:val="lv-LV"/>
      </w:rPr>
      <w:t xml:space="preserve"> </w:t>
    </w:r>
    <w:r w:rsidR="00481433" w:rsidRPr="00970B79">
      <w:rPr>
        <w:rFonts w:ascii="Times New Roman" w:hAnsi="Times New Roman"/>
        <w:b w:val="0"/>
        <w:lang w:val="lv-LV"/>
      </w:rPr>
      <w:t>Ministru kabineta noteikumu projekta „Grozījumi Ministru kabineta 2008. gada 10. jūnija noteikumos Nr. 427</w:t>
    </w:r>
    <w:r w:rsidR="00481433" w:rsidRPr="00970B79">
      <w:rPr>
        <w:rFonts w:ascii="Times New Roman" w:hAnsi="Times New Roman"/>
        <w:b w:val="0"/>
        <w:sz w:val="24"/>
        <w:szCs w:val="24"/>
        <w:lang w:val="lv-LV"/>
      </w:rPr>
      <w:t xml:space="preserve"> </w:t>
    </w:r>
    <w:r w:rsidR="00481433" w:rsidRPr="00970B79">
      <w:rPr>
        <w:rFonts w:ascii="Times New Roman" w:hAnsi="Times New Roman"/>
        <w:b w:val="0"/>
        <w:lang w:val="lv-LV"/>
      </w:rPr>
      <w:t>„Tiesu eksperta sertifikācijas un resertifikācijas kārtība”” sākotnējās ietekmes novērtējuma ziņojums (anotācija)</w:t>
    </w:r>
    <w:r w:rsidR="000F6C1C">
      <w:rPr>
        <w:rFonts w:ascii="Times New Roman" w:hAnsi="Times New Roman"/>
        <w:b w:val="0"/>
        <w:lang w:val="lv-LV"/>
      </w:rPr>
      <w:t xml:space="preserve"> (VSS-211)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33" w:rsidRDefault="00481433" w:rsidP="002C637C">
      <w:pPr>
        <w:spacing w:after="0" w:line="240" w:lineRule="auto"/>
      </w:pPr>
      <w:r>
        <w:separator/>
      </w:r>
    </w:p>
  </w:footnote>
  <w:footnote w:type="continuationSeparator" w:id="0">
    <w:p w:rsidR="00481433" w:rsidRDefault="00481433" w:rsidP="002C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3766"/>
      <w:docPartObj>
        <w:docPartGallery w:val="Page Numbers (Top of Page)"/>
        <w:docPartUnique/>
      </w:docPartObj>
    </w:sdtPr>
    <w:sdtContent>
      <w:p w:rsidR="00481433" w:rsidRDefault="006509F2">
        <w:pPr>
          <w:pStyle w:val="Galvene"/>
          <w:jc w:val="center"/>
        </w:pPr>
        <w:r w:rsidRPr="002C63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1433" w:rsidRPr="002C63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63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BD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C63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1433" w:rsidRDefault="0048143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AC"/>
    <w:multiLevelType w:val="hybridMultilevel"/>
    <w:tmpl w:val="247E45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C2639"/>
    <w:multiLevelType w:val="hybridMultilevel"/>
    <w:tmpl w:val="21D0B15C"/>
    <w:lvl w:ilvl="0" w:tplc="E9108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6BCD"/>
    <w:multiLevelType w:val="hybridMultilevel"/>
    <w:tmpl w:val="F550AC80"/>
    <w:lvl w:ilvl="0" w:tplc="4822BBC4">
      <w:start w:val="1"/>
      <w:numFmt w:val="decimal"/>
      <w:lvlText w:val="%1)"/>
      <w:lvlJc w:val="left"/>
      <w:pPr>
        <w:ind w:left="48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10"/>
    <w:rsid w:val="00005F51"/>
    <w:rsid w:val="00011FFE"/>
    <w:rsid w:val="00015439"/>
    <w:rsid w:val="000238CD"/>
    <w:rsid w:val="00051395"/>
    <w:rsid w:val="000553D0"/>
    <w:rsid w:val="000577E5"/>
    <w:rsid w:val="000721FF"/>
    <w:rsid w:val="000A2EB7"/>
    <w:rsid w:val="000A4960"/>
    <w:rsid w:val="000A6D7E"/>
    <w:rsid w:val="000B193B"/>
    <w:rsid w:val="000B2F8C"/>
    <w:rsid w:val="000B6E34"/>
    <w:rsid w:val="000C6A87"/>
    <w:rsid w:val="000D444A"/>
    <w:rsid w:val="000E5CA6"/>
    <w:rsid w:val="000E7977"/>
    <w:rsid w:val="000F6C1C"/>
    <w:rsid w:val="00103EE5"/>
    <w:rsid w:val="001103F9"/>
    <w:rsid w:val="001139C6"/>
    <w:rsid w:val="001156E4"/>
    <w:rsid w:val="00120918"/>
    <w:rsid w:val="001219DB"/>
    <w:rsid w:val="00125808"/>
    <w:rsid w:val="00125D3D"/>
    <w:rsid w:val="00127921"/>
    <w:rsid w:val="0014719E"/>
    <w:rsid w:val="00173C00"/>
    <w:rsid w:val="00175B46"/>
    <w:rsid w:val="00175C66"/>
    <w:rsid w:val="00176271"/>
    <w:rsid w:val="001825C1"/>
    <w:rsid w:val="00190428"/>
    <w:rsid w:val="001952C5"/>
    <w:rsid w:val="001A1481"/>
    <w:rsid w:val="001A4AEF"/>
    <w:rsid w:val="001B61A9"/>
    <w:rsid w:val="001B73A3"/>
    <w:rsid w:val="001D36B7"/>
    <w:rsid w:val="001E325F"/>
    <w:rsid w:val="001E501C"/>
    <w:rsid w:val="001E5C86"/>
    <w:rsid w:val="002107E2"/>
    <w:rsid w:val="00216573"/>
    <w:rsid w:val="002176AB"/>
    <w:rsid w:val="002215C7"/>
    <w:rsid w:val="0022302A"/>
    <w:rsid w:val="002308D2"/>
    <w:rsid w:val="00231C69"/>
    <w:rsid w:val="00240C75"/>
    <w:rsid w:val="0024239D"/>
    <w:rsid w:val="002427B1"/>
    <w:rsid w:val="002670F0"/>
    <w:rsid w:val="00267E89"/>
    <w:rsid w:val="00270845"/>
    <w:rsid w:val="00271F64"/>
    <w:rsid w:val="00283395"/>
    <w:rsid w:val="0029410A"/>
    <w:rsid w:val="002B0BA4"/>
    <w:rsid w:val="002B7372"/>
    <w:rsid w:val="002C637C"/>
    <w:rsid w:val="002D32D7"/>
    <w:rsid w:val="002D5BE8"/>
    <w:rsid w:val="002E2A39"/>
    <w:rsid w:val="002E3E79"/>
    <w:rsid w:val="00305C43"/>
    <w:rsid w:val="00321464"/>
    <w:rsid w:val="00325517"/>
    <w:rsid w:val="003268F0"/>
    <w:rsid w:val="003367B6"/>
    <w:rsid w:val="00342BC0"/>
    <w:rsid w:val="00342EFE"/>
    <w:rsid w:val="00350A43"/>
    <w:rsid w:val="00377730"/>
    <w:rsid w:val="00387971"/>
    <w:rsid w:val="00391097"/>
    <w:rsid w:val="00392B78"/>
    <w:rsid w:val="00397E84"/>
    <w:rsid w:val="003B7579"/>
    <w:rsid w:val="003D50A4"/>
    <w:rsid w:val="003E3CF4"/>
    <w:rsid w:val="004078B8"/>
    <w:rsid w:val="00410A53"/>
    <w:rsid w:val="00416CEE"/>
    <w:rsid w:val="004228C1"/>
    <w:rsid w:val="0042663E"/>
    <w:rsid w:val="0043091F"/>
    <w:rsid w:val="00433FFA"/>
    <w:rsid w:val="004469AA"/>
    <w:rsid w:val="004510ED"/>
    <w:rsid w:val="004531A5"/>
    <w:rsid w:val="00457BE1"/>
    <w:rsid w:val="00460AC0"/>
    <w:rsid w:val="00466867"/>
    <w:rsid w:val="00467D1F"/>
    <w:rsid w:val="0047342A"/>
    <w:rsid w:val="00481433"/>
    <w:rsid w:val="004827F3"/>
    <w:rsid w:val="00482BB6"/>
    <w:rsid w:val="0049260C"/>
    <w:rsid w:val="004A24BA"/>
    <w:rsid w:val="004A4AB4"/>
    <w:rsid w:val="004A573E"/>
    <w:rsid w:val="00500E9B"/>
    <w:rsid w:val="00507BC4"/>
    <w:rsid w:val="00527569"/>
    <w:rsid w:val="005305C7"/>
    <w:rsid w:val="00532D2E"/>
    <w:rsid w:val="005337E8"/>
    <w:rsid w:val="005368F8"/>
    <w:rsid w:val="00536DCE"/>
    <w:rsid w:val="00563C98"/>
    <w:rsid w:val="00570229"/>
    <w:rsid w:val="0059730C"/>
    <w:rsid w:val="005D47C8"/>
    <w:rsid w:val="005D6CEC"/>
    <w:rsid w:val="005D7ADF"/>
    <w:rsid w:val="005F08D3"/>
    <w:rsid w:val="00611396"/>
    <w:rsid w:val="0061360D"/>
    <w:rsid w:val="00617B2D"/>
    <w:rsid w:val="00622078"/>
    <w:rsid w:val="00623095"/>
    <w:rsid w:val="00631047"/>
    <w:rsid w:val="00647610"/>
    <w:rsid w:val="006509F2"/>
    <w:rsid w:val="00661A20"/>
    <w:rsid w:val="00673061"/>
    <w:rsid w:val="0067380C"/>
    <w:rsid w:val="006800D0"/>
    <w:rsid w:val="00680848"/>
    <w:rsid w:val="006A44B0"/>
    <w:rsid w:val="006B5FC1"/>
    <w:rsid w:val="006C6284"/>
    <w:rsid w:val="006E08B4"/>
    <w:rsid w:val="006E3A4E"/>
    <w:rsid w:val="007034BA"/>
    <w:rsid w:val="00704831"/>
    <w:rsid w:val="00712B1F"/>
    <w:rsid w:val="00714ED7"/>
    <w:rsid w:val="00717A39"/>
    <w:rsid w:val="0072220D"/>
    <w:rsid w:val="00723D71"/>
    <w:rsid w:val="00732B34"/>
    <w:rsid w:val="0076023D"/>
    <w:rsid w:val="007640D9"/>
    <w:rsid w:val="00772EB2"/>
    <w:rsid w:val="00781A96"/>
    <w:rsid w:val="007B78D4"/>
    <w:rsid w:val="007C1C15"/>
    <w:rsid w:val="007D182F"/>
    <w:rsid w:val="007D700E"/>
    <w:rsid w:val="008426AF"/>
    <w:rsid w:val="008438D2"/>
    <w:rsid w:val="008467A9"/>
    <w:rsid w:val="00870CD3"/>
    <w:rsid w:val="00870F39"/>
    <w:rsid w:val="00887511"/>
    <w:rsid w:val="008B372F"/>
    <w:rsid w:val="008C07EA"/>
    <w:rsid w:val="008C7A3F"/>
    <w:rsid w:val="008E6BD3"/>
    <w:rsid w:val="008F38B9"/>
    <w:rsid w:val="009038DB"/>
    <w:rsid w:val="009046FD"/>
    <w:rsid w:val="00940F47"/>
    <w:rsid w:val="00941F37"/>
    <w:rsid w:val="00951414"/>
    <w:rsid w:val="00963A8F"/>
    <w:rsid w:val="00970837"/>
    <w:rsid w:val="00970B79"/>
    <w:rsid w:val="009942D6"/>
    <w:rsid w:val="009C022A"/>
    <w:rsid w:val="009C0FF0"/>
    <w:rsid w:val="009D1D62"/>
    <w:rsid w:val="009F353D"/>
    <w:rsid w:val="009F43BA"/>
    <w:rsid w:val="00A02672"/>
    <w:rsid w:val="00A163AC"/>
    <w:rsid w:val="00A20699"/>
    <w:rsid w:val="00A22BAE"/>
    <w:rsid w:val="00A26920"/>
    <w:rsid w:val="00A6629F"/>
    <w:rsid w:val="00A67DC6"/>
    <w:rsid w:val="00AA1C9C"/>
    <w:rsid w:val="00AB646A"/>
    <w:rsid w:val="00AD6F2A"/>
    <w:rsid w:val="00AD774A"/>
    <w:rsid w:val="00AE66A4"/>
    <w:rsid w:val="00AE696A"/>
    <w:rsid w:val="00AF364C"/>
    <w:rsid w:val="00AF3A07"/>
    <w:rsid w:val="00AF4250"/>
    <w:rsid w:val="00AF4671"/>
    <w:rsid w:val="00B013C3"/>
    <w:rsid w:val="00B01A94"/>
    <w:rsid w:val="00B03985"/>
    <w:rsid w:val="00B1481B"/>
    <w:rsid w:val="00B23DFA"/>
    <w:rsid w:val="00B30A0A"/>
    <w:rsid w:val="00B8447D"/>
    <w:rsid w:val="00B87075"/>
    <w:rsid w:val="00BA086F"/>
    <w:rsid w:val="00BA0D94"/>
    <w:rsid w:val="00BA34C2"/>
    <w:rsid w:val="00BB3DE1"/>
    <w:rsid w:val="00BB57AB"/>
    <w:rsid w:val="00BC410D"/>
    <w:rsid w:val="00BC5307"/>
    <w:rsid w:val="00BC655B"/>
    <w:rsid w:val="00BD4ECA"/>
    <w:rsid w:val="00BD677B"/>
    <w:rsid w:val="00BE6A0B"/>
    <w:rsid w:val="00C15E95"/>
    <w:rsid w:val="00C219BE"/>
    <w:rsid w:val="00C25531"/>
    <w:rsid w:val="00C27E82"/>
    <w:rsid w:val="00C3101B"/>
    <w:rsid w:val="00C57753"/>
    <w:rsid w:val="00C75B87"/>
    <w:rsid w:val="00C77596"/>
    <w:rsid w:val="00C84DC2"/>
    <w:rsid w:val="00C915D4"/>
    <w:rsid w:val="00CA4BDB"/>
    <w:rsid w:val="00CB4647"/>
    <w:rsid w:val="00CB5C18"/>
    <w:rsid w:val="00CC2FB5"/>
    <w:rsid w:val="00CC7016"/>
    <w:rsid w:val="00CF5E72"/>
    <w:rsid w:val="00CF7675"/>
    <w:rsid w:val="00D0399F"/>
    <w:rsid w:val="00D06DEB"/>
    <w:rsid w:val="00D25EFB"/>
    <w:rsid w:val="00D40AF1"/>
    <w:rsid w:val="00D635DF"/>
    <w:rsid w:val="00D73474"/>
    <w:rsid w:val="00D74BCB"/>
    <w:rsid w:val="00D77CEC"/>
    <w:rsid w:val="00D82331"/>
    <w:rsid w:val="00D826E5"/>
    <w:rsid w:val="00D83438"/>
    <w:rsid w:val="00DC20AE"/>
    <w:rsid w:val="00DC6817"/>
    <w:rsid w:val="00DD279E"/>
    <w:rsid w:val="00DE1F3D"/>
    <w:rsid w:val="00DE454E"/>
    <w:rsid w:val="00DF5E1D"/>
    <w:rsid w:val="00DF7685"/>
    <w:rsid w:val="00E011AE"/>
    <w:rsid w:val="00E019E4"/>
    <w:rsid w:val="00E147C8"/>
    <w:rsid w:val="00E26E37"/>
    <w:rsid w:val="00E4276C"/>
    <w:rsid w:val="00E7158D"/>
    <w:rsid w:val="00E73F25"/>
    <w:rsid w:val="00E75630"/>
    <w:rsid w:val="00E86F69"/>
    <w:rsid w:val="00E94FD2"/>
    <w:rsid w:val="00EA2BF4"/>
    <w:rsid w:val="00EB5463"/>
    <w:rsid w:val="00EC69CA"/>
    <w:rsid w:val="00ED1442"/>
    <w:rsid w:val="00ED322B"/>
    <w:rsid w:val="00EF0AAF"/>
    <w:rsid w:val="00EF2E4A"/>
    <w:rsid w:val="00EF306E"/>
    <w:rsid w:val="00EF32D3"/>
    <w:rsid w:val="00EF4911"/>
    <w:rsid w:val="00F031AE"/>
    <w:rsid w:val="00F03539"/>
    <w:rsid w:val="00F14670"/>
    <w:rsid w:val="00F22935"/>
    <w:rsid w:val="00F235B1"/>
    <w:rsid w:val="00F5183C"/>
    <w:rsid w:val="00F55898"/>
    <w:rsid w:val="00F56C32"/>
    <w:rsid w:val="00F639AB"/>
    <w:rsid w:val="00F84EF0"/>
    <w:rsid w:val="00F877B6"/>
    <w:rsid w:val="00F92D64"/>
    <w:rsid w:val="00F93BB4"/>
    <w:rsid w:val="00FB0DCA"/>
    <w:rsid w:val="00FC004B"/>
    <w:rsid w:val="00FC092F"/>
    <w:rsid w:val="00FC535A"/>
    <w:rsid w:val="00FE3C79"/>
    <w:rsid w:val="00FE7BD3"/>
    <w:rsid w:val="00FF2B43"/>
    <w:rsid w:val="00FF5CFD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12B1F"/>
  </w:style>
  <w:style w:type="paragraph" w:styleId="Virsraksts2">
    <w:name w:val="heading 2"/>
    <w:basedOn w:val="Parastais"/>
    <w:next w:val="Parastais"/>
    <w:link w:val="Virsraksts2Rakstz"/>
    <w:unhideWhenUsed/>
    <w:qFormat/>
    <w:rsid w:val="00FC53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RimTimes" w:eastAsia="Times New Roman" w:hAnsi="RimTimes" w:cs="Times New Roman"/>
      <w:b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6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6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6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6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6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ais"/>
    <w:link w:val="NosaukumsRakstz"/>
    <w:qFormat/>
    <w:rsid w:val="006476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6476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FC535A"/>
    <w:rPr>
      <w:rFonts w:ascii="RimTimes" w:eastAsia="Times New Roman" w:hAnsi="RimTimes" w:cs="Times New Roman"/>
      <w:b/>
      <w:sz w:val="20"/>
      <w:szCs w:val="20"/>
      <w:lang w:val="en-US"/>
    </w:rPr>
  </w:style>
  <w:style w:type="paragraph" w:styleId="Pamatteksts2">
    <w:name w:val="Body Text 2"/>
    <w:basedOn w:val="Parastais"/>
    <w:link w:val="Pamatteksts2Rakstz"/>
    <w:semiHidden/>
    <w:unhideWhenUsed/>
    <w:rsid w:val="00FC53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FC535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rsid w:val="00410A53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410A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10A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ais"/>
    <w:link w:val="HTMLiepriekformattaisRakstz"/>
    <w:rsid w:val="0041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410A5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2C6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637C"/>
  </w:style>
  <w:style w:type="paragraph" w:styleId="Kjene">
    <w:name w:val="footer"/>
    <w:basedOn w:val="Parastais"/>
    <w:link w:val="KjeneRakstz"/>
    <w:uiPriority w:val="99"/>
    <w:semiHidden/>
    <w:unhideWhenUsed/>
    <w:rsid w:val="002C6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C637C"/>
  </w:style>
  <w:style w:type="paragraph" w:styleId="Balonteksts">
    <w:name w:val="Balloon Text"/>
    <w:basedOn w:val="Parastais"/>
    <w:link w:val="BalontekstsRakstz"/>
    <w:uiPriority w:val="99"/>
    <w:semiHidden/>
    <w:unhideWhenUsed/>
    <w:rsid w:val="002C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37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7E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C07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7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07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07EA"/>
    <w:rPr>
      <w:b/>
      <w:bCs/>
    </w:rPr>
  </w:style>
  <w:style w:type="paragraph" w:styleId="Sarakstarindkopa">
    <w:name w:val="List Paragraph"/>
    <w:basedOn w:val="Parastais"/>
    <w:uiPriority w:val="99"/>
    <w:qFormat/>
    <w:rsid w:val="00BB57AB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table" w:styleId="Reatabula">
    <w:name w:val="Table Grid"/>
    <w:basedOn w:val="Parastatabula"/>
    <w:uiPriority w:val="59"/>
    <w:rsid w:val="001D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35F1-9096-4ED2-AC12-11175293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9510</Words>
  <Characters>5422</Characters>
  <Application>Microsoft Office Word</Application>
  <DocSecurity>0</DocSecurity>
  <Lines>45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2008.gada 10.jūnija noteikumos Nr.427 "Tiesu eksperta sertifikācijas un resertifikāicjas kārtība"" sākotnējās ietekmes novērtējuma ziņojuma (anotācija)</vt:lpstr>
      <vt:lpstr>Ministru kabineta noteikumu projekta "Grozījumi Ministru kabineta 2008.gada 10.jūnija noteikumos Nr.427 "Tiesu eksperta sertifikācijas un resertifikāicjas kārtība"" sākotnējās ietekmes novērtējuma ziņojuma (anotācija)</vt:lpstr>
    </vt:vector>
  </TitlesOfParts>
  <Manager>I. Pujate</Manager>
  <Company>Tieslietu Ministrija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2008.gada 10.jūnija noteikumos Nr.427 "Tiesu eksperta sertifikācijas un resertifikāicjas kārtība"" sākotnējās ietekmes novērtējuma ziņojuma (anotācija)</dc:title>
  <dc:subject>Anotācija</dc:subject>
  <dc:creator>Kintija Bajāre</dc:creator>
  <cp:keywords/>
  <dc:description>67036775;
Kintija.Bajare@tm.gov.lv</dc:description>
  <cp:lastModifiedBy>kb1501</cp:lastModifiedBy>
  <cp:revision>242</cp:revision>
  <cp:lastPrinted>2011-05-10T05:54:00Z</cp:lastPrinted>
  <dcterms:created xsi:type="dcterms:W3CDTF">2010-09-27T12:45:00Z</dcterms:created>
  <dcterms:modified xsi:type="dcterms:W3CDTF">2011-05-12T12:38:00Z</dcterms:modified>
</cp:coreProperties>
</file>