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A2" w:rsidRPr="005821EE" w:rsidRDefault="000427FA" w:rsidP="00BF5B6C">
      <w:pPr>
        <w:tabs>
          <w:tab w:val="left" w:pos="7560"/>
        </w:tabs>
        <w:ind w:firstLine="851"/>
        <w:jc w:val="center"/>
        <w:rPr>
          <w:b/>
          <w:sz w:val="28"/>
          <w:szCs w:val="28"/>
        </w:rPr>
      </w:pPr>
      <w:bookmarkStart w:id="0" w:name="OLE_LINK1"/>
      <w:bookmarkStart w:id="1" w:name="OLE_LINK2"/>
      <w:bookmarkStart w:id="2" w:name="OLE_LINK7"/>
      <w:bookmarkStart w:id="3" w:name="OLE_LINK8"/>
      <w:r w:rsidRPr="005821EE">
        <w:rPr>
          <w:b/>
          <w:bCs/>
          <w:sz w:val="28"/>
          <w:szCs w:val="28"/>
        </w:rPr>
        <w:t xml:space="preserve">Ministru kabineta </w:t>
      </w:r>
      <w:r w:rsidR="001B40BE" w:rsidRPr="005821EE">
        <w:rPr>
          <w:b/>
          <w:bCs/>
          <w:sz w:val="28"/>
          <w:szCs w:val="28"/>
        </w:rPr>
        <w:t>rīkojuma</w:t>
      </w:r>
      <w:r w:rsidRPr="005821EE">
        <w:rPr>
          <w:b/>
          <w:bCs/>
          <w:sz w:val="28"/>
          <w:szCs w:val="28"/>
        </w:rPr>
        <w:t xml:space="preserve"> projekta „</w:t>
      </w:r>
      <w:r w:rsidR="001B40BE" w:rsidRPr="005821EE">
        <w:rPr>
          <w:b/>
          <w:bCs/>
          <w:sz w:val="28"/>
          <w:szCs w:val="28"/>
        </w:rPr>
        <w:t>Par Norvēģijas finanšu instrumenta līdzfinansētās programmas „</w:t>
      </w:r>
      <w:r w:rsidR="001B40BE" w:rsidRPr="005821EE">
        <w:rPr>
          <w:b/>
          <w:sz w:val="28"/>
          <w:szCs w:val="28"/>
        </w:rPr>
        <w:t>Latvijas korekcijas dienestu un Valsts policijas īslaicīgās aizturēšanas vietu reforma</w:t>
      </w:r>
      <w:r w:rsidR="00BF5B6C" w:rsidRPr="005821EE">
        <w:rPr>
          <w:b/>
          <w:bCs/>
          <w:sz w:val="28"/>
          <w:szCs w:val="28"/>
        </w:rPr>
        <w:t>”</w:t>
      </w:r>
      <w:r w:rsidR="00AE6AF9" w:rsidRPr="005821EE">
        <w:rPr>
          <w:b/>
          <w:bCs/>
          <w:sz w:val="28"/>
          <w:szCs w:val="28"/>
        </w:rPr>
        <w:t xml:space="preserve"> iesnieguma projektu”</w:t>
      </w:r>
      <w:r w:rsidR="00E578A2" w:rsidRPr="005821EE">
        <w:rPr>
          <w:b/>
          <w:sz w:val="28"/>
          <w:szCs w:val="28"/>
        </w:rPr>
        <w:t xml:space="preserve"> sākotnējās ietekmes novērtējuma ziņojums (anotācija)</w:t>
      </w:r>
      <w:bookmarkEnd w:id="0"/>
      <w:bookmarkEnd w:id="1"/>
    </w:p>
    <w:bookmarkEnd w:id="2"/>
    <w:bookmarkEnd w:id="3"/>
    <w:p w:rsidR="00662076" w:rsidRPr="005821EE" w:rsidRDefault="00662076" w:rsidP="003D6E9C">
      <w:pPr>
        <w:pStyle w:val="naislab"/>
        <w:spacing w:before="0" w:after="0"/>
        <w:jc w:val="center"/>
        <w:outlineLvl w:val="0"/>
        <w:rPr>
          <w:b/>
          <w:sz w:val="28"/>
          <w:szCs w:val="28"/>
        </w:rPr>
      </w:pPr>
    </w:p>
    <w:tbl>
      <w:tblPr>
        <w:tblStyle w:val="Reatabula"/>
        <w:tblpPr w:leftFromText="180" w:rightFromText="180" w:vertAnchor="text" w:tblpX="72" w:tblpY="1"/>
        <w:tblOverlap w:val="never"/>
        <w:tblW w:w="9108" w:type="dxa"/>
        <w:tblLook w:val="01E0"/>
      </w:tblPr>
      <w:tblGrid>
        <w:gridCol w:w="540"/>
        <w:gridCol w:w="2403"/>
        <w:gridCol w:w="6165"/>
      </w:tblGrid>
      <w:tr w:rsidR="00E578A2" w:rsidRPr="005821EE" w:rsidTr="004E31DE">
        <w:tc>
          <w:tcPr>
            <w:tcW w:w="9108" w:type="dxa"/>
            <w:gridSpan w:val="3"/>
          </w:tcPr>
          <w:p w:rsidR="00E578A2" w:rsidRPr="005821EE" w:rsidRDefault="00E578A2" w:rsidP="003D6E9C">
            <w:pPr>
              <w:pStyle w:val="naislab"/>
              <w:spacing w:before="0" w:after="0"/>
              <w:jc w:val="center"/>
              <w:outlineLvl w:val="0"/>
              <w:rPr>
                <w:b/>
                <w:sz w:val="28"/>
                <w:szCs w:val="28"/>
              </w:rPr>
            </w:pPr>
            <w:r w:rsidRPr="005821EE">
              <w:rPr>
                <w:sz w:val="28"/>
                <w:szCs w:val="28"/>
              </w:rPr>
              <w:t> </w:t>
            </w:r>
            <w:r w:rsidRPr="005821EE">
              <w:rPr>
                <w:b/>
                <w:sz w:val="28"/>
                <w:szCs w:val="28"/>
              </w:rPr>
              <w:t>I Tiesību akta projekta izstrādes nepieciešamība</w:t>
            </w:r>
          </w:p>
        </w:tc>
      </w:tr>
      <w:tr w:rsidR="00E578A2" w:rsidRPr="005821EE" w:rsidTr="00CF770D">
        <w:tc>
          <w:tcPr>
            <w:tcW w:w="540" w:type="dxa"/>
          </w:tcPr>
          <w:p w:rsidR="00E578A2" w:rsidRPr="005821EE" w:rsidRDefault="00E578A2" w:rsidP="003D6E9C">
            <w:pPr>
              <w:pStyle w:val="naislab"/>
              <w:numPr>
                <w:ilvl w:val="0"/>
                <w:numId w:val="3"/>
              </w:numPr>
              <w:tabs>
                <w:tab w:val="clear" w:pos="720"/>
                <w:tab w:val="num" w:pos="72"/>
              </w:tabs>
              <w:spacing w:before="0" w:after="0"/>
              <w:ind w:left="0" w:firstLine="0"/>
              <w:jc w:val="both"/>
              <w:outlineLvl w:val="0"/>
              <w:rPr>
                <w:sz w:val="28"/>
                <w:szCs w:val="28"/>
              </w:rPr>
            </w:pPr>
          </w:p>
        </w:tc>
        <w:tc>
          <w:tcPr>
            <w:tcW w:w="2403" w:type="dxa"/>
          </w:tcPr>
          <w:p w:rsidR="00E578A2" w:rsidRPr="005821EE" w:rsidRDefault="00E578A2" w:rsidP="003D6E9C">
            <w:pPr>
              <w:pStyle w:val="naislab"/>
              <w:spacing w:before="0" w:after="0"/>
              <w:jc w:val="both"/>
              <w:outlineLvl w:val="0"/>
              <w:rPr>
                <w:b/>
                <w:sz w:val="28"/>
                <w:szCs w:val="28"/>
              </w:rPr>
            </w:pPr>
            <w:r w:rsidRPr="005821EE">
              <w:rPr>
                <w:sz w:val="28"/>
                <w:szCs w:val="28"/>
              </w:rPr>
              <w:t>Pamatojums</w:t>
            </w:r>
          </w:p>
        </w:tc>
        <w:tc>
          <w:tcPr>
            <w:tcW w:w="6165" w:type="dxa"/>
          </w:tcPr>
          <w:p w:rsidR="00FA6A64" w:rsidRPr="005821EE" w:rsidRDefault="000643DF" w:rsidP="001B40BE">
            <w:pPr>
              <w:pStyle w:val="naislab"/>
              <w:spacing w:before="0" w:after="0"/>
              <w:ind w:firstLine="586"/>
              <w:jc w:val="both"/>
              <w:outlineLvl w:val="0"/>
              <w:rPr>
                <w:bCs/>
                <w:sz w:val="28"/>
                <w:szCs w:val="28"/>
              </w:rPr>
            </w:pPr>
            <w:r w:rsidRPr="005821EE">
              <w:rPr>
                <w:sz w:val="28"/>
                <w:szCs w:val="28"/>
              </w:rPr>
              <w:t xml:space="preserve">Saskaņā ar </w:t>
            </w:r>
            <w:r w:rsidR="001B40BE" w:rsidRPr="005821EE">
              <w:rPr>
                <w:sz w:val="28"/>
                <w:szCs w:val="28"/>
              </w:rPr>
              <w:t xml:space="preserve">2011. gada 28. aprīļa Saprašanās memoranda par Norvēģijas finanšu instrumenta ieviešanu 2009.–2014. gadā starp Latvijas Republiku un Norvēģijas Karalisti 6. pantu un B pielikuma E sadaļu Tieslietu ministrija ir noteikta par Norvēģijas finanšu instrumenta </w:t>
            </w:r>
            <w:r w:rsidR="001B40BE" w:rsidRPr="005821EE">
              <w:rPr>
                <w:bCs/>
                <w:sz w:val="28"/>
                <w:szCs w:val="28"/>
              </w:rPr>
              <w:t>līdzfinansētās programmas „</w:t>
            </w:r>
            <w:r w:rsidR="001B40BE" w:rsidRPr="005821EE">
              <w:rPr>
                <w:sz w:val="28"/>
                <w:szCs w:val="28"/>
              </w:rPr>
              <w:t>Latvijas korekcijas dienestu un Valsts policijas īslaicīgās aizturēšanas vietu reforma</w:t>
            </w:r>
            <w:r w:rsidR="001B40BE" w:rsidRPr="005821EE">
              <w:rPr>
                <w:bCs/>
                <w:sz w:val="28"/>
                <w:szCs w:val="28"/>
              </w:rPr>
              <w:t>” (turpmāk – Programma) Programmas īstenotāju sadarbībā ar Iekšlietu ministriju. Par donoru Programmas partneri noteikti Norvēģijas korekcijas dienesti.</w:t>
            </w:r>
          </w:p>
          <w:p w:rsidR="001B40BE" w:rsidRPr="005821EE" w:rsidRDefault="001B40BE" w:rsidP="001B40BE">
            <w:pPr>
              <w:pStyle w:val="naislab"/>
              <w:spacing w:before="0" w:after="0"/>
              <w:ind w:firstLine="586"/>
              <w:jc w:val="both"/>
              <w:outlineLvl w:val="0"/>
              <w:rPr>
                <w:bCs/>
                <w:sz w:val="28"/>
                <w:szCs w:val="28"/>
              </w:rPr>
            </w:pPr>
          </w:p>
          <w:p w:rsidR="001B40BE" w:rsidRPr="005821EE" w:rsidRDefault="001B40BE" w:rsidP="000D28CF">
            <w:pPr>
              <w:pStyle w:val="naislab"/>
              <w:spacing w:before="0" w:after="0"/>
              <w:ind w:firstLine="586"/>
              <w:jc w:val="both"/>
              <w:outlineLvl w:val="0"/>
              <w:rPr>
                <w:sz w:val="28"/>
                <w:szCs w:val="28"/>
              </w:rPr>
            </w:pPr>
            <w:r w:rsidRPr="005821EE">
              <w:rPr>
                <w:bCs/>
                <w:sz w:val="28"/>
                <w:szCs w:val="28"/>
              </w:rPr>
              <w:t>Ņemot vērā minēto, Tieslietu ministrija sadarbībā ar Iekšlietu ministriju un Norvēģijas korekcijas dienestiem ir izstrādājusi Programmas iesniegum</w:t>
            </w:r>
            <w:r w:rsidR="000D28CF">
              <w:rPr>
                <w:bCs/>
                <w:sz w:val="28"/>
                <w:szCs w:val="28"/>
              </w:rPr>
              <w:t>a projekt</w:t>
            </w:r>
            <w:r w:rsidRPr="005821EE">
              <w:rPr>
                <w:bCs/>
                <w:sz w:val="28"/>
                <w:szCs w:val="28"/>
              </w:rPr>
              <w:t xml:space="preserve">u, ko nepieciešams atbalstīt pirms tā iesniegšanas Finanšu ministrijā kā Norvēģijas finanšu instrumenta vadošajā iestādē. Finanšu ministrija nodrošinās Programmas iesnieguma </w:t>
            </w:r>
            <w:r w:rsidR="000D28CF">
              <w:rPr>
                <w:bCs/>
                <w:sz w:val="28"/>
                <w:szCs w:val="28"/>
              </w:rPr>
              <w:t xml:space="preserve">projekta </w:t>
            </w:r>
            <w:r w:rsidRPr="005821EE">
              <w:rPr>
                <w:bCs/>
                <w:sz w:val="28"/>
                <w:szCs w:val="28"/>
              </w:rPr>
              <w:t>iesniegšanu Finanšu instrumentu birojā.</w:t>
            </w:r>
          </w:p>
        </w:tc>
      </w:tr>
      <w:tr w:rsidR="00E578A2" w:rsidRPr="005821EE" w:rsidTr="00CF770D">
        <w:tc>
          <w:tcPr>
            <w:tcW w:w="540" w:type="dxa"/>
          </w:tcPr>
          <w:p w:rsidR="00E578A2" w:rsidRPr="005821EE" w:rsidRDefault="00E578A2" w:rsidP="003D6E9C">
            <w:pPr>
              <w:pStyle w:val="naislab"/>
              <w:numPr>
                <w:ilvl w:val="0"/>
                <w:numId w:val="3"/>
              </w:numPr>
              <w:tabs>
                <w:tab w:val="clear" w:pos="720"/>
                <w:tab w:val="num" w:pos="72"/>
              </w:tabs>
              <w:spacing w:before="0" w:after="0"/>
              <w:ind w:left="0" w:firstLine="0"/>
              <w:jc w:val="both"/>
              <w:outlineLvl w:val="0"/>
              <w:rPr>
                <w:sz w:val="28"/>
                <w:szCs w:val="28"/>
              </w:rPr>
            </w:pPr>
          </w:p>
        </w:tc>
        <w:tc>
          <w:tcPr>
            <w:tcW w:w="2403" w:type="dxa"/>
          </w:tcPr>
          <w:p w:rsidR="00E578A2" w:rsidRPr="005821EE" w:rsidRDefault="00E578A2" w:rsidP="003D6E9C">
            <w:pPr>
              <w:pStyle w:val="naislab"/>
              <w:spacing w:before="0" w:after="0"/>
              <w:jc w:val="both"/>
              <w:outlineLvl w:val="0"/>
              <w:rPr>
                <w:b/>
                <w:sz w:val="28"/>
                <w:szCs w:val="28"/>
              </w:rPr>
            </w:pPr>
            <w:r w:rsidRPr="005821EE">
              <w:rPr>
                <w:sz w:val="28"/>
                <w:szCs w:val="28"/>
              </w:rPr>
              <w:t>Pašreizējā situācija un problēmas</w:t>
            </w:r>
          </w:p>
        </w:tc>
        <w:tc>
          <w:tcPr>
            <w:tcW w:w="6165" w:type="dxa"/>
          </w:tcPr>
          <w:p w:rsidR="001B40BE" w:rsidRPr="005821EE" w:rsidRDefault="001B40BE" w:rsidP="001B40BE">
            <w:pPr>
              <w:ind w:firstLine="382"/>
              <w:jc w:val="both"/>
              <w:rPr>
                <w:sz w:val="28"/>
                <w:szCs w:val="28"/>
              </w:rPr>
            </w:pPr>
            <w:r w:rsidRPr="005821EE">
              <w:rPr>
                <w:sz w:val="28"/>
                <w:szCs w:val="28"/>
              </w:rPr>
              <w:t>Tieslietu ministrija ir izstrādājusi Programmas iesnieguma projektu.</w:t>
            </w:r>
            <w:r w:rsidR="00CF770D" w:rsidRPr="005821EE">
              <w:rPr>
                <w:sz w:val="28"/>
                <w:szCs w:val="28"/>
              </w:rPr>
              <w:t xml:space="preserve"> </w:t>
            </w:r>
            <w:r w:rsidRPr="005821EE">
              <w:rPr>
                <w:sz w:val="28"/>
                <w:szCs w:val="28"/>
              </w:rPr>
              <w:t xml:space="preserve">Programma tiks īstenota </w:t>
            </w:r>
            <w:r w:rsidR="005821EE" w:rsidRPr="005821EE">
              <w:rPr>
                <w:sz w:val="28"/>
                <w:szCs w:val="28"/>
              </w:rPr>
              <w:t xml:space="preserve"> 2011. gada 28. aprīļa Saprašanās memoranda par Norvēģijas finanšu instrumenta ieviešanu 2009.–2014. gadā starp Latvijas Republiku un Norvēģijas Karalisti 6. pantu un B pielikuma E sadaļā </w:t>
            </w:r>
            <w:r w:rsidRPr="005821EE">
              <w:rPr>
                <w:sz w:val="28"/>
                <w:szCs w:val="28"/>
              </w:rPr>
              <w:t xml:space="preserve"> iepriekš definētu projektu veidā. Iepriekš definētos projektus īstenos Ieslodzījuma vietu pārvalde, Valsts probācijas dienests un Valsts policija.</w:t>
            </w:r>
          </w:p>
          <w:p w:rsidR="001B40BE" w:rsidRPr="005821EE" w:rsidRDefault="001B40BE" w:rsidP="000907A9">
            <w:pPr>
              <w:pStyle w:val="ParastaisWeb"/>
              <w:jc w:val="both"/>
              <w:rPr>
                <w:rFonts w:ascii="Times New Roman" w:hAnsi="Times New Roman"/>
                <w:sz w:val="28"/>
                <w:szCs w:val="28"/>
              </w:rPr>
            </w:pPr>
            <w:r w:rsidRPr="005821EE">
              <w:rPr>
                <w:rFonts w:ascii="Times New Roman" w:hAnsi="Times New Roman"/>
                <w:sz w:val="28"/>
                <w:szCs w:val="28"/>
              </w:rPr>
              <w:t>Valsts probācijas dienests īstenos iepriekš definēto projektu „Alternatīvu brīvības atņemšanai sekmēšana (ieskaitot iespējamo pilotprojektu elektroniskajai uzraudzībai)”</w:t>
            </w:r>
            <w:r w:rsidR="000D28CF">
              <w:rPr>
                <w:rFonts w:ascii="Times New Roman" w:hAnsi="Times New Roman"/>
                <w:sz w:val="28"/>
                <w:szCs w:val="28"/>
              </w:rPr>
              <w:t>.</w:t>
            </w:r>
          </w:p>
          <w:p w:rsidR="001B40BE" w:rsidRPr="005821EE" w:rsidRDefault="001B40BE" w:rsidP="000907A9">
            <w:pPr>
              <w:pStyle w:val="ParastaisWeb"/>
              <w:jc w:val="both"/>
              <w:rPr>
                <w:rFonts w:ascii="Times New Roman" w:hAnsi="Times New Roman"/>
                <w:sz w:val="28"/>
                <w:szCs w:val="28"/>
              </w:rPr>
            </w:pPr>
            <w:r w:rsidRPr="005821EE">
              <w:rPr>
                <w:rFonts w:ascii="Times New Roman" w:hAnsi="Times New Roman"/>
                <w:sz w:val="28"/>
                <w:szCs w:val="28"/>
              </w:rPr>
              <w:t xml:space="preserve">Ieslodzījuma vietu pārvalde īstenos iepriekš definēto projektu „Jauna nodaļa Olaines cietumā, ieskaitot </w:t>
            </w:r>
            <w:r w:rsidRPr="005821EE">
              <w:rPr>
                <w:rFonts w:ascii="Times New Roman" w:hAnsi="Times New Roman"/>
                <w:sz w:val="28"/>
                <w:szCs w:val="28"/>
              </w:rPr>
              <w:lastRenderedPageBreak/>
              <w:t>būvniecību un personāla apmācību. Šai nodaļai ir jāaizstāj līdzšinējo standartiem neatbilstošo cietumu kapacitāti citviet Latvijā un jābalstās uz pētījumiem un progresīva soda principiem”</w:t>
            </w:r>
            <w:r w:rsidR="000D28CF">
              <w:rPr>
                <w:rFonts w:ascii="Times New Roman" w:hAnsi="Times New Roman"/>
                <w:sz w:val="28"/>
                <w:szCs w:val="28"/>
              </w:rPr>
              <w:t>.</w:t>
            </w:r>
          </w:p>
          <w:p w:rsidR="001B40BE" w:rsidRPr="005821EE" w:rsidRDefault="001B40BE" w:rsidP="000907A9">
            <w:pPr>
              <w:pStyle w:val="ParastaisWeb"/>
              <w:jc w:val="both"/>
              <w:rPr>
                <w:rFonts w:ascii="Times New Roman" w:hAnsi="Times New Roman"/>
                <w:sz w:val="28"/>
                <w:szCs w:val="28"/>
              </w:rPr>
            </w:pPr>
            <w:r w:rsidRPr="005821EE">
              <w:rPr>
                <w:rFonts w:ascii="Times New Roman" w:hAnsi="Times New Roman"/>
                <w:sz w:val="28"/>
                <w:szCs w:val="28"/>
              </w:rPr>
              <w:t>Valsts policija īstenos iepriekš definēto projektu „Valsts policijas īslaicīgās aizturēšanas vietu standartu uzlabošana, t.sk., aktivitātes infrastruktūras uzlabošanai; līdzšinējās prakses administratīvajai aizturēšanai samazināšana/likvidēšana; prakses maiņa, atgriežot apcietinājumā esošos ieslodzītos turpmākai izmeklēšanai; atbilstošu apmācību nodrošināšana darbiniekiem, kas strādā īslaicīgās aizturēšanas vietās”.</w:t>
            </w:r>
          </w:p>
          <w:p w:rsidR="001B40BE" w:rsidRPr="005821EE" w:rsidRDefault="001B40BE" w:rsidP="000907A9">
            <w:pPr>
              <w:pStyle w:val="ParastaisWeb"/>
              <w:jc w:val="both"/>
              <w:rPr>
                <w:rFonts w:ascii="Times New Roman" w:hAnsi="Times New Roman"/>
                <w:sz w:val="28"/>
                <w:szCs w:val="28"/>
              </w:rPr>
            </w:pPr>
            <w:r w:rsidRPr="005821EE">
              <w:rPr>
                <w:rFonts w:ascii="Times New Roman" w:hAnsi="Times New Roman"/>
                <w:sz w:val="28"/>
                <w:szCs w:val="28"/>
              </w:rPr>
              <w:t>Programmas finanšu kopapjoms no Norvēģijas finanšu instrumenta ir 13 056 000 eiro. Paredzēts, ka iepriekš definētajiem projektiem būs jāpiesaista nacionālais līdzfinansējums 15% apjomā.</w:t>
            </w:r>
          </w:p>
          <w:p w:rsidR="001B40BE" w:rsidRPr="005821EE" w:rsidRDefault="001B40BE" w:rsidP="000907A9">
            <w:pPr>
              <w:pStyle w:val="ParastaisWeb"/>
              <w:jc w:val="both"/>
              <w:rPr>
                <w:sz w:val="28"/>
                <w:szCs w:val="28"/>
              </w:rPr>
            </w:pPr>
            <w:r w:rsidRPr="005821EE">
              <w:rPr>
                <w:rFonts w:ascii="Times New Roman" w:hAnsi="Times New Roman"/>
                <w:sz w:val="28"/>
                <w:szCs w:val="28"/>
              </w:rPr>
              <w:t xml:space="preserve">Programmas iesniegums līdz 2011.gada decembra beigām jāiesniedz Finanšu instrumentu birojā. Lēmumu </w:t>
            </w:r>
            <w:r w:rsidR="000D28CF">
              <w:rPr>
                <w:rFonts w:ascii="Times New Roman" w:hAnsi="Times New Roman"/>
                <w:sz w:val="28"/>
                <w:szCs w:val="28"/>
              </w:rPr>
              <w:t xml:space="preserve">par </w:t>
            </w:r>
            <w:r w:rsidRPr="005821EE">
              <w:rPr>
                <w:rFonts w:ascii="Times New Roman" w:hAnsi="Times New Roman"/>
                <w:sz w:val="28"/>
                <w:szCs w:val="28"/>
              </w:rPr>
              <w:t>Programmas iesnieguma apstiprināšanu pieņems Finanšu instrumentu birojs.</w:t>
            </w:r>
          </w:p>
        </w:tc>
      </w:tr>
      <w:tr w:rsidR="00E578A2" w:rsidRPr="005821EE" w:rsidTr="00CF770D">
        <w:tc>
          <w:tcPr>
            <w:tcW w:w="540" w:type="dxa"/>
          </w:tcPr>
          <w:p w:rsidR="00E578A2" w:rsidRPr="005821EE" w:rsidRDefault="00E578A2" w:rsidP="003D6E9C">
            <w:pPr>
              <w:pStyle w:val="naislab"/>
              <w:numPr>
                <w:ilvl w:val="0"/>
                <w:numId w:val="3"/>
              </w:numPr>
              <w:tabs>
                <w:tab w:val="clear" w:pos="720"/>
                <w:tab w:val="num" w:pos="72"/>
              </w:tabs>
              <w:spacing w:before="0" w:after="0"/>
              <w:ind w:left="0" w:firstLine="0"/>
              <w:jc w:val="both"/>
              <w:outlineLvl w:val="0"/>
              <w:rPr>
                <w:sz w:val="28"/>
                <w:szCs w:val="28"/>
              </w:rPr>
            </w:pPr>
          </w:p>
        </w:tc>
        <w:tc>
          <w:tcPr>
            <w:tcW w:w="2403" w:type="dxa"/>
          </w:tcPr>
          <w:p w:rsidR="00E578A2" w:rsidRPr="005821EE" w:rsidRDefault="00E578A2" w:rsidP="003D6E9C">
            <w:pPr>
              <w:pStyle w:val="naislab"/>
              <w:spacing w:before="0" w:after="0"/>
              <w:jc w:val="both"/>
              <w:outlineLvl w:val="0"/>
              <w:rPr>
                <w:b/>
                <w:sz w:val="28"/>
                <w:szCs w:val="28"/>
              </w:rPr>
            </w:pPr>
            <w:r w:rsidRPr="005821EE">
              <w:rPr>
                <w:sz w:val="28"/>
                <w:szCs w:val="28"/>
              </w:rPr>
              <w:t>Saistītie politikas ietekmes novērtējumi un pētījumi</w:t>
            </w:r>
          </w:p>
        </w:tc>
        <w:tc>
          <w:tcPr>
            <w:tcW w:w="6165" w:type="dxa"/>
          </w:tcPr>
          <w:p w:rsidR="00E578A2" w:rsidRPr="005821EE" w:rsidRDefault="00802366" w:rsidP="003D6E9C">
            <w:pPr>
              <w:pStyle w:val="naislab"/>
              <w:spacing w:before="0" w:after="0"/>
              <w:jc w:val="both"/>
              <w:outlineLvl w:val="0"/>
              <w:rPr>
                <w:sz w:val="28"/>
                <w:szCs w:val="28"/>
              </w:rPr>
            </w:pPr>
            <w:r w:rsidRPr="005821EE">
              <w:rPr>
                <w:sz w:val="28"/>
                <w:szCs w:val="28"/>
              </w:rPr>
              <w:t>Nav attiecināms.</w:t>
            </w:r>
          </w:p>
        </w:tc>
      </w:tr>
      <w:tr w:rsidR="003B1E24" w:rsidRPr="005821EE" w:rsidTr="00CF770D">
        <w:tc>
          <w:tcPr>
            <w:tcW w:w="540" w:type="dxa"/>
          </w:tcPr>
          <w:p w:rsidR="003B1E24" w:rsidRPr="005821EE" w:rsidRDefault="003B1E24" w:rsidP="003D6E9C">
            <w:pPr>
              <w:pStyle w:val="naislab"/>
              <w:numPr>
                <w:ilvl w:val="0"/>
                <w:numId w:val="3"/>
              </w:numPr>
              <w:tabs>
                <w:tab w:val="clear" w:pos="720"/>
                <w:tab w:val="num" w:pos="72"/>
              </w:tabs>
              <w:spacing w:before="0" w:after="0"/>
              <w:ind w:left="0" w:firstLine="0"/>
              <w:jc w:val="both"/>
              <w:outlineLvl w:val="0"/>
              <w:rPr>
                <w:sz w:val="28"/>
                <w:szCs w:val="28"/>
              </w:rPr>
            </w:pPr>
          </w:p>
        </w:tc>
        <w:tc>
          <w:tcPr>
            <w:tcW w:w="2403" w:type="dxa"/>
          </w:tcPr>
          <w:p w:rsidR="003B1E24" w:rsidRPr="005821EE" w:rsidRDefault="003B1E24" w:rsidP="003D6E9C">
            <w:pPr>
              <w:pStyle w:val="naiskr"/>
              <w:spacing w:before="0" w:after="0"/>
              <w:jc w:val="both"/>
              <w:rPr>
                <w:sz w:val="28"/>
                <w:szCs w:val="28"/>
              </w:rPr>
            </w:pPr>
            <w:r w:rsidRPr="005821EE">
              <w:rPr>
                <w:sz w:val="28"/>
                <w:szCs w:val="28"/>
              </w:rPr>
              <w:t>Tiesiskā regulējuma mērķis un būtība</w:t>
            </w:r>
          </w:p>
          <w:p w:rsidR="003B1E24" w:rsidRPr="005821EE" w:rsidRDefault="003B1E24" w:rsidP="003D6E9C">
            <w:pPr>
              <w:pStyle w:val="naislab"/>
              <w:spacing w:before="0" w:after="0"/>
              <w:jc w:val="both"/>
              <w:outlineLvl w:val="0"/>
              <w:rPr>
                <w:b/>
                <w:sz w:val="28"/>
                <w:szCs w:val="28"/>
              </w:rPr>
            </w:pPr>
          </w:p>
        </w:tc>
        <w:tc>
          <w:tcPr>
            <w:tcW w:w="6165" w:type="dxa"/>
          </w:tcPr>
          <w:p w:rsidR="003B1E24" w:rsidRPr="005821EE" w:rsidRDefault="003B1E24" w:rsidP="000D28CF">
            <w:pPr>
              <w:ind w:left="16"/>
              <w:jc w:val="both"/>
              <w:rPr>
                <w:sz w:val="28"/>
                <w:szCs w:val="28"/>
              </w:rPr>
            </w:pPr>
            <w:r w:rsidRPr="005821EE">
              <w:rPr>
                <w:sz w:val="28"/>
                <w:szCs w:val="28"/>
              </w:rPr>
              <w:t xml:space="preserve">     </w:t>
            </w:r>
            <w:r w:rsidR="001B40BE" w:rsidRPr="005821EE">
              <w:rPr>
                <w:sz w:val="28"/>
                <w:szCs w:val="28"/>
              </w:rPr>
              <w:t>Paredzēts atbalstīt Programmas iesnieguma projektu pirms tā iesniegšanas Finanšu instrumenta birojā gala lēmuma pieņemšanai</w:t>
            </w:r>
            <w:r w:rsidR="000D28CF">
              <w:rPr>
                <w:sz w:val="28"/>
                <w:szCs w:val="28"/>
              </w:rPr>
              <w:t xml:space="preserve"> – Programmas iesnieguma projekta apstiprināšanai</w:t>
            </w:r>
            <w:r w:rsidR="001B40BE" w:rsidRPr="005821EE">
              <w:rPr>
                <w:sz w:val="28"/>
                <w:szCs w:val="28"/>
              </w:rPr>
              <w:t>.</w:t>
            </w:r>
          </w:p>
        </w:tc>
      </w:tr>
      <w:tr w:rsidR="003B1E24" w:rsidRPr="005821EE" w:rsidTr="00CF770D">
        <w:tc>
          <w:tcPr>
            <w:tcW w:w="540" w:type="dxa"/>
          </w:tcPr>
          <w:p w:rsidR="003B1E24" w:rsidRPr="005821EE" w:rsidRDefault="003B1E24" w:rsidP="003D6E9C">
            <w:pPr>
              <w:pStyle w:val="naislab"/>
              <w:numPr>
                <w:ilvl w:val="0"/>
                <w:numId w:val="3"/>
              </w:numPr>
              <w:tabs>
                <w:tab w:val="clear" w:pos="720"/>
                <w:tab w:val="num" w:pos="72"/>
              </w:tabs>
              <w:spacing w:before="0" w:after="0"/>
              <w:ind w:left="0" w:firstLine="0"/>
              <w:jc w:val="both"/>
              <w:outlineLvl w:val="0"/>
              <w:rPr>
                <w:sz w:val="28"/>
                <w:szCs w:val="28"/>
              </w:rPr>
            </w:pPr>
          </w:p>
        </w:tc>
        <w:tc>
          <w:tcPr>
            <w:tcW w:w="2403" w:type="dxa"/>
          </w:tcPr>
          <w:p w:rsidR="003B1E24" w:rsidRPr="005821EE" w:rsidRDefault="003B1E24" w:rsidP="003D6E9C">
            <w:pPr>
              <w:pStyle w:val="naislab"/>
              <w:spacing w:before="0" w:after="0"/>
              <w:jc w:val="both"/>
              <w:outlineLvl w:val="0"/>
              <w:rPr>
                <w:b/>
                <w:sz w:val="28"/>
                <w:szCs w:val="28"/>
              </w:rPr>
            </w:pPr>
            <w:r w:rsidRPr="005821EE">
              <w:rPr>
                <w:sz w:val="28"/>
                <w:szCs w:val="28"/>
              </w:rPr>
              <w:t>Projekta izstrādē iesaistītās institūcijas</w:t>
            </w:r>
          </w:p>
        </w:tc>
        <w:tc>
          <w:tcPr>
            <w:tcW w:w="6165" w:type="dxa"/>
          </w:tcPr>
          <w:p w:rsidR="003B1E24" w:rsidRPr="005821EE" w:rsidRDefault="003B1E24" w:rsidP="003D6E9C">
            <w:pPr>
              <w:pStyle w:val="naislab"/>
              <w:spacing w:before="0" w:after="0"/>
              <w:jc w:val="both"/>
              <w:outlineLvl w:val="0"/>
              <w:rPr>
                <w:b/>
                <w:sz w:val="28"/>
                <w:szCs w:val="28"/>
              </w:rPr>
            </w:pPr>
            <w:r w:rsidRPr="005821EE">
              <w:rPr>
                <w:iCs/>
                <w:sz w:val="28"/>
                <w:szCs w:val="28"/>
              </w:rPr>
              <w:t>Tieslietu ministrija</w:t>
            </w:r>
            <w:r w:rsidR="001B40BE" w:rsidRPr="005821EE">
              <w:rPr>
                <w:iCs/>
                <w:sz w:val="28"/>
                <w:szCs w:val="28"/>
              </w:rPr>
              <w:t>, Iekšlietu ministrija, Norvēģijas korekcijas dienesti, Valsts policija, Ieslodzījuma vietu pārvade, Valsts probācijas dienests, Eiropas Padome</w:t>
            </w:r>
            <w:r w:rsidR="000D28CF">
              <w:rPr>
                <w:iCs/>
                <w:sz w:val="28"/>
                <w:szCs w:val="28"/>
              </w:rPr>
              <w:t>.</w:t>
            </w:r>
          </w:p>
        </w:tc>
      </w:tr>
      <w:tr w:rsidR="003B1E24" w:rsidRPr="005821EE" w:rsidTr="00CF770D">
        <w:tc>
          <w:tcPr>
            <w:tcW w:w="540" w:type="dxa"/>
          </w:tcPr>
          <w:p w:rsidR="003B1E24" w:rsidRPr="005821EE" w:rsidRDefault="003B1E24" w:rsidP="003D6E9C">
            <w:pPr>
              <w:pStyle w:val="naislab"/>
              <w:numPr>
                <w:ilvl w:val="0"/>
                <w:numId w:val="3"/>
              </w:numPr>
              <w:tabs>
                <w:tab w:val="clear" w:pos="720"/>
                <w:tab w:val="num" w:pos="72"/>
              </w:tabs>
              <w:spacing w:before="0" w:after="0"/>
              <w:ind w:left="0" w:firstLine="0"/>
              <w:jc w:val="both"/>
              <w:outlineLvl w:val="0"/>
              <w:rPr>
                <w:sz w:val="28"/>
                <w:szCs w:val="28"/>
              </w:rPr>
            </w:pPr>
          </w:p>
        </w:tc>
        <w:tc>
          <w:tcPr>
            <w:tcW w:w="2403" w:type="dxa"/>
          </w:tcPr>
          <w:p w:rsidR="003B1E24" w:rsidRPr="005821EE" w:rsidRDefault="003B1E24" w:rsidP="003D6E9C">
            <w:pPr>
              <w:pStyle w:val="naislab"/>
              <w:spacing w:before="0" w:after="0"/>
              <w:jc w:val="both"/>
              <w:outlineLvl w:val="0"/>
              <w:rPr>
                <w:b/>
                <w:sz w:val="28"/>
                <w:szCs w:val="28"/>
              </w:rPr>
            </w:pPr>
            <w:r w:rsidRPr="005821EE">
              <w:rPr>
                <w:sz w:val="28"/>
                <w:szCs w:val="28"/>
              </w:rPr>
              <w:t>Iemesli, kādēļ netika nodrošināta sabiedrības līdzdalība</w:t>
            </w:r>
          </w:p>
        </w:tc>
        <w:tc>
          <w:tcPr>
            <w:tcW w:w="6165" w:type="dxa"/>
          </w:tcPr>
          <w:p w:rsidR="003B1E24" w:rsidRPr="005821EE" w:rsidRDefault="00D7582E" w:rsidP="00D7582E">
            <w:pPr>
              <w:pStyle w:val="naislab"/>
              <w:spacing w:before="0" w:after="0"/>
              <w:jc w:val="both"/>
              <w:outlineLvl w:val="0"/>
              <w:rPr>
                <w:sz w:val="28"/>
                <w:szCs w:val="28"/>
              </w:rPr>
            </w:pPr>
            <w:r>
              <w:rPr>
                <w:sz w:val="28"/>
                <w:szCs w:val="28"/>
              </w:rPr>
              <w:t xml:space="preserve">Projekts attiecas uz Norvēģijas finanšu instrumenta  īstenošanā iesaistītajām institūcijām, tādēļ plašākas sabiedrības iesaiste nebija nepieciešama. </w:t>
            </w:r>
          </w:p>
        </w:tc>
      </w:tr>
      <w:tr w:rsidR="003B1E24" w:rsidRPr="005821EE" w:rsidTr="00CF770D">
        <w:tc>
          <w:tcPr>
            <w:tcW w:w="540" w:type="dxa"/>
          </w:tcPr>
          <w:p w:rsidR="003B1E24" w:rsidRPr="005821EE" w:rsidRDefault="003B1E24" w:rsidP="003D6E9C">
            <w:pPr>
              <w:pStyle w:val="naislab"/>
              <w:numPr>
                <w:ilvl w:val="0"/>
                <w:numId w:val="3"/>
              </w:numPr>
              <w:tabs>
                <w:tab w:val="clear" w:pos="720"/>
                <w:tab w:val="num" w:pos="72"/>
              </w:tabs>
              <w:spacing w:before="0" w:after="0"/>
              <w:ind w:left="0" w:firstLine="0"/>
              <w:jc w:val="both"/>
              <w:outlineLvl w:val="0"/>
              <w:rPr>
                <w:sz w:val="28"/>
                <w:szCs w:val="28"/>
              </w:rPr>
            </w:pPr>
          </w:p>
        </w:tc>
        <w:tc>
          <w:tcPr>
            <w:tcW w:w="2403" w:type="dxa"/>
          </w:tcPr>
          <w:p w:rsidR="003B1E24" w:rsidRPr="005821EE" w:rsidRDefault="003B1E24" w:rsidP="003D6E9C">
            <w:pPr>
              <w:pStyle w:val="naislab"/>
              <w:spacing w:before="0" w:after="0"/>
              <w:jc w:val="both"/>
              <w:outlineLvl w:val="0"/>
              <w:rPr>
                <w:b/>
                <w:sz w:val="28"/>
                <w:szCs w:val="28"/>
              </w:rPr>
            </w:pPr>
            <w:r w:rsidRPr="005821EE">
              <w:rPr>
                <w:sz w:val="28"/>
                <w:szCs w:val="28"/>
              </w:rPr>
              <w:t>Cita informācija</w:t>
            </w:r>
          </w:p>
        </w:tc>
        <w:tc>
          <w:tcPr>
            <w:tcW w:w="6165" w:type="dxa"/>
          </w:tcPr>
          <w:p w:rsidR="003B1E24" w:rsidRPr="005821EE" w:rsidRDefault="003B1E24" w:rsidP="003D6E9C">
            <w:pPr>
              <w:pStyle w:val="naislab"/>
              <w:spacing w:before="0" w:after="0"/>
              <w:jc w:val="both"/>
              <w:outlineLvl w:val="0"/>
              <w:rPr>
                <w:b/>
                <w:sz w:val="28"/>
                <w:szCs w:val="28"/>
              </w:rPr>
            </w:pPr>
            <w:r w:rsidRPr="005821EE">
              <w:rPr>
                <w:sz w:val="28"/>
                <w:szCs w:val="28"/>
              </w:rPr>
              <w:t>Nav.</w:t>
            </w:r>
          </w:p>
        </w:tc>
      </w:tr>
    </w:tbl>
    <w:p w:rsidR="009626B9" w:rsidRPr="005821EE" w:rsidRDefault="009626B9" w:rsidP="003D6E9C">
      <w:pPr>
        <w:pStyle w:val="naisf"/>
        <w:spacing w:before="0" w:after="0"/>
        <w:ind w:firstLine="0"/>
        <w:rPr>
          <w:i/>
          <w:sz w:val="28"/>
          <w:szCs w:val="28"/>
        </w:rPr>
      </w:pPr>
    </w:p>
    <w:p w:rsidR="00B13BF5" w:rsidRPr="005821EE" w:rsidRDefault="003D6E9C" w:rsidP="003D6E9C">
      <w:pPr>
        <w:pStyle w:val="naisf"/>
        <w:spacing w:before="0" w:after="0"/>
        <w:ind w:firstLine="0"/>
        <w:rPr>
          <w:i/>
          <w:sz w:val="28"/>
          <w:szCs w:val="28"/>
        </w:rPr>
      </w:pPr>
      <w:r w:rsidRPr="005821EE">
        <w:rPr>
          <w:i/>
          <w:sz w:val="28"/>
          <w:szCs w:val="28"/>
        </w:rPr>
        <w:t>Anotācijas II</w:t>
      </w:r>
      <w:r w:rsidR="00B13BF5" w:rsidRPr="005821EE">
        <w:rPr>
          <w:i/>
          <w:sz w:val="28"/>
          <w:szCs w:val="28"/>
        </w:rPr>
        <w:t xml:space="preserve">  sadaļa – nav attiecināms.</w:t>
      </w:r>
    </w:p>
    <w:p w:rsidR="00260DBF" w:rsidRDefault="003D6E9C" w:rsidP="00260DBF">
      <w:pPr>
        <w:pStyle w:val="naisf"/>
        <w:spacing w:before="0" w:after="0"/>
        <w:ind w:firstLine="0"/>
        <w:rPr>
          <w:rStyle w:val="Izclums"/>
        </w:rPr>
      </w:pPr>
      <w:r w:rsidRPr="005821EE">
        <w:rPr>
          <w:i/>
          <w:sz w:val="28"/>
          <w:szCs w:val="28"/>
        </w:rPr>
        <w:lastRenderedPageBreak/>
        <w:t xml:space="preserve">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5"/>
        <w:gridCol w:w="1357"/>
        <w:gridCol w:w="1410"/>
        <w:gridCol w:w="1410"/>
        <w:gridCol w:w="1410"/>
        <w:gridCol w:w="1408"/>
      </w:tblGrid>
      <w:tr w:rsidR="00260DBF" w:rsidTr="00B13BFF">
        <w:tc>
          <w:tcPr>
            <w:tcW w:w="10490" w:type="dxa"/>
            <w:gridSpan w:val="6"/>
            <w:shd w:val="clear" w:color="auto" w:fill="auto"/>
          </w:tcPr>
          <w:p w:rsidR="00260DBF" w:rsidRDefault="00260DBF" w:rsidP="007537ED">
            <w:r w:rsidRPr="001F5335">
              <w:rPr>
                <w:b/>
                <w:bCs/>
              </w:rPr>
              <w:t>III. Tiesību akta projekta ietekme uz valsts budžetu un pašvaldību budžetiem</w:t>
            </w:r>
          </w:p>
        </w:tc>
      </w:tr>
      <w:tr w:rsidR="00260DBF" w:rsidTr="00B13BFF">
        <w:tc>
          <w:tcPr>
            <w:tcW w:w="3495" w:type="dxa"/>
            <w:vMerge w:val="restart"/>
            <w:shd w:val="clear" w:color="auto" w:fill="auto"/>
          </w:tcPr>
          <w:p w:rsidR="00260DBF" w:rsidRPr="001F5335" w:rsidRDefault="00260DBF" w:rsidP="007537ED">
            <w:pPr>
              <w:rPr>
                <w:b/>
              </w:rPr>
            </w:pPr>
            <w:r w:rsidRPr="001F5335">
              <w:rPr>
                <w:b/>
              </w:rPr>
              <w:t>Rādītāji</w:t>
            </w:r>
          </w:p>
        </w:tc>
        <w:tc>
          <w:tcPr>
            <w:tcW w:w="2767" w:type="dxa"/>
            <w:gridSpan w:val="2"/>
            <w:shd w:val="clear" w:color="auto" w:fill="auto"/>
          </w:tcPr>
          <w:p w:rsidR="00260DBF" w:rsidRPr="001F5335" w:rsidRDefault="00260DBF" w:rsidP="007537ED">
            <w:pPr>
              <w:rPr>
                <w:b/>
              </w:rPr>
            </w:pPr>
            <w:r w:rsidRPr="001F5335">
              <w:rPr>
                <w:b/>
              </w:rPr>
              <w:t>2011.gads</w:t>
            </w:r>
          </w:p>
        </w:tc>
        <w:tc>
          <w:tcPr>
            <w:tcW w:w="4228" w:type="dxa"/>
            <w:gridSpan w:val="3"/>
            <w:shd w:val="clear" w:color="auto" w:fill="auto"/>
          </w:tcPr>
          <w:p w:rsidR="00260DBF" w:rsidRDefault="00260DBF" w:rsidP="007537ED">
            <w:r>
              <w:t>Turpmākie trīs gadi (tūkst. latu)</w:t>
            </w:r>
          </w:p>
        </w:tc>
      </w:tr>
      <w:tr w:rsidR="00260DBF" w:rsidTr="00B13BFF">
        <w:tc>
          <w:tcPr>
            <w:tcW w:w="3495" w:type="dxa"/>
            <w:vMerge/>
            <w:shd w:val="clear" w:color="auto" w:fill="auto"/>
          </w:tcPr>
          <w:p w:rsidR="00260DBF" w:rsidRDefault="00260DBF" w:rsidP="007537ED"/>
        </w:tc>
        <w:tc>
          <w:tcPr>
            <w:tcW w:w="1357" w:type="dxa"/>
            <w:shd w:val="clear" w:color="auto" w:fill="auto"/>
          </w:tcPr>
          <w:p w:rsidR="00260DBF" w:rsidRDefault="00260DBF" w:rsidP="007537ED"/>
        </w:tc>
        <w:tc>
          <w:tcPr>
            <w:tcW w:w="1410" w:type="dxa"/>
            <w:shd w:val="clear" w:color="auto" w:fill="auto"/>
          </w:tcPr>
          <w:p w:rsidR="00260DBF" w:rsidRDefault="00260DBF" w:rsidP="007537ED"/>
        </w:tc>
        <w:tc>
          <w:tcPr>
            <w:tcW w:w="1410" w:type="dxa"/>
            <w:shd w:val="clear" w:color="auto" w:fill="auto"/>
          </w:tcPr>
          <w:p w:rsidR="00260DBF" w:rsidRPr="001F5335" w:rsidRDefault="00260DBF" w:rsidP="007537ED">
            <w:pPr>
              <w:rPr>
                <w:b/>
              </w:rPr>
            </w:pPr>
            <w:r w:rsidRPr="001F5335">
              <w:rPr>
                <w:b/>
              </w:rPr>
              <w:t>2012</w:t>
            </w:r>
          </w:p>
        </w:tc>
        <w:tc>
          <w:tcPr>
            <w:tcW w:w="1410" w:type="dxa"/>
            <w:shd w:val="clear" w:color="auto" w:fill="auto"/>
          </w:tcPr>
          <w:p w:rsidR="00260DBF" w:rsidRPr="001F5335" w:rsidRDefault="00260DBF" w:rsidP="007537ED">
            <w:pPr>
              <w:rPr>
                <w:b/>
              </w:rPr>
            </w:pPr>
            <w:r w:rsidRPr="001F5335">
              <w:rPr>
                <w:b/>
              </w:rPr>
              <w:t>2013</w:t>
            </w:r>
          </w:p>
        </w:tc>
        <w:tc>
          <w:tcPr>
            <w:tcW w:w="1408" w:type="dxa"/>
            <w:shd w:val="clear" w:color="auto" w:fill="auto"/>
          </w:tcPr>
          <w:p w:rsidR="00260DBF" w:rsidRPr="001F5335" w:rsidRDefault="00260DBF" w:rsidP="007537ED">
            <w:pPr>
              <w:rPr>
                <w:b/>
              </w:rPr>
            </w:pPr>
            <w:r w:rsidRPr="001F5335">
              <w:rPr>
                <w:b/>
              </w:rPr>
              <w:t>2014</w:t>
            </w:r>
          </w:p>
        </w:tc>
      </w:tr>
      <w:tr w:rsidR="00260DBF" w:rsidTr="00B13BFF">
        <w:tc>
          <w:tcPr>
            <w:tcW w:w="3495" w:type="dxa"/>
            <w:shd w:val="clear" w:color="auto" w:fill="auto"/>
          </w:tcPr>
          <w:p w:rsidR="00260DBF" w:rsidRDefault="00260DBF" w:rsidP="007537ED"/>
        </w:tc>
        <w:tc>
          <w:tcPr>
            <w:tcW w:w="1357" w:type="dxa"/>
            <w:shd w:val="clear" w:color="auto" w:fill="auto"/>
          </w:tcPr>
          <w:p w:rsidR="00260DBF" w:rsidRDefault="00260DBF" w:rsidP="007537ED">
            <w:r>
              <w:t>Saskaņā ar valsts budžetu kārtējam gadam</w:t>
            </w:r>
          </w:p>
        </w:tc>
        <w:tc>
          <w:tcPr>
            <w:tcW w:w="1410" w:type="dxa"/>
            <w:shd w:val="clear" w:color="auto" w:fill="auto"/>
          </w:tcPr>
          <w:p w:rsidR="00260DBF" w:rsidRDefault="00260DBF" w:rsidP="007537ED">
            <w:r>
              <w:t>Izmaiņas kārtējā gadā, salīdzinot ar budžetu kārtējam gadam</w:t>
            </w:r>
          </w:p>
        </w:tc>
        <w:tc>
          <w:tcPr>
            <w:tcW w:w="1410" w:type="dxa"/>
            <w:shd w:val="clear" w:color="auto" w:fill="auto"/>
          </w:tcPr>
          <w:p w:rsidR="00260DBF" w:rsidRDefault="00260DBF" w:rsidP="007537ED">
            <w:r>
              <w:t>Izmaiņas, salīdzinot ar kārtējo (n) gadu</w:t>
            </w:r>
          </w:p>
        </w:tc>
        <w:tc>
          <w:tcPr>
            <w:tcW w:w="1410" w:type="dxa"/>
            <w:shd w:val="clear" w:color="auto" w:fill="auto"/>
          </w:tcPr>
          <w:p w:rsidR="00260DBF" w:rsidRDefault="00260DBF" w:rsidP="007537ED">
            <w:r>
              <w:t>Izmaiņas, salīdzinot ar kārtējo (n) gadu</w:t>
            </w:r>
          </w:p>
        </w:tc>
        <w:tc>
          <w:tcPr>
            <w:tcW w:w="1408" w:type="dxa"/>
            <w:shd w:val="clear" w:color="auto" w:fill="auto"/>
          </w:tcPr>
          <w:p w:rsidR="00260DBF" w:rsidRDefault="00260DBF" w:rsidP="007537ED">
            <w:r>
              <w:t>Izmaiņas, salīdzinot ar kārtējo (n) gadu</w:t>
            </w:r>
          </w:p>
        </w:tc>
      </w:tr>
      <w:tr w:rsidR="00260DBF" w:rsidTr="00B13BFF">
        <w:tc>
          <w:tcPr>
            <w:tcW w:w="3495" w:type="dxa"/>
            <w:shd w:val="clear" w:color="auto" w:fill="auto"/>
          </w:tcPr>
          <w:p w:rsidR="00260DBF" w:rsidRDefault="00260DBF" w:rsidP="007537ED">
            <w:r>
              <w:t>1</w:t>
            </w:r>
          </w:p>
        </w:tc>
        <w:tc>
          <w:tcPr>
            <w:tcW w:w="1357" w:type="dxa"/>
            <w:shd w:val="clear" w:color="auto" w:fill="auto"/>
          </w:tcPr>
          <w:p w:rsidR="00260DBF" w:rsidRDefault="00260DBF" w:rsidP="007537ED">
            <w:r>
              <w:t>2</w:t>
            </w:r>
          </w:p>
        </w:tc>
        <w:tc>
          <w:tcPr>
            <w:tcW w:w="1410" w:type="dxa"/>
            <w:shd w:val="clear" w:color="auto" w:fill="auto"/>
          </w:tcPr>
          <w:p w:rsidR="00260DBF" w:rsidRDefault="00260DBF" w:rsidP="007537ED">
            <w:r>
              <w:t>3</w:t>
            </w:r>
          </w:p>
        </w:tc>
        <w:tc>
          <w:tcPr>
            <w:tcW w:w="1410" w:type="dxa"/>
            <w:shd w:val="clear" w:color="auto" w:fill="auto"/>
          </w:tcPr>
          <w:p w:rsidR="00260DBF" w:rsidRDefault="00260DBF" w:rsidP="007537ED">
            <w:r>
              <w:t>4</w:t>
            </w:r>
          </w:p>
        </w:tc>
        <w:tc>
          <w:tcPr>
            <w:tcW w:w="1410" w:type="dxa"/>
            <w:shd w:val="clear" w:color="auto" w:fill="auto"/>
          </w:tcPr>
          <w:p w:rsidR="00260DBF" w:rsidRDefault="00260DBF" w:rsidP="007537ED">
            <w:r>
              <w:t>5</w:t>
            </w:r>
          </w:p>
        </w:tc>
        <w:tc>
          <w:tcPr>
            <w:tcW w:w="1408" w:type="dxa"/>
            <w:shd w:val="clear" w:color="auto" w:fill="auto"/>
          </w:tcPr>
          <w:p w:rsidR="00260DBF" w:rsidRDefault="00260DBF" w:rsidP="007537ED">
            <w:r>
              <w:t>6</w:t>
            </w:r>
          </w:p>
        </w:tc>
      </w:tr>
      <w:tr w:rsidR="00260DBF" w:rsidTr="00B13BFF">
        <w:tc>
          <w:tcPr>
            <w:tcW w:w="3495" w:type="dxa"/>
            <w:shd w:val="clear" w:color="auto" w:fill="auto"/>
          </w:tcPr>
          <w:p w:rsidR="00260DBF" w:rsidRPr="001F5335" w:rsidRDefault="00260DBF" w:rsidP="007537ED">
            <w:pPr>
              <w:pStyle w:val="tvhtmlmktable"/>
              <w:rPr>
                <w:b/>
              </w:rPr>
            </w:pPr>
            <w:r w:rsidRPr="001F5335">
              <w:rPr>
                <w:b/>
              </w:rPr>
              <w:t>1. Budžeta ieņēmumi:</w:t>
            </w:r>
          </w:p>
        </w:tc>
        <w:tc>
          <w:tcPr>
            <w:tcW w:w="1357" w:type="dxa"/>
            <w:shd w:val="clear" w:color="auto" w:fill="auto"/>
            <w:vAlign w:val="center"/>
          </w:tcPr>
          <w:p w:rsidR="00260DBF" w:rsidRPr="001F5335" w:rsidRDefault="00260DBF" w:rsidP="007537ED">
            <w:pPr>
              <w:jc w:val="center"/>
              <w:rPr>
                <w:b/>
              </w:rPr>
            </w:pPr>
            <w:r w:rsidRPr="001F5335">
              <w:rPr>
                <w:b/>
              </w:rPr>
              <w:t>0</w:t>
            </w:r>
          </w:p>
        </w:tc>
        <w:tc>
          <w:tcPr>
            <w:tcW w:w="1410" w:type="dxa"/>
            <w:shd w:val="clear" w:color="auto" w:fill="auto"/>
            <w:vAlign w:val="center"/>
          </w:tcPr>
          <w:p w:rsidR="00260DBF" w:rsidRPr="001F5335" w:rsidRDefault="00260DBF" w:rsidP="007537ED">
            <w:pPr>
              <w:jc w:val="center"/>
              <w:rPr>
                <w:b/>
              </w:rPr>
            </w:pPr>
            <w:r w:rsidRPr="001F5335">
              <w:rPr>
                <w:b/>
              </w:rPr>
              <w:t>0</w:t>
            </w:r>
          </w:p>
        </w:tc>
        <w:tc>
          <w:tcPr>
            <w:tcW w:w="1410" w:type="dxa"/>
            <w:shd w:val="clear" w:color="auto" w:fill="auto"/>
            <w:vAlign w:val="center"/>
          </w:tcPr>
          <w:p w:rsidR="00260DBF" w:rsidRPr="001F5335" w:rsidRDefault="00F10EBC" w:rsidP="007537ED">
            <w:pPr>
              <w:jc w:val="center"/>
              <w:rPr>
                <w:b/>
              </w:rPr>
            </w:pPr>
            <w:r>
              <w:rPr>
                <w:b/>
              </w:rPr>
              <w:t>2</w:t>
            </w:r>
            <w:r w:rsidR="00260DBF">
              <w:rPr>
                <w:b/>
              </w:rPr>
              <w:t>3</w:t>
            </w:r>
            <w:r>
              <w:rPr>
                <w:b/>
              </w:rPr>
              <w:t>0</w:t>
            </w:r>
            <w:r w:rsidR="00260DBF" w:rsidRPr="001F5335">
              <w:rPr>
                <w:b/>
              </w:rPr>
              <w:t>,</w:t>
            </w:r>
            <w:r w:rsidR="00260DBF">
              <w:rPr>
                <w:b/>
              </w:rPr>
              <w:t>1</w:t>
            </w:r>
          </w:p>
        </w:tc>
        <w:tc>
          <w:tcPr>
            <w:tcW w:w="1410" w:type="dxa"/>
            <w:shd w:val="clear" w:color="auto" w:fill="auto"/>
            <w:vAlign w:val="center"/>
          </w:tcPr>
          <w:p w:rsidR="00260DBF" w:rsidRPr="001F5335" w:rsidRDefault="00F10EBC" w:rsidP="00F10EBC">
            <w:pPr>
              <w:jc w:val="center"/>
              <w:rPr>
                <w:b/>
              </w:rPr>
            </w:pPr>
            <w:r>
              <w:rPr>
                <w:b/>
              </w:rPr>
              <w:t>4 913,5</w:t>
            </w:r>
          </w:p>
        </w:tc>
        <w:tc>
          <w:tcPr>
            <w:tcW w:w="1408" w:type="dxa"/>
            <w:shd w:val="clear" w:color="auto" w:fill="auto"/>
            <w:vAlign w:val="center"/>
          </w:tcPr>
          <w:p w:rsidR="00260DBF" w:rsidRPr="001F5335" w:rsidRDefault="00260DBF" w:rsidP="00F10EBC">
            <w:pPr>
              <w:jc w:val="center"/>
              <w:rPr>
                <w:b/>
              </w:rPr>
            </w:pPr>
            <w:r>
              <w:rPr>
                <w:b/>
              </w:rPr>
              <w:t>2</w:t>
            </w:r>
            <w:r w:rsidR="00F10EBC">
              <w:rPr>
                <w:b/>
              </w:rPr>
              <w:t> </w:t>
            </w:r>
            <w:r>
              <w:rPr>
                <w:b/>
              </w:rPr>
              <w:t>8</w:t>
            </w:r>
            <w:r w:rsidR="00F10EBC">
              <w:rPr>
                <w:b/>
              </w:rPr>
              <w:t>88,2</w:t>
            </w:r>
          </w:p>
        </w:tc>
      </w:tr>
      <w:tr w:rsidR="00260DBF" w:rsidTr="00B13BFF">
        <w:tc>
          <w:tcPr>
            <w:tcW w:w="3495" w:type="dxa"/>
            <w:shd w:val="clear" w:color="auto" w:fill="auto"/>
          </w:tcPr>
          <w:p w:rsidR="00260DBF" w:rsidRDefault="00260DBF" w:rsidP="007537ED">
            <w:pPr>
              <w:pStyle w:val="tvhtmlmktable"/>
            </w:pPr>
            <w:r>
              <w:t>1.1. valsts pamatbudžets, tai skaitā ieņēmumi no maksas pakalpojumiem un citi pašu ieņēmumi</w:t>
            </w:r>
          </w:p>
        </w:tc>
        <w:tc>
          <w:tcPr>
            <w:tcW w:w="1357" w:type="dxa"/>
            <w:shd w:val="clear" w:color="auto" w:fill="auto"/>
            <w:vAlign w:val="center"/>
          </w:tcPr>
          <w:p w:rsidR="00260DBF" w:rsidRDefault="00260DBF" w:rsidP="007537ED">
            <w:pPr>
              <w:jc w:val="center"/>
            </w:pPr>
            <w:r>
              <w:t>0</w:t>
            </w:r>
          </w:p>
        </w:tc>
        <w:tc>
          <w:tcPr>
            <w:tcW w:w="1410" w:type="dxa"/>
            <w:shd w:val="clear" w:color="auto" w:fill="auto"/>
            <w:vAlign w:val="center"/>
          </w:tcPr>
          <w:p w:rsidR="00260DBF" w:rsidRDefault="00260DBF" w:rsidP="007537ED">
            <w:pPr>
              <w:jc w:val="center"/>
            </w:pPr>
            <w:r>
              <w:t>0</w:t>
            </w:r>
          </w:p>
        </w:tc>
        <w:tc>
          <w:tcPr>
            <w:tcW w:w="1410" w:type="dxa"/>
            <w:shd w:val="clear" w:color="auto" w:fill="auto"/>
            <w:vAlign w:val="center"/>
          </w:tcPr>
          <w:p w:rsidR="00260DBF" w:rsidRPr="00C82602" w:rsidRDefault="00F10EBC" w:rsidP="007537ED">
            <w:pPr>
              <w:jc w:val="center"/>
            </w:pPr>
            <w:r>
              <w:t>2</w:t>
            </w:r>
            <w:r w:rsidR="00260DBF">
              <w:t>3</w:t>
            </w:r>
            <w:r>
              <w:t>0</w:t>
            </w:r>
            <w:r w:rsidR="00260DBF" w:rsidRPr="00C82602">
              <w:t>,</w:t>
            </w:r>
            <w:r w:rsidR="00260DBF">
              <w:t>1</w:t>
            </w:r>
          </w:p>
        </w:tc>
        <w:tc>
          <w:tcPr>
            <w:tcW w:w="1410" w:type="dxa"/>
            <w:shd w:val="clear" w:color="auto" w:fill="auto"/>
            <w:vAlign w:val="center"/>
          </w:tcPr>
          <w:p w:rsidR="00260DBF" w:rsidRPr="00C82602" w:rsidRDefault="00260DBF" w:rsidP="00F10EBC">
            <w:pPr>
              <w:jc w:val="center"/>
            </w:pPr>
            <w:r w:rsidRPr="00C82602">
              <w:t>4</w:t>
            </w:r>
            <w:r w:rsidR="00F10EBC">
              <w:t> 913,5</w:t>
            </w:r>
          </w:p>
        </w:tc>
        <w:tc>
          <w:tcPr>
            <w:tcW w:w="1408" w:type="dxa"/>
            <w:shd w:val="clear" w:color="auto" w:fill="auto"/>
            <w:vAlign w:val="center"/>
          </w:tcPr>
          <w:p w:rsidR="00260DBF" w:rsidRPr="00C82602" w:rsidRDefault="00260DBF" w:rsidP="007537ED">
            <w:pPr>
              <w:jc w:val="center"/>
            </w:pPr>
            <w:r w:rsidRPr="00C82602">
              <w:t>2</w:t>
            </w:r>
            <w:r w:rsidR="00F10EBC">
              <w:t> </w:t>
            </w:r>
            <w:r w:rsidRPr="00C82602">
              <w:t>8</w:t>
            </w:r>
            <w:r w:rsidR="00F10EBC">
              <w:t>88,2</w:t>
            </w:r>
          </w:p>
        </w:tc>
      </w:tr>
      <w:tr w:rsidR="00260DBF" w:rsidTr="00B13BFF">
        <w:tc>
          <w:tcPr>
            <w:tcW w:w="3495" w:type="dxa"/>
            <w:shd w:val="clear" w:color="auto" w:fill="auto"/>
          </w:tcPr>
          <w:p w:rsidR="00260DBF" w:rsidRDefault="00260DBF" w:rsidP="007537ED">
            <w:pPr>
              <w:pStyle w:val="tvhtmlmktable"/>
            </w:pPr>
            <w:r>
              <w:t>1.2. valsts speciālais budžets</w:t>
            </w:r>
          </w:p>
        </w:tc>
        <w:tc>
          <w:tcPr>
            <w:tcW w:w="1357" w:type="dxa"/>
            <w:shd w:val="clear" w:color="auto" w:fill="auto"/>
            <w:vAlign w:val="center"/>
          </w:tcPr>
          <w:p w:rsidR="00260DBF" w:rsidRDefault="00260DBF" w:rsidP="007537ED">
            <w:pPr>
              <w:jc w:val="center"/>
            </w:pPr>
            <w:r>
              <w:t>0</w:t>
            </w:r>
          </w:p>
        </w:tc>
        <w:tc>
          <w:tcPr>
            <w:tcW w:w="1410" w:type="dxa"/>
            <w:shd w:val="clear" w:color="auto" w:fill="auto"/>
            <w:vAlign w:val="center"/>
          </w:tcPr>
          <w:p w:rsidR="00260DBF" w:rsidRDefault="00260DBF" w:rsidP="007537ED">
            <w:pPr>
              <w:jc w:val="center"/>
            </w:pPr>
            <w:r>
              <w:t>0</w:t>
            </w:r>
          </w:p>
        </w:tc>
        <w:tc>
          <w:tcPr>
            <w:tcW w:w="1410" w:type="dxa"/>
            <w:shd w:val="clear" w:color="auto" w:fill="auto"/>
            <w:vAlign w:val="center"/>
          </w:tcPr>
          <w:p w:rsidR="00260DBF" w:rsidRDefault="00260DBF" w:rsidP="007537ED">
            <w:pPr>
              <w:jc w:val="center"/>
            </w:pPr>
            <w:r>
              <w:t>0</w:t>
            </w:r>
          </w:p>
        </w:tc>
        <w:tc>
          <w:tcPr>
            <w:tcW w:w="1410" w:type="dxa"/>
            <w:shd w:val="clear" w:color="auto" w:fill="auto"/>
            <w:vAlign w:val="center"/>
          </w:tcPr>
          <w:p w:rsidR="00260DBF" w:rsidRDefault="00260DBF" w:rsidP="007537ED">
            <w:pPr>
              <w:jc w:val="center"/>
            </w:pPr>
            <w:r>
              <w:t>0</w:t>
            </w:r>
          </w:p>
        </w:tc>
        <w:tc>
          <w:tcPr>
            <w:tcW w:w="1408" w:type="dxa"/>
            <w:shd w:val="clear" w:color="auto" w:fill="auto"/>
            <w:vAlign w:val="center"/>
          </w:tcPr>
          <w:p w:rsidR="00260DBF" w:rsidRDefault="00260DBF" w:rsidP="007537ED">
            <w:pPr>
              <w:jc w:val="center"/>
            </w:pPr>
            <w:r>
              <w:t>0</w:t>
            </w:r>
          </w:p>
        </w:tc>
      </w:tr>
      <w:tr w:rsidR="00260DBF" w:rsidTr="00B13BFF">
        <w:tc>
          <w:tcPr>
            <w:tcW w:w="3495" w:type="dxa"/>
            <w:shd w:val="clear" w:color="auto" w:fill="auto"/>
          </w:tcPr>
          <w:p w:rsidR="00260DBF" w:rsidRDefault="00260DBF" w:rsidP="007537ED">
            <w:pPr>
              <w:pStyle w:val="tvhtmlmktable"/>
            </w:pPr>
            <w:r>
              <w:t>1.3. pašvaldību budžets</w:t>
            </w:r>
          </w:p>
        </w:tc>
        <w:tc>
          <w:tcPr>
            <w:tcW w:w="1357" w:type="dxa"/>
            <w:shd w:val="clear" w:color="auto" w:fill="auto"/>
            <w:vAlign w:val="center"/>
          </w:tcPr>
          <w:p w:rsidR="00260DBF" w:rsidRDefault="00260DBF" w:rsidP="007537ED">
            <w:pPr>
              <w:jc w:val="center"/>
            </w:pPr>
            <w:r>
              <w:t>0</w:t>
            </w:r>
          </w:p>
        </w:tc>
        <w:tc>
          <w:tcPr>
            <w:tcW w:w="1410" w:type="dxa"/>
            <w:shd w:val="clear" w:color="auto" w:fill="auto"/>
            <w:vAlign w:val="center"/>
          </w:tcPr>
          <w:p w:rsidR="00260DBF" w:rsidRDefault="00260DBF" w:rsidP="007537ED">
            <w:pPr>
              <w:jc w:val="center"/>
            </w:pPr>
            <w:r>
              <w:t>0</w:t>
            </w:r>
          </w:p>
        </w:tc>
        <w:tc>
          <w:tcPr>
            <w:tcW w:w="1410" w:type="dxa"/>
            <w:shd w:val="clear" w:color="auto" w:fill="auto"/>
            <w:vAlign w:val="center"/>
          </w:tcPr>
          <w:p w:rsidR="00260DBF" w:rsidRDefault="00260DBF" w:rsidP="007537ED">
            <w:pPr>
              <w:jc w:val="center"/>
            </w:pPr>
            <w:r>
              <w:t>0</w:t>
            </w:r>
          </w:p>
        </w:tc>
        <w:tc>
          <w:tcPr>
            <w:tcW w:w="1410" w:type="dxa"/>
            <w:shd w:val="clear" w:color="auto" w:fill="auto"/>
            <w:vAlign w:val="center"/>
          </w:tcPr>
          <w:p w:rsidR="00260DBF" w:rsidRDefault="00260DBF" w:rsidP="007537ED">
            <w:pPr>
              <w:jc w:val="center"/>
            </w:pPr>
            <w:r>
              <w:t>0</w:t>
            </w:r>
          </w:p>
        </w:tc>
        <w:tc>
          <w:tcPr>
            <w:tcW w:w="1408" w:type="dxa"/>
            <w:shd w:val="clear" w:color="auto" w:fill="auto"/>
            <w:vAlign w:val="center"/>
          </w:tcPr>
          <w:p w:rsidR="00260DBF" w:rsidRDefault="00260DBF" w:rsidP="007537ED">
            <w:pPr>
              <w:jc w:val="center"/>
            </w:pPr>
            <w:r>
              <w:t>0</w:t>
            </w:r>
          </w:p>
        </w:tc>
      </w:tr>
      <w:tr w:rsidR="00260DBF" w:rsidTr="00B13BFF">
        <w:tc>
          <w:tcPr>
            <w:tcW w:w="3495" w:type="dxa"/>
            <w:shd w:val="clear" w:color="auto" w:fill="auto"/>
          </w:tcPr>
          <w:p w:rsidR="00260DBF" w:rsidRPr="001F5335" w:rsidRDefault="00260DBF" w:rsidP="007537ED">
            <w:pPr>
              <w:pStyle w:val="tvhtmlmktable"/>
              <w:rPr>
                <w:b/>
              </w:rPr>
            </w:pPr>
            <w:r w:rsidRPr="001F5335">
              <w:rPr>
                <w:b/>
              </w:rPr>
              <w:t>2. Budžeta izdevumi:</w:t>
            </w:r>
          </w:p>
        </w:tc>
        <w:tc>
          <w:tcPr>
            <w:tcW w:w="1357" w:type="dxa"/>
            <w:shd w:val="clear" w:color="auto" w:fill="auto"/>
            <w:vAlign w:val="center"/>
          </w:tcPr>
          <w:p w:rsidR="00260DBF" w:rsidRPr="001F5335" w:rsidRDefault="00260DBF" w:rsidP="007537ED">
            <w:pPr>
              <w:jc w:val="center"/>
              <w:rPr>
                <w:b/>
              </w:rPr>
            </w:pPr>
            <w:r w:rsidRPr="001F5335">
              <w:rPr>
                <w:b/>
              </w:rPr>
              <w:t>0</w:t>
            </w:r>
          </w:p>
        </w:tc>
        <w:tc>
          <w:tcPr>
            <w:tcW w:w="1410" w:type="dxa"/>
            <w:shd w:val="clear" w:color="auto" w:fill="auto"/>
            <w:vAlign w:val="center"/>
          </w:tcPr>
          <w:p w:rsidR="00260DBF" w:rsidRPr="001F5335" w:rsidRDefault="00260DBF" w:rsidP="007537ED">
            <w:pPr>
              <w:jc w:val="center"/>
              <w:rPr>
                <w:b/>
              </w:rPr>
            </w:pPr>
            <w:r w:rsidRPr="001F5335">
              <w:rPr>
                <w:b/>
              </w:rPr>
              <w:t>0</w:t>
            </w:r>
          </w:p>
        </w:tc>
        <w:tc>
          <w:tcPr>
            <w:tcW w:w="1410" w:type="dxa"/>
            <w:shd w:val="clear" w:color="auto" w:fill="auto"/>
            <w:vAlign w:val="center"/>
          </w:tcPr>
          <w:p w:rsidR="00260DBF" w:rsidRPr="001F5335" w:rsidRDefault="00260DBF" w:rsidP="00F10EBC">
            <w:pPr>
              <w:jc w:val="center"/>
              <w:rPr>
                <w:b/>
              </w:rPr>
            </w:pPr>
            <w:r>
              <w:rPr>
                <w:b/>
              </w:rPr>
              <w:t>25</w:t>
            </w:r>
            <w:r w:rsidR="00F10EBC">
              <w:rPr>
                <w:b/>
              </w:rPr>
              <w:t>2</w:t>
            </w:r>
            <w:r>
              <w:rPr>
                <w:b/>
              </w:rPr>
              <w:t>,</w:t>
            </w:r>
            <w:r w:rsidR="00F10EBC">
              <w:rPr>
                <w:b/>
              </w:rPr>
              <w:t>1</w:t>
            </w:r>
          </w:p>
        </w:tc>
        <w:tc>
          <w:tcPr>
            <w:tcW w:w="1410" w:type="dxa"/>
            <w:shd w:val="clear" w:color="auto" w:fill="auto"/>
            <w:vAlign w:val="center"/>
          </w:tcPr>
          <w:p w:rsidR="00260DBF" w:rsidRPr="001F5335" w:rsidRDefault="00260DBF" w:rsidP="00F10EBC">
            <w:pPr>
              <w:jc w:val="center"/>
              <w:rPr>
                <w:b/>
              </w:rPr>
            </w:pPr>
            <w:r>
              <w:rPr>
                <w:b/>
              </w:rPr>
              <w:t>5 7</w:t>
            </w:r>
            <w:r w:rsidR="00F10EBC">
              <w:rPr>
                <w:b/>
              </w:rPr>
              <w:t>51</w:t>
            </w:r>
            <w:r>
              <w:rPr>
                <w:b/>
              </w:rPr>
              <w:t>,</w:t>
            </w:r>
            <w:r w:rsidR="00F10EBC">
              <w:rPr>
                <w:b/>
              </w:rPr>
              <w:t>1</w:t>
            </w:r>
          </w:p>
        </w:tc>
        <w:tc>
          <w:tcPr>
            <w:tcW w:w="1408" w:type="dxa"/>
            <w:shd w:val="clear" w:color="auto" w:fill="auto"/>
            <w:vAlign w:val="center"/>
          </w:tcPr>
          <w:p w:rsidR="00260DBF" w:rsidRPr="001F5335" w:rsidRDefault="00260DBF" w:rsidP="00F10EBC">
            <w:pPr>
              <w:jc w:val="center"/>
              <w:rPr>
                <w:b/>
              </w:rPr>
            </w:pPr>
            <w:r>
              <w:rPr>
                <w:b/>
              </w:rPr>
              <w:t>3</w:t>
            </w:r>
            <w:r w:rsidR="00F10EBC">
              <w:rPr>
                <w:b/>
              </w:rPr>
              <w:t> </w:t>
            </w:r>
            <w:r>
              <w:rPr>
                <w:b/>
              </w:rPr>
              <w:t>3</w:t>
            </w:r>
            <w:r w:rsidR="00F10EBC">
              <w:rPr>
                <w:b/>
              </w:rPr>
              <w:t>69,2</w:t>
            </w:r>
          </w:p>
        </w:tc>
      </w:tr>
      <w:tr w:rsidR="00260DBF" w:rsidTr="00B13BFF">
        <w:tc>
          <w:tcPr>
            <w:tcW w:w="3495" w:type="dxa"/>
            <w:shd w:val="clear" w:color="auto" w:fill="auto"/>
          </w:tcPr>
          <w:p w:rsidR="00260DBF" w:rsidRDefault="00260DBF" w:rsidP="007537ED">
            <w:pPr>
              <w:pStyle w:val="tvhtmlmktable"/>
            </w:pPr>
            <w:r>
              <w:t>2.1. valsts pamatbudžets</w:t>
            </w:r>
          </w:p>
        </w:tc>
        <w:tc>
          <w:tcPr>
            <w:tcW w:w="1357" w:type="dxa"/>
            <w:shd w:val="clear" w:color="auto" w:fill="auto"/>
            <w:vAlign w:val="center"/>
          </w:tcPr>
          <w:p w:rsidR="00260DBF" w:rsidRDefault="00260DBF" w:rsidP="007537ED">
            <w:pPr>
              <w:jc w:val="center"/>
            </w:pPr>
            <w:r>
              <w:t>0</w:t>
            </w:r>
          </w:p>
        </w:tc>
        <w:tc>
          <w:tcPr>
            <w:tcW w:w="1410" w:type="dxa"/>
            <w:shd w:val="clear" w:color="auto" w:fill="auto"/>
            <w:vAlign w:val="center"/>
          </w:tcPr>
          <w:p w:rsidR="00260DBF" w:rsidRDefault="00260DBF" w:rsidP="007537ED">
            <w:pPr>
              <w:jc w:val="center"/>
            </w:pPr>
            <w:r>
              <w:t>0</w:t>
            </w:r>
          </w:p>
        </w:tc>
        <w:tc>
          <w:tcPr>
            <w:tcW w:w="1410" w:type="dxa"/>
            <w:shd w:val="clear" w:color="auto" w:fill="auto"/>
            <w:vAlign w:val="center"/>
          </w:tcPr>
          <w:p w:rsidR="00260DBF" w:rsidRPr="00785649" w:rsidRDefault="00260DBF" w:rsidP="00F10EBC">
            <w:pPr>
              <w:jc w:val="center"/>
            </w:pPr>
            <w:r>
              <w:t>2</w:t>
            </w:r>
            <w:r w:rsidR="00F10EBC">
              <w:t>52</w:t>
            </w:r>
            <w:r w:rsidRPr="00785649">
              <w:t>,</w:t>
            </w:r>
            <w:r w:rsidR="00F10EBC">
              <w:t>1</w:t>
            </w:r>
          </w:p>
        </w:tc>
        <w:tc>
          <w:tcPr>
            <w:tcW w:w="1410" w:type="dxa"/>
            <w:shd w:val="clear" w:color="auto" w:fill="auto"/>
            <w:vAlign w:val="center"/>
          </w:tcPr>
          <w:p w:rsidR="00260DBF" w:rsidRPr="00785649" w:rsidRDefault="00260DBF" w:rsidP="00F10EBC">
            <w:pPr>
              <w:jc w:val="center"/>
            </w:pPr>
            <w:r>
              <w:t>5 7</w:t>
            </w:r>
            <w:r w:rsidR="00F10EBC">
              <w:t>51</w:t>
            </w:r>
            <w:r w:rsidRPr="00785649">
              <w:t>,</w:t>
            </w:r>
            <w:r w:rsidR="00F10EBC">
              <w:t>1</w:t>
            </w:r>
          </w:p>
        </w:tc>
        <w:tc>
          <w:tcPr>
            <w:tcW w:w="1408" w:type="dxa"/>
            <w:shd w:val="clear" w:color="auto" w:fill="auto"/>
            <w:vAlign w:val="center"/>
          </w:tcPr>
          <w:p w:rsidR="00260DBF" w:rsidRPr="00785649" w:rsidRDefault="00260DBF" w:rsidP="00F10EBC">
            <w:pPr>
              <w:jc w:val="center"/>
            </w:pPr>
            <w:r w:rsidRPr="00785649">
              <w:t>3</w:t>
            </w:r>
            <w:r w:rsidR="00F10EBC">
              <w:t> </w:t>
            </w:r>
            <w:r w:rsidRPr="00785649">
              <w:t>3</w:t>
            </w:r>
            <w:r w:rsidR="00F10EBC">
              <w:t>69,2</w:t>
            </w:r>
          </w:p>
        </w:tc>
      </w:tr>
      <w:tr w:rsidR="00260DBF" w:rsidTr="00B13BFF">
        <w:tc>
          <w:tcPr>
            <w:tcW w:w="3495" w:type="dxa"/>
            <w:shd w:val="clear" w:color="auto" w:fill="auto"/>
          </w:tcPr>
          <w:p w:rsidR="00260DBF" w:rsidRDefault="00260DBF" w:rsidP="007537ED">
            <w:pPr>
              <w:pStyle w:val="tvhtmlmktable"/>
            </w:pPr>
            <w:r>
              <w:t>2.2. valsts speciālais budžets</w:t>
            </w:r>
          </w:p>
        </w:tc>
        <w:tc>
          <w:tcPr>
            <w:tcW w:w="1357" w:type="dxa"/>
            <w:shd w:val="clear" w:color="auto" w:fill="auto"/>
            <w:vAlign w:val="center"/>
          </w:tcPr>
          <w:p w:rsidR="00260DBF" w:rsidRDefault="00260DBF" w:rsidP="007537ED">
            <w:pPr>
              <w:jc w:val="center"/>
            </w:pPr>
            <w:r>
              <w:t>0</w:t>
            </w:r>
          </w:p>
        </w:tc>
        <w:tc>
          <w:tcPr>
            <w:tcW w:w="1410" w:type="dxa"/>
            <w:shd w:val="clear" w:color="auto" w:fill="auto"/>
            <w:vAlign w:val="center"/>
          </w:tcPr>
          <w:p w:rsidR="00260DBF" w:rsidRDefault="00260DBF" w:rsidP="007537ED">
            <w:pPr>
              <w:jc w:val="center"/>
            </w:pPr>
            <w:r>
              <w:t>0</w:t>
            </w:r>
          </w:p>
        </w:tc>
        <w:tc>
          <w:tcPr>
            <w:tcW w:w="1410" w:type="dxa"/>
            <w:shd w:val="clear" w:color="auto" w:fill="auto"/>
            <w:vAlign w:val="center"/>
          </w:tcPr>
          <w:p w:rsidR="00260DBF" w:rsidRDefault="00260DBF" w:rsidP="007537ED">
            <w:pPr>
              <w:jc w:val="center"/>
            </w:pPr>
            <w:r>
              <w:t>0</w:t>
            </w:r>
          </w:p>
        </w:tc>
        <w:tc>
          <w:tcPr>
            <w:tcW w:w="1410" w:type="dxa"/>
            <w:shd w:val="clear" w:color="auto" w:fill="auto"/>
            <w:vAlign w:val="center"/>
          </w:tcPr>
          <w:p w:rsidR="00260DBF" w:rsidRDefault="00260DBF" w:rsidP="007537ED">
            <w:pPr>
              <w:jc w:val="center"/>
            </w:pPr>
            <w:r>
              <w:t>0</w:t>
            </w:r>
          </w:p>
        </w:tc>
        <w:tc>
          <w:tcPr>
            <w:tcW w:w="1408" w:type="dxa"/>
            <w:shd w:val="clear" w:color="auto" w:fill="auto"/>
            <w:vAlign w:val="center"/>
          </w:tcPr>
          <w:p w:rsidR="00260DBF" w:rsidRDefault="00260DBF" w:rsidP="007537ED">
            <w:pPr>
              <w:jc w:val="center"/>
            </w:pPr>
            <w:r>
              <w:t>0</w:t>
            </w:r>
          </w:p>
        </w:tc>
      </w:tr>
      <w:tr w:rsidR="00260DBF" w:rsidTr="00B13BFF">
        <w:tc>
          <w:tcPr>
            <w:tcW w:w="3495" w:type="dxa"/>
            <w:shd w:val="clear" w:color="auto" w:fill="auto"/>
          </w:tcPr>
          <w:p w:rsidR="00260DBF" w:rsidRDefault="00260DBF" w:rsidP="007537ED">
            <w:pPr>
              <w:pStyle w:val="tvhtmlmktable"/>
            </w:pPr>
            <w:r>
              <w:t>2.3. pašvaldību budžets</w:t>
            </w:r>
          </w:p>
        </w:tc>
        <w:tc>
          <w:tcPr>
            <w:tcW w:w="1357" w:type="dxa"/>
            <w:shd w:val="clear" w:color="auto" w:fill="auto"/>
            <w:vAlign w:val="center"/>
          </w:tcPr>
          <w:p w:rsidR="00260DBF" w:rsidRDefault="00260DBF" w:rsidP="007537ED">
            <w:pPr>
              <w:jc w:val="center"/>
            </w:pPr>
            <w:r>
              <w:t>0</w:t>
            </w:r>
          </w:p>
        </w:tc>
        <w:tc>
          <w:tcPr>
            <w:tcW w:w="1410" w:type="dxa"/>
            <w:shd w:val="clear" w:color="auto" w:fill="auto"/>
            <w:vAlign w:val="center"/>
          </w:tcPr>
          <w:p w:rsidR="00260DBF" w:rsidRDefault="00260DBF" w:rsidP="007537ED">
            <w:pPr>
              <w:jc w:val="center"/>
            </w:pPr>
            <w:r>
              <w:t>0</w:t>
            </w:r>
          </w:p>
        </w:tc>
        <w:tc>
          <w:tcPr>
            <w:tcW w:w="1410" w:type="dxa"/>
            <w:shd w:val="clear" w:color="auto" w:fill="auto"/>
            <w:vAlign w:val="center"/>
          </w:tcPr>
          <w:p w:rsidR="00260DBF" w:rsidRDefault="00260DBF" w:rsidP="007537ED">
            <w:pPr>
              <w:jc w:val="center"/>
            </w:pPr>
            <w:r>
              <w:t>0</w:t>
            </w:r>
          </w:p>
        </w:tc>
        <w:tc>
          <w:tcPr>
            <w:tcW w:w="1410" w:type="dxa"/>
            <w:shd w:val="clear" w:color="auto" w:fill="auto"/>
            <w:vAlign w:val="center"/>
          </w:tcPr>
          <w:p w:rsidR="00260DBF" w:rsidRDefault="00260DBF" w:rsidP="007537ED">
            <w:pPr>
              <w:jc w:val="center"/>
            </w:pPr>
            <w:r>
              <w:t>0</w:t>
            </w:r>
          </w:p>
        </w:tc>
        <w:tc>
          <w:tcPr>
            <w:tcW w:w="1408" w:type="dxa"/>
            <w:shd w:val="clear" w:color="auto" w:fill="auto"/>
            <w:vAlign w:val="center"/>
          </w:tcPr>
          <w:p w:rsidR="00260DBF" w:rsidRDefault="00260DBF" w:rsidP="007537ED">
            <w:pPr>
              <w:jc w:val="center"/>
            </w:pPr>
            <w:r>
              <w:t>0</w:t>
            </w:r>
          </w:p>
        </w:tc>
      </w:tr>
      <w:tr w:rsidR="00260DBF" w:rsidTr="00B13BFF">
        <w:tc>
          <w:tcPr>
            <w:tcW w:w="3495" w:type="dxa"/>
            <w:shd w:val="clear" w:color="auto" w:fill="auto"/>
          </w:tcPr>
          <w:p w:rsidR="00260DBF" w:rsidRPr="001F5335" w:rsidRDefault="00260DBF" w:rsidP="007537ED">
            <w:pPr>
              <w:pStyle w:val="tvhtmlmktable"/>
              <w:rPr>
                <w:b/>
              </w:rPr>
            </w:pPr>
            <w:r w:rsidRPr="001F5335">
              <w:rPr>
                <w:b/>
              </w:rPr>
              <w:t>3. Finansiālā ietekme:</w:t>
            </w:r>
          </w:p>
        </w:tc>
        <w:tc>
          <w:tcPr>
            <w:tcW w:w="1357" w:type="dxa"/>
            <w:shd w:val="clear" w:color="auto" w:fill="auto"/>
            <w:vAlign w:val="center"/>
          </w:tcPr>
          <w:p w:rsidR="00260DBF" w:rsidRPr="001F5335" w:rsidRDefault="00260DBF" w:rsidP="007537ED">
            <w:pPr>
              <w:jc w:val="center"/>
              <w:rPr>
                <w:b/>
              </w:rPr>
            </w:pPr>
            <w:r w:rsidRPr="001F5335">
              <w:rPr>
                <w:b/>
              </w:rPr>
              <w:t>0</w:t>
            </w:r>
          </w:p>
        </w:tc>
        <w:tc>
          <w:tcPr>
            <w:tcW w:w="1410" w:type="dxa"/>
            <w:shd w:val="clear" w:color="auto" w:fill="auto"/>
            <w:vAlign w:val="center"/>
          </w:tcPr>
          <w:p w:rsidR="00260DBF" w:rsidRPr="001F5335" w:rsidRDefault="00260DBF" w:rsidP="007537ED">
            <w:pPr>
              <w:jc w:val="center"/>
              <w:rPr>
                <w:b/>
              </w:rPr>
            </w:pPr>
            <w:r w:rsidRPr="001F5335">
              <w:rPr>
                <w:b/>
              </w:rPr>
              <w:t>0</w:t>
            </w:r>
          </w:p>
        </w:tc>
        <w:tc>
          <w:tcPr>
            <w:tcW w:w="1410" w:type="dxa"/>
            <w:shd w:val="clear" w:color="auto" w:fill="auto"/>
            <w:vAlign w:val="center"/>
          </w:tcPr>
          <w:p w:rsidR="00260DBF" w:rsidRPr="001F5335" w:rsidRDefault="00260DBF" w:rsidP="007537ED">
            <w:pPr>
              <w:jc w:val="center"/>
              <w:rPr>
                <w:b/>
              </w:rPr>
            </w:pPr>
            <w:r>
              <w:rPr>
                <w:b/>
              </w:rPr>
              <w:t>-22</w:t>
            </w:r>
          </w:p>
        </w:tc>
        <w:tc>
          <w:tcPr>
            <w:tcW w:w="1410" w:type="dxa"/>
            <w:shd w:val="clear" w:color="auto" w:fill="auto"/>
            <w:vAlign w:val="center"/>
          </w:tcPr>
          <w:p w:rsidR="00260DBF" w:rsidRPr="001F5335" w:rsidRDefault="00260DBF" w:rsidP="007537ED">
            <w:pPr>
              <w:jc w:val="center"/>
              <w:rPr>
                <w:b/>
              </w:rPr>
            </w:pPr>
            <w:r w:rsidRPr="001F5335">
              <w:rPr>
                <w:b/>
              </w:rPr>
              <w:t>-</w:t>
            </w:r>
            <w:r>
              <w:rPr>
                <w:b/>
              </w:rPr>
              <w:t>837,6</w:t>
            </w:r>
          </w:p>
        </w:tc>
        <w:tc>
          <w:tcPr>
            <w:tcW w:w="1408" w:type="dxa"/>
            <w:shd w:val="clear" w:color="auto" w:fill="auto"/>
            <w:vAlign w:val="center"/>
          </w:tcPr>
          <w:p w:rsidR="00260DBF" w:rsidRPr="001F5335" w:rsidRDefault="00260DBF" w:rsidP="007537ED">
            <w:pPr>
              <w:jc w:val="center"/>
              <w:rPr>
                <w:b/>
              </w:rPr>
            </w:pPr>
            <w:r>
              <w:rPr>
                <w:b/>
              </w:rPr>
              <w:t>-481</w:t>
            </w:r>
          </w:p>
        </w:tc>
      </w:tr>
      <w:tr w:rsidR="00260DBF" w:rsidTr="00B13BFF">
        <w:tc>
          <w:tcPr>
            <w:tcW w:w="3495" w:type="dxa"/>
            <w:shd w:val="clear" w:color="auto" w:fill="auto"/>
          </w:tcPr>
          <w:p w:rsidR="00260DBF" w:rsidRDefault="00260DBF" w:rsidP="007537ED">
            <w:pPr>
              <w:pStyle w:val="tvhtmlmktable"/>
            </w:pPr>
            <w:r>
              <w:t>3.1. valsts pamatbudžets</w:t>
            </w:r>
          </w:p>
        </w:tc>
        <w:tc>
          <w:tcPr>
            <w:tcW w:w="1357" w:type="dxa"/>
            <w:shd w:val="clear" w:color="auto" w:fill="auto"/>
            <w:vAlign w:val="center"/>
          </w:tcPr>
          <w:p w:rsidR="00260DBF" w:rsidRDefault="00260DBF" w:rsidP="007537ED">
            <w:pPr>
              <w:jc w:val="center"/>
            </w:pPr>
            <w:r>
              <w:t>0</w:t>
            </w:r>
          </w:p>
        </w:tc>
        <w:tc>
          <w:tcPr>
            <w:tcW w:w="1410" w:type="dxa"/>
            <w:shd w:val="clear" w:color="auto" w:fill="auto"/>
            <w:vAlign w:val="center"/>
          </w:tcPr>
          <w:p w:rsidR="00260DBF" w:rsidRDefault="00260DBF" w:rsidP="007537ED">
            <w:pPr>
              <w:jc w:val="center"/>
            </w:pPr>
            <w:r>
              <w:t>0</w:t>
            </w:r>
          </w:p>
        </w:tc>
        <w:tc>
          <w:tcPr>
            <w:tcW w:w="1410" w:type="dxa"/>
            <w:shd w:val="clear" w:color="auto" w:fill="auto"/>
            <w:vAlign w:val="center"/>
          </w:tcPr>
          <w:p w:rsidR="00260DBF" w:rsidRPr="009E0872" w:rsidRDefault="00260DBF" w:rsidP="007537ED">
            <w:pPr>
              <w:jc w:val="center"/>
            </w:pPr>
            <w:r w:rsidRPr="009E0872">
              <w:t>-22</w:t>
            </w:r>
          </w:p>
        </w:tc>
        <w:tc>
          <w:tcPr>
            <w:tcW w:w="1410" w:type="dxa"/>
            <w:shd w:val="clear" w:color="auto" w:fill="auto"/>
            <w:vAlign w:val="center"/>
          </w:tcPr>
          <w:p w:rsidR="00260DBF" w:rsidRPr="009E0872" w:rsidRDefault="00260DBF" w:rsidP="007537ED">
            <w:pPr>
              <w:jc w:val="center"/>
            </w:pPr>
            <w:r w:rsidRPr="009E0872">
              <w:t>-83</w:t>
            </w:r>
            <w:r>
              <w:t>7</w:t>
            </w:r>
            <w:r w:rsidRPr="009E0872">
              <w:t>,</w:t>
            </w:r>
            <w:r>
              <w:t>6</w:t>
            </w:r>
          </w:p>
        </w:tc>
        <w:tc>
          <w:tcPr>
            <w:tcW w:w="1408" w:type="dxa"/>
            <w:shd w:val="clear" w:color="auto" w:fill="auto"/>
            <w:vAlign w:val="center"/>
          </w:tcPr>
          <w:p w:rsidR="00260DBF" w:rsidRPr="009E0872" w:rsidRDefault="00260DBF" w:rsidP="007537ED">
            <w:pPr>
              <w:jc w:val="center"/>
            </w:pPr>
            <w:r w:rsidRPr="009E0872">
              <w:t>-481</w:t>
            </w:r>
          </w:p>
        </w:tc>
      </w:tr>
      <w:tr w:rsidR="00260DBF" w:rsidTr="00B13BFF">
        <w:tc>
          <w:tcPr>
            <w:tcW w:w="3495" w:type="dxa"/>
            <w:shd w:val="clear" w:color="auto" w:fill="auto"/>
          </w:tcPr>
          <w:p w:rsidR="00260DBF" w:rsidRDefault="00260DBF" w:rsidP="007537ED">
            <w:pPr>
              <w:pStyle w:val="tvhtmlmktable"/>
            </w:pPr>
            <w:r>
              <w:t>3.2. speciālais budžets</w:t>
            </w:r>
          </w:p>
        </w:tc>
        <w:tc>
          <w:tcPr>
            <w:tcW w:w="1357" w:type="dxa"/>
            <w:shd w:val="clear" w:color="auto" w:fill="auto"/>
            <w:vAlign w:val="center"/>
          </w:tcPr>
          <w:p w:rsidR="00260DBF" w:rsidRDefault="00260DBF" w:rsidP="007537ED">
            <w:pPr>
              <w:jc w:val="center"/>
            </w:pPr>
            <w:r>
              <w:t>0</w:t>
            </w:r>
          </w:p>
        </w:tc>
        <w:tc>
          <w:tcPr>
            <w:tcW w:w="1410" w:type="dxa"/>
            <w:shd w:val="clear" w:color="auto" w:fill="auto"/>
            <w:vAlign w:val="center"/>
          </w:tcPr>
          <w:p w:rsidR="00260DBF" w:rsidRDefault="00260DBF" w:rsidP="007537ED">
            <w:pPr>
              <w:jc w:val="center"/>
            </w:pPr>
            <w:r>
              <w:t>0</w:t>
            </w:r>
          </w:p>
        </w:tc>
        <w:tc>
          <w:tcPr>
            <w:tcW w:w="1410" w:type="dxa"/>
            <w:shd w:val="clear" w:color="auto" w:fill="auto"/>
            <w:vAlign w:val="center"/>
          </w:tcPr>
          <w:p w:rsidR="00260DBF" w:rsidRDefault="00260DBF" w:rsidP="007537ED">
            <w:pPr>
              <w:jc w:val="center"/>
            </w:pPr>
            <w:r>
              <w:t>0</w:t>
            </w:r>
          </w:p>
        </w:tc>
        <w:tc>
          <w:tcPr>
            <w:tcW w:w="1410" w:type="dxa"/>
            <w:shd w:val="clear" w:color="auto" w:fill="auto"/>
            <w:vAlign w:val="center"/>
          </w:tcPr>
          <w:p w:rsidR="00260DBF" w:rsidRDefault="00260DBF" w:rsidP="007537ED">
            <w:pPr>
              <w:jc w:val="center"/>
            </w:pPr>
            <w:r>
              <w:t>0</w:t>
            </w:r>
          </w:p>
        </w:tc>
        <w:tc>
          <w:tcPr>
            <w:tcW w:w="1408" w:type="dxa"/>
            <w:shd w:val="clear" w:color="auto" w:fill="auto"/>
            <w:vAlign w:val="center"/>
          </w:tcPr>
          <w:p w:rsidR="00260DBF" w:rsidRDefault="00260DBF" w:rsidP="007537ED">
            <w:pPr>
              <w:jc w:val="center"/>
            </w:pPr>
            <w:r>
              <w:t>0</w:t>
            </w:r>
          </w:p>
        </w:tc>
      </w:tr>
      <w:tr w:rsidR="00260DBF" w:rsidTr="00B13BFF">
        <w:tc>
          <w:tcPr>
            <w:tcW w:w="3495" w:type="dxa"/>
            <w:shd w:val="clear" w:color="auto" w:fill="auto"/>
          </w:tcPr>
          <w:p w:rsidR="00260DBF" w:rsidRDefault="00260DBF" w:rsidP="007537ED">
            <w:pPr>
              <w:pStyle w:val="tvhtmlmktable"/>
            </w:pPr>
            <w:r>
              <w:t>3.3. pašvaldību budžets</w:t>
            </w:r>
          </w:p>
        </w:tc>
        <w:tc>
          <w:tcPr>
            <w:tcW w:w="1357" w:type="dxa"/>
            <w:shd w:val="clear" w:color="auto" w:fill="auto"/>
            <w:vAlign w:val="center"/>
          </w:tcPr>
          <w:p w:rsidR="00260DBF" w:rsidRDefault="00260DBF" w:rsidP="007537ED">
            <w:pPr>
              <w:jc w:val="center"/>
            </w:pPr>
            <w:r>
              <w:t>0</w:t>
            </w:r>
          </w:p>
        </w:tc>
        <w:tc>
          <w:tcPr>
            <w:tcW w:w="1410" w:type="dxa"/>
            <w:shd w:val="clear" w:color="auto" w:fill="auto"/>
            <w:vAlign w:val="center"/>
          </w:tcPr>
          <w:p w:rsidR="00260DBF" w:rsidRDefault="00260DBF" w:rsidP="007537ED">
            <w:pPr>
              <w:jc w:val="center"/>
            </w:pPr>
            <w:r>
              <w:t>0</w:t>
            </w:r>
          </w:p>
        </w:tc>
        <w:tc>
          <w:tcPr>
            <w:tcW w:w="1410" w:type="dxa"/>
            <w:shd w:val="clear" w:color="auto" w:fill="auto"/>
            <w:vAlign w:val="center"/>
          </w:tcPr>
          <w:p w:rsidR="00260DBF" w:rsidRDefault="00260DBF" w:rsidP="007537ED">
            <w:pPr>
              <w:jc w:val="center"/>
            </w:pPr>
            <w:r>
              <w:t>0</w:t>
            </w:r>
          </w:p>
        </w:tc>
        <w:tc>
          <w:tcPr>
            <w:tcW w:w="1410" w:type="dxa"/>
            <w:shd w:val="clear" w:color="auto" w:fill="auto"/>
            <w:vAlign w:val="center"/>
          </w:tcPr>
          <w:p w:rsidR="00260DBF" w:rsidRDefault="00260DBF" w:rsidP="007537ED">
            <w:pPr>
              <w:jc w:val="center"/>
            </w:pPr>
            <w:r>
              <w:t>0</w:t>
            </w:r>
          </w:p>
        </w:tc>
        <w:tc>
          <w:tcPr>
            <w:tcW w:w="1408" w:type="dxa"/>
            <w:shd w:val="clear" w:color="auto" w:fill="auto"/>
            <w:vAlign w:val="center"/>
          </w:tcPr>
          <w:p w:rsidR="00260DBF" w:rsidRDefault="00260DBF" w:rsidP="007537ED">
            <w:pPr>
              <w:jc w:val="center"/>
            </w:pPr>
            <w:r>
              <w:t>0</w:t>
            </w:r>
          </w:p>
        </w:tc>
      </w:tr>
      <w:tr w:rsidR="00260DBF" w:rsidTr="00B13BFF">
        <w:tc>
          <w:tcPr>
            <w:tcW w:w="3495" w:type="dxa"/>
            <w:vMerge w:val="restart"/>
            <w:shd w:val="clear" w:color="auto" w:fill="auto"/>
          </w:tcPr>
          <w:p w:rsidR="00260DBF" w:rsidRDefault="00260DBF" w:rsidP="007537ED">
            <w:pPr>
              <w:pStyle w:val="tvhtmlmktable"/>
            </w:pPr>
            <w:r>
              <w:t>4. Finanšu līdzekļi papildu izde</w:t>
            </w:r>
            <w:r>
              <w:softHyphen/>
              <w:t>vumu finansēšanai (kompensējošu izdevumu samazinājumu norāda ar "+" zīmi)</w:t>
            </w:r>
          </w:p>
        </w:tc>
        <w:tc>
          <w:tcPr>
            <w:tcW w:w="1357" w:type="dxa"/>
            <w:vMerge w:val="restart"/>
            <w:shd w:val="clear" w:color="auto" w:fill="auto"/>
            <w:vAlign w:val="center"/>
          </w:tcPr>
          <w:p w:rsidR="00260DBF" w:rsidRDefault="00260DBF" w:rsidP="007537ED">
            <w:pPr>
              <w:jc w:val="center"/>
            </w:pPr>
            <w:r>
              <w:t>X</w:t>
            </w:r>
          </w:p>
        </w:tc>
        <w:tc>
          <w:tcPr>
            <w:tcW w:w="1410" w:type="dxa"/>
            <w:shd w:val="clear" w:color="auto" w:fill="auto"/>
          </w:tcPr>
          <w:p w:rsidR="00260DBF" w:rsidRDefault="00260DBF" w:rsidP="007537ED">
            <w:pPr>
              <w:jc w:val="center"/>
            </w:pPr>
            <w:r>
              <w:t>0</w:t>
            </w:r>
          </w:p>
        </w:tc>
        <w:tc>
          <w:tcPr>
            <w:tcW w:w="1410" w:type="dxa"/>
            <w:shd w:val="clear" w:color="auto" w:fill="auto"/>
          </w:tcPr>
          <w:p w:rsidR="00260DBF" w:rsidRDefault="00260DBF" w:rsidP="007537ED">
            <w:pPr>
              <w:jc w:val="center"/>
            </w:pPr>
            <w:r>
              <w:t>0</w:t>
            </w:r>
          </w:p>
        </w:tc>
        <w:tc>
          <w:tcPr>
            <w:tcW w:w="1410" w:type="dxa"/>
            <w:shd w:val="clear" w:color="auto" w:fill="auto"/>
          </w:tcPr>
          <w:p w:rsidR="00260DBF" w:rsidRDefault="00260DBF" w:rsidP="007537ED">
            <w:pPr>
              <w:jc w:val="center"/>
            </w:pPr>
            <w:r>
              <w:t>0</w:t>
            </w:r>
          </w:p>
        </w:tc>
        <w:tc>
          <w:tcPr>
            <w:tcW w:w="1408" w:type="dxa"/>
            <w:shd w:val="clear" w:color="auto" w:fill="auto"/>
          </w:tcPr>
          <w:p w:rsidR="00260DBF" w:rsidRDefault="00260DBF" w:rsidP="007537ED">
            <w:pPr>
              <w:jc w:val="center"/>
            </w:pPr>
            <w:r>
              <w:t>0</w:t>
            </w:r>
          </w:p>
        </w:tc>
      </w:tr>
      <w:tr w:rsidR="00260DBF" w:rsidTr="00B13BFF">
        <w:tc>
          <w:tcPr>
            <w:tcW w:w="3495" w:type="dxa"/>
            <w:vMerge/>
            <w:shd w:val="clear" w:color="auto" w:fill="auto"/>
          </w:tcPr>
          <w:p w:rsidR="00260DBF" w:rsidRDefault="00260DBF" w:rsidP="007537ED"/>
        </w:tc>
        <w:tc>
          <w:tcPr>
            <w:tcW w:w="1357" w:type="dxa"/>
            <w:vMerge/>
            <w:shd w:val="clear" w:color="auto" w:fill="auto"/>
            <w:vAlign w:val="center"/>
          </w:tcPr>
          <w:p w:rsidR="00260DBF" w:rsidRDefault="00260DBF" w:rsidP="007537ED">
            <w:pPr>
              <w:jc w:val="center"/>
            </w:pPr>
          </w:p>
        </w:tc>
        <w:tc>
          <w:tcPr>
            <w:tcW w:w="1410" w:type="dxa"/>
            <w:shd w:val="clear" w:color="auto" w:fill="auto"/>
          </w:tcPr>
          <w:p w:rsidR="00260DBF" w:rsidRDefault="00260DBF" w:rsidP="007537ED">
            <w:pPr>
              <w:jc w:val="center"/>
            </w:pPr>
            <w:r>
              <w:t>0</w:t>
            </w:r>
          </w:p>
        </w:tc>
        <w:tc>
          <w:tcPr>
            <w:tcW w:w="1410" w:type="dxa"/>
            <w:shd w:val="clear" w:color="auto" w:fill="auto"/>
          </w:tcPr>
          <w:p w:rsidR="00260DBF" w:rsidRDefault="00260DBF" w:rsidP="007537ED">
            <w:pPr>
              <w:jc w:val="center"/>
            </w:pPr>
            <w:r>
              <w:t>0</w:t>
            </w:r>
          </w:p>
        </w:tc>
        <w:tc>
          <w:tcPr>
            <w:tcW w:w="1410" w:type="dxa"/>
            <w:shd w:val="clear" w:color="auto" w:fill="auto"/>
          </w:tcPr>
          <w:p w:rsidR="00260DBF" w:rsidRDefault="00260DBF" w:rsidP="007537ED">
            <w:pPr>
              <w:jc w:val="center"/>
            </w:pPr>
            <w:r>
              <w:t>0</w:t>
            </w:r>
          </w:p>
        </w:tc>
        <w:tc>
          <w:tcPr>
            <w:tcW w:w="1408" w:type="dxa"/>
            <w:shd w:val="clear" w:color="auto" w:fill="auto"/>
          </w:tcPr>
          <w:p w:rsidR="00260DBF" w:rsidRDefault="00260DBF" w:rsidP="007537ED">
            <w:pPr>
              <w:jc w:val="center"/>
            </w:pPr>
            <w:r>
              <w:t>0</w:t>
            </w:r>
          </w:p>
        </w:tc>
      </w:tr>
      <w:tr w:rsidR="00260DBF" w:rsidTr="00B13BFF">
        <w:tc>
          <w:tcPr>
            <w:tcW w:w="3495" w:type="dxa"/>
            <w:vMerge/>
            <w:shd w:val="clear" w:color="auto" w:fill="auto"/>
          </w:tcPr>
          <w:p w:rsidR="00260DBF" w:rsidRDefault="00260DBF" w:rsidP="007537ED"/>
        </w:tc>
        <w:tc>
          <w:tcPr>
            <w:tcW w:w="1357" w:type="dxa"/>
            <w:vMerge/>
            <w:shd w:val="clear" w:color="auto" w:fill="auto"/>
            <w:vAlign w:val="center"/>
          </w:tcPr>
          <w:p w:rsidR="00260DBF" w:rsidRDefault="00260DBF" w:rsidP="007537ED">
            <w:pPr>
              <w:jc w:val="center"/>
            </w:pPr>
          </w:p>
        </w:tc>
        <w:tc>
          <w:tcPr>
            <w:tcW w:w="1410" w:type="dxa"/>
            <w:shd w:val="clear" w:color="auto" w:fill="auto"/>
            <w:vAlign w:val="center"/>
          </w:tcPr>
          <w:p w:rsidR="00260DBF" w:rsidRDefault="00260DBF" w:rsidP="007537ED">
            <w:pPr>
              <w:jc w:val="center"/>
            </w:pPr>
            <w:r>
              <w:t>0</w:t>
            </w:r>
          </w:p>
        </w:tc>
        <w:tc>
          <w:tcPr>
            <w:tcW w:w="1410" w:type="dxa"/>
            <w:shd w:val="clear" w:color="auto" w:fill="auto"/>
            <w:vAlign w:val="center"/>
          </w:tcPr>
          <w:p w:rsidR="00260DBF" w:rsidRDefault="00260DBF" w:rsidP="007537ED">
            <w:pPr>
              <w:jc w:val="center"/>
            </w:pPr>
            <w:r>
              <w:t>0</w:t>
            </w:r>
          </w:p>
        </w:tc>
        <w:tc>
          <w:tcPr>
            <w:tcW w:w="1410" w:type="dxa"/>
            <w:shd w:val="clear" w:color="auto" w:fill="auto"/>
            <w:vAlign w:val="center"/>
          </w:tcPr>
          <w:p w:rsidR="00260DBF" w:rsidRDefault="00260DBF" w:rsidP="007537ED">
            <w:pPr>
              <w:jc w:val="center"/>
            </w:pPr>
            <w:r>
              <w:t>0</w:t>
            </w:r>
          </w:p>
        </w:tc>
        <w:tc>
          <w:tcPr>
            <w:tcW w:w="1408" w:type="dxa"/>
            <w:shd w:val="clear" w:color="auto" w:fill="auto"/>
            <w:vAlign w:val="center"/>
          </w:tcPr>
          <w:p w:rsidR="00260DBF" w:rsidRDefault="00260DBF" w:rsidP="007537ED">
            <w:pPr>
              <w:jc w:val="center"/>
            </w:pPr>
            <w:r>
              <w:t>0</w:t>
            </w:r>
          </w:p>
        </w:tc>
      </w:tr>
      <w:tr w:rsidR="00260DBF" w:rsidTr="00B13BFF">
        <w:tc>
          <w:tcPr>
            <w:tcW w:w="3495" w:type="dxa"/>
            <w:shd w:val="clear" w:color="auto" w:fill="auto"/>
          </w:tcPr>
          <w:p w:rsidR="00260DBF" w:rsidRDefault="00260DBF" w:rsidP="007537ED">
            <w:pPr>
              <w:pStyle w:val="tvhtmlmktable"/>
            </w:pPr>
            <w:r>
              <w:t>5. Precizēta finansiālā ietekme:</w:t>
            </w:r>
          </w:p>
        </w:tc>
        <w:tc>
          <w:tcPr>
            <w:tcW w:w="1357" w:type="dxa"/>
            <w:vMerge w:val="restart"/>
            <w:shd w:val="clear" w:color="auto" w:fill="auto"/>
            <w:vAlign w:val="center"/>
          </w:tcPr>
          <w:p w:rsidR="00260DBF" w:rsidRDefault="00260DBF" w:rsidP="007537ED">
            <w:pPr>
              <w:jc w:val="center"/>
            </w:pPr>
            <w:r>
              <w:t>X</w:t>
            </w:r>
          </w:p>
        </w:tc>
        <w:tc>
          <w:tcPr>
            <w:tcW w:w="1410" w:type="dxa"/>
            <w:shd w:val="clear" w:color="auto" w:fill="auto"/>
            <w:vAlign w:val="center"/>
          </w:tcPr>
          <w:p w:rsidR="00260DBF" w:rsidRPr="001F5335" w:rsidRDefault="00260DBF" w:rsidP="007537ED">
            <w:pPr>
              <w:jc w:val="center"/>
              <w:rPr>
                <w:b/>
              </w:rPr>
            </w:pPr>
            <w:r w:rsidRPr="001F5335">
              <w:rPr>
                <w:b/>
              </w:rPr>
              <w:t>0</w:t>
            </w:r>
          </w:p>
        </w:tc>
        <w:tc>
          <w:tcPr>
            <w:tcW w:w="1410" w:type="dxa"/>
            <w:shd w:val="clear" w:color="auto" w:fill="auto"/>
            <w:vAlign w:val="center"/>
          </w:tcPr>
          <w:p w:rsidR="00260DBF" w:rsidRPr="001F5335" w:rsidRDefault="00260DBF" w:rsidP="007537ED">
            <w:pPr>
              <w:jc w:val="center"/>
              <w:rPr>
                <w:b/>
              </w:rPr>
            </w:pPr>
            <w:r>
              <w:rPr>
                <w:b/>
              </w:rPr>
              <w:t>-22</w:t>
            </w:r>
          </w:p>
        </w:tc>
        <w:tc>
          <w:tcPr>
            <w:tcW w:w="1410" w:type="dxa"/>
            <w:shd w:val="clear" w:color="auto" w:fill="auto"/>
            <w:vAlign w:val="center"/>
          </w:tcPr>
          <w:p w:rsidR="00260DBF" w:rsidRPr="001F5335" w:rsidRDefault="00260DBF" w:rsidP="007537ED">
            <w:pPr>
              <w:jc w:val="center"/>
              <w:rPr>
                <w:b/>
              </w:rPr>
            </w:pPr>
            <w:r w:rsidRPr="001F5335">
              <w:rPr>
                <w:b/>
              </w:rPr>
              <w:t>-</w:t>
            </w:r>
            <w:r>
              <w:rPr>
                <w:b/>
              </w:rPr>
              <w:t>837,6</w:t>
            </w:r>
          </w:p>
        </w:tc>
        <w:tc>
          <w:tcPr>
            <w:tcW w:w="1408" w:type="dxa"/>
            <w:shd w:val="clear" w:color="auto" w:fill="auto"/>
            <w:vAlign w:val="center"/>
          </w:tcPr>
          <w:p w:rsidR="00260DBF" w:rsidRPr="001F5335" w:rsidRDefault="00260DBF" w:rsidP="007537ED">
            <w:pPr>
              <w:jc w:val="center"/>
              <w:rPr>
                <w:b/>
              </w:rPr>
            </w:pPr>
            <w:r>
              <w:rPr>
                <w:b/>
              </w:rPr>
              <w:t>-481</w:t>
            </w:r>
          </w:p>
        </w:tc>
      </w:tr>
      <w:tr w:rsidR="00260DBF" w:rsidTr="00B13BFF">
        <w:tc>
          <w:tcPr>
            <w:tcW w:w="3495" w:type="dxa"/>
            <w:shd w:val="clear" w:color="auto" w:fill="auto"/>
          </w:tcPr>
          <w:p w:rsidR="00260DBF" w:rsidRDefault="00260DBF" w:rsidP="007537ED">
            <w:pPr>
              <w:pStyle w:val="tvhtmlmktable"/>
            </w:pPr>
            <w:r>
              <w:t>5.1. valsts pamatbudžets</w:t>
            </w:r>
          </w:p>
        </w:tc>
        <w:tc>
          <w:tcPr>
            <w:tcW w:w="1357" w:type="dxa"/>
            <w:vMerge/>
            <w:shd w:val="clear" w:color="auto" w:fill="auto"/>
          </w:tcPr>
          <w:p w:rsidR="00260DBF" w:rsidRDefault="00260DBF" w:rsidP="007537ED"/>
        </w:tc>
        <w:tc>
          <w:tcPr>
            <w:tcW w:w="1410" w:type="dxa"/>
            <w:shd w:val="clear" w:color="auto" w:fill="auto"/>
            <w:vAlign w:val="center"/>
          </w:tcPr>
          <w:p w:rsidR="00260DBF" w:rsidRDefault="00260DBF" w:rsidP="007537ED">
            <w:pPr>
              <w:jc w:val="center"/>
            </w:pPr>
            <w:r>
              <w:t>0</w:t>
            </w:r>
          </w:p>
        </w:tc>
        <w:tc>
          <w:tcPr>
            <w:tcW w:w="1410" w:type="dxa"/>
            <w:shd w:val="clear" w:color="auto" w:fill="auto"/>
            <w:vAlign w:val="center"/>
          </w:tcPr>
          <w:p w:rsidR="00260DBF" w:rsidRPr="00B44004" w:rsidRDefault="00260DBF" w:rsidP="007537ED">
            <w:pPr>
              <w:jc w:val="center"/>
            </w:pPr>
            <w:r w:rsidRPr="009E0872">
              <w:t>-22</w:t>
            </w:r>
          </w:p>
        </w:tc>
        <w:tc>
          <w:tcPr>
            <w:tcW w:w="1410" w:type="dxa"/>
            <w:shd w:val="clear" w:color="auto" w:fill="auto"/>
            <w:vAlign w:val="center"/>
          </w:tcPr>
          <w:p w:rsidR="00260DBF" w:rsidRPr="00B44004" w:rsidRDefault="00260DBF" w:rsidP="007537ED">
            <w:pPr>
              <w:jc w:val="center"/>
            </w:pPr>
            <w:r>
              <w:t>-837</w:t>
            </w:r>
            <w:r w:rsidRPr="009E0872">
              <w:t>,</w:t>
            </w:r>
            <w:r>
              <w:t>6</w:t>
            </w:r>
          </w:p>
        </w:tc>
        <w:tc>
          <w:tcPr>
            <w:tcW w:w="1408" w:type="dxa"/>
            <w:shd w:val="clear" w:color="auto" w:fill="auto"/>
            <w:vAlign w:val="center"/>
          </w:tcPr>
          <w:p w:rsidR="00260DBF" w:rsidRPr="00B44004" w:rsidRDefault="00260DBF" w:rsidP="007537ED">
            <w:pPr>
              <w:jc w:val="center"/>
            </w:pPr>
            <w:r w:rsidRPr="009E0872">
              <w:t>-481</w:t>
            </w:r>
          </w:p>
        </w:tc>
      </w:tr>
      <w:tr w:rsidR="00260DBF" w:rsidTr="00B13BFF">
        <w:tc>
          <w:tcPr>
            <w:tcW w:w="3495" w:type="dxa"/>
            <w:shd w:val="clear" w:color="auto" w:fill="auto"/>
          </w:tcPr>
          <w:p w:rsidR="00260DBF" w:rsidRDefault="00260DBF" w:rsidP="007537ED">
            <w:pPr>
              <w:pStyle w:val="tvhtmlmktable"/>
            </w:pPr>
            <w:r>
              <w:t>5.2. speciālais budžets</w:t>
            </w:r>
          </w:p>
        </w:tc>
        <w:tc>
          <w:tcPr>
            <w:tcW w:w="1357" w:type="dxa"/>
            <w:vMerge/>
            <w:shd w:val="clear" w:color="auto" w:fill="auto"/>
          </w:tcPr>
          <w:p w:rsidR="00260DBF" w:rsidRDefault="00260DBF" w:rsidP="007537ED"/>
        </w:tc>
        <w:tc>
          <w:tcPr>
            <w:tcW w:w="1410" w:type="dxa"/>
            <w:shd w:val="clear" w:color="auto" w:fill="auto"/>
            <w:vAlign w:val="center"/>
          </w:tcPr>
          <w:p w:rsidR="00260DBF" w:rsidRDefault="00260DBF" w:rsidP="007537ED">
            <w:pPr>
              <w:jc w:val="center"/>
            </w:pPr>
            <w:r>
              <w:t>0</w:t>
            </w:r>
          </w:p>
        </w:tc>
        <w:tc>
          <w:tcPr>
            <w:tcW w:w="1410" w:type="dxa"/>
            <w:shd w:val="clear" w:color="auto" w:fill="auto"/>
            <w:vAlign w:val="center"/>
          </w:tcPr>
          <w:p w:rsidR="00260DBF" w:rsidRDefault="00260DBF" w:rsidP="007537ED">
            <w:pPr>
              <w:jc w:val="center"/>
            </w:pPr>
            <w:r>
              <w:t>0</w:t>
            </w:r>
          </w:p>
        </w:tc>
        <w:tc>
          <w:tcPr>
            <w:tcW w:w="1410" w:type="dxa"/>
            <w:shd w:val="clear" w:color="auto" w:fill="auto"/>
            <w:vAlign w:val="center"/>
          </w:tcPr>
          <w:p w:rsidR="00260DBF" w:rsidRDefault="00260DBF" w:rsidP="007537ED">
            <w:pPr>
              <w:jc w:val="center"/>
            </w:pPr>
            <w:r>
              <w:t>0</w:t>
            </w:r>
          </w:p>
        </w:tc>
        <w:tc>
          <w:tcPr>
            <w:tcW w:w="1408" w:type="dxa"/>
            <w:shd w:val="clear" w:color="auto" w:fill="auto"/>
            <w:vAlign w:val="center"/>
          </w:tcPr>
          <w:p w:rsidR="00260DBF" w:rsidRDefault="00260DBF" w:rsidP="007537ED">
            <w:pPr>
              <w:jc w:val="center"/>
            </w:pPr>
            <w:r>
              <w:t>0</w:t>
            </w:r>
          </w:p>
        </w:tc>
      </w:tr>
      <w:tr w:rsidR="00260DBF" w:rsidTr="00B13BFF">
        <w:tc>
          <w:tcPr>
            <w:tcW w:w="3495" w:type="dxa"/>
            <w:shd w:val="clear" w:color="auto" w:fill="auto"/>
          </w:tcPr>
          <w:p w:rsidR="00260DBF" w:rsidRDefault="00260DBF" w:rsidP="007537ED">
            <w:pPr>
              <w:pStyle w:val="tvhtmlmktable"/>
            </w:pPr>
            <w:r>
              <w:t>5.3. pašvaldību budžets</w:t>
            </w:r>
          </w:p>
        </w:tc>
        <w:tc>
          <w:tcPr>
            <w:tcW w:w="1357" w:type="dxa"/>
            <w:vMerge/>
            <w:shd w:val="clear" w:color="auto" w:fill="auto"/>
          </w:tcPr>
          <w:p w:rsidR="00260DBF" w:rsidRDefault="00260DBF" w:rsidP="007537ED"/>
        </w:tc>
        <w:tc>
          <w:tcPr>
            <w:tcW w:w="1410" w:type="dxa"/>
            <w:shd w:val="clear" w:color="auto" w:fill="auto"/>
            <w:vAlign w:val="center"/>
          </w:tcPr>
          <w:p w:rsidR="00260DBF" w:rsidRDefault="00260DBF" w:rsidP="007537ED">
            <w:pPr>
              <w:jc w:val="center"/>
            </w:pPr>
            <w:r>
              <w:t>0</w:t>
            </w:r>
          </w:p>
        </w:tc>
        <w:tc>
          <w:tcPr>
            <w:tcW w:w="1410" w:type="dxa"/>
            <w:shd w:val="clear" w:color="auto" w:fill="auto"/>
            <w:vAlign w:val="center"/>
          </w:tcPr>
          <w:p w:rsidR="00260DBF" w:rsidRDefault="00260DBF" w:rsidP="007537ED">
            <w:pPr>
              <w:jc w:val="center"/>
            </w:pPr>
            <w:r>
              <w:t>0</w:t>
            </w:r>
          </w:p>
        </w:tc>
        <w:tc>
          <w:tcPr>
            <w:tcW w:w="1410" w:type="dxa"/>
            <w:shd w:val="clear" w:color="auto" w:fill="auto"/>
            <w:vAlign w:val="center"/>
          </w:tcPr>
          <w:p w:rsidR="00260DBF" w:rsidRDefault="00260DBF" w:rsidP="007537ED">
            <w:pPr>
              <w:jc w:val="center"/>
            </w:pPr>
            <w:r>
              <w:t>0</w:t>
            </w:r>
          </w:p>
        </w:tc>
        <w:tc>
          <w:tcPr>
            <w:tcW w:w="1408" w:type="dxa"/>
            <w:shd w:val="clear" w:color="auto" w:fill="auto"/>
            <w:vAlign w:val="center"/>
          </w:tcPr>
          <w:p w:rsidR="00260DBF" w:rsidRDefault="00260DBF" w:rsidP="007537ED">
            <w:pPr>
              <w:jc w:val="center"/>
            </w:pPr>
            <w:r>
              <w:t>0</w:t>
            </w:r>
          </w:p>
        </w:tc>
      </w:tr>
      <w:tr w:rsidR="00B13BFF" w:rsidTr="00B13BFF">
        <w:tc>
          <w:tcPr>
            <w:tcW w:w="3495" w:type="dxa"/>
            <w:shd w:val="clear" w:color="auto" w:fill="auto"/>
          </w:tcPr>
          <w:p w:rsidR="00B13BFF" w:rsidRDefault="00B13BFF" w:rsidP="007537ED">
            <w:pPr>
              <w:pStyle w:val="tvhtmlmktable"/>
            </w:pPr>
            <w:r>
              <w:t>6. Detalizēts ieņēmumu un izdevu</w:t>
            </w:r>
            <w:r>
              <w:softHyphen/>
              <w:t>mu aprēķins (ja nepieciešams, detalizētu ieņēmumu un izdevumu aprēķinu var pievienot anotācijas pielikumā):</w:t>
            </w:r>
          </w:p>
        </w:tc>
        <w:tc>
          <w:tcPr>
            <w:tcW w:w="1357" w:type="dxa"/>
            <w:shd w:val="clear" w:color="auto" w:fill="auto"/>
          </w:tcPr>
          <w:p w:rsidR="00B13BFF" w:rsidRDefault="00B13BFF" w:rsidP="007537ED"/>
        </w:tc>
        <w:tc>
          <w:tcPr>
            <w:tcW w:w="1410" w:type="dxa"/>
            <w:shd w:val="clear" w:color="auto" w:fill="auto"/>
            <w:vAlign w:val="center"/>
          </w:tcPr>
          <w:p w:rsidR="00B13BFF" w:rsidRDefault="00B13BFF" w:rsidP="007537ED">
            <w:pPr>
              <w:jc w:val="center"/>
            </w:pPr>
          </w:p>
        </w:tc>
        <w:tc>
          <w:tcPr>
            <w:tcW w:w="1410" w:type="dxa"/>
            <w:shd w:val="clear" w:color="auto" w:fill="auto"/>
            <w:vAlign w:val="center"/>
          </w:tcPr>
          <w:p w:rsidR="00B13BFF" w:rsidRDefault="00B13BFF" w:rsidP="007537ED">
            <w:pPr>
              <w:jc w:val="center"/>
            </w:pPr>
          </w:p>
        </w:tc>
        <w:tc>
          <w:tcPr>
            <w:tcW w:w="1410" w:type="dxa"/>
            <w:shd w:val="clear" w:color="auto" w:fill="auto"/>
            <w:vAlign w:val="center"/>
          </w:tcPr>
          <w:p w:rsidR="00B13BFF" w:rsidRDefault="00B13BFF" w:rsidP="007537ED">
            <w:pPr>
              <w:jc w:val="center"/>
            </w:pPr>
          </w:p>
        </w:tc>
        <w:tc>
          <w:tcPr>
            <w:tcW w:w="1408" w:type="dxa"/>
            <w:shd w:val="clear" w:color="auto" w:fill="auto"/>
            <w:vAlign w:val="center"/>
          </w:tcPr>
          <w:p w:rsidR="00B13BFF" w:rsidRDefault="00B13BFF" w:rsidP="007537ED">
            <w:pPr>
              <w:jc w:val="center"/>
            </w:pPr>
          </w:p>
        </w:tc>
      </w:tr>
      <w:tr w:rsidR="00B13BFF" w:rsidTr="00B13BFF">
        <w:tc>
          <w:tcPr>
            <w:tcW w:w="3495" w:type="dxa"/>
            <w:shd w:val="clear" w:color="auto" w:fill="auto"/>
          </w:tcPr>
          <w:p w:rsidR="00B13BFF" w:rsidRDefault="00B13BFF" w:rsidP="007537ED">
            <w:pPr>
              <w:pStyle w:val="tvhtmlmktable"/>
            </w:pPr>
            <w:r>
              <w:t>6.1. detalizēts ieņēmumu aprēķins</w:t>
            </w:r>
          </w:p>
        </w:tc>
        <w:tc>
          <w:tcPr>
            <w:tcW w:w="1357" w:type="dxa"/>
            <w:shd w:val="clear" w:color="auto" w:fill="auto"/>
          </w:tcPr>
          <w:p w:rsidR="00B13BFF" w:rsidRDefault="00B13BFF" w:rsidP="007537ED"/>
        </w:tc>
        <w:tc>
          <w:tcPr>
            <w:tcW w:w="1410" w:type="dxa"/>
            <w:shd w:val="clear" w:color="auto" w:fill="auto"/>
            <w:vAlign w:val="center"/>
          </w:tcPr>
          <w:p w:rsidR="00B13BFF" w:rsidRDefault="00B13BFF" w:rsidP="007537ED">
            <w:pPr>
              <w:jc w:val="center"/>
            </w:pPr>
          </w:p>
        </w:tc>
        <w:tc>
          <w:tcPr>
            <w:tcW w:w="1410" w:type="dxa"/>
            <w:shd w:val="clear" w:color="auto" w:fill="auto"/>
            <w:vAlign w:val="center"/>
          </w:tcPr>
          <w:p w:rsidR="00B13BFF" w:rsidRDefault="00B13BFF" w:rsidP="007537ED">
            <w:pPr>
              <w:jc w:val="center"/>
            </w:pPr>
          </w:p>
        </w:tc>
        <w:tc>
          <w:tcPr>
            <w:tcW w:w="1410" w:type="dxa"/>
            <w:shd w:val="clear" w:color="auto" w:fill="auto"/>
            <w:vAlign w:val="center"/>
          </w:tcPr>
          <w:p w:rsidR="00B13BFF" w:rsidRDefault="00B13BFF" w:rsidP="007537ED">
            <w:pPr>
              <w:jc w:val="center"/>
            </w:pPr>
          </w:p>
        </w:tc>
        <w:tc>
          <w:tcPr>
            <w:tcW w:w="1408" w:type="dxa"/>
            <w:shd w:val="clear" w:color="auto" w:fill="auto"/>
            <w:vAlign w:val="center"/>
          </w:tcPr>
          <w:p w:rsidR="00B13BFF" w:rsidRDefault="00B13BFF" w:rsidP="007537ED">
            <w:pPr>
              <w:jc w:val="center"/>
            </w:pPr>
          </w:p>
        </w:tc>
      </w:tr>
      <w:tr w:rsidR="00D65332" w:rsidTr="009E3E37">
        <w:tc>
          <w:tcPr>
            <w:tcW w:w="3495" w:type="dxa"/>
            <w:shd w:val="clear" w:color="auto" w:fill="auto"/>
          </w:tcPr>
          <w:p w:rsidR="00D65332" w:rsidRDefault="00D65332" w:rsidP="007537ED">
            <w:pPr>
              <w:pStyle w:val="tvhtmlmktable"/>
            </w:pPr>
            <w:r>
              <w:t>6.2. detalizēts izdevumu aprēķins</w:t>
            </w:r>
          </w:p>
        </w:tc>
        <w:tc>
          <w:tcPr>
            <w:tcW w:w="6995" w:type="dxa"/>
            <w:gridSpan w:val="5"/>
            <w:shd w:val="clear" w:color="auto" w:fill="auto"/>
          </w:tcPr>
          <w:p w:rsidR="00D65332" w:rsidRDefault="002547E9" w:rsidP="007537ED">
            <w:pPr>
              <w:jc w:val="center"/>
            </w:pPr>
            <w:r>
              <w:t>latos</w:t>
            </w:r>
          </w:p>
        </w:tc>
      </w:tr>
      <w:tr w:rsidR="00B13BFF" w:rsidTr="00B13BFF">
        <w:tc>
          <w:tcPr>
            <w:tcW w:w="3495" w:type="dxa"/>
            <w:shd w:val="clear" w:color="auto" w:fill="auto"/>
          </w:tcPr>
          <w:p w:rsidR="00B13BFF" w:rsidRDefault="00B13BFF" w:rsidP="007537ED">
            <w:pPr>
              <w:pStyle w:val="tvhtmlmktable"/>
              <w:rPr>
                <w:i/>
              </w:rPr>
            </w:pPr>
            <w:r>
              <w:t>6.2.1. iepriekš noteiktajam projektam „</w:t>
            </w:r>
            <w:r w:rsidRPr="00666891">
              <w:rPr>
                <w:i/>
              </w:rPr>
              <w:t xml:space="preserve">Alternatīvu brīvības atņemšanai sekmēšana (ieskaitot iespējamo pilotprojektu </w:t>
            </w:r>
            <w:r w:rsidRPr="00666891">
              <w:rPr>
                <w:i/>
              </w:rPr>
              <w:lastRenderedPageBreak/>
              <w:t>elektroniskajai uzraudzībai)”</w:t>
            </w:r>
          </w:p>
          <w:p w:rsidR="00B13BFF" w:rsidRPr="00B13BFF" w:rsidRDefault="00B13BFF" w:rsidP="007537ED">
            <w:pPr>
              <w:pStyle w:val="tvhtmlmktable"/>
              <w:rPr>
                <w:i/>
                <w:u w:val="single"/>
              </w:rPr>
            </w:pPr>
            <w:r w:rsidRPr="00B13BFF">
              <w:rPr>
                <w:i/>
                <w:u w:val="single"/>
              </w:rPr>
              <w:t>Tai skaitā:</w:t>
            </w:r>
          </w:p>
          <w:p w:rsidR="00B13BFF" w:rsidRDefault="00B13BFF" w:rsidP="007537ED">
            <w:pPr>
              <w:pStyle w:val="tvhtmlmktable"/>
              <w:rPr>
                <w:i/>
              </w:rPr>
            </w:pPr>
            <w:r>
              <w:rPr>
                <w:i/>
              </w:rPr>
              <w:t>Norvēģijas finanšu instrumenta (NFI) daļa</w:t>
            </w:r>
          </w:p>
          <w:p w:rsidR="00B13BFF" w:rsidRDefault="00B13BFF" w:rsidP="007537ED">
            <w:pPr>
              <w:pStyle w:val="tvhtmlmktable"/>
            </w:pPr>
            <w:r>
              <w:rPr>
                <w:i/>
              </w:rPr>
              <w:t>LV līdzfinansējums</w:t>
            </w:r>
          </w:p>
        </w:tc>
        <w:tc>
          <w:tcPr>
            <w:tcW w:w="1357" w:type="dxa"/>
            <w:shd w:val="clear" w:color="auto" w:fill="auto"/>
          </w:tcPr>
          <w:p w:rsidR="00B13BFF" w:rsidRDefault="00B13BFF" w:rsidP="007537ED"/>
        </w:tc>
        <w:tc>
          <w:tcPr>
            <w:tcW w:w="1410" w:type="dxa"/>
            <w:shd w:val="clear" w:color="auto" w:fill="auto"/>
            <w:vAlign w:val="center"/>
          </w:tcPr>
          <w:p w:rsidR="00B13BFF" w:rsidRDefault="00B13BFF" w:rsidP="007537ED">
            <w:pPr>
              <w:jc w:val="center"/>
            </w:pPr>
          </w:p>
        </w:tc>
        <w:tc>
          <w:tcPr>
            <w:tcW w:w="1410" w:type="dxa"/>
            <w:shd w:val="clear" w:color="auto" w:fill="auto"/>
          </w:tcPr>
          <w:p w:rsidR="00B13BFF" w:rsidRPr="005D472E" w:rsidRDefault="00B13BFF" w:rsidP="00B13BFF">
            <w:pPr>
              <w:jc w:val="center"/>
              <w:rPr>
                <w:b/>
              </w:rPr>
            </w:pPr>
            <w:r w:rsidRPr="005D472E">
              <w:rPr>
                <w:b/>
              </w:rPr>
              <w:t>46 764</w:t>
            </w:r>
          </w:p>
          <w:p w:rsidR="00B13BFF" w:rsidRDefault="00B13BFF" w:rsidP="00B13BFF">
            <w:pPr>
              <w:jc w:val="center"/>
            </w:pPr>
          </w:p>
          <w:p w:rsidR="00B13BFF" w:rsidRDefault="00B13BFF" w:rsidP="00B13BFF">
            <w:pPr>
              <w:jc w:val="center"/>
            </w:pPr>
          </w:p>
          <w:p w:rsidR="00B13BFF" w:rsidRDefault="00B13BFF" w:rsidP="00B13BFF">
            <w:pPr>
              <w:jc w:val="center"/>
            </w:pPr>
          </w:p>
          <w:p w:rsidR="00B13BFF" w:rsidRDefault="00B13BFF" w:rsidP="00B13BFF">
            <w:pPr>
              <w:jc w:val="center"/>
            </w:pPr>
          </w:p>
          <w:p w:rsidR="00B13BFF" w:rsidRDefault="00B13BFF" w:rsidP="00B13BFF">
            <w:pPr>
              <w:jc w:val="center"/>
            </w:pPr>
          </w:p>
          <w:p w:rsidR="00B13BFF" w:rsidRDefault="00B13BFF" w:rsidP="00B13BFF">
            <w:pPr>
              <w:jc w:val="center"/>
            </w:pPr>
          </w:p>
          <w:p w:rsidR="00B13BFF" w:rsidRDefault="00B13BFF" w:rsidP="00B13BFF">
            <w:pPr>
              <w:jc w:val="center"/>
            </w:pPr>
          </w:p>
          <w:p w:rsidR="00B13BFF" w:rsidRDefault="00B13BFF" w:rsidP="00B13BFF">
            <w:pPr>
              <w:jc w:val="center"/>
            </w:pPr>
            <w:r>
              <w:t>39 749</w:t>
            </w:r>
          </w:p>
          <w:p w:rsidR="00B13BFF" w:rsidRDefault="00B13BFF" w:rsidP="00B13BFF">
            <w:pPr>
              <w:jc w:val="center"/>
            </w:pPr>
          </w:p>
          <w:p w:rsidR="00B13BFF" w:rsidRDefault="00B13BFF" w:rsidP="00B13BFF">
            <w:pPr>
              <w:jc w:val="center"/>
            </w:pPr>
          </w:p>
          <w:p w:rsidR="00B13BFF" w:rsidRDefault="00B13BFF" w:rsidP="00B13BFF">
            <w:pPr>
              <w:jc w:val="center"/>
            </w:pPr>
            <w:r>
              <w:t>7 015</w:t>
            </w:r>
          </w:p>
        </w:tc>
        <w:tc>
          <w:tcPr>
            <w:tcW w:w="1410" w:type="dxa"/>
            <w:shd w:val="clear" w:color="auto" w:fill="auto"/>
          </w:tcPr>
          <w:p w:rsidR="00B13BFF" w:rsidRPr="005D472E" w:rsidRDefault="00B13BFF" w:rsidP="00B13BFF">
            <w:pPr>
              <w:jc w:val="center"/>
              <w:rPr>
                <w:b/>
              </w:rPr>
            </w:pPr>
            <w:r w:rsidRPr="005D472E">
              <w:rPr>
                <w:b/>
              </w:rPr>
              <w:lastRenderedPageBreak/>
              <w:t>432 382</w:t>
            </w:r>
          </w:p>
          <w:p w:rsidR="00B13BFF" w:rsidRDefault="00B13BFF" w:rsidP="00B13BFF">
            <w:pPr>
              <w:jc w:val="center"/>
            </w:pPr>
          </w:p>
          <w:p w:rsidR="00B13BFF" w:rsidRDefault="00B13BFF" w:rsidP="00B13BFF">
            <w:pPr>
              <w:jc w:val="center"/>
            </w:pPr>
          </w:p>
          <w:p w:rsidR="00B13BFF" w:rsidRDefault="00B13BFF" w:rsidP="00B13BFF">
            <w:pPr>
              <w:jc w:val="center"/>
            </w:pPr>
          </w:p>
          <w:p w:rsidR="00B13BFF" w:rsidRDefault="00B13BFF" w:rsidP="00B13BFF">
            <w:pPr>
              <w:jc w:val="center"/>
            </w:pPr>
          </w:p>
          <w:p w:rsidR="00B13BFF" w:rsidRDefault="00B13BFF" w:rsidP="00B13BFF">
            <w:pPr>
              <w:jc w:val="center"/>
            </w:pPr>
          </w:p>
          <w:p w:rsidR="00B13BFF" w:rsidRDefault="00B13BFF" w:rsidP="00B13BFF">
            <w:pPr>
              <w:jc w:val="center"/>
            </w:pPr>
          </w:p>
          <w:p w:rsidR="00B13BFF" w:rsidRDefault="00B13BFF" w:rsidP="00B13BFF">
            <w:pPr>
              <w:jc w:val="center"/>
            </w:pPr>
          </w:p>
          <w:p w:rsidR="00B13BFF" w:rsidRDefault="00B13BFF" w:rsidP="00B13BFF">
            <w:pPr>
              <w:jc w:val="center"/>
            </w:pPr>
            <w:r>
              <w:t>367 525</w:t>
            </w:r>
          </w:p>
          <w:p w:rsidR="00B13BFF" w:rsidRDefault="00B13BFF" w:rsidP="00B13BFF">
            <w:pPr>
              <w:jc w:val="center"/>
            </w:pPr>
          </w:p>
          <w:p w:rsidR="00B13BFF" w:rsidRDefault="00B13BFF" w:rsidP="00B13BFF">
            <w:pPr>
              <w:jc w:val="center"/>
            </w:pPr>
          </w:p>
          <w:p w:rsidR="00B13BFF" w:rsidRDefault="00B13BFF" w:rsidP="00B13BFF">
            <w:pPr>
              <w:jc w:val="center"/>
            </w:pPr>
            <w:r>
              <w:t>64 857</w:t>
            </w:r>
          </w:p>
        </w:tc>
        <w:tc>
          <w:tcPr>
            <w:tcW w:w="1408" w:type="dxa"/>
            <w:shd w:val="clear" w:color="auto" w:fill="auto"/>
          </w:tcPr>
          <w:p w:rsidR="00B13BFF" w:rsidRPr="00D65332" w:rsidRDefault="00B13BFF" w:rsidP="00B13BFF">
            <w:pPr>
              <w:jc w:val="center"/>
              <w:rPr>
                <w:b/>
              </w:rPr>
            </w:pPr>
            <w:r w:rsidRPr="00D65332">
              <w:rPr>
                <w:b/>
              </w:rPr>
              <w:lastRenderedPageBreak/>
              <w:t>861 379</w:t>
            </w:r>
          </w:p>
          <w:p w:rsidR="00B13BFF" w:rsidRDefault="00B13BFF" w:rsidP="00B13BFF">
            <w:pPr>
              <w:jc w:val="center"/>
            </w:pPr>
          </w:p>
          <w:p w:rsidR="00B13BFF" w:rsidRDefault="00B13BFF" w:rsidP="00B13BFF">
            <w:pPr>
              <w:jc w:val="center"/>
            </w:pPr>
          </w:p>
          <w:p w:rsidR="00B13BFF" w:rsidRDefault="00B13BFF" w:rsidP="00B13BFF">
            <w:pPr>
              <w:jc w:val="center"/>
            </w:pPr>
          </w:p>
          <w:p w:rsidR="00B13BFF" w:rsidRDefault="00B13BFF" w:rsidP="00B13BFF">
            <w:pPr>
              <w:jc w:val="center"/>
            </w:pPr>
          </w:p>
          <w:p w:rsidR="00B13BFF" w:rsidRDefault="00B13BFF" w:rsidP="00B13BFF">
            <w:pPr>
              <w:jc w:val="center"/>
            </w:pPr>
          </w:p>
          <w:p w:rsidR="00B13BFF" w:rsidRDefault="00B13BFF" w:rsidP="00B13BFF">
            <w:pPr>
              <w:jc w:val="center"/>
            </w:pPr>
          </w:p>
          <w:p w:rsidR="00B13BFF" w:rsidRDefault="00B13BFF" w:rsidP="00B13BFF">
            <w:pPr>
              <w:jc w:val="center"/>
            </w:pPr>
          </w:p>
          <w:p w:rsidR="00B13BFF" w:rsidRDefault="00B13BFF" w:rsidP="00B13BFF">
            <w:pPr>
              <w:jc w:val="center"/>
            </w:pPr>
            <w:r>
              <w:t>732 172</w:t>
            </w:r>
          </w:p>
          <w:p w:rsidR="00B13BFF" w:rsidRDefault="00B13BFF" w:rsidP="00B13BFF">
            <w:pPr>
              <w:jc w:val="center"/>
            </w:pPr>
          </w:p>
          <w:p w:rsidR="00B13BFF" w:rsidRDefault="00B13BFF" w:rsidP="00B13BFF">
            <w:pPr>
              <w:jc w:val="center"/>
            </w:pPr>
          </w:p>
          <w:p w:rsidR="00B13BFF" w:rsidRDefault="00B13BFF" w:rsidP="00B13BFF">
            <w:pPr>
              <w:jc w:val="center"/>
            </w:pPr>
            <w:r>
              <w:t>129 207</w:t>
            </w:r>
          </w:p>
        </w:tc>
      </w:tr>
      <w:tr w:rsidR="00B13BFF" w:rsidTr="00B13BFF">
        <w:tc>
          <w:tcPr>
            <w:tcW w:w="3495" w:type="dxa"/>
            <w:shd w:val="clear" w:color="auto" w:fill="auto"/>
          </w:tcPr>
          <w:p w:rsidR="00B13BFF" w:rsidRDefault="00B13BFF" w:rsidP="007537ED">
            <w:pPr>
              <w:pStyle w:val="tvhtmlmktable"/>
              <w:rPr>
                <w:i/>
              </w:rPr>
            </w:pPr>
            <w:r>
              <w:lastRenderedPageBreak/>
              <w:t>6.2.2. iepriekš noteiktajam projektam</w:t>
            </w:r>
            <w:r w:rsidRPr="00666891">
              <w:rPr>
                <w:i/>
              </w:rPr>
              <w:t xml:space="preserve"> „Jauna nodaļa Olaines cietumā, ieskaitot būvniecību un personāla apmācību”</w:t>
            </w:r>
          </w:p>
          <w:p w:rsidR="007537ED" w:rsidRPr="00B13BFF" w:rsidRDefault="007537ED" w:rsidP="007537ED">
            <w:pPr>
              <w:pStyle w:val="tvhtmlmktable"/>
              <w:rPr>
                <w:i/>
                <w:u w:val="single"/>
              </w:rPr>
            </w:pPr>
            <w:r w:rsidRPr="00B13BFF">
              <w:rPr>
                <w:i/>
                <w:u w:val="single"/>
              </w:rPr>
              <w:t>Tai skaitā:</w:t>
            </w:r>
          </w:p>
          <w:p w:rsidR="007537ED" w:rsidRDefault="007537ED" w:rsidP="007537ED">
            <w:pPr>
              <w:pStyle w:val="tvhtmlmktable"/>
              <w:rPr>
                <w:i/>
              </w:rPr>
            </w:pPr>
            <w:r>
              <w:rPr>
                <w:i/>
              </w:rPr>
              <w:t>NFI daļa</w:t>
            </w:r>
          </w:p>
          <w:p w:rsidR="007537ED" w:rsidRDefault="007537ED" w:rsidP="007537ED">
            <w:pPr>
              <w:pStyle w:val="tvhtmlmktable"/>
            </w:pPr>
            <w:r>
              <w:rPr>
                <w:i/>
              </w:rPr>
              <w:t>LV līdzfinansējums</w:t>
            </w:r>
          </w:p>
        </w:tc>
        <w:tc>
          <w:tcPr>
            <w:tcW w:w="1357" w:type="dxa"/>
            <w:shd w:val="clear" w:color="auto" w:fill="auto"/>
          </w:tcPr>
          <w:p w:rsidR="00B13BFF" w:rsidRDefault="00B13BFF" w:rsidP="007537ED"/>
        </w:tc>
        <w:tc>
          <w:tcPr>
            <w:tcW w:w="1410" w:type="dxa"/>
            <w:shd w:val="clear" w:color="auto" w:fill="auto"/>
            <w:vAlign w:val="center"/>
          </w:tcPr>
          <w:p w:rsidR="00B13BFF" w:rsidRDefault="00B13BFF" w:rsidP="007537ED">
            <w:pPr>
              <w:jc w:val="center"/>
            </w:pPr>
          </w:p>
        </w:tc>
        <w:tc>
          <w:tcPr>
            <w:tcW w:w="1410" w:type="dxa"/>
            <w:shd w:val="clear" w:color="auto" w:fill="auto"/>
          </w:tcPr>
          <w:p w:rsidR="00B13BFF" w:rsidRPr="005D472E" w:rsidRDefault="007537ED" w:rsidP="00B13BFF">
            <w:pPr>
              <w:jc w:val="center"/>
              <w:rPr>
                <w:b/>
              </w:rPr>
            </w:pPr>
            <w:r w:rsidRPr="005D472E">
              <w:rPr>
                <w:b/>
              </w:rPr>
              <w:t>64 021</w:t>
            </w:r>
          </w:p>
          <w:p w:rsidR="007537ED" w:rsidRDefault="007537ED" w:rsidP="00B13BFF">
            <w:pPr>
              <w:jc w:val="center"/>
            </w:pPr>
          </w:p>
          <w:p w:rsidR="007537ED" w:rsidRDefault="007537ED" w:rsidP="00B13BFF">
            <w:pPr>
              <w:jc w:val="center"/>
            </w:pPr>
          </w:p>
          <w:p w:rsidR="007537ED" w:rsidRDefault="007537ED" w:rsidP="00B13BFF">
            <w:pPr>
              <w:jc w:val="center"/>
            </w:pPr>
          </w:p>
          <w:p w:rsidR="007537ED" w:rsidRDefault="007537ED" w:rsidP="00B13BFF">
            <w:pPr>
              <w:jc w:val="center"/>
            </w:pPr>
          </w:p>
          <w:p w:rsidR="007537ED" w:rsidRDefault="007537ED" w:rsidP="00B13BFF">
            <w:pPr>
              <w:jc w:val="center"/>
            </w:pPr>
          </w:p>
          <w:p w:rsidR="007537ED" w:rsidRDefault="007537ED" w:rsidP="00B13BFF">
            <w:pPr>
              <w:jc w:val="center"/>
            </w:pPr>
          </w:p>
          <w:p w:rsidR="007537ED" w:rsidRDefault="007537ED" w:rsidP="00B13BFF">
            <w:pPr>
              <w:jc w:val="center"/>
            </w:pPr>
          </w:p>
          <w:p w:rsidR="007537ED" w:rsidRDefault="007537ED" w:rsidP="00B13BFF">
            <w:pPr>
              <w:jc w:val="center"/>
            </w:pPr>
            <w:r>
              <w:t>54</w:t>
            </w:r>
            <w:r w:rsidR="005D472E">
              <w:t> </w:t>
            </w:r>
            <w:r>
              <w:t>418</w:t>
            </w:r>
          </w:p>
          <w:p w:rsidR="005D472E" w:rsidRDefault="005D472E" w:rsidP="00B13BFF">
            <w:pPr>
              <w:jc w:val="center"/>
            </w:pPr>
          </w:p>
          <w:p w:rsidR="005D472E" w:rsidRDefault="005D472E" w:rsidP="00B13BFF">
            <w:pPr>
              <w:jc w:val="center"/>
            </w:pPr>
            <w:r>
              <w:t>9 603</w:t>
            </w:r>
          </w:p>
        </w:tc>
        <w:tc>
          <w:tcPr>
            <w:tcW w:w="1410" w:type="dxa"/>
            <w:shd w:val="clear" w:color="auto" w:fill="auto"/>
          </w:tcPr>
          <w:p w:rsidR="00B13BFF" w:rsidRPr="005D472E" w:rsidRDefault="007537ED" w:rsidP="00B13BFF">
            <w:pPr>
              <w:jc w:val="center"/>
              <w:rPr>
                <w:b/>
              </w:rPr>
            </w:pPr>
            <w:r w:rsidRPr="005D472E">
              <w:rPr>
                <w:b/>
              </w:rPr>
              <w:t>3 393 541</w:t>
            </w:r>
          </w:p>
          <w:p w:rsidR="007537ED" w:rsidRDefault="007537ED" w:rsidP="00B13BFF">
            <w:pPr>
              <w:jc w:val="center"/>
            </w:pPr>
          </w:p>
          <w:p w:rsidR="007537ED" w:rsidRDefault="007537ED" w:rsidP="00B13BFF">
            <w:pPr>
              <w:jc w:val="center"/>
            </w:pPr>
          </w:p>
          <w:p w:rsidR="007537ED" w:rsidRDefault="007537ED" w:rsidP="00B13BFF">
            <w:pPr>
              <w:jc w:val="center"/>
            </w:pPr>
          </w:p>
          <w:p w:rsidR="007537ED" w:rsidRDefault="007537ED" w:rsidP="00B13BFF">
            <w:pPr>
              <w:jc w:val="center"/>
            </w:pPr>
          </w:p>
          <w:p w:rsidR="007537ED" w:rsidRDefault="007537ED" w:rsidP="00B13BFF">
            <w:pPr>
              <w:jc w:val="center"/>
            </w:pPr>
          </w:p>
          <w:p w:rsidR="007537ED" w:rsidRDefault="007537ED" w:rsidP="00B13BFF">
            <w:pPr>
              <w:jc w:val="center"/>
            </w:pPr>
          </w:p>
          <w:p w:rsidR="007537ED" w:rsidRDefault="007537ED" w:rsidP="00B13BFF">
            <w:pPr>
              <w:jc w:val="center"/>
            </w:pPr>
          </w:p>
          <w:p w:rsidR="007537ED" w:rsidRDefault="007537ED" w:rsidP="00B13BFF">
            <w:pPr>
              <w:jc w:val="center"/>
            </w:pPr>
            <w:r>
              <w:t>2 884</w:t>
            </w:r>
            <w:r w:rsidR="005D472E">
              <w:t> </w:t>
            </w:r>
            <w:r>
              <w:t>510</w:t>
            </w:r>
          </w:p>
          <w:p w:rsidR="007537ED" w:rsidRDefault="007537ED" w:rsidP="00B13BFF">
            <w:pPr>
              <w:jc w:val="center"/>
            </w:pPr>
          </w:p>
          <w:p w:rsidR="005D472E" w:rsidRDefault="005D472E" w:rsidP="00B13BFF">
            <w:pPr>
              <w:jc w:val="center"/>
            </w:pPr>
            <w:r>
              <w:t>509 031</w:t>
            </w:r>
          </w:p>
        </w:tc>
        <w:tc>
          <w:tcPr>
            <w:tcW w:w="1408" w:type="dxa"/>
            <w:shd w:val="clear" w:color="auto" w:fill="auto"/>
          </w:tcPr>
          <w:p w:rsidR="00B13BFF" w:rsidRPr="005D472E" w:rsidRDefault="007537ED" w:rsidP="00B13BFF">
            <w:pPr>
              <w:jc w:val="center"/>
              <w:rPr>
                <w:b/>
              </w:rPr>
            </w:pPr>
            <w:r w:rsidRPr="005D472E">
              <w:rPr>
                <w:b/>
              </w:rPr>
              <w:t>1 860 900</w:t>
            </w:r>
          </w:p>
          <w:p w:rsidR="007537ED" w:rsidRDefault="007537ED" w:rsidP="00B13BFF">
            <w:pPr>
              <w:jc w:val="center"/>
            </w:pPr>
          </w:p>
          <w:p w:rsidR="007537ED" w:rsidRDefault="007537ED" w:rsidP="00B13BFF">
            <w:pPr>
              <w:jc w:val="center"/>
            </w:pPr>
          </w:p>
          <w:p w:rsidR="007537ED" w:rsidRDefault="007537ED" w:rsidP="00B13BFF">
            <w:pPr>
              <w:jc w:val="center"/>
            </w:pPr>
          </w:p>
          <w:p w:rsidR="007537ED" w:rsidRDefault="007537ED" w:rsidP="00B13BFF">
            <w:pPr>
              <w:jc w:val="center"/>
            </w:pPr>
          </w:p>
          <w:p w:rsidR="007537ED" w:rsidRDefault="007537ED" w:rsidP="00B13BFF">
            <w:pPr>
              <w:jc w:val="center"/>
            </w:pPr>
          </w:p>
          <w:p w:rsidR="007537ED" w:rsidRDefault="007537ED" w:rsidP="00B13BFF">
            <w:pPr>
              <w:jc w:val="center"/>
            </w:pPr>
          </w:p>
          <w:p w:rsidR="007537ED" w:rsidRDefault="007537ED" w:rsidP="00B13BFF">
            <w:pPr>
              <w:jc w:val="center"/>
            </w:pPr>
          </w:p>
          <w:p w:rsidR="007537ED" w:rsidRDefault="005D472E" w:rsidP="00B13BFF">
            <w:pPr>
              <w:jc w:val="center"/>
            </w:pPr>
            <w:r>
              <w:t>1 581 765</w:t>
            </w:r>
          </w:p>
          <w:p w:rsidR="005D472E" w:rsidRDefault="005D472E" w:rsidP="00B13BFF">
            <w:pPr>
              <w:jc w:val="center"/>
            </w:pPr>
          </w:p>
          <w:p w:rsidR="005D472E" w:rsidRDefault="005D472E" w:rsidP="00B13BFF">
            <w:pPr>
              <w:jc w:val="center"/>
            </w:pPr>
            <w:r>
              <w:t>279 135</w:t>
            </w:r>
          </w:p>
        </w:tc>
      </w:tr>
      <w:tr w:rsidR="00B13BFF" w:rsidTr="00B13BFF">
        <w:tc>
          <w:tcPr>
            <w:tcW w:w="3495" w:type="dxa"/>
            <w:shd w:val="clear" w:color="auto" w:fill="auto"/>
          </w:tcPr>
          <w:p w:rsidR="00B13BFF" w:rsidRDefault="00B13BFF" w:rsidP="007537ED">
            <w:pPr>
              <w:pStyle w:val="tvhtmlmktable"/>
              <w:rPr>
                <w:i/>
              </w:rPr>
            </w:pPr>
            <w:r>
              <w:t>6.2.3. iepriekš noteiktajam projektam</w:t>
            </w:r>
            <w:r w:rsidRPr="001F5335">
              <w:rPr>
                <w:i/>
              </w:rPr>
              <w:t xml:space="preserve"> „Valsts policijas īslaicīgās aizturēšanas vietu standartu uzlabošana, t.sk., aktivitātes infrastruktūras uzlabošanai; līdzšinējās prakses administratīvajai aizturēšanai samazināšana/likvidēšana; prakses maiņa, atgriežot apcietinājumā esošos ieslodzītos turpmākai</w:t>
            </w:r>
            <w:r w:rsidRPr="0049116B">
              <w:t xml:space="preserve"> </w:t>
            </w:r>
            <w:r w:rsidRPr="001F5335">
              <w:rPr>
                <w:i/>
              </w:rPr>
              <w:t>izmeklēšanai; atbilstošu apmācību nodrošināšana darbiniekiem, kas strādā īslaicīgās aizturēšanas vietās”</w:t>
            </w:r>
          </w:p>
          <w:p w:rsidR="00AB0D10" w:rsidRPr="00B13BFF" w:rsidRDefault="00AB0D10" w:rsidP="00AB0D10">
            <w:pPr>
              <w:pStyle w:val="tvhtmlmktable"/>
              <w:rPr>
                <w:i/>
                <w:u w:val="single"/>
              </w:rPr>
            </w:pPr>
            <w:r w:rsidRPr="00B13BFF">
              <w:rPr>
                <w:i/>
                <w:u w:val="single"/>
              </w:rPr>
              <w:t>Tai skaitā:</w:t>
            </w:r>
          </w:p>
          <w:p w:rsidR="00AB0D10" w:rsidRDefault="00AB0D10" w:rsidP="00AB0D10">
            <w:pPr>
              <w:pStyle w:val="tvhtmlmktable"/>
              <w:rPr>
                <w:i/>
              </w:rPr>
            </w:pPr>
            <w:r>
              <w:rPr>
                <w:i/>
              </w:rPr>
              <w:t>NFI daļa</w:t>
            </w:r>
          </w:p>
          <w:p w:rsidR="00AB0D10" w:rsidRDefault="00AB0D10" w:rsidP="00AB0D10">
            <w:pPr>
              <w:pStyle w:val="tvhtmlmktable"/>
            </w:pPr>
            <w:r>
              <w:rPr>
                <w:i/>
              </w:rPr>
              <w:t>LV līdzfinansējums</w:t>
            </w:r>
          </w:p>
        </w:tc>
        <w:tc>
          <w:tcPr>
            <w:tcW w:w="1357" w:type="dxa"/>
            <w:shd w:val="clear" w:color="auto" w:fill="auto"/>
          </w:tcPr>
          <w:p w:rsidR="00B13BFF" w:rsidRDefault="00B13BFF" w:rsidP="007537ED"/>
        </w:tc>
        <w:tc>
          <w:tcPr>
            <w:tcW w:w="1410" w:type="dxa"/>
            <w:shd w:val="clear" w:color="auto" w:fill="auto"/>
            <w:vAlign w:val="center"/>
          </w:tcPr>
          <w:p w:rsidR="00B13BFF" w:rsidRDefault="00B13BFF" w:rsidP="007537ED">
            <w:pPr>
              <w:jc w:val="center"/>
            </w:pPr>
          </w:p>
        </w:tc>
        <w:tc>
          <w:tcPr>
            <w:tcW w:w="1410" w:type="dxa"/>
            <w:shd w:val="clear" w:color="auto" w:fill="auto"/>
          </w:tcPr>
          <w:p w:rsidR="00B13BFF" w:rsidRPr="00B42EEC" w:rsidRDefault="00B42EEC" w:rsidP="00B13BFF">
            <w:pPr>
              <w:jc w:val="center"/>
              <w:rPr>
                <w:b/>
              </w:rPr>
            </w:pPr>
            <w:r w:rsidRPr="00B42EEC">
              <w:rPr>
                <w:b/>
              </w:rPr>
              <w:t>36 435</w:t>
            </w: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r>
              <w:t>30 969</w:t>
            </w:r>
          </w:p>
          <w:p w:rsidR="00B42EEC" w:rsidRDefault="00B42EEC" w:rsidP="00B13BFF">
            <w:pPr>
              <w:jc w:val="center"/>
            </w:pPr>
          </w:p>
          <w:p w:rsidR="00B42EEC" w:rsidRDefault="00B42EEC" w:rsidP="00B13BFF">
            <w:pPr>
              <w:jc w:val="center"/>
            </w:pPr>
            <w:r>
              <w:t>5 466</w:t>
            </w:r>
          </w:p>
        </w:tc>
        <w:tc>
          <w:tcPr>
            <w:tcW w:w="1410" w:type="dxa"/>
            <w:shd w:val="clear" w:color="auto" w:fill="auto"/>
          </w:tcPr>
          <w:p w:rsidR="00B13BFF" w:rsidRPr="00B42EEC" w:rsidRDefault="00B42EEC" w:rsidP="00B13BFF">
            <w:pPr>
              <w:jc w:val="center"/>
              <w:rPr>
                <w:b/>
              </w:rPr>
            </w:pPr>
            <w:r w:rsidRPr="00B42EEC">
              <w:rPr>
                <w:b/>
              </w:rPr>
              <w:t>1 757 628</w:t>
            </w: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r>
              <w:t>1 493 984</w:t>
            </w:r>
          </w:p>
          <w:p w:rsidR="00B42EEC" w:rsidRDefault="00B42EEC" w:rsidP="00B13BFF">
            <w:pPr>
              <w:jc w:val="center"/>
            </w:pPr>
          </w:p>
          <w:p w:rsidR="00B42EEC" w:rsidRDefault="00B42EEC" w:rsidP="00B13BFF">
            <w:pPr>
              <w:jc w:val="center"/>
            </w:pPr>
            <w:r>
              <w:t>263 644</w:t>
            </w:r>
          </w:p>
        </w:tc>
        <w:tc>
          <w:tcPr>
            <w:tcW w:w="1408" w:type="dxa"/>
            <w:shd w:val="clear" w:color="auto" w:fill="auto"/>
          </w:tcPr>
          <w:p w:rsidR="00B13BFF" w:rsidRPr="00B42EEC" w:rsidRDefault="00B42EEC" w:rsidP="00B13BFF">
            <w:pPr>
              <w:jc w:val="center"/>
              <w:rPr>
                <w:b/>
              </w:rPr>
            </w:pPr>
            <w:r w:rsidRPr="00B42EEC">
              <w:rPr>
                <w:b/>
              </w:rPr>
              <w:t>484 051</w:t>
            </w: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p>
          <w:p w:rsidR="00B42EEC" w:rsidRDefault="00B42EEC" w:rsidP="00B13BFF">
            <w:pPr>
              <w:jc w:val="center"/>
            </w:pPr>
            <w:r>
              <w:t>411 444</w:t>
            </w:r>
          </w:p>
          <w:p w:rsidR="00B42EEC" w:rsidRDefault="00B42EEC" w:rsidP="00B13BFF">
            <w:pPr>
              <w:jc w:val="center"/>
            </w:pPr>
          </w:p>
          <w:p w:rsidR="00B42EEC" w:rsidRDefault="00B42EEC" w:rsidP="00B13BFF">
            <w:pPr>
              <w:jc w:val="center"/>
            </w:pPr>
            <w:r>
              <w:t>72 607</w:t>
            </w:r>
          </w:p>
        </w:tc>
      </w:tr>
      <w:tr w:rsidR="00B13BFF" w:rsidTr="00B13BFF">
        <w:tc>
          <w:tcPr>
            <w:tcW w:w="3495" w:type="dxa"/>
            <w:shd w:val="clear" w:color="auto" w:fill="auto"/>
          </w:tcPr>
          <w:p w:rsidR="00B13BFF" w:rsidRDefault="00B13BFF" w:rsidP="00B13BFF">
            <w:pPr>
              <w:pStyle w:val="tvhtmlmktable"/>
            </w:pPr>
            <w:r>
              <w:t>6.2.4. Programmas apsaimniekošanas izmaksas (tai skaitā rezerve zaudējumu segšanai valūtas maiņas rezultātā</w:t>
            </w:r>
            <w:r w:rsidR="009E3E37">
              <w:t xml:space="preserve"> un</w:t>
            </w:r>
            <w:r>
              <w:t xml:space="preserve"> papildu pasākumi)</w:t>
            </w:r>
          </w:p>
          <w:p w:rsidR="00E02BCD" w:rsidRPr="00B13BFF" w:rsidRDefault="00E02BCD" w:rsidP="00E02BCD">
            <w:pPr>
              <w:pStyle w:val="tvhtmlmktable"/>
              <w:rPr>
                <w:i/>
                <w:u w:val="single"/>
              </w:rPr>
            </w:pPr>
            <w:r w:rsidRPr="00B13BFF">
              <w:rPr>
                <w:i/>
                <w:u w:val="single"/>
              </w:rPr>
              <w:t>Tai skaitā:</w:t>
            </w:r>
          </w:p>
          <w:p w:rsidR="00E02BCD" w:rsidRPr="0036037C" w:rsidRDefault="00E02BCD" w:rsidP="00E02BCD">
            <w:pPr>
              <w:pStyle w:val="tvhtmlmktable"/>
              <w:rPr>
                <w:i/>
              </w:rPr>
            </w:pPr>
            <w:r>
              <w:rPr>
                <w:i/>
              </w:rPr>
              <w:t>NFI daļa</w:t>
            </w:r>
          </w:p>
        </w:tc>
        <w:tc>
          <w:tcPr>
            <w:tcW w:w="1357" w:type="dxa"/>
            <w:shd w:val="clear" w:color="auto" w:fill="auto"/>
          </w:tcPr>
          <w:p w:rsidR="00B13BFF" w:rsidRDefault="00B13BFF" w:rsidP="007537ED"/>
        </w:tc>
        <w:tc>
          <w:tcPr>
            <w:tcW w:w="1410" w:type="dxa"/>
            <w:shd w:val="clear" w:color="auto" w:fill="auto"/>
            <w:vAlign w:val="center"/>
          </w:tcPr>
          <w:p w:rsidR="00B13BFF" w:rsidRDefault="00B13BFF" w:rsidP="007537ED">
            <w:pPr>
              <w:jc w:val="center"/>
            </w:pPr>
          </w:p>
        </w:tc>
        <w:tc>
          <w:tcPr>
            <w:tcW w:w="1410" w:type="dxa"/>
            <w:shd w:val="clear" w:color="auto" w:fill="auto"/>
          </w:tcPr>
          <w:p w:rsidR="00B13BFF" w:rsidRPr="0036037C" w:rsidRDefault="0036037C" w:rsidP="00B13BFF">
            <w:pPr>
              <w:jc w:val="center"/>
              <w:rPr>
                <w:b/>
              </w:rPr>
            </w:pPr>
            <w:r w:rsidRPr="0036037C">
              <w:rPr>
                <w:b/>
              </w:rPr>
              <w:t>77 967</w:t>
            </w:r>
          </w:p>
          <w:p w:rsidR="0036037C" w:rsidRDefault="0036037C" w:rsidP="00B13BFF">
            <w:pPr>
              <w:jc w:val="center"/>
            </w:pPr>
          </w:p>
          <w:p w:rsidR="0036037C" w:rsidRDefault="0036037C" w:rsidP="00B13BFF">
            <w:pPr>
              <w:jc w:val="center"/>
            </w:pPr>
          </w:p>
          <w:p w:rsidR="0036037C" w:rsidRDefault="0036037C" w:rsidP="00B13BFF">
            <w:pPr>
              <w:jc w:val="center"/>
            </w:pPr>
          </w:p>
          <w:p w:rsidR="0036037C" w:rsidRDefault="0036037C" w:rsidP="00B13BFF">
            <w:pPr>
              <w:jc w:val="center"/>
            </w:pPr>
          </w:p>
          <w:p w:rsidR="0036037C" w:rsidRDefault="0036037C" w:rsidP="00B13BFF">
            <w:pPr>
              <w:jc w:val="center"/>
            </w:pPr>
          </w:p>
          <w:p w:rsidR="0036037C" w:rsidRDefault="0036037C" w:rsidP="00B13BFF">
            <w:pPr>
              <w:jc w:val="center"/>
            </w:pPr>
          </w:p>
          <w:p w:rsidR="0036037C" w:rsidRDefault="0036037C" w:rsidP="00B13BFF">
            <w:pPr>
              <w:jc w:val="center"/>
            </w:pPr>
          </w:p>
          <w:p w:rsidR="0036037C" w:rsidRDefault="0036037C" w:rsidP="0036037C">
            <w:pPr>
              <w:jc w:val="center"/>
            </w:pPr>
            <w:r>
              <w:t>77 967</w:t>
            </w:r>
          </w:p>
        </w:tc>
        <w:tc>
          <w:tcPr>
            <w:tcW w:w="1410" w:type="dxa"/>
            <w:shd w:val="clear" w:color="auto" w:fill="auto"/>
          </w:tcPr>
          <w:p w:rsidR="00B13BFF" w:rsidRPr="0036037C" w:rsidRDefault="0036037C" w:rsidP="00B13BFF">
            <w:pPr>
              <w:jc w:val="center"/>
              <w:rPr>
                <w:b/>
              </w:rPr>
            </w:pPr>
            <w:r w:rsidRPr="0036037C">
              <w:rPr>
                <w:b/>
              </w:rPr>
              <w:t>129 005</w:t>
            </w:r>
          </w:p>
          <w:p w:rsidR="0036037C" w:rsidRDefault="0036037C" w:rsidP="00B13BFF">
            <w:pPr>
              <w:jc w:val="center"/>
            </w:pPr>
          </w:p>
          <w:p w:rsidR="0036037C" w:rsidRDefault="0036037C" w:rsidP="00B13BFF">
            <w:pPr>
              <w:jc w:val="center"/>
            </w:pPr>
          </w:p>
          <w:p w:rsidR="0036037C" w:rsidRDefault="0036037C" w:rsidP="00B13BFF">
            <w:pPr>
              <w:jc w:val="center"/>
            </w:pPr>
          </w:p>
          <w:p w:rsidR="0036037C" w:rsidRDefault="0036037C" w:rsidP="00B13BFF">
            <w:pPr>
              <w:jc w:val="center"/>
            </w:pPr>
          </w:p>
          <w:p w:rsidR="0036037C" w:rsidRDefault="0036037C" w:rsidP="00B13BFF">
            <w:pPr>
              <w:jc w:val="center"/>
            </w:pPr>
          </w:p>
          <w:p w:rsidR="0036037C" w:rsidRDefault="0036037C" w:rsidP="00B13BFF">
            <w:pPr>
              <w:jc w:val="center"/>
            </w:pPr>
          </w:p>
          <w:p w:rsidR="0036037C" w:rsidRDefault="0036037C" w:rsidP="00B13BFF">
            <w:pPr>
              <w:jc w:val="center"/>
            </w:pPr>
          </w:p>
          <w:p w:rsidR="0036037C" w:rsidRDefault="0036037C" w:rsidP="00B13BFF">
            <w:pPr>
              <w:jc w:val="center"/>
            </w:pPr>
            <w:r>
              <w:t>129 005</w:t>
            </w:r>
          </w:p>
        </w:tc>
        <w:tc>
          <w:tcPr>
            <w:tcW w:w="1408" w:type="dxa"/>
            <w:shd w:val="clear" w:color="auto" w:fill="auto"/>
          </w:tcPr>
          <w:p w:rsidR="00B13BFF" w:rsidRPr="0036037C" w:rsidRDefault="0036037C" w:rsidP="00B13BFF">
            <w:pPr>
              <w:jc w:val="center"/>
              <w:rPr>
                <w:b/>
              </w:rPr>
            </w:pPr>
            <w:r w:rsidRPr="0036037C">
              <w:rPr>
                <w:b/>
              </w:rPr>
              <w:t>130 652</w:t>
            </w:r>
          </w:p>
          <w:p w:rsidR="0036037C" w:rsidRDefault="0036037C" w:rsidP="00B13BFF">
            <w:pPr>
              <w:jc w:val="center"/>
            </w:pPr>
          </w:p>
          <w:p w:rsidR="0036037C" w:rsidRDefault="0036037C" w:rsidP="00B13BFF">
            <w:pPr>
              <w:jc w:val="center"/>
            </w:pPr>
          </w:p>
          <w:p w:rsidR="0036037C" w:rsidRDefault="0036037C" w:rsidP="00B13BFF">
            <w:pPr>
              <w:jc w:val="center"/>
            </w:pPr>
          </w:p>
          <w:p w:rsidR="0036037C" w:rsidRDefault="0036037C" w:rsidP="00B13BFF">
            <w:pPr>
              <w:jc w:val="center"/>
            </w:pPr>
          </w:p>
          <w:p w:rsidR="0036037C" w:rsidRDefault="0036037C" w:rsidP="00B13BFF">
            <w:pPr>
              <w:jc w:val="center"/>
            </w:pPr>
          </w:p>
          <w:p w:rsidR="0036037C" w:rsidRDefault="0036037C" w:rsidP="00B13BFF">
            <w:pPr>
              <w:jc w:val="center"/>
            </w:pPr>
          </w:p>
          <w:p w:rsidR="0036037C" w:rsidRDefault="0036037C" w:rsidP="00B13BFF">
            <w:pPr>
              <w:jc w:val="center"/>
            </w:pPr>
          </w:p>
          <w:p w:rsidR="0036037C" w:rsidRDefault="0036037C" w:rsidP="00B13BFF">
            <w:pPr>
              <w:jc w:val="center"/>
            </w:pPr>
            <w:r>
              <w:t>130 652</w:t>
            </w:r>
          </w:p>
        </w:tc>
      </w:tr>
      <w:tr w:rsidR="009E3E37" w:rsidTr="00B13BFF">
        <w:tc>
          <w:tcPr>
            <w:tcW w:w="3495" w:type="dxa"/>
            <w:shd w:val="clear" w:color="auto" w:fill="auto"/>
          </w:tcPr>
          <w:p w:rsidR="009E3E37" w:rsidRDefault="009E3E37" w:rsidP="009E3E37">
            <w:pPr>
              <w:pStyle w:val="tvhtmlmktable"/>
              <w:spacing w:before="0" w:beforeAutospacing="0" w:after="0" w:afterAutospacing="0"/>
            </w:pPr>
            <w:r>
              <w:t xml:space="preserve">6.2.5. Līdzekļi divpusējām </w:t>
            </w:r>
            <w:r>
              <w:lastRenderedPageBreak/>
              <w:t>attiecībām</w:t>
            </w:r>
          </w:p>
          <w:p w:rsidR="009E3E37" w:rsidRPr="00B13BFF" w:rsidRDefault="009E3E37" w:rsidP="009E3E37">
            <w:pPr>
              <w:pStyle w:val="tvhtmlmktable"/>
              <w:spacing w:before="0" w:beforeAutospacing="0" w:after="0" w:afterAutospacing="0"/>
              <w:rPr>
                <w:i/>
                <w:u w:val="single"/>
              </w:rPr>
            </w:pPr>
            <w:r w:rsidRPr="00B13BFF">
              <w:rPr>
                <w:i/>
                <w:u w:val="single"/>
              </w:rPr>
              <w:t>Tai skaitā:</w:t>
            </w:r>
          </w:p>
          <w:p w:rsidR="009E3E37" w:rsidRDefault="009E3E37" w:rsidP="009E3E37">
            <w:pPr>
              <w:pStyle w:val="tvhtmlmktable"/>
              <w:spacing w:before="0" w:beforeAutospacing="0" w:after="0" w:afterAutospacing="0"/>
            </w:pPr>
            <w:r>
              <w:rPr>
                <w:i/>
              </w:rPr>
              <w:t>NFI daļa</w:t>
            </w:r>
          </w:p>
        </w:tc>
        <w:tc>
          <w:tcPr>
            <w:tcW w:w="1357" w:type="dxa"/>
            <w:shd w:val="clear" w:color="auto" w:fill="auto"/>
          </w:tcPr>
          <w:p w:rsidR="009E3E37" w:rsidRDefault="009E3E37" w:rsidP="007537ED"/>
        </w:tc>
        <w:tc>
          <w:tcPr>
            <w:tcW w:w="1410" w:type="dxa"/>
            <w:shd w:val="clear" w:color="auto" w:fill="auto"/>
            <w:vAlign w:val="center"/>
          </w:tcPr>
          <w:p w:rsidR="009E3E37" w:rsidRDefault="009E3E37" w:rsidP="007537ED">
            <w:pPr>
              <w:jc w:val="center"/>
            </w:pPr>
          </w:p>
        </w:tc>
        <w:tc>
          <w:tcPr>
            <w:tcW w:w="1410" w:type="dxa"/>
            <w:shd w:val="clear" w:color="auto" w:fill="auto"/>
          </w:tcPr>
          <w:p w:rsidR="009E3E37" w:rsidRDefault="00C73449" w:rsidP="00B13BFF">
            <w:pPr>
              <w:jc w:val="center"/>
              <w:rPr>
                <w:b/>
              </w:rPr>
            </w:pPr>
            <w:r>
              <w:rPr>
                <w:b/>
              </w:rPr>
              <w:t>26 954</w:t>
            </w:r>
          </w:p>
          <w:p w:rsidR="00C73449" w:rsidRDefault="00C73449" w:rsidP="00B13BFF">
            <w:pPr>
              <w:jc w:val="center"/>
              <w:rPr>
                <w:b/>
              </w:rPr>
            </w:pPr>
          </w:p>
          <w:p w:rsidR="00C73449" w:rsidRDefault="00C73449" w:rsidP="00B13BFF">
            <w:pPr>
              <w:jc w:val="center"/>
              <w:rPr>
                <w:b/>
              </w:rPr>
            </w:pPr>
          </w:p>
          <w:p w:rsidR="00C73449" w:rsidRPr="00C73449" w:rsidRDefault="00C73449" w:rsidP="00B13BFF">
            <w:pPr>
              <w:jc w:val="center"/>
            </w:pPr>
            <w:r w:rsidRPr="00C73449">
              <w:t>26 954</w:t>
            </w:r>
          </w:p>
        </w:tc>
        <w:tc>
          <w:tcPr>
            <w:tcW w:w="1410" w:type="dxa"/>
            <w:shd w:val="clear" w:color="auto" w:fill="auto"/>
          </w:tcPr>
          <w:p w:rsidR="009E3E37" w:rsidRDefault="00C73449" w:rsidP="00B13BFF">
            <w:pPr>
              <w:jc w:val="center"/>
              <w:rPr>
                <w:b/>
              </w:rPr>
            </w:pPr>
            <w:r>
              <w:rPr>
                <w:b/>
              </w:rPr>
              <w:lastRenderedPageBreak/>
              <w:t>38 528</w:t>
            </w:r>
          </w:p>
          <w:p w:rsidR="00C73449" w:rsidRDefault="00C73449" w:rsidP="00B13BFF">
            <w:pPr>
              <w:jc w:val="center"/>
              <w:rPr>
                <w:b/>
              </w:rPr>
            </w:pPr>
          </w:p>
          <w:p w:rsidR="00C73449" w:rsidRDefault="00C73449" w:rsidP="00B13BFF">
            <w:pPr>
              <w:jc w:val="center"/>
              <w:rPr>
                <w:b/>
              </w:rPr>
            </w:pPr>
          </w:p>
          <w:p w:rsidR="00C73449" w:rsidRPr="00C73449" w:rsidRDefault="00C73449" w:rsidP="00B13BFF">
            <w:pPr>
              <w:jc w:val="center"/>
            </w:pPr>
            <w:r w:rsidRPr="00C73449">
              <w:t>38 528</w:t>
            </w:r>
          </w:p>
        </w:tc>
        <w:tc>
          <w:tcPr>
            <w:tcW w:w="1408" w:type="dxa"/>
            <w:shd w:val="clear" w:color="auto" w:fill="auto"/>
          </w:tcPr>
          <w:p w:rsidR="009E3E37" w:rsidRDefault="00C73449" w:rsidP="00B13BFF">
            <w:pPr>
              <w:jc w:val="center"/>
              <w:rPr>
                <w:b/>
              </w:rPr>
            </w:pPr>
            <w:r>
              <w:rPr>
                <w:b/>
              </w:rPr>
              <w:lastRenderedPageBreak/>
              <w:t>32 212</w:t>
            </w:r>
          </w:p>
          <w:p w:rsidR="00C73449" w:rsidRDefault="00C73449" w:rsidP="00B13BFF">
            <w:pPr>
              <w:jc w:val="center"/>
              <w:rPr>
                <w:b/>
              </w:rPr>
            </w:pPr>
          </w:p>
          <w:p w:rsidR="00C73449" w:rsidRDefault="00C73449" w:rsidP="00B13BFF">
            <w:pPr>
              <w:jc w:val="center"/>
              <w:rPr>
                <w:b/>
              </w:rPr>
            </w:pPr>
          </w:p>
          <w:p w:rsidR="00C73449" w:rsidRPr="00C73449" w:rsidRDefault="00C73449" w:rsidP="00B13BFF">
            <w:pPr>
              <w:jc w:val="center"/>
            </w:pPr>
            <w:r w:rsidRPr="00C73449">
              <w:t>32 212</w:t>
            </w:r>
          </w:p>
        </w:tc>
      </w:tr>
      <w:tr w:rsidR="00260DBF" w:rsidRPr="0049116B" w:rsidTr="00B13BFF">
        <w:tc>
          <w:tcPr>
            <w:tcW w:w="3495" w:type="dxa"/>
            <w:shd w:val="clear" w:color="auto" w:fill="auto"/>
          </w:tcPr>
          <w:p w:rsidR="00260DBF" w:rsidRDefault="00260DBF" w:rsidP="007537ED">
            <w:r>
              <w:lastRenderedPageBreak/>
              <w:t>7. Cita informācija</w:t>
            </w:r>
          </w:p>
        </w:tc>
        <w:tc>
          <w:tcPr>
            <w:tcW w:w="6995" w:type="dxa"/>
            <w:gridSpan w:val="5"/>
            <w:shd w:val="clear" w:color="auto" w:fill="auto"/>
          </w:tcPr>
          <w:p w:rsidR="006D270A" w:rsidRDefault="007524D9" w:rsidP="006D270A">
            <w:pPr>
              <w:jc w:val="both"/>
            </w:pPr>
            <w:r>
              <w:t>NFI</w:t>
            </w:r>
            <w:r w:rsidR="006D270A" w:rsidRPr="0049116B">
              <w:t xml:space="preserve"> 2009.-2014.</w:t>
            </w:r>
            <w:r w:rsidR="006D270A">
              <w:t xml:space="preserve"> </w:t>
            </w:r>
            <w:r w:rsidR="006D270A" w:rsidRPr="0049116B">
              <w:t>gad</w:t>
            </w:r>
            <w:r>
              <w:t>am</w:t>
            </w:r>
            <w:r w:rsidR="006D270A" w:rsidRPr="0049116B">
              <w:t xml:space="preserve"> </w:t>
            </w:r>
            <w:r w:rsidR="006D270A">
              <w:t xml:space="preserve">Programmas </w:t>
            </w:r>
            <w:r w:rsidR="006D270A" w:rsidRPr="0049116B">
              <w:t>„Korekcijas pakalpojumi, tajā skaitā ar ieslodzījumu nesaistītās sankcijas”</w:t>
            </w:r>
            <w:r w:rsidR="006D270A">
              <w:t xml:space="preserve"> </w:t>
            </w:r>
            <w:r>
              <w:t xml:space="preserve">ietvaros plānots īstenot trīs iepriekš noteiktos projektus. Programmas </w:t>
            </w:r>
            <w:r w:rsidR="006D270A">
              <w:t>kopējās attiecināmās izmaksas ir Ls 10 </w:t>
            </w:r>
            <w:r w:rsidR="009E3E37">
              <w:t>660</w:t>
            </w:r>
            <w:r w:rsidR="006D270A">
              <w:t xml:space="preserve"> </w:t>
            </w:r>
            <w:r w:rsidR="009E3E37">
              <w:t>382</w:t>
            </w:r>
            <w:r w:rsidR="006D270A">
              <w:t>, no kurām kopējās attiecināmās izmaksas</w:t>
            </w:r>
            <w:r w:rsidR="008D119D">
              <w:t>:</w:t>
            </w:r>
            <w:r>
              <w:t xml:space="preserve"> </w:t>
            </w:r>
            <w:r w:rsidR="008D119D">
              <w:t xml:space="preserve">a) </w:t>
            </w:r>
            <w:r>
              <w:t xml:space="preserve">2012.-2016. </w:t>
            </w:r>
            <w:r w:rsidR="008D119D">
              <w:t>g</w:t>
            </w:r>
            <w:r>
              <w:t>adam</w:t>
            </w:r>
            <w:r w:rsidR="008D119D">
              <w:t xml:space="preserve"> iepriekš noteiktajam projektam</w:t>
            </w:r>
            <w:r w:rsidR="006D270A">
              <w:t>:</w:t>
            </w:r>
          </w:p>
          <w:p w:rsidR="006D270A" w:rsidRDefault="006D270A" w:rsidP="006D270A">
            <w:pPr>
              <w:numPr>
                <w:ilvl w:val="0"/>
                <w:numId w:val="12"/>
              </w:numPr>
              <w:jc w:val="both"/>
            </w:pPr>
            <w:r>
              <w:t xml:space="preserve"> „</w:t>
            </w:r>
            <w:r w:rsidRPr="00666891">
              <w:rPr>
                <w:i/>
              </w:rPr>
              <w:t>Alternatīvu brīvības atņemšanai sekmēšana (ieskaitot iespējamo pilotprojektu elektroniskajai uzraudzībai)”</w:t>
            </w:r>
            <w:r w:rsidRPr="001F5335">
              <w:rPr>
                <w:i/>
              </w:rPr>
              <w:t xml:space="preserve"> </w:t>
            </w:r>
            <w:r>
              <w:t>(</w:t>
            </w:r>
            <w:r w:rsidR="00810616">
              <w:t>projektu īstenos Valsts probācijas dienests</w:t>
            </w:r>
            <w:r>
              <w:t>) ir Ls 1 8</w:t>
            </w:r>
            <w:r w:rsidR="00D0271B">
              <w:t>27</w:t>
            </w:r>
            <w:r w:rsidR="00085631">
              <w:t> </w:t>
            </w:r>
            <w:r w:rsidR="00D0271B">
              <w:t>1</w:t>
            </w:r>
            <w:r>
              <w:t>7</w:t>
            </w:r>
            <w:r w:rsidR="00D0271B">
              <w:t>3</w:t>
            </w:r>
            <w:r w:rsidR="00085631">
              <w:t xml:space="preserve"> (t. sk. 2012.-2014.g. Ls 1 340 525)</w:t>
            </w:r>
            <w:r>
              <w:t>;</w:t>
            </w:r>
          </w:p>
          <w:p w:rsidR="006D270A" w:rsidRDefault="006D270A" w:rsidP="006D270A">
            <w:pPr>
              <w:numPr>
                <w:ilvl w:val="0"/>
                <w:numId w:val="12"/>
              </w:numPr>
              <w:jc w:val="both"/>
            </w:pPr>
            <w:r>
              <w:t xml:space="preserve"> </w:t>
            </w:r>
            <w:r w:rsidRPr="00666891">
              <w:rPr>
                <w:i/>
              </w:rPr>
              <w:t>„Jauna nodaļa Olaines cietumā, ieskaitot būvniecību un personāla apmācību”</w:t>
            </w:r>
            <w:r>
              <w:t xml:space="preserve"> (</w:t>
            </w:r>
            <w:r w:rsidR="00810616">
              <w:t>projektu īstenos Ieslodzījuma vietu pārvalde</w:t>
            </w:r>
            <w:r>
              <w:t>) – Ls 5 </w:t>
            </w:r>
            <w:r w:rsidR="00D0271B">
              <w:t>785</w:t>
            </w:r>
            <w:r w:rsidR="00085631">
              <w:t> </w:t>
            </w:r>
            <w:r w:rsidR="00D0271B">
              <w:t>031</w:t>
            </w:r>
            <w:r w:rsidR="00085631">
              <w:t xml:space="preserve"> (t. sk. 2012.-2014.g. Ls 5 318 462)</w:t>
            </w:r>
            <w:r>
              <w:t>;</w:t>
            </w:r>
          </w:p>
          <w:p w:rsidR="006D270A" w:rsidRDefault="006D270A" w:rsidP="006D270A">
            <w:pPr>
              <w:numPr>
                <w:ilvl w:val="0"/>
                <w:numId w:val="12"/>
              </w:numPr>
              <w:jc w:val="both"/>
            </w:pPr>
            <w:r>
              <w:t xml:space="preserve"> </w:t>
            </w:r>
            <w:r w:rsidRPr="001F5335">
              <w:rPr>
                <w:i/>
              </w:rPr>
              <w:t>„Valsts policijas īslaicīgās aizturēšanas vietu standartu uzlabošana, t.sk., aktivitātes infrastruktūras uzlabošanai; līdzšinējās prakses administratīvajai aizturēšanai samazināšana/likvidēšana; prakses maiņa, atgriežot apcietinājumā esošos ieslodzītos turpmākai</w:t>
            </w:r>
            <w:r w:rsidRPr="0049116B">
              <w:t xml:space="preserve"> </w:t>
            </w:r>
            <w:r w:rsidRPr="001F5335">
              <w:rPr>
                <w:i/>
              </w:rPr>
              <w:t xml:space="preserve">izmeklēšanai; atbilstošu apmācību nodrošināšana darbiniekiem, kas strādā īslaicīgās aizturēšanas vietās” </w:t>
            </w:r>
            <w:r w:rsidRPr="00AB1F33">
              <w:t>(</w:t>
            </w:r>
            <w:r w:rsidR="00810616">
              <w:t>projektu īstenos Valsts policija</w:t>
            </w:r>
            <w:r w:rsidRPr="00AB1F33">
              <w:t>)</w:t>
            </w:r>
            <w:r>
              <w:rPr>
                <w:i/>
              </w:rPr>
              <w:t xml:space="preserve"> </w:t>
            </w:r>
            <w:r w:rsidR="007524D9">
              <w:t>– Ls 2 </w:t>
            </w:r>
            <w:r w:rsidR="00D0271B">
              <w:t>284</w:t>
            </w:r>
            <w:r w:rsidR="00085631">
              <w:t> </w:t>
            </w:r>
            <w:r w:rsidR="00D0271B">
              <w:t>942</w:t>
            </w:r>
            <w:r w:rsidR="00085631">
              <w:t xml:space="preserve"> (t. sk. 2012.-2014.g. Ls 2 278 114)</w:t>
            </w:r>
            <w:r w:rsidR="007524D9">
              <w:t>.</w:t>
            </w:r>
          </w:p>
          <w:p w:rsidR="007524D9" w:rsidRDefault="008D119D" w:rsidP="007524D9">
            <w:pPr>
              <w:jc w:val="both"/>
            </w:pPr>
            <w:r>
              <w:t xml:space="preserve">b) </w:t>
            </w:r>
            <w:r w:rsidR="007524D9">
              <w:t xml:space="preserve">Programmas apsaimniekošanas izmaksas </w:t>
            </w:r>
            <w:r>
              <w:t>2012.-2017. gadam</w:t>
            </w:r>
            <w:r w:rsidR="007524D9">
              <w:t>:</w:t>
            </w:r>
          </w:p>
          <w:p w:rsidR="006D270A" w:rsidRDefault="006D270A" w:rsidP="007524D9">
            <w:pPr>
              <w:pStyle w:val="Sarakstarindkopa"/>
              <w:numPr>
                <w:ilvl w:val="0"/>
                <w:numId w:val="13"/>
              </w:numPr>
              <w:jc w:val="both"/>
            </w:pPr>
            <w:r>
              <w:t>Programmas administrēšanai (</w:t>
            </w:r>
            <w:r w:rsidR="008D119D">
              <w:t>Tieslietu ministrijas</w:t>
            </w:r>
            <w:r>
              <w:t xml:space="preserve"> kā Programmas apsaimniekotāja daļa) – Ls 489</w:t>
            </w:r>
            <w:r w:rsidR="003E4B0A">
              <w:t> </w:t>
            </w:r>
            <w:r>
              <w:t>585</w:t>
            </w:r>
            <w:r w:rsidR="003E4B0A">
              <w:t xml:space="preserve"> (t. sk. 2012.-2014.g. Ls 258 639)</w:t>
            </w:r>
            <w:r>
              <w:t>;</w:t>
            </w:r>
          </w:p>
          <w:p w:rsidR="006D270A" w:rsidRDefault="008D119D" w:rsidP="007524D9">
            <w:pPr>
              <w:numPr>
                <w:ilvl w:val="0"/>
                <w:numId w:val="13"/>
              </w:numPr>
              <w:jc w:val="both"/>
            </w:pPr>
            <w:r>
              <w:t>Programmas administrēšanai (Iekšlietu ministrijas</w:t>
            </w:r>
            <w:r w:rsidR="006D270A">
              <w:t xml:space="preserve"> kā Programmas partnera daļa) – Ls 115</w:t>
            </w:r>
            <w:r w:rsidR="003E4B0A">
              <w:t> </w:t>
            </w:r>
            <w:r w:rsidR="006D270A">
              <w:t>284</w:t>
            </w:r>
            <w:r w:rsidR="003E4B0A">
              <w:t xml:space="preserve"> (t. sk. 2012.-2014.g. Ls 68 173)</w:t>
            </w:r>
            <w:r w:rsidR="006D270A">
              <w:t>;</w:t>
            </w:r>
          </w:p>
          <w:p w:rsidR="006D270A" w:rsidRDefault="006D270A" w:rsidP="007524D9">
            <w:pPr>
              <w:numPr>
                <w:ilvl w:val="0"/>
                <w:numId w:val="13"/>
              </w:numPr>
              <w:jc w:val="both"/>
            </w:pPr>
            <w:r>
              <w:t>Rezerve zaudējumu segšanai valūtas maiņas rezultātā – Ls 18</w:t>
            </w:r>
            <w:r w:rsidR="003E4B0A">
              <w:t> </w:t>
            </w:r>
            <w:r>
              <w:t>352</w:t>
            </w:r>
            <w:r w:rsidR="003E4B0A">
              <w:t xml:space="preserve"> (t. sk. 2012.-2014.g. Ls 8 434)</w:t>
            </w:r>
            <w:r>
              <w:t>;</w:t>
            </w:r>
          </w:p>
          <w:p w:rsidR="008D119D" w:rsidRDefault="008D119D" w:rsidP="007524D9">
            <w:pPr>
              <w:numPr>
                <w:ilvl w:val="0"/>
                <w:numId w:val="13"/>
              </w:numPr>
              <w:jc w:val="both"/>
            </w:pPr>
            <w:r>
              <w:t>Programmas apsaimniekotāja papildu pasākumi – Ls 2</w:t>
            </w:r>
            <w:r w:rsidR="003E4B0A">
              <w:t> </w:t>
            </w:r>
            <w:r>
              <w:t>378</w:t>
            </w:r>
            <w:r w:rsidR="003E4B0A">
              <w:t xml:space="preserve"> (t. sk. 2012.-2014.g. Ls 2 378)</w:t>
            </w:r>
            <w:r w:rsidR="00DB2EE1">
              <w:t>.</w:t>
            </w:r>
          </w:p>
          <w:p w:rsidR="00DB2EE1" w:rsidRDefault="00DB2EE1" w:rsidP="00DB2EE1">
            <w:pPr>
              <w:jc w:val="both"/>
            </w:pPr>
            <w:r>
              <w:t>c) Līdzekļi divpusējām attiecībām 2012.-2017. gadam – Ls 137 637 (t. sk. 2012.-2014.g. Ls 97 694).</w:t>
            </w:r>
          </w:p>
          <w:p w:rsidR="00260DBF" w:rsidRDefault="00260DBF" w:rsidP="007537ED">
            <w:pPr>
              <w:jc w:val="both"/>
            </w:pPr>
          </w:p>
          <w:p w:rsidR="00260DBF" w:rsidRPr="00260DBF" w:rsidRDefault="00260DBF" w:rsidP="007537ED">
            <w:pPr>
              <w:jc w:val="both"/>
            </w:pPr>
            <w:r w:rsidRPr="00260DBF">
              <w:t xml:space="preserve">Finansējums programmas aktivitāšu īstenošanai un </w:t>
            </w:r>
            <w:r w:rsidR="00A7780C">
              <w:t>apsaimniekošanas</w:t>
            </w:r>
            <w:r w:rsidRPr="00260DBF">
              <w:t xml:space="preserve"> izmaksu nodrošināšanai tiks </w:t>
            </w:r>
            <w:r w:rsidR="00EF71CD">
              <w:t>pieprasīts no</w:t>
            </w:r>
            <w:r w:rsidRPr="00260DBF">
              <w:t xml:space="preserve"> </w:t>
            </w:r>
            <w:r w:rsidR="00EF71CD" w:rsidRPr="005D0936">
              <w:t>valsts pamatbudžeta programmas 80.00.00 „Nesadalītais finansējums Eiropas Savienības politiku instrumentu un pārējās ārvalstu finanšu palīdzības līdzfinansēto projektu un pasākumu īstenošanai”</w:t>
            </w:r>
            <w:r w:rsidRPr="00260DBF">
              <w:t>. Plānoti šādi finansējuma saņēmēji:</w:t>
            </w:r>
          </w:p>
          <w:p w:rsidR="00260DBF" w:rsidRPr="00F7288C" w:rsidRDefault="00260DBF" w:rsidP="00260DBF">
            <w:pPr>
              <w:numPr>
                <w:ilvl w:val="0"/>
                <w:numId w:val="11"/>
              </w:numPr>
              <w:jc w:val="both"/>
            </w:pPr>
            <w:r w:rsidRPr="00260DBF">
              <w:t>Tieslietu ministrija –</w:t>
            </w:r>
            <w:r w:rsidR="00BD27E2">
              <w:t xml:space="preserve"> Ls 8 2</w:t>
            </w:r>
            <w:r w:rsidR="006871E6">
              <w:t>21</w:t>
            </w:r>
            <w:r w:rsidR="00BD27E2">
              <w:t xml:space="preserve"> </w:t>
            </w:r>
            <w:r w:rsidR="006871E6">
              <w:t>313</w:t>
            </w:r>
            <w:r w:rsidR="00BD27E2">
              <w:t xml:space="preserve"> (tai skaitā Tieslietu ministrija -</w:t>
            </w:r>
            <w:r w:rsidRPr="00260DBF">
              <w:t xml:space="preserve"> Ls 506 122 (ieskaitot rezervi za</w:t>
            </w:r>
            <w:r w:rsidRPr="00F7288C">
              <w:t>udējumu segšanai valūtas maiņas rezultātā un papildu pasākumu izmaksas)</w:t>
            </w:r>
            <w:r w:rsidR="00BD27E2">
              <w:t>, Valsts probācijas dienests – Ls 1 8</w:t>
            </w:r>
            <w:r w:rsidR="006871E6">
              <w:t>70 050 (ieskaitot līdzekļus divpusējām attiecībām – Ls 42 877)</w:t>
            </w:r>
            <w:r w:rsidR="00BD27E2">
              <w:t xml:space="preserve"> un Ieslodzījuma vietu pārvalde – Ls 5 </w:t>
            </w:r>
            <w:r w:rsidR="006871E6">
              <w:t>845 141 (ieskaitot līdzekļus divpusējām attiecībām – Ls 60 110)</w:t>
            </w:r>
            <w:r w:rsidR="00BD27E2">
              <w:t>)</w:t>
            </w:r>
          </w:p>
          <w:p w:rsidR="00260DBF" w:rsidRPr="007B7870" w:rsidRDefault="00F30AA3" w:rsidP="00624B2A">
            <w:pPr>
              <w:numPr>
                <w:ilvl w:val="0"/>
                <w:numId w:val="11"/>
              </w:numPr>
              <w:jc w:val="both"/>
            </w:pPr>
            <w:r>
              <w:lastRenderedPageBreak/>
              <w:t>Iekšlietu ministrija – Ls 2 43</w:t>
            </w:r>
            <w:r w:rsidR="00624B2A">
              <w:t>9</w:t>
            </w:r>
            <w:r w:rsidR="00BD27E2">
              <w:t xml:space="preserve"> </w:t>
            </w:r>
            <w:r w:rsidR="00624B2A">
              <w:t>069</w:t>
            </w:r>
            <w:r w:rsidR="00BD27E2">
              <w:t xml:space="preserve"> </w:t>
            </w:r>
            <w:r w:rsidR="00260DBF" w:rsidRPr="00F7288C">
              <w:t xml:space="preserve">Ls </w:t>
            </w:r>
            <w:r w:rsidR="00BD27E2">
              <w:t xml:space="preserve">(tai skaitā Iekšlietu ministrija – Ls </w:t>
            </w:r>
            <w:r w:rsidR="00260DBF" w:rsidRPr="00F7288C">
              <w:t>11</w:t>
            </w:r>
            <w:r w:rsidR="00260DBF">
              <w:t>9</w:t>
            </w:r>
            <w:r w:rsidR="00260DBF" w:rsidRPr="00F7288C">
              <w:t> </w:t>
            </w:r>
            <w:r w:rsidR="00260DBF">
              <w:t>477</w:t>
            </w:r>
            <w:r w:rsidR="00260DBF" w:rsidRPr="00F7288C">
              <w:t xml:space="preserve"> (ieskaitot rezervi zaudējumu segšanai valūtas maiņas rezultātā</w:t>
            </w:r>
            <w:r w:rsidR="00260DBF">
              <w:t xml:space="preserve"> Ls 4</w:t>
            </w:r>
            <w:r w:rsidR="00BD27E2">
              <w:t> </w:t>
            </w:r>
            <w:r w:rsidR="00260DBF">
              <w:t>193</w:t>
            </w:r>
            <w:r w:rsidR="00BD27E2">
              <w:t xml:space="preserve">) un </w:t>
            </w:r>
            <w:r w:rsidR="00260DBF" w:rsidRPr="00D1630E">
              <w:t>Valsts policija – Ls 2 </w:t>
            </w:r>
            <w:r>
              <w:t>319 592 (ieskaitot līdzekļus divpusējām attiecībām Ls 34 650)</w:t>
            </w:r>
            <w:r w:rsidR="00BD27E2">
              <w:t>)</w:t>
            </w:r>
            <w:r w:rsidR="00260DBF">
              <w:t>.</w:t>
            </w:r>
          </w:p>
        </w:tc>
      </w:tr>
    </w:tbl>
    <w:p w:rsidR="00260DBF" w:rsidRPr="005821EE" w:rsidRDefault="00260DBF" w:rsidP="003D6E9C">
      <w:pPr>
        <w:pStyle w:val="naisf"/>
        <w:spacing w:before="0" w:after="0"/>
        <w:ind w:firstLine="0"/>
        <w:rPr>
          <w:i/>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089"/>
        <w:gridCol w:w="3998"/>
      </w:tblGrid>
      <w:tr w:rsidR="007928CE" w:rsidRPr="005821EE">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7928CE" w:rsidRPr="005821EE" w:rsidRDefault="007928CE" w:rsidP="007928CE">
            <w:pPr>
              <w:spacing w:before="100" w:beforeAutospacing="1" w:after="100" w:afterAutospacing="1"/>
              <w:jc w:val="center"/>
              <w:rPr>
                <w:b/>
                <w:bCs/>
                <w:sz w:val="28"/>
                <w:szCs w:val="28"/>
              </w:rPr>
            </w:pPr>
            <w:r w:rsidRPr="005821EE">
              <w:rPr>
                <w:b/>
                <w:bCs/>
                <w:sz w:val="28"/>
                <w:szCs w:val="28"/>
              </w:rPr>
              <w:t>IV. Kāda var būt normatīvā akta ietekme uz spēkā esošo tiesību normu sistēmu</w:t>
            </w:r>
          </w:p>
        </w:tc>
      </w:tr>
      <w:tr w:rsidR="007928CE" w:rsidRPr="005821EE">
        <w:tc>
          <w:tcPr>
            <w:tcW w:w="2800" w:type="pct"/>
            <w:tcBorders>
              <w:top w:val="outset" w:sz="6" w:space="0" w:color="000000"/>
              <w:left w:val="outset" w:sz="6" w:space="0" w:color="000000"/>
              <w:bottom w:val="outset" w:sz="6" w:space="0" w:color="000000"/>
              <w:right w:val="outset" w:sz="6" w:space="0" w:color="000000"/>
            </w:tcBorders>
            <w:hideMark/>
          </w:tcPr>
          <w:p w:rsidR="007928CE" w:rsidRPr="005821EE" w:rsidRDefault="007928CE" w:rsidP="007928CE">
            <w:pPr>
              <w:spacing w:before="100" w:beforeAutospacing="1" w:after="100" w:afterAutospacing="1"/>
              <w:rPr>
                <w:sz w:val="28"/>
                <w:szCs w:val="28"/>
              </w:rPr>
            </w:pPr>
            <w:r w:rsidRPr="005821EE">
              <w:rPr>
                <w:sz w:val="28"/>
                <w:szCs w:val="28"/>
              </w:rPr>
              <w:t xml:space="preserve">1. Kādi normatīvie akti (likumi un Ministru kabineta noteikumi) papildus jāizdod un vai ir sagatavoti to projekti, to būtība, kā arī ministrija, kura ir atbildīga par tā sagatavošanu. Par Ministru kabineta noteikumiem (arī tiem, kuru izdošana ir paredzēta izstrādātajā likumprojektā) - norāda to izdošanas mērķi un galvenos satura punktus, kā arī termiņu, kādā paredzēts šos noteikumus izstrādāt </w:t>
            </w:r>
          </w:p>
        </w:tc>
        <w:tc>
          <w:tcPr>
            <w:tcW w:w="2200" w:type="pct"/>
            <w:tcBorders>
              <w:top w:val="outset" w:sz="6" w:space="0" w:color="000000"/>
              <w:left w:val="outset" w:sz="6" w:space="0" w:color="000000"/>
              <w:bottom w:val="outset" w:sz="6" w:space="0" w:color="000000"/>
              <w:right w:val="outset" w:sz="6" w:space="0" w:color="000000"/>
            </w:tcBorders>
            <w:hideMark/>
          </w:tcPr>
          <w:p w:rsidR="007928CE" w:rsidRPr="005821EE" w:rsidRDefault="007928CE" w:rsidP="00112756">
            <w:pPr>
              <w:spacing w:before="100" w:beforeAutospacing="1" w:after="100" w:afterAutospacing="1"/>
              <w:jc w:val="both"/>
              <w:rPr>
                <w:sz w:val="28"/>
                <w:szCs w:val="28"/>
              </w:rPr>
            </w:pPr>
            <w:r w:rsidRPr="005821EE">
              <w:rPr>
                <w:sz w:val="28"/>
                <w:szCs w:val="28"/>
              </w:rPr>
              <w:t xml:space="preserve"> Pēc Programmas iesnieguma projekta apstiprināšanas Finanšu instrumenta birojā saskaņā ar </w:t>
            </w:r>
            <w:r w:rsidRPr="005821EE">
              <w:rPr>
                <w:rStyle w:val="Izclums"/>
                <w:b w:val="0"/>
                <w:sz w:val="28"/>
                <w:szCs w:val="28"/>
              </w:rPr>
              <w:t>Eiropas Ekonomikas</w:t>
            </w:r>
            <w:r w:rsidRPr="005821EE">
              <w:rPr>
                <w:rStyle w:val="Izclums"/>
                <w:sz w:val="28"/>
                <w:szCs w:val="28"/>
              </w:rPr>
              <w:t xml:space="preserve"> </w:t>
            </w:r>
            <w:r w:rsidRPr="005821EE">
              <w:rPr>
                <w:rStyle w:val="Izclums"/>
                <w:b w:val="0"/>
                <w:sz w:val="28"/>
                <w:szCs w:val="28"/>
              </w:rPr>
              <w:t>zonas</w:t>
            </w:r>
            <w:r w:rsidRPr="005821EE">
              <w:rPr>
                <w:rStyle w:val="st"/>
                <w:sz w:val="28"/>
                <w:szCs w:val="28"/>
              </w:rPr>
              <w:t xml:space="preserve"> finanšu instrumenta un </w:t>
            </w:r>
            <w:r w:rsidRPr="005821EE">
              <w:rPr>
                <w:rStyle w:val="Izclums"/>
                <w:b w:val="0"/>
                <w:sz w:val="28"/>
                <w:szCs w:val="28"/>
              </w:rPr>
              <w:t>Norvēģijas</w:t>
            </w:r>
            <w:r w:rsidRPr="005821EE">
              <w:rPr>
                <w:rStyle w:val="st"/>
                <w:sz w:val="28"/>
                <w:szCs w:val="28"/>
              </w:rPr>
              <w:t xml:space="preserve"> finanšu instrumenta 2009. – 2014.gada perioda vadības </w:t>
            </w:r>
            <w:r w:rsidRPr="005821EE">
              <w:rPr>
                <w:rStyle w:val="Izclums"/>
                <w:b w:val="0"/>
                <w:sz w:val="28"/>
                <w:szCs w:val="28"/>
              </w:rPr>
              <w:t xml:space="preserve">likumu (likumprojekts apstiprināts MK 20.09.2011.) tiks izdoti Ministru kabineta noteikumi par </w:t>
            </w:r>
            <w:r w:rsidRPr="005821EE">
              <w:rPr>
                <w:sz w:val="28"/>
                <w:szCs w:val="28"/>
              </w:rPr>
              <w:t>kārtību, kādā īsteno programmu un programmas apsaimniekotāja un tā partnera sadarbības kārtību, ja programma tiek īstenota partnerībā.</w:t>
            </w:r>
          </w:p>
        </w:tc>
      </w:tr>
      <w:tr w:rsidR="007928CE" w:rsidRPr="005821EE">
        <w:tc>
          <w:tcPr>
            <w:tcW w:w="2800" w:type="pct"/>
            <w:tcBorders>
              <w:top w:val="outset" w:sz="6" w:space="0" w:color="000000"/>
              <w:left w:val="outset" w:sz="6" w:space="0" w:color="000000"/>
              <w:bottom w:val="outset" w:sz="6" w:space="0" w:color="000000"/>
              <w:right w:val="outset" w:sz="6" w:space="0" w:color="000000"/>
            </w:tcBorders>
            <w:hideMark/>
          </w:tcPr>
          <w:p w:rsidR="007928CE" w:rsidRPr="005821EE" w:rsidRDefault="007928CE" w:rsidP="007928CE">
            <w:pPr>
              <w:spacing w:before="100" w:beforeAutospacing="1" w:after="100" w:afterAutospacing="1"/>
              <w:rPr>
                <w:sz w:val="28"/>
                <w:szCs w:val="28"/>
              </w:rPr>
            </w:pPr>
            <w:r w:rsidRPr="005821EE">
              <w:rPr>
                <w:sz w:val="28"/>
                <w:szCs w:val="28"/>
              </w:rPr>
              <w:t>2. Cita informācija</w:t>
            </w:r>
          </w:p>
        </w:tc>
        <w:tc>
          <w:tcPr>
            <w:tcW w:w="2200" w:type="pct"/>
            <w:tcBorders>
              <w:top w:val="outset" w:sz="6" w:space="0" w:color="000000"/>
              <w:left w:val="outset" w:sz="6" w:space="0" w:color="000000"/>
              <w:bottom w:val="outset" w:sz="6" w:space="0" w:color="000000"/>
              <w:right w:val="outset" w:sz="6" w:space="0" w:color="000000"/>
            </w:tcBorders>
            <w:hideMark/>
          </w:tcPr>
          <w:p w:rsidR="007928CE" w:rsidRPr="005821EE" w:rsidRDefault="007928CE" w:rsidP="007928CE">
            <w:pPr>
              <w:spacing w:before="100" w:beforeAutospacing="1" w:after="100" w:afterAutospacing="1"/>
              <w:rPr>
                <w:sz w:val="28"/>
                <w:szCs w:val="28"/>
              </w:rPr>
            </w:pPr>
          </w:p>
        </w:tc>
      </w:tr>
    </w:tbl>
    <w:p w:rsidR="007928CE" w:rsidRPr="005821EE" w:rsidRDefault="007928CE" w:rsidP="007928CE">
      <w:pPr>
        <w:pStyle w:val="naisf"/>
        <w:tabs>
          <w:tab w:val="center" w:pos="4535"/>
        </w:tabs>
        <w:spacing w:before="0" w:after="0"/>
        <w:ind w:firstLine="0"/>
        <w:rPr>
          <w:i/>
          <w:sz w:val="28"/>
          <w:szCs w:val="28"/>
        </w:rPr>
      </w:pPr>
    </w:p>
    <w:tbl>
      <w:tblPr>
        <w:tblStyle w:val="Reatabula"/>
        <w:tblW w:w="0" w:type="auto"/>
        <w:tblLook w:val="04A0"/>
      </w:tblPr>
      <w:tblGrid>
        <w:gridCol w:w="534"/>
        <w:gridCol w:w="2976"/>
        <w:gridCol w:w="5777"/>
      </w:tblGrid>
      <w:tr w:rsidR="009626B9" w:rsidRPr="005821EE" w:rsidTr="00311EC5">
        <w:tc>
          <w:tcPr>
            <w:tcW w:w="9287" w:type="dxa"/>
            <w:gridSpan w:val="3"/>
          </w:tcPr>
          <w:p w:rsidR="009626B9" w:rsidRPr="005821EE" w:rsidRDefault="009626B9" w:rsidP="009626B9">
            <w:pPr>
              <w:pStyle w:val="naisf"/>
              <w:spacing w:before="0" w:after="0"/>
              <w:ind w:firstLine="0"/>
              <w:rPr>
                <w:i/>
                <w:sz w:val="28"/>
                <w:szCs w:val="28"/>
              </w:rPr>
            </w:pPr>
            <w:r w:rsidRPr="005821EE">
              <w:rPr>
                <w:b/>
                <w:sz w:val="28"/>
                <w:szCs w:val="28"/>
              </w:rPr>
              <w:t>V Tiesību akta projekta atbilstība Latvijas Republikas starptautiskajām saistībām</w:t>
            </w:r>
          </w:p>
        </w:tc>
      </w:tr>
      <w:tr w:rsidR="009626B9" w:rsidRPr="005821EE" w:rsidTr="009626B9">
        <w:tc>
          <w:tcPr>
            <w:tcW w:w="534" w:type="dxa"/>
          </w:tcPr>
          <w:p w:rsidR="009626B9" w:rsidRPr="005821EE" w:rsidRDefault="009626B9" w:rsidP="003D6E9C">
            <w:pPr>
              <w:pStyle w:val="naisf"/>
              <w:spacing w:before="0" w:after="0"/>
              <w:ind w:firstLine="0"/>
              <w:rPr>
                <w:sz w:val="28"/>
                <w:szCs w:val="28"/>
              </w:rPr>
            </w:pPr>
            <w:r w:rsidRPr="005821EE">
              <w:rPr>
                <w:sz w:val="28"/>
                <w:szCs w:val="28"/>
              </w:rPr>
              <w:t>1.</w:t>
            </w:r>
          </w:p>
        </w:tc>
        <w:tc>
          <w:tcPr>
            <w:tcW w:w="2976" w:type="dxa"/>
          </w:tcPr>
          <w:p w:rsidR="009626B9" w:rsidRPr="005821EE" w:rsidRDefault="009626B9" w:rsidP="003D6E9C">
            <w:pPr>
              <w:pStyle w:val="naisf"/>
              <w:spacing w:before="0" w:after="0"/>
              <w:ind w:firstLine="0"/>
              <w:rPr>
                <w:sz w:val="28"/>
                <w:szCs w:val="28"/>
              </w:rPr>
            </w:pPr>
            <w:r w:rsidRPr="005821EE">
              <w:rPr>
                <w:sz w:val="28"/>
                <w:szCs w:val="28"/>
              </w:rPr>
              <w:t>Saistības pret Eiropas Savienību</w:t>
            </w:r>
          </w:p>
        </w:tc>
        <w:tc>
          <w:tcPr>
            <w:tcW w:w="5777" w:type="dxa"/>
          </w:tcPr>
          <w:p w:rsidR="009626B9" w:rsidRPr="005821EE" w:rsidRDefault="000D28CF" w:rsidP="00491203">
            <w:pPr>
              <w:jc w:val="both"/>
              <w:rPr>
                <w:i/>
                <w:sz w:val="28"/>
                <w:szCs w:val="28"/>
              </w:rPr>
            </w:pPr>
            <w:r>
              <w:rPr>
                <w:sz w:val="28"/>
                <w:szCs w:val="28"/>
              </w:rPr>
              <w:t>Nav attiecināms.</w:t>
            </w:r>
          </w:p>
        </w:tc>
      </w:tr>
      <w:tr w:rsidR="009626B9" w:rsidRPr="005821EE" w:rsidTr="009626B9">
        <w:tc>
          <w:tcPr>
            <w:tcW w:w="534" w:type="dxa"/>
          </w:tcPr>
          <w:p w:rsidR="009626B9" w:rsidRPr="005821EE" w:rsidRDefault="009626B9" w:rsidP="003D6E9C">
            <w:pPr>
              <w:pStyle w:val="naisf"/>
              <w:spacing w:before="0" w:after="0"/>
              <w:ind w:firstLine="0"/>
              <w:rPr>
                <w:sz w:val="28"/>
                <w:szCs w:val="28"/>
              </w:rPr>
            </w:pPr>
            <w:r w:rsidRPr="005821EE">
              <w:rPr>
                <w:sz w:val="28"/>
                <w:szCs w:val="28"/>
              </w:rPr>
              <w:t>2.</w:t>
            </w:r>
          </w:p>
        </w:tc>
        <w:tc>
          <w:tcPr>
            <w:tcW w:w="2976" w:type="dxa"/>
          </w:tcPr>
          <w:p w:rsidR="009626B9" w:rsidRPr="005821EE" w:rsidRDefault="009626B9" w:rsidP="003D6E9C">
            <w:pPr>
              <w:pStyle w:val="naisf"/>
              <w:spacing w:before="0" w:after="0"/>
              <w:ind w:firstLine="0"/>
              <w:rPr>
                <w:sz w:val="28"/>
                <w:szCs w:val="28"/>
              </w:rPr>
            </w:pPr>
            <w:r w:rsidRPr="005821EE">
              <w:rPr>
                <w:sz w:val="28"/>
                <w:szCs w:val="28"/>
              </w:rPr>
              <w:t>Citas starptautiskās saistības</w:t>
            </w:r>
          </w:p>
        </w:tc>
        <w:tc>
          <w:tcPr>
            <w:tcW w:w="5777" w:type="dxa"/>
          </w:tcPr>
          <w:p w:rsidR="009626B9" w:rsidRPr="005821EE" w:rsidRDefault="007928CE" w:rsidP="000D28CF">
            <w:pPr>
              <w:pStyle w:val="naisf"/>
              <w:spacing w:before="0" w:after="0"/>
              <w:ind w:firstLine="0"/>
              <w:rPr>
                <w:sz w:val="28"/>
                <w:szCs w:val="28"/>
              </w:rPr>
            </w:pPr>
            <w:r w:rsidRPr="005821EE">
              <w:rPr>
                <w:sz w:val="28"/>
                <w:szCs w:val="28"/>
              </w:rPr>
              <w:t xml:space="preserve">Tiesību akta projekts nepieciešams </w:t>
            </w:r>
            <w:r w:rsidR="000D28CF" w:rsidRPr="005821EE">
              <w:rPr>
                <w:sz w:val="28"/>
                <w:szCs w:val="28"/>
              </w:rPr>
              <w:t xml:space="preserve">2011. gada 28. aprīļa </w:t>
            </w:r>
            <w:r w:rsidRPr="005821EE">
              <w:rPr>
                <w:sz w:val="28"/>
                <w:szCs w:val="28"/>
              </w:rPr>
              <w:t>Saprašanās memoranda par Norvēģijas finanšu instrumenta ieviešanu 2009.–2014. gadā starp Latvijas Republiku un Norvēģijas Karalisti 6. pantu un B pielikuma E sadaļas izpildei.</w:t>
            </w:r>
          </w:p>
        </w:tc>
      </w:tr>
      <w:tr w:rsidR="009626B9" w:rsidRPr="005821EE" w:rsidTr="009626B9">
        <w:tc>
          <w:tcPr>
            <w:tcW w:w="534" w:type="dxa"/>
          </w:tcPr>
          <w:p w:rsidR="009626B9" w:rsidRPr="005821EE" w:rsidRDefault="009626B9" w:rsidP="003D6E9C">
            <w:pPr>
              <w:pStyle w:val="naisf"/>
              <w:spacing w:before="0" w:after="0"/>
              <w:ind w:firstLine="0"/>
              <w:rPr>
                <w:sz w:val="28"/>
                <w:szCs w:val="28"/>
              </w:rPr>
            </w:pPr>
            <w:r w:rsidRPr="005821EE">
              <w:rPr>
                <w:sz w:val="28"/>
                <w:szCs w:val="28"/>
              </w:rPr>
              <w:t>3.</w:t>
            </w:r>
          </w:p>
        </w:tc>
        <w:tc>
          <w:tcPr>
            <w:tcW w:w="2976" w:type="dxa"/>
          </w:tcPr>
          <w:p w:rsidR="009626B9" w:rsidRPr="005821EE" w:rsidRDefault="009626B9" w:rsidP="003D6E9C">
            <w:pPr>
              <w:pStyle w:val="naisf"/>
              <w:spacing w:before="0" w:after="0"/>
              <w:ind w:firstLine="0"/>
              <w:rPr>
                <w:sz w:val="28"/>
                <w:szCs w:val="28"/>
              </w:rPr>
            </w:pPr>
            <w:r w:rsidRPr="005821EE">
              <w:rPr>
                <w:sz w:val="28"/>
                <w:szCs w:val="28"/>
              </w:rPr>
              <w:t>Cita informācija</w:t>
            </w:r>
          </w:p>
        </w:tc>
        <w:tc>
          <w:tcPr>
            <w:tcW w:w="5777" w:type="dxa"/>
          </w:tcPr>
          <w:p w:rsidR="009626B9" w:rsidRPr="005821EE" w:rsidRDefault="000D28CF" w:rsidP="00286EC4">
            <w:pPr>
              <w:pStyle w:val="naisf"/>
              <w:spacing w:before="0" w:after="0"/>
              <w:ind w:firstLine="0"/>
              <w:rPr>
                <w:sz w:val="28"/>
                <w:szCs w:val="28"/>
              </w:rPr>
            </w:pPr>
            <w:r>
              <w:rPr>
                <w:sz w:val="28"/>
                <w:szCs w:val="28"/>
              </w:rPr>
              <w:t>Nav attiecināms.</w:t>
            </w:r>
          </w:p>
        </w:tc>
      </w:tr>
    </w:tbl>
    <w:p w:rsidR="009626B9" w:rsidRPr="005821EE" w:rsidRDefault="009626B9" w:rsidP="003D6E9C">
      <w:pPr>
        <w:pStyle w:val="naisf"/>
        <w:spacing w:before="0" w:after="0"/>
        <w:ind w:firstLine="0"/>
        <w:rPr>
          <w:i/>
          <w:sz w:val="28"/>
          <w:szCs w:val="28"/>
        </w:rPr>
      </w:pPr>
    </w:p>
    <w:tbl>
      <w:tblPr>
        <w:tblW w:w="9294" w:type="dxa"/>
        <w:jc w:val="center"/>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94"/>
        <w:gridCol w:w="2681"/>
        <w:gridCol w:w="3919"/>
      </w:tblGrid>
      <w:tr w:rsidR="007928CE" w:rsidRPr="005821EE" w:rsidTr="007928CE">
        <w:trPr>
          <w:trHeight w:val="792"/>
          <w:jc w:val="center"/>
        </w:trPr>
        <w:tc>
          <w:tcPr>
            <w:tcW w:w="9294" w:type="dxa"/>
            <w:gridSpan w:val="3"/>
            <w:vAlign w:val="center"/>
          </w:tcPr>
          <w:p w:rsidR="007928CE" w:rsidRPr="005821EE" w:rsidRDefault="007928CE" w:rsidP="007537ED">
            <w:pPr>
              <w:pStyle w:val="naisnod"/>
              <w:spacing w:before="0" w:after="0"/>
              <w:rPr>
                <w:sz w:val="28"/>
                <w:szCs w:val="28"/>
              </w:rPr>
            </w:pPr>
            <w:r w:rsidRPr="005821EE">
              <w:rPr>
                <w:sz w:val="28"/>
                <w:szCs w:val="28"/>
              </w:rPr>
              <w:t xml:space="preserve">2.tabula </w:t>
            </w:r>
          </w:p>
          <w:p w:rsidR="007928CE" w:rsidRPr="005821EE" w:rsidRDefault="007928CE" w:rsidP="007537ED">
            <w:pPr>
              <w:pStyle w:val="naisnod"/>
              <w:spacing w:before="0" w:after="0"/>
              <w:rPr>
                <w:sz w:val="28"/>
                <w:szCs w:val="28"/>
              </w:rPr>
            </w:pPr>
            <w:r w:rsidRPr="005821EE">
              <w:rPr>
                <w:sz w:val="28"/>
                <w:szCs w:val="28"/>
              </w:rPr>
              <w:t>Ar tiesību akta projektu uzņemtās saistības, kas izriet no starptautiskajiem tiesību aktiem vai starptautiskas institūcijas vai organizācijas dokumentiem</w:t>
            </w:r>
          </w:p>
          <w:p w:rsidR="007928CE" w:rsidRPr="005821EE" w:rsidRDefault="007928CE" w:rsidP="007537ED">
            <w:pPr>
              <w:pStyle w:val="naisnod"/>
              <w:spacing w:before="0" w:after="0"/>
              <w:rPr>
                <w:sz w:val="28"/>
                <w:szCs w:val="28"/>
              </w:rPr>
            </w:pPr>
            <w:r w:rsidRPr="005821EE">
              <w:rPr>
                <w:sz w:val="28"/>
                <w:szCs w:val="28"/>
              </w:rPr>
              <w:t>Pasākumi šo saistību izpildei</w:t>
            </w:r>
          </w:p>
        </w:tc>
      </w:tr>
      <w:tr w:rsidR="007928CE" w:rsidRPr="005821EE" w:rsidTr="007928CE">
        <w:trPr>
          <w:trHeight w:val="1596"/>
          <w:jc w:val="center"/>
        </w:trPr>
        <w:tc>
          <w:tcPr>
            <w:tcW w:w="2694" w:type="dxa"/>
            <w:vAlign w:val="center"/>
          </w:tcPr>
          <w:p w:rsidR="007928CE" w:rsidRPr="005821EE" w:rsidRDefault="007928CE" w:rsidP="007537ED">
            <w:pPr>
              <w:pStyle w:val="naiskr"/>
              <w:spacing w:before="0" w:after="0"/>
              <w:ind w:hanging="10"/>
              <w:rPr>
                <w:sz w:val="28"/>
                <w:szCs w:val="28"/>
              </w:rPr>
            </w:pPr>
            <w:r w:rsidRPr="005821EE">
              <w:rPr>
                <w:sz w:val="28"/>
                <w:szCs w:val="28"/>
              </w:rPr>
              <w:lastRenderedPageBreak/>
              <w:t>Attiecīgā starptautiskā tiesību akta vai starptautiskas institūcijas vai organizācijas dokumenta (turpmāk – starptautiskais dokuments) datums, numurs un nosaukums</w:t>
            </w:r>
          </w:p>
        </w:tc>
        <w:tc>
          <w:tcPr>
            <w:tcW w:w="6600" w:type="dxa"/>
            <w:gridSpan w:val="2"/>
          </w:tcPr>
          <w:p w:rsidR="007928CE" w:rsidRPr="005821EE" w:rsidRDefault="00F2033A" w:rsidP="00F2033A">
            <w:pPr>
              <w:pStyle w:val="naiskr"/>
              <w:spacing w:before="0" w:after="0"/>
              <w:ind w:right="173"/>
              <w:jc w:val="both"/>
              <w:rPr>
                <w:iCs/>
                <w:sz w:val="28"/>
                <w:szCs w:val="28"/>
              </w:rPr>
            </w:pPr>
            <w:r w:rsidRPr="005821EE">
              <w:rPr>
                <w:sz w:val="28"/>
                <w:szCs w:val="28"/>
              </w:rPr>
              <w:t>2011. gada 28. aprīļa Saprašanās memoranda par Norvēģijas finanšu instrumenta ieviešanu 2009.–2014. gadā starp Latvijas Republiku un Norvēģijas Karalisti 6. pantu un B pielikuma E sadaļa</w:t>
            </w:r>
            <w:r w:rsidR="000D28CF">
              <w:rPr>
                <w:sz w:val="28"/>
                <w:szCs w:val="28"/>
              </w:rPr>
              <w:t>.</w:t>
            </w:r>
          </w:p>
        </w:tc>
      </w:tr>
      <w:tr w:rsidR="007928CE" w:rsidRPr="005821EE" w:rsidTr="007928CE">
        <w:trPr>
          <w:trHeight w:val="163"/>
          <w:jc w:val="center"/>
        </w:trPr>
        <w:tc>
          <w:tcPr>
            <w:tcW w:w="9294" w:type="dxa"/>
            <w:gridSpan w:val="3"/>
            <w:vAlign w:val="center"/>
          </w:tcPr>
          <w:p w:rsidR="007928CE" w:rsidRPr="005821EE" w:rsidRDefault="007928CE" w:rsidP="007537ED">
            <w:pPr>
              <w:pStyle w:val="naiskr"/>
              <w:spacing w:before="0" w:after="0"/>
              <w:rPr>
                <w:i/>
                <w:sz w:val="28"/>
                <w:szCs w:val="28"/>
              </w:rPr>
            </w:pPr>
          </w:p>
        </w:tc>
      </w:tr>
      <w:tr w:rsidR="007928CE" w:rsidRPr="005821EE" w:rsidTr="007928CE">
        <w:trPr>
          <w:trHeight w:val="341"/>
          <w:jc w:val="center"/>
        </w:trPr>
        <w:tc>
          <w:tcPr>
            <w:tcW w:w="2694" w:type="dxa"/>
            <w:vAlign w:val="center"/>
          </w:tcPr>
          <w:p w:rsidR="007928CE" w:rsidRPr="005821EE" w:rsidRDefault="007928CE" w:rsidP="007537ED">
            <w:pPr>
              <w:pStyle w:val="naiskr"/>
              <w:spacing w:before="0" w:after="0"/>
              <w:jc w:val="center"/>
              <w:rPr>
                <w:sz w:val="28"/>
                <w:szCs w:val="28"/>
              </w:rPr>
            </w:pPr>
            <w:r w:rsidRPr="005821EE">
              <w:rPr>
                <w:sz w:val="28"/>
                <w:szCs w:val="28"/>
              </w:rPr>
              <w:t>A</w:t>
            </w:r>
          </w:p>
        </w:tc>
        <w:tc>
          <w:tcPr>
            <w:tcW w:w="2681" w:type="dxa"/>
            <w:vAlign w:val="center"/>
          </w:tcPr>
          <w:p w:rsidR="007928CE" w:rsidRPr="005821EE" w:rsidRDefault="007928CE" w:rsidP="007537ED">
            <w:pPr>
              <w:pStyle w:val="naiskr"/>
              <w:spacing w:before="0" w:after="0"/>
              <w:jc w:val="center"/>
              <w:rPr>
                <w:sz w:val="28"/>
                <w:szCs w:val="28"/>
              </w:rPr>
            </w:pPr>
            <w:r w:rsidRPr="005821EE">
              <w:rPr>
                <w:sz w:val="28"/>
                <w:szCs w:val="28"/>
              </w:rPr>
              <w:t>B</w:t>
            </w:r>
          </w:p>
        </w:tc>
        <w:tc>
          <w:tcPr>
            <w:tcW w:w="3919" w:type="dxa"/>
            <w:vAlign w:val="center"/>
          </w:tcPr>
          <w:p w:rsidR="007928CE" w:rsidRPr="005821EE" w:rsidRDefault="007928CE" w:rsidP="007537ED">
            <w:pPr>
              <w:pStyle w:val="naiskr"/>
              <w:spacing w:before="0" w:after="0"/>
              <w:jc w:val="center"/>
              <w:rPr>
                <w:sz w:val="28"/>
                <w:szCs w:val="28"/>
              </w:rPr>
            </w:pPr>
            <w:r w:rsidRPr="005821EE">
              <w:rPr>
                <w:sz w:val="28"/>
                <w:szCs w:val="28"/>
              </w:rPr>
              <w:t>C</w:t>
            </w:r>
          </w:p>
        </w:tc>
      </w:tr>
      <w:tr w:rsidR="007928CE" w:rsidRPr="005821EE" w:rsidTr="007928CE">
        <w:trPr>
          <w:trHeight w:val="341"/>
          <w:jc w:val="center"/>
        </w:trPr>
        <w:tc>
          <w:tcPr>
            <w:tcW w:w="2694" w:type="dxa"/>
          </w:tcPr>
          <w:p w:rsidR="007928CE" w:rsidRPr="005821EE" w:rsidRDefault="007928CE" w:rsidP="000907A9">
            <w:pPr>
              <w:pStyle w:val="naiskr"/>
              <w:spacing w:before="0" w:after="0"/>
              <w:jc w:val="both"/>
              <w:rPr>
                <w:sz w:val="28"/>
                <w:szCs w:val="28"/>
              </w:rPr>
            </w:pPr>
            <w:r w:rsidRPr="005821EE">
              <w:rPr>
                <w:sz w:val="28"/>
                <w:szCs w:val="28"/>
              </w:rPr>
              <w:t>Starptautiskās saistības (pēc būtības), kas izriet no norādītā starptautiskā dokumenta.</w:t>
            </w:r>
          </w:p>
          <w:p w:rsidR="007928CE" w:rsidRPr="005821EE" w:rsidRDefault="007928CE" w:rsidP="007537ED">
            <w:pPr>
              <w:pStyle w:val="naiskr"/>
              <w:spacing w:before="0" w:after="0"/>
              <w:rPr>
                <w:sz w:val="28"/>
                <w:szCs w:val="28"/>
              </w:rPr>
            </w:pPr>
          </w:p>
          <w:p w:rsidR="007928CE" w:rsidRPr="005821EE" w:rsidRDefault="007928CE" w:rsidP="000907A9">
            <w:pPr>
              <w:pStyle w:val="naiskr"/>
              <w:spacing w:before="0" w:after="0"/>
              <w:jc w:val="both"/>
              <w:rPr>
                <w:sz w:val="28"/>
                <w:szCs w:val="28"/>
              </w:rPr>
            </w:pPr>
            <w:r w:rsidRPr="005821EE">
              <w:rPr>
                <w:sz w:val="28"/>
                <w:szCs w:val="28"/>
              </w:rPr>
              <w:t>Konkrēti veicamie pasākumi vai uzdevumi, kas nepieciešami šo starptautisko saistību izpildei</w:t>
            </w:r>
          </w:p>
        </w:tc>
        <w:tc>
          <w:tcPr>
            <w:tcW w:w="2681" w:type="dxa"/>
          </w:tcPr>
          <w:p w:rsidR="007928CE" w:rsidRPr="005821EE" w:rsidRDefault="007928CE" w:rsidP="000907A9">
            <w:pPr>
              <w:pStyle w:val="naiskr"/>
              <w:spacing w:before="0" w:after="0"/>
              <w:jc w:val="both"/>
              <w:rPr>
                <w:sz w:val="28"/>
                <w:szCs w:val="28"/>
              </w:rPr>
            </w:pPr>
            <w:r w:rsidRPr="005821EE">
              <w:rPr>
                <w:sz w:val="28"/>
                <w:szCs w:val="28"/>
              </w:rPr>
              <w:t>Ja pasākumi vai uzdevumi, ar ko tiks izpildītas starptautiskās saistības, tiek noteikti projektā, norāda attiecīgo projekta vienību.</w:t>
            </w:r>
          </w:p>
          <w:p w:rsidR="007928CE" w:rsidRPr="005821EE" w:rsidRDefault="007928CE" w:rsidP="007537ED">
            <w:pPr>
              <w:pStyle w:val="naiskr"/>
              <w:spacing w:before="0" w:after="0"/>
              <w:rPr>
                <w:sz w:val="28"/>
                <w:szCs w:val="28"/>
              </w:rPr>
            </w:pPr>
          </w:p>
          <w:p w:rsidR="007928CE" w:rsidRPr="005821EE" w:rsidRDefault="007928CE" w:rsidP="000907A9">
            <w:pPr>
              <w:pStyle w:val="naiskr"/>
              <w:spacing w:before="0" w:after="0"/>
              <w:jc w:val="both"/>
              <w:rPr>
                <w:sz w:val="28"/>
                <w:szCs w:val="28"/>
              </w:rPr>
            </w:pPr>
            <w:r w:rsidRPr="005821EE">
              <w:rPr>
                <w:sz w:val="28"/>
                <w:szCs w:val="28"/>
              </w:rPr>
              <w:t>Vai arī norāda dokumentu, kurā sniegts izvērsts skaidrojums, kādā veidā tiks nodrošināta starptautisko saistību izpilde</w:t>
            </w:r>
          </w:p>
        </w:tc>
        <w:tc>
          <w:tcPr>
            <w:tcW w:w="3919" w:type="dxa"/>
          </w:tcPr>
          <w:p w:rsidR="007928CE" w:rsidRPr="005821EE" w:rsidRDefault="007928CE" w:rsidP="000907A9">
            <w:pPr>
              <w:pStyle w:val="naiskr"/>
              <w:spacing w:before="0" w:after="0"/>
              <w:jc w:val="both"/>
              <w:rPr>
                <w:sz w:val="28"/>
                <w:szCs w:val="28"/>
              </w:rPr>
            </w:pPr>
            <w:r w:rsidRPr="005821EE">
              <w:rPr>
                <w:sz w:val="28"/>
                <w:szCs w:val="28"/>
              </w:rPr>
              <w:t>Informācija par to, vai starptautiskās saistības, kas minētas šīs tabulas A ailē, tiek izpildītas pilnībā vai daļēji.</w:t>
            </w:r>
          </w:p>
          <w:p w:rsidR="007928CE" w:rsidRPr="005821EE" w:rsidRDefault="007928CE" w:rsidP="007537ED">
            <w:pPr>
              <w:pStyle w:val="naiskr"/>
              <w:spacing w:before="0" w:after="0"/>
              <w:rPr>
                <w:sz w:val="28"/>
                <w:szCs w:val="28"/>
              </w:rPr>
            </w:pPr>
          </w:p>
          <w:p w:rsidR="007928CE" w:rsidRPr="005821EE" w:rsidRDefault="007928CE" w:rsidP="000907A9">
            <w:pPr>
              <w:pStyle w:val="naiskr"/>
              <w:spacing w:before="0" w:after="0"/>
              <w:jc w:val="both"/>
              <w:rPr>
                <w:sz w:val="28"/>
                <w:szCs w:val="28"/>
              </w:rPr>
            </w:pPr>
            <w:r w:rsidRPr="005821EE">
              <w:rPr>
                <w:sz w:val="28"/>
                <w:szCs w:val="28"/>
              </w:rPr>
              <w:t>Ja attiecīgās starptautiskās saistības tiek izpildītas daļēji, sniedz attiecīgu skaidrojumu, kā arī precīzi norāda, kad un kādā veidā starptautiskās saistības tiks izpildītas pilnībā.</w:t>
            </w:r>
          </w:p>
          <w:p w:rsidR="007928CE" w:rsidRPr="005821EE" w:rsidRDefault="007928CE" w:rsidP="007537ED">
            <w:pPr>
              <w:pStyle w:val="naiskr"/>
              <w:spacing w:before="0" w:after="0"/>
              <w:rPr>
                <w:sz w:val="28"/>
                <w:szCs w:val="28"/>
              </w:rPr>
            </w:pPr>
          </w:p>
          <w:p w:rsidR="007928CE" w:rsidRPr="005821EE" w:rsidRDefault="007928CE" w:rsidP="007537ED">
            <w:pPr>
              <w:pStyle w:val="naiskr"/>
              <w:spacing w:before="0" w:after="0"/>
              <w:rPr>
                <w:sz w:val="28"/>
                <w:szCs w:val="28"/>
              </w:rPr>
            </w:pPr>
            <w:r w:rsidRPr="005821EE">
              <w:rPr>
                <w:sz w:val="28"/>
                <w:szCs w:val="28"/>
              </w:rPr>
              <w:t>Norāda institūciju, kas ir atbildīga par šo saistību izpildi pilnībā</w:t>
            </w:r>
          </w:p>
        </w:tc>
      </w:tr>
      <w:tr w:rsidR="007928CE" w:rsidRPr="005821EE" w:rsidTr="007928CE">
        <w:trPr>
          <w:trHeight w:val="1425"/>
          <w:jc w:val="center"/>
        </w:trPr>
        <w:tc>
          <w:tcPr>
            <w:tcW w:w="2694" w:type="dxa"/>
          </w:tcPr>
          <w:p w:rsidR="007928CE" w:rsidRPr="005821EE" w:rsidRDefault="007928CE" w:rsidP="007537ED">
            <w:pPr>
              <w:pStyle w:val="naiskr"/>
              <w:spacing w:before="0" w:after="0"/>
              <w:ind w:right="81"/>
              <w:jc w:val="both"/>
              <w:rPr>
                <w:sz w:val="28"/>
                <w:szCs w:val="28"/>
              </w:rPr>
            </w:pPr>
            <w:r w:rsidRPr="005821EE">
              <w:rPr>
                <w:iCs/>
                <w:sz w:val="28"/>
                <w:szCs w:val="28"/>
              </w:rPr>
              <w:t xml:space="preserve">Tieslietu ministrijai (Programmas īstenotājam) jāizstrādā Ministru kabineta noteikumi par </w:t>
            </w:r>
            <w:r w:rsidRPr="005821EE">
              <w:rPr>
                <w:sz w:val="28"/>
                <w:szCs w:val="28"/>
              </w:rPr>
              <w:t>kārtību, kādā īsteno programmu un programmas apsaimniekotāja un tā partnera sadarbības kārtību, ja programma tiek īstenota partnerībā.</w:t>
            </w:r>
          </w:p>
        </w:tc>
        <w:tc>
          <w:tcPr>
            <w:tcW w:w="2681" w:type="dxa"/>
          </w:tcPr>
          <w:p w:rsidR="007928CE" w:rsidRPr="005821EE" w:rsidRDefault="007928CE" w:rsidP="007537ED">
            <w:pPr>
              <w:pStyle w:val="naiskr"/>
              <w:spacing w:before="0" w:after="0"/>
              <w:ind w:right="81"/>
              <w:jc w:val="both"/>
              <w:rPr>
                <w:iCs/>
                <w:sz w:val="28"/>
                <w:szCs w:val="28"/>
              </w:rPr>
            </w:pPr>
            <w:r w:rsidRPr="005821EE">
              <w:rPr>
                <w:sz w:val="28"/>
                <w:szCs w:val="28"/>
              </w:rPr>
              <w:t>Nav attiecināms.</w:t>
            </w:r>
          </w:p>
        </w:tc>
        <w:tc>
          <w:tcPr>
            <w:tcW w:w="3919" w:type="dxa"/>
          </w:tcPr>
          <w:p w:rsidR="007928CE" w:rsidRPr="005821EE" w:rsidRDefault="007928CE" w:rsidP="000D28CF">
            <w:pPr>
              <w:pStyle w:val="naiskr"/>
              <w:spacing w:before="0" w:after="0"/>
              <w:ind w:right="81"/>
              <w:jc w:val="both"/>
              <w:rPr>
                <w:bCs/>
                <w:iCs/>
                <w:sz w:val="28"/>
                <w:szCs w:val="28"/>
              </w:rPr>
            </w:pPr>
            <w:r w:rsidRPr="005821EE">
              <w:rPr>
                <w:bCs/>
                <w:iCs/>
                <w:sz w:val="28"/>
                <w:szCs w:val="28"/>
              </w:rPr>
              <w:t xml:space="preserve">Ar </w:t>
            </w:r>
            <w:r w:rsidR="000D28CF">
              <w:rPr>
                <w:bCs/>
                <w:iCs/>
                <w:sz w:val="28"/>
                <w:szCs w:val="28"/>
              </w:rPr>
              <w:t xml:space="preserve">A ailē minēto </w:t>
            </w:r>
            <w:r w:rsidRPr="005821EE">
              <w:rPr>
                <w:bCs/>
                <w:iCs/>
                <w:sz w:val="28"/>
                <w:szCs w:val="28"/>
              </w:rPr>
              <w:t>M</w:t>
            </w:r>
            <w:r w:rsidR="000D28CF">
              <w:rPr>
                <w:bCs/>
                <w:iCs/>
                <w:sz w:val="28"/>
                <w:szCs w:val="28"/>
              </w:rPr>
              <w:t>inistru kabineta</w:t>
            </w:r>
            <w:r w:rsidRPr="005821EE">
              <w:rPr>
                <w:bCs/>
                <w:iCs/>
                <w:sz w:val="28"/>
                <w:szCs w:val="28"/>
              </w:rPr>
              <w:t xml:space="preserve"> noteikumu izstrādi saistības tiek izpildītas daļēji. Pilnībā saistības būs izpildītas pēc Programmas īstenošanas pabeigšanas 2017. gadā.</w:t>
            </w:r>
          </w:p>
        </w:tc>
      </w:tr>
      <w:tr w:rsidR="007928CE" w:rsidRPr="005821EE" w:rsidTr="007928CE">
        <w:trPr>
          <w:trHeight w:val="161"/>
          <w:jc w:val="center"/>
        </w:trPr>
        <w:tc>
          <w:tcPr>
            <w:tcW w:w="2694" w:type="dxa"/>
            <w:vAlign w:val="center"/>
          </w:tcPr>
          <w:p w:rsidR="007928CE" w:rsidRPr="005821EE" w:rsidRDefault="007928CE" w:rsidP="007537ED">
            <w:pPr>
              <w:pStyle w:val="naisf"/>
              <w:tabs>
                <w:tab w:val="left" w:pos="900"/>
              </w:tabs>
              <w:spacing w:before="0" w:after="0"/>
              <w:ind w:firstLine="0"/>
              <w:jc w:val="left"/>
              <w:rPr>
                <w:sz w:val="28"/>
                <w:szCs w:val="28"/>
              </w:rPr>
            </w:pPr>
            <w:r w:rsidRPr="005821EE">
              <w:rPr>
                <w:sz w:val="28"/>
                <w:szCs w:val="28"/>
              </w:rPr>
              <w:t xml:space="preserve">Vai starptautiskajā dokumentā paredzētās saistības nav pretrunā ar jau esošajām </w:t>
            </w:r>
            <w:r w:rsidRPr="005821EE">
              <w:rPr>
                <w:sz w:val="28"/>
                <w:szCs w:val="28"/>
              </w:rPr>
              <w:lastRenderedPageBreak/>
              <w:t>Latvijas Republikas starptautiskajām saistībām</w:t>
            </w:r>
          </w:p>
        </w:tc>
        <w:tc>
          <w:tcPr>
            <w:tcW w:w="6600" w:type="dxa"/>
            <w:gridSpan w:val="2"/>
          </w:tcPr>
          <w:p w:rsidR="007928CE" w:rsidRPr="005821EE" w:rsidRDefault="007928CE" w:rsidP="007537ED">
            <w:pPr>
              <w:pStyle w:val="naiskr"/>
              <w:spacing w:before="0" w:after="0"/>
              <w:ind w:right="81"/>
              <w:jc w:val="both"/>
              <w:rPr>
                <w:sz w:val="28"/>
                <w:szCs w:val="28"/>
              </w:rPr>
            </w:pPr>
            <w:r w:rsidRPr="005821EE">
              <w:rPr>
                <w:sz w:val="28"/>
                <w:szCs w:val="28"/>
              </w:rPr>
              <w:lastRenderedPageBreak/>
              <w:t>Projekts šo jomu neskar.</w:t>
            </w:r>
          </w:p>
        </w:tc>
      </w:tr>
      <w:tr w:rsidR="007928CE" w:rsidRPr="005821EE" w:rsidTr="005821EE">
        <w:trPr>
          <w:trHeight w:val="271"/>
          <w:jc w:val="center"/>
        </w:trPr>
        <w:tc>
          <w:tcPr>
            <w:tcW w:w="2694" w:type="dxa"/>
          </w:tcPr>
          <w:p w:rsidR="007928CE" w:rsidRPr="005821EE" w:rsidRDefault="007928CE" w:rsidP="007537ED">
            <w:pPr>
              <w:pStyle w:val="naiskr"/>
              <w:spacing w:before="0" w:after="0"/>
              <w:rPr>
                <w:sz w:val="28"/>
                <w:szCs w:val="28"/>
              </w:rPr>
            </w:pPr>
            <w:r w:rsidRPr="005821EE">
              <w:rPr>
                <w:sz w:val="28"/>
                <w:szCs w:val="28"/>
              </w:rPr>
              <w:lastRenderedPageBreak/>
              <w:t>Cita informācija</w:t>
            </w:r>
          </w:p>
        </w:tc>
        <w:tc>
          <w:tcPr>
            <w:tcW w:w="6600" w:type="dxa"/>
            <w:gridSpan w:val="2"/>
          </w:tcPr>
          <w:p w:rsidR="007928CE" w:rsidRPr="005821EE" w:rsidRDefault="007928CE" w:rsidP="007537ED">
            <w:pPr>
              <w:pStyle w:val="naiskr"/>
              <w:spacing w:before="0" w:after="0"/>
              <w:ind w:right="81"/>
              <w:jc w:val="both"/>
              <w:rPr>
                <w:sz w:val="28"/>
                <w:szCs w:val="28"/>
              </w:rPr>
            </w:pPr>
            <w:r w:rsidRPr="005821EE">
              <w:rPr>
                <w:iCs/>
                <w:sz w:val="28"/>
                <w:szCs w:val="28"/>
              </w:rPr>
              <w:t>Nav</w:t>
            </w:r>
          </w:p>
        </w:tc>
      </w:tr>
    </w:tbl>
    <w:p w:rsidR="009626B9" w:rsidRPr="005821EE" w:rsidRDefault="009626B9" w:rsidP="003D6E9C">
      <w:pPr>
        <w:pStyle w:val="naisf"/>
        <w:spacing w:before="0" w:after="0"/>
        <w:ind w:firstLine="0"/>
        <w:rPr>
          <w:sz w:val="28"/>
          <w:szCs w:val="28"/>
        </w:rPr>
      </w:pPr>
    </w:p>
    <w:p w:rsidR="00814A6B" w:rsidRPr="005821EE" w:rsidRDefault="003D6E9C" w:rsidP="00CF770D">
      <w:pPr>
        <w:pStyle w:val="naisf"/>
        <w:spacing w:before="0" w:after="0"/>
        <w:ind w:firstLine="0"/>
        <w:rPr>
          <w:sz w:val="28"/>
          <w:szCs w:val="28"/>
        </w:rPr>
      </w:pPr>
      <w:r w:rsidRPr="005821EE">
        <w:rPr>
          <w:i/>
          <w:sz w:val="28"/>
          <w:szCs w:val="28"/>
        </w:rPr>
        <w:t>Anotācijas VI sadaļa – nav attiecinām</w:t>
      </w:r>
      <w:r w:rsidR="00A330ED" w:rsidRPr="005821EE">
        <w:rPr>
          <w:i/>
          <w:sz w:val="28"/>
          <w:szCs w:val="28"/>
        </w:rPr>
        <w:t>a</w:t>
      </w:r>
      <w:r w:rsidRPr="005821EE">
        <w:rPr>
          <w:i/>
          <w:sz w:val="28"/>
          <w:szCs w:val="28"/>
        </w:rPr>
        <w:t>.</w:t>
      </w:r>
    </w:p>
    <w:tbl>
      <w:tblPr>
        <w:tblStyle w:val="Reatabula"/>
        <w:tblpPr w:leftFromText="180" w:rightFromText="180" w:vertAnchor="text" w:tblpX="36" w:tblpY="1"/>
        <w:tblOverlap w:val="never"/>
        <w:tblW w:w="9180" w:type="dxa"/>
        <w:tblLayout w:type="fixed"/>
        <w:tblLook w:val="01E0"/>
      </w:tblPr>
      <w:tblGrid>
        <w:gridCol w:w="468"/>
        <w:gridCol w:w="3326"/>
        <w:gridCol w:w="5386"/>
      </w:tblGrid>
      <w:tr w:rsidR="007B4D60" w:rsidRPr="005821EE" w:rsidTr="002400B5">
        <w:tc>
          <w:tcPr>
            <w:tcW w:w="9180" w:type="dxa"/>
            <w:gridSpan w:val="3"/>
          </w:tcPr>
          <w:p w:rsidR="007B4D60" w:rsidRPr="005821EE" w:rsidRDefault="007B4D60" w:rsidP="003D6E9C">
            <w:pPr>
              <w:pStyle w:val="naisf"/>
              <w:spacing w:before="0" w:after="0"/>
              <w:ind w:firstLine="0"/>
              <w:jc w:val="center"/>
              <w:rPr>
                <w:b/>
                <w:sz w:val="28"/>
                <w:szCs w:val="28"/>
              </w:rPr>
            </w:pPr>
            <w:r w:rsidRPr="005821EE">
              <w:rPr>
                <w:b/>
                <w:sz w:val="28"/>
                <w:szCs w:val="28"/>
              </w:rPr>
              <w:t>VII Tiesību akta projekta izpildes nodrošināšana un tās ietekme uz institūcijām</w:t>
            </w:r>
          </w:p>
        </w:tc>
      </w:tr>
      <w:tr w:rsidR="007B4D60" w:rsidRPr="005821EE" w:rsidTr="00CF770D">
        <w:tc>
          <w:tcPr>
            <w:tcW w:w="468" w:type="dxa"/>
          </w:tcPr>
          <w:p w:rsidR="007B4D60" w:rsidRPr="005821EE" w:rsidRDefault="002400B5" w:rsidP="002400B5">
            <w:pPr>
              <w:pStyle w:val="naisf"/>
              <w:numPr>
                <w:ilvl w:val="0"/>
                <w:numId w:val="4"/>
              </w:numPr>
              <w:tabs>
                <w:tab w:val="clear" w:pos="720"/>
                <w:tab w:val="num" w:pos="0"/>
              </w:tabs>
              <w:spacing w:before="0" w:after="0"/>
              <w:ind w:left="0" w:hanging="568"/>
              <w:rPr>
                <w:sz w:val="28"/>
                <w:szCs w:val="28"/>
              </w:rPr>
            </w:pPr>
            <w:r w:rsidRPr="005821EE">
              <w:rPr>
                <w:sz w:val="28"/>
                <w:szCs w:val="28"/>
              </w:rPr>
              <w:t>1.</w:t>
            </w:r>
          </w:p>
        </w:tc>
        <w:tc>
          <w:tcPr>
            <w:tcW w:w="3326" w:type="dxa"/>
          </w:tcPr>
          <w:p w:rsidR="00CF06D3" w:rsidRPr="005821EE" w:rsidRDefault="007B4D60" w:rsidP="00491203">
            <w:pPr>
              <w:jc w:val="both"/>
              <w:rPr>
                <w:sz w:val="28"/>
                <w:szCs w:val="28"/>
              </w:rPr>
            </w:pPr>
            <w:r w:rsidRPr="005821EE">
              <w:rPr>
                <w:sz w:val="28"/>
                <w:szCs w:val="28"/>
              </w:rPr>
              <w:t xml:space="preserve">Projekta izpildē iesaistītās institūcijas </w:t>
            </w:r>
          </w:p>
        </w:tc>
        <w:tc>
          <w:tcPr>
            <w:tcW w:w="5386" w:type="dxa"/>
          </w:tcPr>
          <w:p w:rsidR="007B4D60" w:rsidRPr="005821EE" w:rsidRDefault="00F2033A" w:rsidP="00F2033A">
            <w:pPr>
              <w:pStyle w:val="naisf"/>
              <w:spacing w:before="0" w:after="0"/>
              <w:ind w:firstLine="0"/>
              <w:rPr>
                <w:sz w:val="28"/>
                <w:szCs w:val="28"/>
              </w:rPr>
            </w:pPr>
            <w:r w:rsidRPr="005821EE">
              <w:rPr>
                <w:iCs/>
                <w:sz w:val="28"/>
                <w:szCs w:val="28"/>
              </w:rPr>
              <w:t xml:space="preserve">Programmas īstenotājs būs </w:t>
            </w:r>
            <w:r w:rsidR="00B10E56" w:rsidRPr="005821EE">
              <w:rPr>
                <w:iCs/>
                <w:sz w:val="28"/>
                <w:szCs w:val="28"/>
              </w:rPr>
              <w:t>Tieslietu ministrija</w:t>
            </w:r>
            <w:r w:rsidR="009E4817" w:rsidRPr="005821EE">
              <w:rPr>
                <w:iCs/>
                <w:sz w:val="28"/>
                <w:szCs w:val="28"/>
              </w:rPr>
              <w:t>.</w:t>
            </w:r>
            <w:r w:rsidR="007928CE" w:rsidRPr="005821EE">
              <w:rPr>
                <w:iCs/>
                <w:sz w:val="28"/>
                <w:szCs w:val="28"/>
              </w:rPr>
              <w:t xml:space="preserve"> Programmas partneris būs Iekšlietu ministrija. Programmas Sadarbības komitejā darbosies arī </w:t>
            </w:r>
            <w:r w:rsidRPr="005821EE">
              <w:rPr>
                <w:iCs/>
                <w:sz w:val="28"/>
                <w:szCs w:val="28"/>
              </w:rPr>
              <w:t xml:space="preserve">Finanšu ministrija, </w:t>
            </w:r>
            <w:r w:rsidR="007928CE" w:rsidRPr="005821EE">
              <w:rPr>
                <w:iCs/>
                <w:sz w:val="28"/>
                <w:szCs w:val="28"/>
              </w:rPr>
              <w:t>Norvēģijas korekcijas dienesti un Eiropas Padome.</w:t>
            </w:r>
          </w:p>
        </w:tc>
      </w:tr>
      <w:tr w:rsidR="007B4D60" w:rsidRPr="005821EE" w:rsidTr="00CF770D">
        <w:tc>
          <w:tcPr>
            <w:tcW w:w="468" w:type="dxa"/>
          </w:tcPr>
          <w:p w:rsidR="002400B5" w:rsidRPr="005821EE" w:rsidRDefault="002400B5" w:rsidP="003D6E9C">
            <w:pPr>
              <w:pStyle w:val="naisf"/>
              <w:numPr>
                <w:ilvl w:val="0"/>
                <w:numId w:val="4"/>
              </w:numPr>
              <w:spacing w:before="0" w:after="0"/>
              <w:ind w:left="0" w:hanging="720"/>
              <w:rPr>
                <w:sz w:val="28"/>
                <w:szCs w:val="28"/>
              </w:rPr>
            </w:pPr>
          </w:p>
          <w:p w:rsidR="007B4D60" w:rsidRPr="005821EE" w:rsidRDefault="002400B5" w:rsidP="002400B5">
            <w:pPr>
              <w:rPr>
                <w:sz w:val="28"/>
                <w:szCs w:val="28"/>
              </w:rPr>
            </w:pPr>
            <w:r w:rsidRPr="005821EE">
              <w:rPr>
                <w:sz w:val="28"/>
                <w:szCs w:val="28"/>
              </w:rPr>
              <w:t>2.</w:t>
            </w:r>
          </w:p>
        </w:tc>
        <w:tc>
          <w:tcPr>
            <w:tcW w:w="3326" w:type="dxa"/>
          </w:tcPr>
          <w:p w:rsidR="00CF06D3" w:rsidRPr="005821EE" w:rsidRDefault="007B4D60" w:rsidP="00491203">
            <w:pPr>
              <w:jc w:val="both"/>
              <w:rPr>
                <w:sz w:val="28"/>
                <w:szCs w:val="28"/>
              </w:rPr>
            </w:pPr>
            <w:r w:rsidRPr="005821EE">
              <w:rPr>
                <w:sz w:val="28"/>
                <w:szCs w:val="28"/>
              </w:rPr>
              <w:t xml:space="preserve">Projekta izpildes ietekme uz pārvaldes funkcijām </w:t>
            </w:r>
          </w:p>
        </w:tc>
        <w:tc>
          <w:tcPr>
            <w:tcW w:w="5386" w:type="dxa"/>
          </w:tcPr>
          <w:p w:rsidR="00B474F7" w:rsidRPr="005821EE" w:rsidRDefault="00B474F7" w:rsidP="00B474F7">
            <w:pPr>
              <w:jc w:val="both"/>
              <w:rPr>
                <w:sz w:val="28"/>
                <w:szCs w:val="28"/>
              </w:rPr>
            </w:pPr>
            <w:r w:rsidRPr="005821EE">
              <w:rPr>
                <w:sz w:val="28"/>
                <w:szCs w:val="28"/>
              </w:rPr>
              <w:t>Projekts neietekmē valsts pārvaldes funkcijas.</w:t>
            </w:r>
          </w:p>
          <w:p w:rsidR="007B4D60" w:rsidRPr="005821EE" w:rsidRDefault="007B4D60" w:rsidP="00B474F7">
            <w:pPr>
              <w:jc w:val="both"/>
              <w:rPr>
                <w:sz w:val="28"/>
                <w:szCs w:val="28"/>
              </w:rPr>
            </w:pPr>
          </w:p>
        </w:tc>
      </w:tr>
      <w:tr w:rsidR="007B4D60" w:rsidRPr="005821EE" w:rsidTr="00CF770D">
        <w:tc>
          <w:tcPr>
            <w:tcW w:w="468" w:type="dxa"/>
          </w:tcPr>
          <w:p w:rsidR="002400B5" w:rsidRPr="005821EE" w:rsidRDefault="002400B5" w:rsidP="003D6E9C">
            <w:pPr>
              <w:pStyle w:val="naisf"/>
              <w:numPr>
                <w:ilvl w:val="0"/>
                <w:numId w:val="4"/>
              </w:numPr>
              <w:spacing w:before="0" w:after="0"/>
              <w:ind w:left="0" w:hanging="720"/>
              <w:rPr>
                <w:sz w:val="28"/>
                <w:szCs w:val="28"/>
              </w:rPr>
            </w:pPr>
          </w:p>
          <w:p w:rsidR="007B4D60" w:rsidRPr="005821EE" w:rsidRDefault="002400B5" w:rsidP="002400B5">
            <w:pPr>
              <w:rPr>
                <w:sz w:val="28"/>
                <w:szCs w:val="28"/>
              </w:rPr>
            </w:pPr>
            <w:r w:rsidRPr="005821EE">
              <w:rPr>
                <w:sz w:val="28"/>
                <w:szCs w:val="28"/>
              </w:rPr>
              <w:t>3.</w:t>
            </w:r>
          </w:p>
        </w:tc>
        <w:tc>
          <w:tcPr>
            <w:tcW w:w="3326" w:type="dxa"/>
          </w:tcPr>
          <w:p w:rsidR="00CF06D3" w:rsidRPr="005821EE" w:rsidRDefault="007B4D60" w:rsidP="00491203">
            <w:pPr>
              <w:pStyle w:val="naisf"/>
              <w:spacing w:before="0" w:after="0"/>
              <w:ind w:firstLine="0"/>
              <w:rPr>
                <w:sz w:val="28"/>
                <w:szCs w:val="28"/>
              </w:rPr>
            </w:pPr>
            <w:r w:rsidRPr="005821EE">
              <w:rPr>
                <w:sz w:val="28"/>
                <w:szCs w:val="28"/>
              </w:rPr>
              <w:t>Projekta izpildes ietekme uz pārvaldes institucionālo struktūru. Jaunu institūciju izveide.</w:t>
            </w:r>
          </w:p>
        </w:tc>
        <w:tc>
          <w:tcPr>
            <w:tcW w:w="5386" w:type="dxa"/>
          </w:tcPr>
          <w:p w:rsidR="007B4D60" w:rsidRPr="005821EE" w:rsidRDefault="007B4D60" w:rsidP="003D6E9C">
            <w:pPr>
              <w:jc w:val="both"/>
              <w:rPr>
                <w:sz w:val="28"/>
                <w:szCs w:val="28"/>
              </w:rPr>
            </w:pPr>
            <w:r w:rsidRPr="005821EE">
              <w:rPr>
                <w:iCs/>
                <w:sz w:val="28"/>
                <w:szCs w:val="28"/>
              </w:rPr>
              <w:t>Jaunas institūcijas netiek izveidotas.</w:t>
            </w:r>
          </w:p>
        </w:tc>
      </w:tr>
      <w:tr w:rsidR="007B4D60" w:rsidRPr="005821EE" w:rsidTr="00CF770D">
        <w:tc>
          <w:tcPr>
            <w:tcW w:w="468" w:type="dxa"/>
          </w:tcPr>
          <w:p w:rsidR="008D4B40" w:rsidRPr="005821EE" w:rsidRDefault="008D4B40" w:rsidP="003D6E9C">
            <w:pPr>
              <w:pStyle w:val="naisf"/>
              <w:numPr>
                <w:ilvl w:val="0"/>
                <w:numId w:val="4"/>
              </w:numPr>
              <w:spacing w:before="0" w:after="0"/>
              <w:ind w:left="0" w:hanging="720"/>
              <w:rPr>
                <w:sz w:val="28"/>
                <w:szCs w:val="28"/>
              </w:rPr>
            </w:pPr>
          </w:p>
          <w:p w:rsidR="008D4B40" w:rsidRPr="005821EE" w:rsidRDefault="008D4B40" w:rsidP="008D4B40">
            <w:pPr>
              <w:rPr>
                <w:sz w:val="28"/>
                <w:szCs w:val="28"/>
              </w:rPr>
            </w:pPr>
          </w:p>
          <w:p w:rsidR="007B4D60" w:rsidRPr="005821EE" w:rsidRDefault="008D4B40" w:rsidP="008D4B40">
            <w:pPr>
              <w:rPr>
                <w:sz w:val="28"/>
                <w:szCs w:val="28"/>
              </w:rPr>
            </w:pPr>
            <w:r w:rsidRPr="005821EE">
              <w:rPr>
                <w:sz w:val="28"/>
                <w:szCs w:val="28"/>
              </w:rPr>
              <w:t>4.</w:t>
            </w:r>
          </w:p>
        </w:tc>
        <w:tc>
          <w:tcPr>
            <w:tcW w:w="3326" w:type="dxa"/>
          </w:tcPr>
          <w:p w:rsidR="007B4D60" w:rsidRPr="005821EE" w:rsidRDefault="007B4D60" w:rsidP="003D6E9C">
            <w:pPr>
              <w:pStyle w:val="naisf"/>
              <w:spacing w:before="0" w:after="0"/>
              <w:ind w:firstLine="0"/>
              <w:rPr>
                <w:sz w:val="28"/>
                <w:szCs w:val="28"/>
              </w:rPr>
            </w:pPr>
            <w:r w:rsidRPr="005821EE">
              <w:rPr>
                <w:sz w:val="28"/>
                <w:szCs w:val="28"/>
              </w:rPr>
              <w:t>Projekta izpildes ietekme uz pārvaldes institucionālo struktūru. Esošu institūciju likvidācija</w:t>
            </w:r>
          </w:p>
          <w:p w:rsidR="00CF06D3" w:rsidRPr="005821EE" w:rsidRDefault="00CF06D3" w:rsidP="003D6E9C">
            <w:pPr>
              <w:pStyle w:val="naisf"/>
              <w:spacing w:before="0" w:after="0"/>
              <w:ind w:firstLine="0"/>
              <w:rPr>
                <w:sz w:val="28"/>
                <w:szCs w:val="28"/>
              </w:rPr>
            </w:pPr>
          </w:p>
        </w:tc>
        <w:tc>
          <w:tcPr>
            <w:tcW w:w="5386" w:type="dxa"/>
          </w:tcPr>
          <w:p w:rsidR="007B4D60" w:rsidRPr="005821EE" w:rsidRDefault="006D6A31" w:rsidP="003D6E9C">
            <w:pPr>
              <w:pStyle w:val="naisf"/>
              <w:spacing w:before="0" w:after="0"/>
              <w:ind w:firstLine="0"/>
              <w:rPr>
                <w:sz w:val="28"/>
                <w:szCs w:val="28"/>
              </w:rPr>
            </w:pPr>
            <w:r w:rsidRPr="005821EE">
              <w:rPr>
                <w:sz w:val="28"/>
                <w:szCs w:val="28"/>
              </w:rPr>
              <w:t>Nav attiecināms</w:t>
            </w:r>
          </w:p>
        </w:tc>
      </w:tr>
      <w:tr w:rsidR="007B4D60" w:rsidRPr="005821EE" w:rsidTr="00CF770D">
        <w:tc>
          <w:tcPr>
            <w:tcW w:w="468" w:type="dxa"/>
          </w:tcPr>
          <w:p w:rsidR="006C0AC7" w:rsidRPr="005821EE" w:rsidRDefault="006C0AC7" w:rsidP="003D6E9C">
            <w:pPr>
              <w:pStyle w:val="naisf"/>
              <w:numPr>
                <w:ilvl w:val="0"/>
                <w:numId w:val="4"/>
              </w:numPr>
              <w:spacing w:before="0" w:after="0"/>
              <w:ind w:left="0" w:hanging="720"/>
              <w:rPr>
                <w:sz w:val="28"/>
                <w:szCs w:val="28"/>
              </w:rPr>
            </w:pPr>
          </w:p>
          <w:p w:rsidR="006C0AC7" w:rsidRPr="005821EE" w:rsidRDefault="006C0AC7" w:rsidP="006C0AC7">
            <w:pPr>
              <w:rPr>
                <w:sz w:val="28"/>
                <w:szCs w:val="28"/>
              </w:rPr>
            </w:pPr>
          </w:p>
          <w:p w:rsidR="006C0AC7" w:rsidRPr="005821EE" w:rsidRDefault="006C0AC7" w:rsidP="006C0AC7">
            <w:pPr>
              <w:rPr>
                <w:sz w:val="28"/>
                <w:szCs w:val="28"/>
              </w:rPr>
            </w:pPr>
          </w:p>
          <w:p w:rsidR="006C0AC7" w:rsidRPr="005821EE" w:rsidRDefault="006C0AC7" w:rsidP="006C0AC7">
            <w:pPr>
              <w:rPr>
                <w:sz w:val="28"/>
                <w:szCs w:val="28"/>
              </w:rPr>
            </w:pPr>
          </w:p>
          <w:p w:rsidR="007B4D60" w:rsidRPr="005821EE" w:rsidRDefault="006C0AC7" w:rsidP="006C0AC7">
            <w:pPr>
              <w:rPr>
                <w:sz w:val="28"/>
                <w:szCs w:val="28"/>
              </w:rPr>
            </w:pPr>
            <w:r w:rsidRPr="005821EE">
              <w:rPr>
                <w:sz w:val="28"/>
                <w:szCs w:val="28"/>
              </w:rPr>
              <w:t>5.</w:t>
            </w:r>
          </w:p>
        </w:tc>
        <w:tc>
          <w:tcPr>
            <w:tcW w:w="3326" w:type="dxa"/>
          </w:tcPr>
          <w:p w:rsidR="007B4D60" w:rsidRPr="005821EE" w:rsidRDefault="007B4D60" w:rsidP="007C3430">
            <w:pPr>
              <w:pStyle w:val="naisf"/>
              <w:spacing w:before="0" w:after="0"/>
              <w:ind w:firstLine="0"/>
              <w:rPr>
                <w:sz w:val="28"/>
                <w:szCs w:val="28"/>
              </w:rPr>
            </w:pPr>
            <w:r w:rsidRPr="005821EE">
              <w:rPr>
                <w:sz w:val="28"/>
                <w:szCs w:val="28"/>
              </w:rPr>
              <w:t>Projekta izpildes ietekme uz pārvaldes institucionālo struktūru.</w:t>
            </w:r>
          </w:p>
          <w:p w:rsidR="00CF06D3" w:rsidRPr="005821EE" w:rsidRDefault="007B4D60" w:rsidP="00491203">
            <w:pPr>
              <w:pStyle w:val="naisf"/>
              <w:spacing w:before="0" w:after="0"/>
              <w:ind w:firstLine="0"/>
              <w:rPr>
                <w:sz w:val="28"/>
                <w:szCs w:val="28"/>
              </w:rPr>
            </w:pPr>
            <w:r w:rsidRPr="005821EE">
              <w:rPr>
                <w:sz w:val="28"/>
                <w:szCs w:val="28"/>
              </w:rPr>
              <w:t>Esošu institūciju reorganizācija.</w:t>
            </w:r>
          </w:p>
        </w:tc>
        <w:tc>
          <w:tcPr>
            <w:tcW w:w="5386" w:type="dxa"/>
          </w:tcPr>
          <w:p w:rsidR="007B4D60" w:rsidRPr="005821EE" w:rsidRDefault="00B10E56" w:rsidP="003D6E9C">
            <w:pPr>
              <w:pStyle w:val="naisf"/>
              <w:spacing w:before="0" w:after="0"/>
              <w:ind w:firstLine="0"/>
              <w:rPr>
                <w:sz w:val="28"/>
                <w:szCs w:val="28"/>
              </w:rPr>
            </w:pPr>
            <w:r w:rsidRPr="005821EE">
              <w:rPr>
                <w:sz w:val="28"/>
                <w:szCs w:val="28"/>
              </w:rPr>
              <w:t>Nav attiecināms</w:t>
            </w:r>
          </w:p>
        </w:tc>
      </w:tr>
      <w:tr w:rsidR="007B4D60" w:rsidRPr="005821EE" w:rsidTr="00CF770D">
        <w:trPr>
          <w:trHeight w:val="357"/>
        </w:trPr>
        <w:tc>
          <w:tcPr>
            <w:tcW w:w="468" w:type="dxa"/>
          </w:tcPr>
          <w:p w:rsidR="00741069" w:rsidRPr="005821EE" w:rsidRDefault="00B10E56" w:rsidP="00CF770D">
            <w:pPr>
              <w:pStyle w:val="naisf"/>
              <w:numPr>
                <w:ilvl w:val="0"/>
                <w:numId w:val="4"/>
              </w:numPr>
              <w:spacing w:before="0" w:after="0"/>
              <w:ind w:left="0" w:hanging="720"/>
              <w:jc w:val="left"/>
              <w:rPr>
                <w:sz w:val="28"/>
                <w:szCs w:val="28"/>
              </w:rPr>
            </w:pPr>
            <w:r w:rsidRPr="005821EE">
              <w:rPr>
                <w:sz w:val="28"/>
                <w:szCs w:val="28"/>
              </w:rPr>
              <w:t>6</w:t>
            </w:r>
            <w:r w:rsidR="00741069" w:rsidRPr="005821EE">
              <w:rPr>
                <w:sz w:val="28"/>
                <w:szCs w:val="28"/>
              </w:rPr>
              <w:t>.</w:t>
            </w:r>
          </w:p>
        </w:tc>
        <w:tc>
          <w:tcPr>
            <w:tcW w:w="3326" w:type="dxa"/>
          </w:tcPr>
          <w:p w:rsidR="007B4D60" w:rsidRPr="005821EE" w:rsidRDefault="007B4D60" w:rsidP="003D6E9C">
            <w:pPr>
              <w:pStyle w:val="naisf"/>
              <w:spacing w:before="0" w:after="0"/>
              <w:ind w:firstLine="0"/>
              <w:rPr>
                <w:sz w:val="28"/>
                <w:szCs w:val="28"/>
              </w:rPr>
            </w:pPr>
            <w:r w:rsidRPr="005821EE">
              <w:rPr>
                <w:sz w:val="28"/>
                <w:szCs w:val="28"/>
              </w:rPr>
              <w:t>Cita informācija.</w:t>
            </w:r>
          </w:p>
        </w:tc>
        <w:tc>
          <w:tcPr>
            <w:tcW w:w="5386" w:type="dxa"/>
          </w:tcPr>
          <w:p w:rsidR="007B4D60" w:rsidRPr="005821EE" w:rsidRDefault="007B4D60" w:rsidP="003D6E9C">
            <w:pPr>
              <w:pStyle w:val="naisf"/>
              <w:spacing w:before="0" w:after="0"/>
              <w:ind w:firstLine="0"/>
              <w:rPr>
                <w:sz w:val="28"/>
                <w:szCs w:val="28"/>
              </w:rPr>
            </w:pPr>
            <w:r w:rsidRPr="005821EE">
              <w:rPr>
                <w:sz w:val="28"/>
                <w:szCs w:val="28"/>
              </w:rPr>
              <w:t>Nav.</w:t>
            </w:r>
          </w:p>
        </w:tc>
      </w:tr>
    </w:tbl>
    <w:p w:rsidR="007B4D60" w:rsidRDefault="007B4D60" w:rsidP="003D6E9C">
      <w:pPr>
        <w:pStyle w:val="naisf"/>
        <w:tabs>
          <w:tab w:val="left" w:pos="5760"/>
        </w:tabs>
        <w:spacing w:before="0" w:after="0"/>
        <w:ind w:firstLine="0"/>
        <w:rPr>
          <w:sz w:val="20"/>
          <w:szCs w:val="20"/>
        </w:rPr>
      </w:pPr>
    </w:p>
    <w:p w:rsidR="000907A9" w:rsidRPr="005821EE" w:rsidRDefault="000907A9" w:rsidP="003D6E9C">
      <w:pPr>
        <w:pStyle w:val="naisf"/>
        <w:tabs>
          <w:tab w:val="left" w:pos="5760"/>
        </w:tabs>
        <w:spacing w:before="0" w:after="0"/>
        <w:ind w:firstLine="0"/>
        <w:rPr>
          <w:sz w:val="20"/>
          <w:szCs w:val="20"/>
        </w:rPr>
      </w:pPr>
    </w:p>
    <w:p w:rsidR="00E578A2" w:rsidRPr="005821EE" w:rsidRDefault="003D6E9C" w:rsidP="003D6E9C">
      <w:pPr>
        <w:pStyle w:val="naisf"/>
        <w:tabs>
          <w:tab w:val="left" w:pos="5760"/>
        </w:tabs>
        <w:spacing w:before="0" w:after="0"/>
        <w:ind w:firstLine="0"/>
        <w:rPr>
          <w:sz w:val="28"/>
          <w:szCs w:val="28"/>
        </w:rPr>
      </w:pPr>
      <w:r w:rsidRPr="005821EE">
        <w:rPr>
          <w:sz w:val="28"/>
          <w:szCs w:val="28"/>
        </w:rPr>
        <w:t xml:space="preserve">Iesniedzējs: </w:t>
      </w:r>
      <w:r w:rsidR="00B10E56" w:rsidRPr="005821EE">
        <w:rPr>
          <w:sz w:val="28"/>
          <w:szCs w:val="28"/>
        </w:rPr>
        <w:t>tieslietu</w:t>
      </w:r>
      <w:r w:rsidR="00E578A2" w:rsidRPr="005821EE">
        <w:rPr>
          <w:sz w:val="28"/>
          <w:szCs w:val="28"/>
        </w:rPr>
        <w:t xml:space="preserve"> ministr</w:t>
      </w:r>
      <w:r w:rsidR="007928CE" w:rsidRPr="005821EE">
        <w:rPr>
          <w:sz w:val="28"/>
          <w:szCs w:val="28"/>
        </w:rPr>
        <w:t>s</w:t>
      </w:r>
      <w:r w:rsidRPr="005821EE">
        <w:rPr>
          <w:sz w:val="28"/>
          <w:szCs w:val="28"/>
        </w:rPr>
        <w:tab/>
      </w:r>
      <w:r w:rsidRPr="005821EE">
        <w:rPr>
          <w:sz w:val="28"/>
          <w:szCs w:val="28"/>
        </w:rPr>
        <w:tab/>
      </w:r>
      <w:r w:rsidRPr="005821EE">
        <w:rPr>
          <w:sz w:val="28"/>
          <w:szCs w:val="28"/>
        </w:rPr>
        <w:tab/>
      </w:r>
      <w:r w:rsidR="000F6158">
        <w:rPr>
          <w:sz w:val="28"/>
          <w:szCs w:val="28"/>
        </w:rPr>
        <w:t>G.Bērziņš</w:t>
      </w:r>
    </w:p>
    <w:p w:rsidR="00E578A2" w:rsidRDefault="00E578A2" w:rsidP="003D6E9C">
      <w:pPr>
        <w:pStyle w:val="naisf"/>
        <w:tabs>
          <w:tab w:val="left" w:pos="5760"/>
        </w:tabs>
        <w:spacing w:before="0" w:after="0"/>
        <w:ind w:firstLine="0"/>
        <w:rPr>
          <w:sz w:val="20"/>
          <w:szCs w:val="20"/>
        </w:rPr>
      </w:pPr>
    </w:p>
    <w:p w:rsidR="000907A9" w:rsidRPr="005821EE" w:rsidRDefault="000907A9" w:rsidP="003D6E9C">
      <w:pPr>
        <w:pStyle w:val="naisf"/>
        <w:tabs>
          <w:tab w:val="left" w:pos="5760"/>
        </w:tabs>
        <w:spacing w:before="0" w:after="0"/>
        <w:ind w:firstLine="0"/>
        <w:rPr>
          <w:sz w:val="20"/>
          <w:szCs w:val="20"/>
        </w:rPr>
      </w:pPr>
    </w:p>
    <w:p w:rsidR="00E578A2" w:rsidRDefault="00E578A2" w:rsidP="003D6E9C">
      <w:pPr>
        <w:rPr>
          <w:sz w:val="20"/>
          <w:szCs w:val="20"/>
        </w:rPr>
      </w:pPr>
    </w:p>
    <w:p w:rsidR="000907A9" w:rsidRPr="005821EE" w:rsidRDefault="000907A9" w:rsidP="003D6E9C">
      <w:pPr>
        <w:rPr>
          <w:sz w:val="20"/>
          <w:szCs w:val="20"/>
        </w:rPr>
      </w:pPr>
    </w:p>
    <w:p w:rsidR="00E32DB0" w:rsidRPr="005821EE" w:rsidRDefault="000F6158" w:rsidP="003D6E9C">
      <w:pPr>
        <w:rPr>
          <w:sz w:val="20"/>
          <w:szCs w:val="20"/>
        </w:rPr>
      </w:pPr>
      <w:r>
        <w:rPr>
          <w:sz w:val="20"/>
          <w:szCs w:val="20"/>
        </w:rPr>
        <w:t>15.12</w:t>
      </w:r>
      <w:r w:rsidR="00CF770D" w:rsidRPr="005821EE">
        <w:rPr>
          <w:sz w:val="20"/>
          <w:szCs w:val="20"/>
        </w:rPr>
        <w:t>.2011</w:t>
      </w:r>
      <w:r w:rsidR="004B6AFC" w:rsidRPr="005821EE">
        <w:rPr>
          <w:sz w:val="20"/>
          <w:szCs w:val="20"/>
        </w:rPr>
        <w:t>. 1</w:t>
      </w:r>
      <w:r>
        <w:rPr>
          <w:sz w:val="20"/>
          <w:szCs w:val="20"/>
        </w:rPr>
        <w:t>2</w:t>
      </w:r>
      <w:r w:rsidR="00E32DB0" w:rsidRPr="005821EE">
        <w:rPr>
          <w:sz w:val="20"/>
          <w:szCs w:val="20"/>
        </w:rPr>
        <w:t>:</w:t>
      </w:r>
      <w:r w:rsidR="002F0E15" w:rsidRPr="005821EE">
        <w:rPr>
          <w:sz w:val="20"/>
          <w:szCs w:val="20"/>
        </w:rPr>
        <w:t>09</w:t>
      </w:r>
    </w:p>
    <w:p w:rsidR="00E32DB0" w:rsidRPr="005821EE" w:rsidRDefault="000F6158" w:rsidP="003D6E9C">
      <w:pPr>
        <w:rPr>
          <w:sz w:val="20"/>
          <w:szCs w:val="20"/>
        </w:rPr>
      </w:pPr>
      <w:r>
        <w:rPr>
          <w:sz w:val="20"/>
          <w:szCs w:val="20"/>
        </w:rPr>
        <w:t>1</w:t>
      </w:r>
      <w:r w:rsidR="003F4C58">
        <w:rPr>
          <w:sz w:val="20"/>
          <w:szCs w:val="20"/>
        </w:rPr>
        <w:t xml:space="preserve"> </w:t>
      </w:r>
      <w:r>
        <w:rPr>
          <w:sz w:val="20"/>
          <w:szCs w:val="20"/>
        </w:rPr>
        <w:t>7</w:t>
      </w:r>
      <w:r w:rsidR="00D7582E">
        <w:rPr>
          <w:sz w:val="20"/>
          <w:szCs w:val="20"/>
        </w:rPr>
        <w:t>74</w:t>
      </w:r>
    </w:p>
    <w:p w:rsidR="00E32DB0" w:rsidRPr="005821EE" w:rsidRDefault="005A0A9E" w:rsidP="003D6E9C">
      <w:pPr>
        <w:rPr>
          <w:sz w:val="20"/>
          <w:szCs w:val="20"/>
        </w:rPr>
      </w:pPr>
      <w:r w:rsidRPr="005821EE">
        <w:rPr>
          <w:sz w:val="20"/>
          <w:szCs w:val="20"/>
        </w:rPr>
        <w:t>I.Remese</w:t>
      </w:r>
    </w:p>
    <w:p w:rsidR="00E32DB0" w:rsidRPr="005821EE" w:rsidRDefault="00E32DB0" w:rsidP="003D6E9C">
      <w:pPr>
        <w:rPr>
          <w:sz w:val="20"/>
          <w:szCs w:val="20"/>
        </w:rPr>
      </w:pPr>
      <w:r w:rsidRPr="005821EE">
        <w:rPr>
          <w:sz w:val="20"/>
          <w:szCs w:val="20"/>
        </w:rPr>
        <w:t>67</w:t>
      </w:r>
      <w:r w:rsidR="005A0A9E" w:rsidRPr="005821EE">
        <w:rPr>
          <w:sz w:val="20"/>
          <w:szCs w:val="20"/>
        </w:rPr>
        <w:t>036853</w:t>
      </w:r>
      <w:r w:rsidRPr="005821EE">
        <w:rPr>
          <w:sz w:val="20"/>
          <w:szCs w:val="20"/>
        </w:rPr>
        <w:t xml:space="preserve">, </w:t>
      </w:r>
      <w:r w:rsidR="005A0A9E" w:rsidRPr="005821EE">
        <w:rPr>
          <w:sz w:val="20"/>
          <w:szCs w:val="20"/>
        </w:rPr>
        <w:t>inta.remese</w:t>
      </w:r>
      <w:r w:rsidRPr="005821EE">
        <w:rPr>
          <w:sz w:val="20"/>
          <w:szCs w:val="20"/>
        </w:rPr>
        <w:t>@</w:t>
      </w:r>
      <w:r w:rsidR="005A0A9E" w:rsidRPr="005821EE">
        <w:rPr>
          <w:sz w:val="20"/>
          <w:szCs w:val="20"/>
        </w:rPr>
        <w:t>tm</w:t>
      </w:r>
      <w:r w:rsidRPr="005821EE">
        <w:rPr>
          <w:sz w:val="20"/>
          <w:szCs w:val="20"/>
        </w:rPr>
        <w:t>.gov.lv</w:t>
      </w:r>
    </w:p>
    <w:sectPr w:rsidR="00E32DB0" w:rsidRPr="005821EE" w:rsidSect="0019328E">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FA2" w:rsidRDefault="00E06FA2">
      <w:r>
        <w:separator/>
      </w:r>
    </w:p>
  </w:endnote>
  <w:endnote w:type="continuationSeparator" w:id="0">
    <w:p w:rsidR="00E06FA2" w:rsidRDefault="00E06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8E" w:rsidRDefault="0019328E">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1BA" w:rsidRDefault="00301C7D">
    <w:pPr>
      <w:tabs>
        <w:tab w:val="left" w:pos="7560"/>
      </w:tabs>
      <w:jc w:val="both"/>
    </w:pPr>
    <w:r w:rsidRPr="00CF770D">
      <w:rPr>
        <w:sz w:val="20"/>
        <w:szCs w:val="20"/>
      </w:rPr>
      <w:t>TM</w:t>
    </w:r>
    <w:r>
      <w:rPr>
        <w:sz w:val="20"/>
        <w:szCs w:val="20"/>
      </w:rPr>
      <w:t>A</w:t>
    </w:r>
    <w:r w:rsidRPr="00CF770D">
      <w:rPr>
        <w:sz w:val="20"/>
        <w:szCs w:val="20"/>
      </w:rPr>
      <w:t>not_</w:t>
    </w:r>
    <w:r>
      <w:rPr>
        <w:sz w:val="20"/>
        <w:szCs w:val="20"/>
      </w:rPr>
      <w:t>151211_norv</w:t>
    </w:r>
    <w:r w:rsidRPr="00CF770D">
      <w:rPr>
        <w:sz w:val="20"/>
        <w:szCs w:val="20"/>
      </w:rPr>
      <w:t xml:space="preserve">; </w:t>
    </w:r>
    <w:bookmarkStart w:id="4" w:name="OLE_LINK3"/>
    <w:bookmarkStart w:id="5" w:name="OLE_LINK4"/>
    <w:r w:rsidRPr="00CF770D">
      <w:rPr>
        <w:bCs/>
        <w:sz w:val="20"/>
        <w:szCs w:val="20"/>
      </w:rPr>
      <w:t>Ministru kabineta rīkojuma projekta „Par Norvēģijas finanšu instrumenta līdzfinansētās programmas „</w:t>
    </w:r>
    <w:r w:rsidRPr="00CF770D">
      <w:rPr>
        <w:sz w:val="20"/>
        <w:szCs w:val="20"/>
      </w:rPr>
      <w:t>Latvijas korekcijas dienestu un Valsts policijas īslaicīgās aizturēšanas vietu reforma</w:t>
    </w:r>
    <w:r w:rsidRPr="00CF770D">
      <w:rPr>
        <w:bCs/>
        <w:sz w:val="20"/>
        <w:szCs w:val="20"/>
      </w:rPr>
      <w:t>”</w:t>
    </w:r>
    <w:r>
      <w:rPr>
        <w:bCs/>
        <w:sz w:val="20"/>
        <w:szCs w:val="20"/>
      </w:rPr>
      <w:t xml:space="preserve"> iesnieguma projektu”</w:t>
    </w:r>
    <w:r w:rsidRPr="00CF770D">
      <w:rPr>
        <w:sz w:val="20"/>
        <w:szCs w:val="20"/>
      </w:rPr>
      <w:t xml:space="preserve"> sākotnējās ietekmes novērtējuma ziņojums (anotācija)</w:t>
    </w:r>
    <w:bookmarkEnd w:id="4"/>
    <w:bookmarkEnd w:id="5"/>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7D" w:rsidRPr="00CF770D" w:rsidRDefault="00301C7D" w:rsidP="00AE6AF9">
    <w:pPr>
      <w:tabs>
        <w:tab w:val="left" w:pos="7560"/>
      </w:tabs>
      <w:jc w:val="both"/>
      <w:rPr>
        <w:b/>
        <w:sz w:val="20"/>
        <w:szCs w:val="20"/>
      </w:rPr>
    </w:pPr>
    <w:r w:rsidRPr="00CF770D">
      <w:rPr>
        <w:sz w:val="20"/>
        <w:szCs w:val="20"/>
      </w:rPr>
      <w:t>TM</w:t>
    </w:r>
    <w:r>
      <w:rPr>
        <w:sz w:val="20"/>
        <w:szCs w:val="20"/>
      </w:rPr>
      <w:t>A</w:t>
    </w:r>
    <w:r w:rsidRPr="00CF770D">
      <w:rPr>
        <w:sz w:val="20"/>
        <w:szCs w:val="20"/>
      </w:rPr>
      <w:t>not_</w:t>
    </w:r>
    <w:r>
      <w:rPr>
        <w:sz w:val="20"/>
        <w:szCs w:val="20"/>
      </w:rPr>
      <w:t>151211_norv</w:t>
    </w:r>
    <w:r w:rsidRPr="00CF770D">
      <w:rPr>
        <w:sz w:val="20"/>
        <w:szCs w:val="20"/>
      </w:rPr>
      <w:t xml:space="preserve">; </w:t>
    </w:r>
    <w:r w:rsidRPr="00CF770D">
      <w:rPr>
        <w:bCs/>
        <w:sz w:val="20"/>
        <w:szCs w:val="20"/>
      </w:rPr>
      <w:t>Ministru kabineta rīkojuma projekta „Par Norvēģijas finanšu instrumenta līdzfinansētās programmas „</w:t>
    </w:r>
    <w:r w:rsidRPr="00CF770D">
      <w:rPr>
        <w:sz w:val="20"/>
        <w:szCs w:val="20"/>
      </w:rPr>
      <w:t>Latvijas korekcijas dienestu un Valsts policijas īslaicīgās aizturēšanas vietu reforma</w:t>
    </w:r>
    <w:r w:rsidRPr="00CF770D">
      <w:rPr>
        <w:bCs/>
        <w:sz w:val="20"/>
        <w:szCs w:val="20"/>
      </w:rPr>
      <w:t>”</w:t>
    </w:r>
    <w:r>
      <w:rPr>
        <w:bCs/>
        <w:sz w:val="20"/>
        <w:szCs w:val="20"/>
      </w:rPr>
      <w:t xml:space="preserve"> iesnieguma projektu”</w:t>
    </w:r>
    <w:r w:rsidRPr="00CF770D">
      <w:rPr>
        <w:sz w:val="20"/>
        <w:szCs w:val="20"/>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FA2" w:rsidRDefault="00E06FA2">
      <w:r>
        <w:separator/>
      </w:r>
    </w:p>
  </w:footnote>
  <w:footnote w:type="continuationSeparator" w:id="0">
    <w:p w:rsidR="00E06FA2" w:rsidRDefault="00E06F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7D" w:rsidRDefault="004A71BA" w:rsidP="009A0416">
    <w:pPr>
      <w:pStyle w:val="Galvene"/>
      <w:framePr w:wrap="around" w:vAnchor="text" w:hAnchor="margin" w:xAlign="center" w:y="1"/>
      <w:rPr>
        <w:rStyle w:val="Lappusesnumurs"/>
      </w:rPr>
    </w:pPr>
    <w:r>
      <w:rPr>
        <w:rStyle w:val="Lappusesnumurs"/>
      </w:rPr>
      <w:fldChar w:fldCharType="begin"/>
    </w:r>
    <w:r w:rsidR="00301C7D">
      <w:rPr>
        <w:rStyle w:val="Lappusesnumurs"/>
      </w:rPr>
      <w:instrText xml:space="preserve">PAGE  </w:instrText>
    </w:r>
    <w:r>
      <w:rPr>
        <w:rStyle w:val="Lappusesnumurs"/>
      </w:rPr>
      <w:fldChar w:fldCharType="end"/>
    </w:r>
  </w:p>
  <w:p w:rsidR="00301C7D" w:rsidRDefault="00301C7D">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7D" w:rsidRPr="0019328E" w:rsidRDefault="004A71BA" w:rsidP="0019328E">
    <w:pPr>
      <w:pStyle w:val="Galvene"/>
      <w:framePr w:wrap="around" w:vAnchor="text" w:hAnchor="page" w:x="6241" w:y="27"/>
      <w:rPr>
        <w:rStyle w:val="Lappusesnumurs"/>
      </w:rPr>
    </w:pPr>
    <w:r w:rsidRPr="0019328E">
      <w:rPr>
        <w:rStyle w:val="Lappusesnumurs"/>
      </w:rPr>
      <w:fldChar w:fldCharType="begin"/>
    </w:r>
    <w:r w:rsidR="00301C7D" w:rsidRPr="0019328E">
      <w:rPr>
        <w:rStyle w:val="Lappusesnumurs"/>
      </w:rPr>
      <w:instrText xml:space="preserve">PAGE  </w:instrText>
    </w:r>
    <w:r w:rsidRPr="0019328E">
      <w:rPr>
        <w:rStyle w:val="Lappusesnumurs"/>
      </w:rPr>
      <w:fldChar w:fldCharType="separate"/>
    </w:r>
    <w:r w:rsidR="0019328E">
      <w:rPr>
        <w:rStyle w:val="Lappusesnumurs"/>
        <w:noProof/>
      </w:rPr>
      <w:t>2</w:t>
    </w:r>
    <w:r w:rsidRPr="0019328E">
      <w:rPr>
        <w:rStyle w:val="Lappusesnumurs"/>
      </w:rPr>
      <w:fldChar w:fldCharType="end"/>
    </w:r>
  </w:p>
  <w:p w:rsidR="00301C7D" w:rsidRDefault="00301C7D">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8E" w:rsidRDefault="0019328E">
    <w:pPr>
      <w:pStyle w:val="Galvene"/>
      <w:jc w:val="center"/>
    </w:pPr>
  </w:p>
  <w:p w:rsidR="0019328E" w:rsidRDefault="0019328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A1D65"/>
    <w:multiLevelType w:val="multilevel"/>
    <w:tmpl w:val="E5D47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B4E1C00"/>
    <w:multiLevelType w:val="hybridMultilevel"/>
    <w:tmpl w:val="4866E94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C712DF9"/>
    <w:multiLevelType w:val="hybridMultilevel"/>
    <w:tmpl w:val="BCF0B57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31B10469"/>
    <w:multiLevelType w:val="hybridMultilevel"/>
    <w:tmpl w:val="9FC618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9F2CEA"/>
    <w:multiLevelType w:val="hybridMultilevel"/>
    <w:tmpl w:val="777E7844"/>
    <w:lvl w:ilvl="0" w:tplc="00000001">
      <w:start w:val="47"/>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34560AF4"/>
    <w:multiLevelType w:val="hybridMultilevel"/>
    <w:tmpl w:val="025844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6BF065E"/>
    <w:multiLevelType w:val="multilevel"/>
    <w:tmpl w:val="0426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B4F774A"/>
    <w:multiLevelType w:val="hybridMultilevel"/>
    <w:tmpl w:val="334C75B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3C750BDE"/>
    <w:multiLevelType w:val="hybridMultilevel"/>
    <w:tmpl w:val="A454AB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19116AC"/>
    <w:multiLevelType w:val="multilevel"/>
    <w:tmpl w:val="039E1B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CE9460D"/>
    <w:multiLevelType w:val="hybridMultilevel"/>
    <w:tmpl w:val="0D5AB2F0"/>
    <w:lvl w:ilvl="0" w:tplc="595A432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C1E0233"/>
    <w:multiLevelType w:val="hybridMultilevel"/>
    <w:tmpl w:val="EFAAD2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4B16934"/>
    <w:multiLevelType w:val="multilevel"/>
    <w:tmpl w:val="866C61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1"/>
  </w:num>
  <w:num w:numId="4">
    <w:abstractNumId w:val="7"/>
  </w:num>
  <w:num w:numId="5">
    <w:abstractNumId w:val="8"/>
  </w:num>
  <w:num w:numId="6">
    <w:abstractNumId w:val="5"/>
  </w:num>
  <w:num w:numId="7">
    <w:abstractNumId w:val="9"/>
  </w:num>
  <w:num w:numId="8">
    <w:abstractNumId w:val="0"/>
  </w:num>
  <w:num w:numId="9">
    <w:abstractNumId w:val="12"/>
  </w:num>
  <w:num w:numId="10">
    <w:abstractNumId w:val="10"/>
  </w:num>
  <w:num w:numId="11">
    <w:abstractNumId w:val="4"/>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578A2"/>
    <w:rsid w:val="000137C7"/>
    <w:rsid w:val="00013A33"/>
    <w:rsid w:val="00020109"/>
    <w:rsid w:val="00033C0D"/>
    <w:rsid w:val="000427FA"/>
    <w:rsid w:val="000643DF"/>
    <w:rsid w:val="000771CB"/>
    <w:rsid w:val="00085631"/>
    <w:rsid w:val="000907A9"/>
    <w:rsid w:val="000A734D"/>
    <w:rsid w:val="000B5DD2"/>
    <w:rsid w:val="000C0450"/>
    <w:rsid w:val="000D28CF"/>
    <w:rsid w:val="000D58CC"/>
    <w:rsid w:val="000D624B"/>
    <w:rsid w:val="000E2286"/>
    <w:rsid w:val="000E2AD6"/>
    <w:rsid w:val="000F02A1"/>
    <w:rsid w:val="000F6158"/>
    <w:rsid w:val="0011134D"/>
    <w:rsid w:val="00112756"/>
    <w:rsid w:val="001301FF"/>
    <w:rsid w:val="00133447"/>
    <w:rsid w:val="001576D8"/>
    <w:rsid w:val="001917EC"/>
    <w:rsid w:val="00192950"/>
    <w:rsid w:val="0019328E"/>
    <w:rsid w:val="001A2E99"/>
    <w:rsid w:val="001A4A7E"/>
    <w:rsid w:val="001B40BE"/>
    <w:rsid w:val="001D7C06"/>
    <w:rsid w:val="001F52EE"/>
    <w:rsid w:val="00202B75"/>
    <w:rsid w:val="00216E78"/>
    <w:rsid w:val="00221EF1"/>
    <w:rsid w:val="002400B5"/>
    <w:rsid w:val="002414A5"/>
    <w:rsid w:val="00250B22"/>
    <w:rsid w:val="002547E9"/>
    <w:rsid w:val="00260DBF"/>
    <w:rsid w:val="002674C3"/>
    <w:rsid w:val="00286EC4"/>
    <w:rsid w:val="00292BCB"/>
    <w:rsid w:val="002936A8"/>
    <w:rsid w:val="002A1419"/>
    <w:rsid w:val="002A55BD"/>
    <w:rsid w:val="002B7950"/>
    <w:rsid w:val="002F0E15"/>
    <w:rsid w:val="002F144D"/>
    <w:rsid w:val="002F2C39"/>
    <w:rsid w:val="002F62AA"/>
    <w:rsid w:val="002F6DA9"/>
    <w:rsid w:val="002F7AC8"/>
    <w:rsid w:val="00301C7D"/>
    <w:rsid w:val="00304C16"/>
    <w:rsid w:val="00311EC5"/>
    <w:rsid w:val="00320597"/>
    <w:rsid w:val="003478ED"/>
    <w:rsid w:val="00352DA1"/>
    <w:rsid w:val="0036037C"/>
    <w:rsid w:val="00363E7D"/>
    <w:rsid w:val="003649B4"/>
    <w:rsid w:val="0037542D"/>
    <w:rsid w:val="00385AC3"/>
    <w:rsid w:val="00396C98"/>
    <w:rsid w:val="003A667C"/>
    <w:rsid w:val="003B1E24"/>
    <w:rsid w:val="003B4137"/>
    <w:rsid w:val="003B6286"/>
    <w:rsid w:val="003C1E3E"/>
    <w:rsid w:val="003D6E9C"/>
    <w:rsid w:val="003E2158"/>
    <w:rsid w:val="003E38EE"/>
    <w:rsid w:val="003E4B0A"/>
    <w:rsid w:val="003F4C58"/>
    <w:rsid w:val="0040153A"/>
    <w:rsid w:val="00406078"/>
    <w:rsid w:val="00420FF9"/>
    <w:rsid w:val="004322CC"/>
    <w:rsid w:val="00437828"/>
    <w:rsid w:val="00471F61"/>
    <w:rsid w:val="00491203"/>
    <w:rsid w:val="004A232B"/>
    <w:rsid w:val="004A71BA"/>
    <w:rsid w:val="004B6AFC"/>
    <w:rsid w:val="004B7F51"/>
    <w:rsid w:val="004E31DE"/>
    <w:rsid w:val="004F2064"/>
    <w:rsid w:val="00511BA3"/>
    <w:rsid w:val="0051772A"/>
    <w:rsid w:val="00520197"/>
    <w:rsid w:val="005708C0"/>
    <w:rsid w:val="005821EE"/>
    <w:rsid w:val="0059509A"/>
    <w:rsid w:val="005A0A9E"/>
    <w:rsid w:val="005A248E"/>
    <w:rsid w:val="005A5426"/>
    <w:rsid w:val="005B3606"/>
    <w:rsid w:val="005C74F0"/>
    <w:rsid w:val="005D472E"/>
    <w:rsid w:val="005D5CB3"/>
    <w:rsid w:val="005E2B9F"/>
    <w:rsid w:val="005E7A49"/>
    <w:rsid w:val="00606510"/>
    <w:rsid w:val="00612CD7"/>
    <w:rsid w:val="00624B2A"/>
    <w:rsid w:val="0063238D"/>
    <w:rsid w:val="006420E2"/>
    <w:rsid w:val="00643C1D"/>
    <w:rsid w:val="0064700B"/>
    <w:rsid w:val="00654ABB"/>
    <w:rsid w:val="00662076"/>
    <w:rsid w:val="00663FC7"/>
    <w:rsid w:val="006664B2"/>
    <w:rsid w:val="006871E6"/>
    <w:rsid w:val="006971A9"/>
    <w:rsid w:val="006972C0"/>
    <w:rsid w:val="006C0AC7"/>
    <w:rsid w:val="006C2536"/>
    <w:rsid w:val="006D0F45"/>
    <w:rsid w:val="006D270A"/>
    <w:rsid w:val="006D2E87"/>
    <w:rsid w:val="006D6A31"/>
    <w:rsid w:val="00700E0A"/>
    <w:rsid w:val="00704AAC"/>
    <w:rsid w:val="00717AA2"/>
    <w:rsid w:val="00741069"/>
    <w:rsid w:val="007524D9"/>
    <w:rsid w:val="007537ED"/>
    <w:rsid w:val="00756B83"/>
    <w:rsid w:val="00757B9F"/>
    <w:rsid w:val="00760821"/>
    <w:rsid w:val="00767C25"/>
    <w:rsid w:val="00777DC5"/>
    <w:rsid w:val="007921D3"/>
    <w:rsid w:val="007928CE"/>
    <w:rsid w:val="00794157"/>
    <w:rsid w:val="007A588F"/>
    <w:rsid w:val="007B2E74"/>
    <w:rsid w:val="007B4D60"/>
    <w:rsid w:val="007C3430"/>
    <w:rsid w:val="007D3559"/>
    <w:rsid w:val="007E6124"/>
    <w:rsid w:val="00802366"/>
    <w:rsid w:val="00810616"/>
    <w:rsid w:val="0081344F"/>
    <w:rsid w:val="00814A6B"/>
    <w:rsid w:val="00832B26"/>
    <w:rsid w:val="008573F4"/>
    <w:rsid w:val="00864BBE"/>
    <w:rsid w:val="00877B6C"/>
    <w:rsid w:val="008A1EAC"/>
    <w:rsid w:val="008B4A40"/>
    <w:rsid w:val="008B696F"/>
    <w:rsid w:val="008D119D"/>
    <w:rsid w:val="008D4B40"/>
    <w:rsid w:val="008E1A37"/>
    <w:rsid w:val="008E5C7F"/>
    <w:rsid w:val="008E675D"/>
    <w:rsid w:val="008F2796"/>
    <w:rsid w:val="0091678A"/>
    <w:rsid w:val="00926A2B"/>
    <w:rsid w:val="0093705B"/>
    <w:rsid w:val="00946C37"/>
    <w:rsid w:val="0095730F"/>
    <w:rsid w:val="009626B9"/>
    <w:rsid w:val="00966B7E"/>
    <w:rsid w:val="00972B87"/>
    <w:rsid w:val="00993F9F"/>
    <w:rsid w:val="009A0416"/>
    <w:rsid w:val="009A131C"/>
    <w:rsid w:val="009E3E37"/>
    <w:rsid w:val="009E4817"/>
    <w:rsid w:val="009F4973"/>
    <w:rsid w:val="009F6423"/>
    <w:rsid w:val="009F795E"/>
    <w:rsid w:val="00A02237"/>
    <w:rsid w:val="00A25F62"/>
    <w:rsid w:val="00A330ED"/>
    <w:rsid w:val="00A52B6D"/>
    <w:rsid w:val="00A56532"/>
    <w:rsid w:val="00A567B2"/>
    <w:rsid w:val="00A66A88"/>
    <w:rsid w:val="00A73C41"/>
    <w:rsid w:val="00A7403F"/>
    <w:rsid w:val="00A773AF"/>
    <w:rsid w:val="00A7780C"/>
    <w:rsid w:val="00A80B79"/>
    <w:rsid w:val="00A95D00"/>
    <w:rsid w:val="00AB0D10"/>
    <w:rsid w:val="00AC2D20"/>
    <w:rsid w:val="00AE6AF9"/>
    <w:rsid w:val="00AF47EC"/>
    <w:rsid w:val="00B103FF"/>
    <w:rsid w:val="00B10E56"/>
    <w:rsid w:val="00B13BF5"/>
    <w:rsid w:val="00B13BFF"/>
    <w:rsid w:val="00B2029C"/>
    <w:rsid w:val="00B35F61"/>
    <w:rsid w:val="00B42EEC"/>
    <w:rsid w:val="00B474F7"/>
    <w:rsid w:val="00B75B62"/>
    <w:rsid w:val="00BB026F"/>
    <w:rsid w:val="00BB7327"/>
    <w:rsid w:val="00BC444B"/>
    <w:rsid w:val="00BD1C49"/>
    <w:rsid w:val="00BD27E2"/>
    <w:rsid w:val="00BF1E58"/>
    <w:rsid w:val="00BF3CD6"/>
    <w:rsid w:val="00BF5B6C"/>
    <w:rsid w:val="00C012E5"/>
    <w:rsid w:val="00C12EB4"/>
    <w:rsid w:val="00C467C7"/>
    <w:rsid w:val="00C61091"/>
    <w:rsid w:val="00C73449"/>
    <w:rsid w:val="00C73852"/>
    <w:rsid w:val="00C945CC"/>
    <w:rsid w:val="00CA5870"/>
    <w:rsid w:val="00CC666F"/>
    <w:rsid w:val="00CF06D3"/>
    <w:rsid w:val="00CF5C22"/>
    <w:rsid w:val="00CF770D"/>
    <w:rsid w:val="00D0271B"/>
    <w:rsid w:val="00D14F0C"/>
    <w:rsid w:val="00D3622E"/>
    <w:rsid w:val="00D65332"/>
    <w:rsid w:val="00D70A2F"/>
    <w:rsid w:val="00D73079"/>
    <w:rsid w:val="00D7582E"/>
    <w:rsid w:val="00DA6612"/>
    <w:rsid w:val="00DB2EE1"/>
    <w:rsid w:val="00DD4F32"/>
    <w:rsid w:val="00DD6627"/>
    <w:rsid w:val="00DD7074"/>
    <w:rsid w:val="00DE7B2E"/>
    <w:rsid w:val="00DF063C"/>
    <w:rsid w:val="00DF7839"/>
    <w:rsid w:val="00E00E66"/>
    <w:rsid w:val="00E02BCD"/>
    <w:rsid w:val="00E06FA2"/>
    <w:rsid w:val="00E32DB0"/>
    <w:rsid w:val="00E33F93"/>
    <w:rsid w:val="00E578A2"/>
    <w:rsid w:val="00E7409B"/>
    <w:rsid w:val="00EA30DF"/>
    <w:rsid w:val="00EB52F0"/>
    <w:rsid w:val="00EE5456"/>
    <w:rsid w:val="00EF03E4"/>
    <w:rsid w:val="00EF146F"/>
    <w:rsid w:val="00EF17F5"/>
    <w:rsid w:val="00EF4848"/>
    <w:rsid w:val="00EF71CD"/>
    <w:rsid w:val="00F10487"/>
    <w:rsid w:val="00F10EBC"/>
    <w:rsid w:val="00F2033A"/>
    <w:rsid w:val="00F238BB"/>
    <w:rsid w:val="00F30AA3"/>
    <w:rsid w:val="00F313B1"/>
    <w:rsid w:val="00F33F32"/>
    <w:rsid w:val="00F372B0"/>
    <w:rsid w:val="00F44E1B"/>
    <w:rsid w:val="00F61287"/>
    <w:rsid w:val="00F62C59"/>
    <w:rsid w:val="00FA6A64"/>
    <w:rsid w:val="00FB01E5"/>
    <w:rsid w:val="00FB28CC"/>
    <w:rsid w:val="00FD7145"/>
    <w:rsid w:val="00FF043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E578A2"/>
    <w:rPr>
      <w:sz w:val="24"/>
      <w:szCs w:val="24"/>
    </w:rPr>
  </w:style>
  <w:style w:type="paragraph" w:styleId="Virsraksts4">
    <w:name w:val="heading 4"/>
    <w:basedOn w:val="Parastais"/>
    <w:next w:val="Parastais"/>
    <w:qFormat/>
    <w:rsid w:val="001A4A7E"/>
    <w:pPr>
      <w:keepNext/>
      <w:ind w:left="7200"/>
      <w:jc w:val="both"/>
      <w:outlineLvl w:val="3"/>
    </w:pPr>
    <w:rPr>
      <w:sz w:val="28"/>
      <w:szCs w:val="20"/>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E578A2"/>
    <w:pPr>
      <w:tabs>
        <w:tab w:val="center" w:pos="4153"/>
        <w:tab w:val="right" w:pos="8306"/>
      </w:tabs>
    </w:pPr>
  </w:style>
  <w:style w:type="character" w:styleId="Lappusesnumurs">
    <w:name w:val="page number"/>
    <w:basedOn w:val="Noklusjumarindkopasfonts"/>
    <w:rsid w:val="00E578A2"/>
  </w:style>
  <w:style w:type="paragraph" w:customStyle="1" w:styleId="naisf">
    <w:name w:val="naisf"/>
    <w:basedOn w:val="Parastais"/>
    <w:rsid w:val="00E578A2"/>
    <w:pPr>
      <w:spacing w:before="75" w:after="75"/>
      <w:ind w:firstLine="375"/>
      <w:jc w:val="both"/>
    </w:pPr>
  </w:style>
  <w:style w:type="paragraph" w:customStyle="1" w:styleId="naisnod">
    <w:name w:val="naisnod"/>
    <w:basedOn w:val="Parastais"/>
    <w:rsid w:val="00E578A2"/>
    <w:pPr>
      <w:spacing w:before="150" w:after="150"/>
      <w:jc w:val="center"/>
    </w:pPr>
    <w:rPr>
      <w:b/>
      <w:bCs/>
    </w:rPr>
  </w:style>
  <w:style w:type="paragraph" w:customStyle="1" w:styleId="naislab">
    <w:name w:val="naislab"/>
    <w:basedOn w:val="Parastais"/>
    <w:rsid w:val="00E578A2"/>
    <w:pPr>
      <w:spacing w:before="75" w:after="75"/>
      <w:jc w:val="right"/>
    </w:pPr>
  </w:style>
  <w:style w:type="paragraph" w:customStyle="1" w:styleId="naiskr">
    <w:name w:val="naiskr"/>
    <w:basedOn w:val="Parastais"/>
    <w:rsid w:val="00E578A2"/>
    <w:pPr>
      <w:spacing w:before="75" w:after="75"/>
    </w:pPr>
  </w:style>
  <w:style w:type="table" w:styleId="Reatabula">
    <w:name w:val="Table Grid"/>
    <w:basedOn w:val="Parastatabula"/>
    <w:rsid w:val="00E57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E578A2"/>
    <w:rPr>
      <w:sz w:val="20"/>
      <w:szCs w:val="20"/>
    </w:rPr>
  </w:style>
  <w:style w:type="paragraph" w:styleId="Kjene">
    <w:name w:val="footer"/>
    <w:basedOn w:val="Parastais"/>
    <w:link w:val="KjeneRakstz"/>
    <w:rsid w:val="00E578A2"/>
    <w:pPr>
      <w:tabs>
        <w:tab w:val="center" w:pos="4153"/>
        <w:tab w:val="right" w:pos="8306"/>
      </w:tabs>
    </w:pPr>
  </w:style>
  <w:style w:type="character" w:customStyle="1" w:styleId="KjeneRakstz">
    <w:name w:val="Kājene Rakstz."/>
    <w:basedOn w:val="Noklusjumarindkopasfonts"/>
    <w:link w:val="Kjene"/>
    <w:semiHidden/>
    <w:rsid w:val="00E578A2"/>
    <w:rPr>
      <w:sz w:val="24"/>
      <w:szCs w:val="24"/>
      <w:lang w:val="lv-LV" w:eastAsia="lv-LV" w:bidi="ar-SA"/>
    </w:rPr>
  </w:style>
  <w:style w:type="paragraph" w:customStyle="1" w:styleId="Sarakstarindkopa1">
    <w:name w:val="Saraksta rindkopa1"/>
    <w:basedOn w:val="Parastais"/>
    <w:qFormat/>
    <w:rsid w:val="00E578A2"/>
    <w:pPr>
      <w:ind w:left="720"/>
      <w:contextualSpacing/>
    </w:pPr>
  </w:style>
  <w:style w:type="character" w:styleId="Hipersaite">
    <w:name w:val="Hyperlink"/>
    <w:basedOn w:val="Noklusjumarindkopasfonts"/>
    <w:rsid w:val="00AC2D20"/>
    <w:rPr>
      <w:color w:val="0000FF"/>
      <w:u w:val="single"/>
    </w:rPr>
  </w:style>
  <w:style w:type="paragraph" w:styleId="Pamatteksts">
    <w:name w:val="Body Text"/>
    <w:basedOn w:val="Parastais"/>
    <w:link w:val="PamattekstsRakstz"/>
    <w:rsid w:val="001A4A7E"/>
    <w:pPr>
      <w:jc w:val="right"/>
    </w:pPr>
    <w:rPr>
      <w:b/>
      <w:sz w:val="28"/>
      <w:szCs w:val="20"/>
      <w:lang w:eastAsia="en-US"/>
    </w:rPr>
  </w:style>
  <w:style w:type="character" w:customStyle="1" w:styleId="PamattekstsRakstz">
    <w:name w:val="Pamatteksts Rakstz."/>
    <w:basedOn w:val="Noklusjumarindkopasfonts"/>
    <w:link w:val="Pamatteksts"/>
    <w:rsid w:val="001A4A7E"/>
    <w:rPr>
      <w:b/>
      <w:sz w:val="28"/>
      <w:lang w:val="lv-LV" w:eastAsia="en-US" w:bidi="ar-SA"/>
    </w:rPr>
  </w:style>
  <w:style w:type="paragraph" w:customStyle="1" w:styleId="Rakstz">
    <w:name w:val="Rakstz."/>
    <w:basedOn w:val="Parastais"/>
    <w:semiHidden/>
    <w:rsid w:val="003B6286"/>
    <w:pPr>
      <w:spacing w:after="160" w:line="240" w:lineRule="exact"/>
    </w:pPr>
    <w:rPr>
      <w:rFonts w:ascii="Verdana" w:hAnsi="Verdana"/>
      <w:sz w:val="20"/>
      <w:szCs w:val="20"/>
    </w:rPr>
  </w:style>
  <w:style w:type="character" w:styleId="Izteiksmgs">
    <w:name w:val="Strong"/>
    <w:basedOn w:val="Noklusjumarindkopasfonts"/>
    <w:uiPriority w:val="22"/>
    <w:qFormat/>
    <w:rsid w:val="003B1E24"/>
    <w:rPr>
      <w:b/>
      <w:bCs/>
    </w:rPr>
  </w:style>
  <w:style w:type="paragraph" w:styleId="Sarakstarindkopa">
    <w:name w:val="List Paragraph"/>
    <w:basedOn w:val="Parastais"/>
    <w:uiPriority w:val="34"/>
    <w:qFormat/>
    <w:rsid w:val="005B3606"/>
    <w:pPr>
      <w:ind w:left="720"/>
      <w:contextualSpacing/>
    </w:pPr>
  </w:style>
  <w:style w:type="paragraph" w:styleId="Balonteksts">
    <w:name w:val="Balloon Text"/>
    <w:basedOn w:val="Parastais"/>
    <w:link w:val="BalontekstsRakstz"/>
    <w:rsid w:val="0051772A"/>
    <w:rPr>
      <w:rFonts w:ascii="Tahoma" w:hAnsi="Tahoma" w:cs="Tahoma"/>
      <w:sz w:val="16"/>
      <w:szCs w:val="16"/>
    </w:rPr>
  </w:style>
  <w:style w:type="character" w:customStyle="1" w:styleId="BalontekstsRakstz">
    <w:name w:val="Balonteksts Rakstz."/>
    <w:basedOn w:val="Noklusjumarindkopasfonts"/>
    <w:link w:val="Balonteksts"/>
    <w:rsid w:val="0051772A"/>
    <w:rPr>
      <w:rFonts w:ascii="Tahoma" w:hAnsi="Tahoma" w:cs="Tahoma"/>
      <w:sz w:val="16"/>
      <w:szCs w:val="16"/>
    </w:rPr>
  </w:style>
  <w:style w:type="paragraph" w:styleId="ParastaisWeb">
    <w:name w:val="Normal (Web)"/>
    <w:basedOn w:val="Parastais"/>
    <w:uiPriority w:val="99"/>
    <w:unhideWhenUsed/>
    <w:rsid w:val="001B40BE"/>
    <w:pPr>
      <w:spacing w:before="100" w:beforeAutospacing="1" w:after="100" w:afterAutospacing="1"/>
    </w:pPr>
    <w:rPr>
      <w:rFonts w:ascii="Verdana" w:hAnsi="Verdana"/>
      <w:sz w:val="16"/>
      <w:szCs w:val="16"/>
    </w:rPr>
  </w:style>
  <w:style w:type="character" w:styleId="Izclums">
    <w:name w:val="Emphasis"/>
    <w:basedOn w:val="Noklusjumarindkopasfonts"/>
    <w:qFormat/>
    <w:rsid w:val="007928CE"/>
    <w:rPr>
      <w:b/>
      <w:bCs/>
      <w:i w:val="0"/>
      <w:iCs w:val="0"/>
    </w:rPr>
  </w:style>
  <w:style w:type="character" w:customStyle="1" w:styleId="st">
    <w:name w:val="st"/>
    <w:basedOn w:val="Noklusjumarindkopasfonts"/>
    <w:rsid w:val="007928CE"/>
  </w:style>
  <w:style w:type="paragraph" w:customStyle="1" w:styleId="naisc">
    <w:name w:val="naisc"/>
    <w:basedOn w:val="Parastais"/>
    <w:rsid w:val="007928CE"/>
    <w:pPr>
      <w:spacing w:before="75" w:after="75"/>
      <w:jc w:val="center"/>
    </w:pPr>
  </w:style>
  <w:style w:type="paragraph" w:customStyle="1" w:styleId="tvhtmlmktable">
    <w:name w:val="tv_html mk_table"/>
    <w:basedOn w:val="Parastais"/>
    <w:rsid w:val="00260DBF"/>
    <w:pPr>
      <w:spacing w:before="100" w:beforeAutospacing="1" w:after="100" w:afterAutospacing="1"/>
    </w:pPr>
  </w:style>
  <w:style w:type="paragraph" w:customStyle="1" w:styleId="izdevumi">
    <w:name w:val="izdevumi"/>
    <w:basedOn w:val="Parastais"/>
    <w:rsid w:val="00260DBF"/>
    <w:pPr>
      <w:spacing w:before="100" w:beforeAutospacing="1" w:after="100" w:afterAutospacing="1"/>
    </w:pPr>
  </w:style>
  <w:style w:type="character" w:styleId="Komentraatsauce">
    <w:name w:val="annotation reference"/>
    <w:basedOn w:val="Noklusjumarindkopasfonts"/>
    <w:rsid w:val="00FB28CC"/>
    <w:rPr>
      <w:sz w:val="16"/>
      <w:szCs w:val="16"/>
    </w:rPr>
  </w:style>
  <w:style w:type="paragraph" w:styleId="Komentrateksts">
    <w:name w:val="annotation text"/>
    <w:basedOn w:val="Parastais"/>
    <w:link w:val="KomentratekstsRakstz"/>
    <w:rsid w:val="00FB28CC"/>
    <w:rPr>
      <w:sz w:val="20"/>
      <w:szCs w:val="20"/>
    </w:rPr>
  </w:style>
  <w:style w:type="character" w:customStyle="1" w:styleId="KomentratekstsRakstz">
    <w:name w:val="Komentāra teksts Rakstz."/>
    <w:basedOn w:val="Noklusjumarindkopasfonts"/>
    <w:link w:val="Komentrateksts"/>
    <w:rsid w:val="00FB28CC"/>
  </w:style>
  <w:style w:type="paragraph" w:styleId="Komentratma">
    <w:name w:val="annotation subject"/>
    <w:basedOn w:val="Komentrateksts"/>
    <w:next w:val="Komentrateksts"/>
    <w:link w:val="KomentratmaRakstz"/>
    <w:rsid w:val="00FB28CC"/>
    <w:rPr>
      <w:b/>
      <w:bCs/>
    </w:rPr>
  </w:style>
  <w:style w:type="character" w:customStyle="1" w:styleId="KomentratmaRakstz">
    <w:name w:val="Komentāra tēma Rakstz."/>
    <w:basedOn w:val="KomentratekstsRakstz"/>
    <w:link w:val="Komentratma"/>
    <w:rsid w:val="00FB28CC"/>
    <w:rPr>
      <w:b/>
      <w:bCs/>
    </w:rPr>
  </w:style>
  <w:style w:type="character" w:customStyle="1" w:styleId="GalveneRakstz">
    <w:name w:val="Galvene Rakstz."/>
    <w:basedOn w:val="Noklusjumarindkopasfonts"/>
    <w:link w:val="Galvene"/>
    <w:uiPriority w:val="99"/>
    <w:rsid w:val="0019328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5C4D4-C4E1-4F7D-9B19-C8CCF83F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1774</Words>
  <Characters>12015</Characters>
  <Application>Microsoft Office Word</Application>
  <DocSecurity>0</DocSecurity>
  <Lines>293</Lines>
  <Paragraphs>95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Norvēģijas finanšu instrumenta līdzfinansētās programmas „Latvijas korekcijas dienestu un Valsts policijas īslaicīgās aizturēšanas vietu reforma” iesnieguma projektu” sākotnējās ietekmes novērtējuma ziņojums (anotā</vt:lpstr>
      <vt:lpstr>Ministru kabineta noteikumu projekta „Grozījumi Ministru kabineta 2008.gada 26.maija noteikumos Nr. 361 „Noteikumi par bāriņtiesas ikgadējā pārskata veidlapas paraugu un pārskata iesniegšanas un aizpildīšanas kārtību”” sākotnējās ietekmes novērtējuma ziņo</vt:lpstr>
    </vt:vector>
  </TitlesOfParts>
  <Company>LM</Company>
  <LinksUpToDate>false</LinksUpToDate>
  <CharactersWithSpaces>13694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Norvēģijas finanšu instrumenta līdzfinansētās programmas „Latvijas korekcijas dienestu un Valsts policijas īslaicīgās aizturēšanas vietu reforma” iesnieguma projektu” sākotnējās ietekmes novērtējuma ziņojums (anotācija)</dc:title>
  <dc:subject>Ietekmes novērtējuma ziņojums (anotācija)</dc:subject>
  <dc:creator>Inta Remese</dc:creator>
  <dc:description>67036853, inta.remese@tm.gov.lv</dc:description>
  <cp:lastModifiedBy>ir1201</cp:lastModifiedBy>
  <cp:revision>3</cp:revision>
  <cp:lastPrinted>2011-10-19T07:09:00Z</cp:lastPrinted>
  <dcterms:created xsi:type="dcterms:W3CDTF">2011-12-15T14:00:00Z</dcterms:created>
  <dcterms:modified xsi:type="dcterms:W3CDTF">2011-12-15T14:48:00Z</dcterms:modified>
</cp:coreProperties>
</file>