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30" w:rsidRDefault="00296830" w:rsidP="00621F46">
      <w:pPr>
        <w:pStyle w:val="naislab"/>
        <w:spacing w:before="0" w:after="0"/>
        <w:jc w:val="center"/>
        <w:outlineLvl w:val="0"/>
        <w:rPr>
          <w:b/>
          <w:sz w:val="28"/>
          <w:szCs w:val="28"/>
        </w:rPr>
      </w:pPr>
      <w:bookmarkStart w:id="0" w:name="_GoBack"/>
      <w:bookmarkEnd w:id="0"/>
      <w:r>
        <w:rPr>
          <w:b/>
          <w:sz w:val="28"/>
          <w:szCs w:val="28"/>
        </w:rPr>
        <w:t>Likumprojekta „Grozījum</w:t>
      </w:r>
      <w:r w:rsidR="004E6280">
        <w:rPr>
          <w:b/>
          <w:sz w:val="28"/>
          <w:szCs w:val="28"/>
        </w:rPr>
        <w:t xml:space="preserve">s Republikas pilsētas domes un novada domes vēlēšanu likumā </w:t>
      </w:r>
      <w:r>
        <w:rPr>
          <w:b/>
          <w:sz w:val="28"/>
          <w:szCs w:val="28"/>
        </w:rPr>
        <w:t xml:space="preserve">” sākotnējās ietekmes novērtējuma </w:t>
      </w:r>
      <w:smartTag w:uri="schemas-tilde-lv/tildestengine" w:element="veidnes">
        <w:smartTagPr>
          <w:attr w:name="id" w:val="-1"/>
          <w:attr w:name="baseform" w:val="ziņojums"/>
          <w:attr w:name="text" w:val="ziņojums"/>
        </w:smartTagPr>
        <w:r>
          <w:rPr>
            <w:b/>
            <w:sz w:val="28"/>
            <w:szCs w:val="28"/>
          </w:rPr>
          <w:t>ziņojums</w:t>
        </w:r>
      </w:smartTag>
      <w:r>
        <w:rPr>
          <w:b/>
          <w:sz w:val="28"/>
          <w:szCs w:val="28"/>
        </w:rPr>
        <w:t xml:space="preserve"> (anotācija)</w:t>
      </w:r>
    </w:p>
    <w:p w:rsidR="00621F46" w:rsidRDefault="00621F46" w:rsidP="00621F46">
      <w:pPr>
        <w:pStyle w:val="naislab"/>
        <w:spacing w:before="0" w:after="0"/>
        <w:jc w:val="center"/>
        <w:outlineLvl w:val="0"/>
        <w:rPr>
          <w:b/>
          <w:sz w:val="28"/>
          <w:szCs w:val="28"/>
        </w:rPr>
      </w:pPr>
    </w:p>
    <w:tbl>
      <w:tblPr>
        <w:tblpPr w:leftFromText="180" w:rightFromText="180" w:bottomFromText="20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4315"/>
        <w:gridCol w:w="4779"/>
      </w:tblGrid>
      <w:tr w:rsidR="00296830" w:rsidRPr="00DA3785" w:rsidTr="00E277D7">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96830" w:rsidRPr="00DA3785" w:rsidRDefault="00296830" w:rsidP="00DA3785">
            <w:pPr>
              <w:pStyle w:val="naisnod"/>
              <w:spacing w:before="0" w:after="0" w:line="40" w:lineRule="atLeast"/>
            </w:pPr>
            <w:r w:rsidRPr="00DA3785">
              <w:t>I. Tiesību akta projekta izstrādes nepieciešamība</w:t>
            </w:r>
          </w:p>
        </w:tc>
      </w:tr>
      <w:tr w:rsidR="00296830" w:rsidRPr="00DA3785" w:rsidTr="00E277D7">
        <w:trPr>
          <w:trHeight w:val="630"/>
        </w:trPr>
        <w:tc>
          <w:tcPr>
            <w:tcW w:w="550"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1.</w:t>
            </w:r>
          </w:p>
        </w:tc>
        <w:tc>
          <w:tcPr>
            <w:tcW w:w="431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ind w:hanging="10"/>
            </w:pPr>
            <w:r w:rsidRPr="00DA3785">
              <w:t>Pamatojums</w:t>
            </w:r>
          </w:p>
        </w:tc>
        <w:tc>
          <w:tcPr>
            <w:tcW w:w="4779" w:type="dxa"/>
            <w:tcBorders>
              <w:top w:val="single" w:sz="4" w:space="0" w:color="auto"/>
              <w:left w:val="single" w:sz="4" w:space="0" w:color="auto"/>
              <w:bottom w:val="single" w:sz="4" w:space="0" w:color="auto"/>
              <w:right w:val="single" w:sz="4" w:space="0" w:color="auto"/>
            </w:tcBorders>
            <w:hideMark/>
          </w:tcPr>
          <w:p w:rsidR="00296830" w:rsidRPr="00DA3785" w:rsidRDefault="00951161" w:rsidP="00DA3785">
            <w:pPr>
              <w:pStyle w:val="naiskr"/>
              <w:spacing w:before="0" w:after="0" w:line="40" w:lineRule="atLeast"/>
              <w:jc w:val="both"/>
            </w:pPr>
            <w:r w:rsidRPr="00DA3785">
              <w:rPr>
                <w:i/>
                <w:color w:val="000000" w:themeColor="text1"/>
              </w:rPr>
              <w:t xml:space="preserve">Euro </w:t>
            </w:r>
            <w:r w:rsidRPr="00DA3785">
              <w:rPr>
                <w:color w:val="000000" w:themeColor="text1"/>
              </w:rPr>
              <w:t xml:space="preserve">ieviešanas kārtības likuma 30.panta pirmā daļa, Ministru kabineta 2012.gada 27.jūnija rīkojuma Nr.282 „Par „Koncepciju par normatīvo aktu sakārtošanu saistībā ar eiro ieviešanu Latvijā”” </w:t>
            </w:r>
            <w:r w:rsidR="006F4239" w:rsidRPr="00DA3785">
              <w:rPr>
                <w:color w:val="000000"/>
              </w:rPr>
              <w:t>1.1.1. apakšpunkts un 5. punkts un</w:t>
            </w:r>
            <w:r w:rsidR="006F4239" w:rsidRPr="00DA3785">
              <w:t xml:space="preserve"> Latvijas Nacionālā </w:t>
            </w:r>
            <w:r w:rsidR="006F4239" w:rsidRPr="00DA3785">
              <w:rPr>
                <w:i/>
                <w:iCs/>
              </w:rPr>
              <w:t>euro</w:t>
            </w:r>
            <w:r w:rsidR="006F4239" w:rsidRPr="00DA3785">
              <w:t xml:space="preserve"> ieviešanas plāna (apstiprināts ar Ministru kabineta 2013.gada 4.aprīļa rīkojumu Nr.136</w:t>
            </w:r>
            <w:r w:rsidR="006F4239" w:rsidRPr="00DA3785">
              <w:rPr>
                <w:color w:val="666666"/>
              </w:rPr>
              <w:t xml:space="preserve">) </w:t>
            </w:r>
            <w:r w:rsidR="006F4239" w:rsidRPr="00DA3785">
              <w:t>1. pielikuma J2.1.1. un J2.2.3. pasākums</w:t>
            </w:r>
            <w:r w:rsidR="006F4239" w:rsidRPr="00DA3785">
              <w:rPr>
                <w:color w:val="000000"/>
              </w:rPr>
              <w:t xml:space="preserve">. </w:t>
            </w:r>
          </w:p>
        </w:tc>
      </w:tr>
      <w:tr w:rsidR="00296830" w:rsidRPr="00DA3785" w:rsidTr="00E277D7">
        <w:trPr>
          <w:trHeight w:val="472"/>
        </w:trPr>
        <w:tc>
          <w:tcPr>
            <w:tcW w:w="550"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2.</w:t>
            </w:r>
          </w:p>
        </w:tc>
        <w:tc>
          <w:tcPr>
            <w:tcW w:w="431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tabs>
                <w:tab w:val="left" w:pos="170"/>
              </w:tabs>
              <w:spacing w:before="0" w:after="0" w:line="40" w:lineRule="atLeast"/>
            </w:pPr>
            <w:r w:rsidRPr="00DA3785">
              <w:t>Pašreizējā situācija un problēmas</w:t>
            </w:r>
          </w:p>
        </w:tc>
        <w:tc>
          <w:tcPr>
            <w:tcW w:w="4779" w:type="dxa"/>
            <w:tcBorders>
              <w:top w:val="single" w:sz="4" w:space="0" w:color="auto"/>
              <w:left w:val="single" w:sz="4" w:space="0" w:color="auto"/>
              <w:bottom w:val="single" w:sz="4" w:space="0" w:color="auto"/>
              <w:right w:val="single" w:sz="4" w:space="0" w:color="auto"/>
            </w:tcBorders>
          </w:tcPr>
          <w:p w:rsidR="00296830" w:rsidRPr="00DA3785" w:rsidRDefault="00951161" w:rsidP="00DA3785">
            <w:pPr>
              <w:pStyle w:val="naiskr"/>
              <w:spacing w:before="0" w:after="0" w:line="40" w:lineRule="atLeast"/>
              <w:jc w:val="both"/>
              <w:rPr>
                <w:i/>
              </w:rPr>
            </w:pPr>
            <w:r w:rsidRPr="00DA3785">
              <w:t xml:space="preserve">Ņemot vērā, ka ar 2014.gada 1.janvāri Latvijā plānots ieviest </w:t>
            </w:r>
            <w:r w:rsidRPr="00DA3785">
              <w:rPr>
                <w:i/>
              </w:rPr>
              <w:t>euro</w:t>
            </w:r>
            <w:r w:rsidRPr="00DA3785">
              <w:t xml:space="preserve">, ir nepieciešams veikt grozījumu Republikas pilsētas domes un novada domes vēlēšanu likumā (turpmāk – Likums), aizstājot tajā latus ar </w:t>
            </w:r>
            <w:r w:rsidRPr="00DA3785">
              <w:rPr>
                <w:i/>
              </w:rPr>
              <w:t>euro</w:t>
            </w:r>
            <w:r w:rsidRPr="00DA3785">
              <w:t>.</w:t>
            </w:r>
          </w:p>
        </w:tc>
      </w:tr>
      <w:tr w:rsidR="00296830" w:rsidRPr="00DA3785" w:rsidTr="007C7D92">
        <w:trPr>
          <w:trHeight w:val="497"/>
        </w:trPr>
        <w:tc>
          <w:tcPr>
            <w:tcW w:w="550"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3.</w:t>
            </w:r>
          </w:p>
        </w:tc>
        <w:tc>
          <w:tcPr>
            <w:tcW w:w="431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Saistītie politikas ietekmes novērtējumi un pētījumi</w:t>
            </w:r>
          </w:p>
        </w:tc>
        <w:tc>
          <w:tcPr>
            <w:tcW w:w="4779" w:type="dxa"/>
            <w:tcBorders>
              <w:top w:val="single" w:sz="4" w:space="0" w:color="auto"/>
              <w:left w:val="single" w:sz="4" w:space="0" w:color="auto"/>
              <w:bottom w:val="single" w:sz="4" w:space="0" w:color="auto"/>
              <w:right w:val="single" w:sz="4" w:space="0" w:color="auto"/>
            </w:tcBorders>
            <w:hideMark/>
          </w:tcPr>
          <w:p w:rsidR="00296830" w:rsidRPr="00DA3785" w:rsidRDefault="006F4239" w:rsidP="00DA3785">
            <w:pPr>
              <w:pStyle w:val="Vresteksts"/>
              <w:spacing w:line="40" w:lineRule="atLeast"/>
              <w:rPr>
                <w:sz w:val="24"/>
                <w:szCs w:val="24"/>
              </w:rPr>
            </w:pPr>
            <w:r w:rsidRPr="00DA3785">
              <w:rPr>
                <w:sz w:val="24"/>
                <w:szCs w:val="24"/>
              </w:rPr>
              <w:t>Projekts šo jomu neskar</w:t>
            </w:r>
          </w:p>
        </w:tc>
      </w:tr>
      <w:tr w:rsidR="00296830" w:rsidRPr="00DA3785" w:rsidTr="00E277D7">
        <w:trPr>
          <w:trHeight w:val="384"/>
        </w:trPr>
        <w:tc>
          <w:tcPr>
            <w:tcW w:w="550"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4.</w:t>
            </w:r>
          </w:p>
        </w:tc>
        <w:tc>
          <w:tcPr>
            <w:tcW w:w="431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Tiesiskā regulējuma mērķis un būtība</w:t>
            </w:r>
          </w:p>
        </w:tc>
        <w:tc>
          <w:tcPr>
            <w:tcW w:w="4779" w:type="dxa"/>
            <w:tcBorders>
              <w:top w:val="single" w:sz="4" w:space="0" w:color="auto"/>
              <w:left w:val="single" w:sz="4" w:space="0" w:color="auto"/>
              <w:bottom w:val="single" w:sz="4" w:space="0" w:color="auto"/>
              <w:right w:val="single" w:sz="4" w:space="0" w:color="auto"/>
            </w:tcBorders>
          </w:tcPr>
          <w:p w:rsidR="00951161" w:rsidRPr="00DA3785" w:rsidRDefault="00951161" w:rsidP="00DA3785">
            <w:pPr>
              <w:pStyle w:val="naiskr"/>
              <w:spacing w:before="0" w:after="0" w:line="40" w:lineRule="atLeast"/>
              <w:jc w:val="both"/>
              <w:rPr>
                <w:color w:val="000000" w:themeColor="text1"/>
              </w:rPr>
            </w:pPr>
            <w:r w:rsidRPr="00DA3785">
              <w:t xml:space="preserve">Šā projekta mērķis ir pielāgot </w:t>
            </w:r>
            <w:r w:rsidR="00754DC5" w:rsidRPr="00DA3785">
              <w:t xml:space="preserve">Likumu </w:t>
            </w:r>
            <w:r w:rsidR="00754DC5" w:rsidRPr="00DA3785">
              <w:rPr>
                <w:i/>
              </w:rPr>
              <w:t>euro</w:t>
            </w:r>
            <w:r w:rsidRPr="00DA3785">
              <w:t xml:space="preserve"> ieviešanai, aizstājot tajā latus ar </w:t>
            </w:r>
            <w:r w:rsidRPr="00DA3785">
              <w:rPr>
                <w:i/>
              </w:rPr>
              <w:t>euro</w:t>
            </w:r>
            <w:r w:rsidR="00754DC5" w:rsidRPr="00DA3785">
              <w:t xml:space="preserve">. </w:t>
            </w:r>
            <w:r w:rsidRPr="00DA3785">
              <w:t xml:space="preserve">Šis projekts paredz aizstāt attiecīgajā normatīvajā aktā latus ar </w:t>
            </w:r>
            <w:r w:rsidRPr="00DA3785">
              <w:rPr>
                <w:i/>
              </w:rPr>
              <w:t>euro</w:t>
            </w:r>
            <w:r w:rsidRPr="00DA3785">
              <w:t xml:space="preserve"> atbilstoši </w:t>
            </w:r>
            <w:r w:rsidRPr="00DA3785">
              <w:rPr>
                <w:i/>
                <w:color w:val="000000" w:themeColor="text1"/>
              </w:rPr>
              <w:t xml:space="preserve">Euro </w:t>
            </w:r>
            <w:r w:rsidRPr="00DA3785">
              <w:rPr>
                <w:color w:val="000000" w:themeColor="text1"/>
              </w:rPr>
              <w:t>ieviešanas kārtības likuma</w:t>
            </w:r>
            <w:r w:rsidR="00754DC5" w:rsidRPr="00DA3785">
              <w:rPr>
                <w:color w:val="000000" w:themeColor="text1"/>
              </w:rPr>
              <w:t xml:space="preserve"> </w:t>
            </w:r>
            <w:r w:rsidR="00754DC5" w:rsidRPr="00DA3785">
              <w:t>32.panta otr</w:t>
            </w:r>
            <w:r w:rsidR="006F4239" w:rsidRPr="00DA3785">
              <w:t>ās</w:t>
            </w:r>
            <w:r w:rsidR="00754DC5" w:rsidRPr="00DA3785">
              <w:t xml:space="preserve"> daļ</w:t>
            </w:r>
            <w:r w:rsidR="006F4239" w:rsidRPr="00DA3785">
              <w:t>as 2.punktā</w:t>
            </w:r>
            <w:r w:rsidRPr="00DA3785">
              <w:rPr>
                <w:color w:val="000000" w:themeColor="text1"/>
              </w:rPr>
              <w:t xml:space="preserve"> paredzētajiem principiem.</w:t>
            </w:r>
          </w:p>
          <w:p w:rsidR="006F4239" w:rsidRPr="00DA3785" w:rsidRDefault="006F4239" w:rsidP="00DA3785">
            <w:pPr>
              <w:pStyle w:val="naiskr"/>
              <w:spacing w:before="0" w:after="0" w:line="40" w:lineRule="atLeast"/>
              <w:jc w:val="both"/>
              <w:rPr>
                <w:color w:val="000000" w:themeColor="text1"/>
              </w:rPr>
            </w:pPr>
            <w:r w:rsidRPr="00DA3785">
              <w:rPr>
                <w:color w:val="000000" w:themeColor="text1"/>
              </w:rPr>
              <w:t>Likuma 18.panta pirmā un otrā daļa paredz drošības naudas ieskaitīšanu speciālā domes vēlēšanu komisijas depozīta kontā par kandidātu saraksta iesniegšanu un šīs drošības naudas apmēru.</w:t>
            </w:r>
          </w:p>
          <w:p w:rsidR="002177F7" w:rsidRPr="00DA3785" w:rsidRDefault="00E31580" w:rsidP="00DA3785">
            <w:pPr>
              <w:pStyle w:val="tv2131"/>
              <w:spacing w:line="40" w:lineRule="atLeast"/>
              <w:ind w:firstLine="0"/>
              <w:jc w:val="both"/>
              <w:rPr>
                <w:color w:val="auto"/>
                <w:sz w:val="24"/>
                <w:szCs w:val="24"/>
              </w:rPr>
            </w:pPr>
            <w:r w:rsidRPr="00DA3785">
              <w:rPr>
                <w:color w:val="000000" w:themeColor="text1"/>
                <w:sz w:val="24"/>
                <w:szCs w:val="24"/>
              </w:rPr>
              <w:t>Šajā projektā paredzēts aizstāt Likuma 18.pant</w:t>
            </w:r>
            <w:r w:rsidR="002A4549" w:rsidRPr="00DA3785">
              <w:rPr>
                <w:color w:val="000000" w:themeColor="text1"/>
                <w:sz w:val="24"/>
                <w:szCs w:val="24"/>
              </w:rPr>
              <w:t>a pirmajā un otrajā daļā</w:t>
            </w:r>
            <w:r w:rsidRPr="00DA3785">
              <w:rPr>
                <w:color w:val="000000" w:themeColor="text1"/>
                <w:sz w:val="24"/>
                <w:szCs w:val="24"/>
              </w:rPr>
              <w:t xml:space="preserve"> noteiktās drošības naudas par kandidātu sarakstu domes vēlēšanām summu latos pret summu </w:t>
            </w:r>
            <w:r w:rsidRPr="00DA3785">
              <w:rPr>
                <w:i/>
                <w:color w:val="000000" w:themeColor="text1"/>
                <w:sz w:val="24"/>
                <w:szCs w:val="24"/>
              </w:rPr>
              <w:t xml:space="preserve">euro. </w:t>
            </w:r>
            <w:r w:rsidR="002177F7" w:rsidRPr="00DA3785">
              <w:rPr>
                <w:color w:val="auto"/>
                <w:sz w:val="24"/>
                <w:szCs w:val="24"/>
              </w:rPr>
              <w:t>Ņemot vērā, ka šobrīd Likuma 18.panta pirmajā un otrajā daļā naudas summa ir izteikta veselos</w:t>
            </w:r>
            <w:r w:rsidR="00337D3B" w:rsidRPr="00DA3785">
              <w:rPr>
                <w:color w:val="auto"/>
                <w:sz w:val="24"/>
                <w:szCs w:val="24"/>
              </w:rPr>
              <w:t xml:space="preserve"> desmitos</w:t>
            </w:r>
            <w:r w:rsidR="002177F7" w:rsidRPr="00DA3785">
              <w:rPr>
                <w:color w:val="auto"/>
                <w:sz w:val="24"/>
                <w:szCs w:val="24"/>
              </w:rPr>
              <w:t xml:space="preserve"> latu, atbilstoši </w:t>
            </w:r>
            <w:r w:rsidR="002177F7" w:rsidRPr="00DA3785">
              <w:rPr>
                <w:i/>
                <w:color w:val="auto"/>
                <w:sz w:val="24"/>
                <w:szCs w:val="24"/>
              </w:rPr>
              <w:t>Euro</w:t>
            </w:r>
            <w:r w:rsidR="002177F7" w:rsidRPr="00DA3785">
              <w:rPr>
                <w:color w:val="auto"/>
                <w:sz w:val="24"/>
                <w:szCs w:val="24"/>
              </w:rPr>
              <w:t xml:space="preserve"> ieviešanas kārtības likuma 32.panta otrās daļas 2.punktam konvertācijas rezultātā iegūto summu </w:t>
            </w:r>
            <w:r w:rsidR="002177F7" w:rsidRPr="00DA3785">
              <w:rPr>
                <w:i/>
                <w:color w:val="auto"/>
                <w:sz w:val="24"/>
                <w:szCs w:val="24"/>
              </w:rPr>
              <w:t>euro</w:t>
            </w:r>
            <w:r w:rsidR="002177F7" w:rsidRPr="00DA3785">
              <w:rPr>
                <w:color w:val="auto"/>
                <w:sz w:val="24"/>
                <w:szCs w:val="24"/>
              </w:rPr>
              <w:t xml:space="preserve"> ir pieļaujams noapaļot ar precizitāti, kas nav mazāka par noapaļošanas precizitāti skaitliskajai vērtībai latos, vienlaikus ievērojot pārējos </w:t>
            </w:r>
            <w:r w:rsidR="002177F7" w:rsidRPr="00DA3785">
              <w:rPr>
                <w:i/>
                <w:color w:val="auto"/>
                <w:sz w:val="24"/>
                <w:szCs w:val="24"/>
              </w:rPr>
              <w:t>Euro</w:t>
            </w:r>
            <w:r w:rsidR="002177F7" w:rsidRPr="00DA3785">
              <w:rPr>
                <w:color w:val="auto"/>
                <w:sz w:val="24"/>
                <w:szCs w:val="24"/>
              </w:rPr>
              <w:t xml:space="preserve"> ieviešanas kārtības likuma 32. panta otrās daļas 2. punktā paredzētos principus. Likumprojektā summa tiek noapaļota uz leju līdz veseliem desmitiem – attiecīgi 90 latu vietā</w:t>
            </w:r>
            <w:r w:rsidR="002177F7" w:rsidRPr="00DA3785">
              <w:rPr>
                <w:color w:val="000000" w:themeColor="text1"/>
                <w:sz w:val="24"/>
                <w:szCs w:val="24"/>
              </w:rPr>
              <w:t xml:space="preserve"> tiek noteikts 120 </w:t>
            </w:r>
            <w:r w:rsidR="002177F7" w:rsidRPr="00DA3785">
              <w:rPr>
                <w:i/>
                <w:color w:val="000000" w:themeColor="text1"/>
                <w:sz w:val="24"/>
                <w:szCs w:val="24"/>
              </w:rPr>
              <w:t>euro</w:t>
            </w:r>
            <w:r w:rsidR="002177F7" w:rsidRPr="00DA3785">
              <w:rPr>
                <w:color w:val="000000" w:themeColor="text1"/>
                <w:sz w:val="24"/>
                <w:szCs w:val="24"/>
              </w:rPr>
              <w:t xml:space="preserve">, 110 latu vietā 150 </w:t>
            </w:r>
            <w:r w:rsidR="002177F7" w:rsidRPr="00DA3785">
              <w:rPr>
                <w:i/>
                <w:color w:val="000000" w:themeColor="text1"/>
                <w:sz w:val="24"/>
                <w:szCs w:val="24"/>
              </w:rPr>
              <w:t>euro,</w:t>
            </w:r>
            <w:r w:rsidR="002177F7" w:rsidRPr="00DA3785">
              <w:rPr>
                <w:color w:val="000000" w:themeColor="text1"/>
                <w:sz w:val="24"/>
                <w:szCs w:val="24"/>
              </w:rPr>
              <w:t xml:space="preserve"> 130 latu vietā 180 </w:t>
            </w:r>
            <w:r w:rsidR="002177F7" w:rsidRPr="00DA3785">
              <w:rPr>
                <w:i/>
                <w:color w:val="000000" w:themeColor="text1"/>
                <w:sz w:val="24"/>
                <w:szCs w:val="24"/>
              </w:rPr>
              <w:t>euro</w:t>
            </w:r>
            <w:r w:rsidR="002177F7" w:rsidRPr="00DA3785">
              <w:rPr>
                <w:color w:val="000000" w:themeColor="text1"/>
                <w:sz w:val="24"/>
                <w:szCs w:val="24"/>
              </w:rPr>
              <w:t xml:space="preserve">, 150 latu vietā 210 </w:t>
            </w:r>
            <w:r w:rsidR="002177F7" w:rsidRPr="00DA3785">
              <w:rPr>
                <w:i/>
                <w:color w:val="000000" w:themeColor="text1"/>
                <w:sz w:val="24"/>
                <w:szCs w:val="24"/>
              </w:rPr>
              <w:t>euro</w:t>
            </w:r>
            <w:r w:rsidR="002177F7" w:rsidRPr="00DA3785">
              <w:rPr>
                <w:color w:val="000000" w:themeColor="text1"/>
                <w:sz w:val="24"/>
                <w:szCs w:val="24"/>
              </w:rPr>
              <w:t xml:space="preserve"> un 600 latu vietā 850 </w:t>
            </w:r>
            <w:r w:rsidR="002177F7" w:rsidRPr="00DA3785">
              <w:rPr>
                <w:i/>
                <w:color w:val="000000" w:themeColor="text1"/>
                <w:sz w:val="24"/>
                <w:szCs w:val="24"/>
              </w:rPr>
              <w:t>euro</w:t>
            </w:r>
            <w:r w:rsidR="002177F7" w:rsidRPr="00DA3785">
              <w:rPr>
                <w:color w:val="000000" w:themeColor="text1"/>
                <w:sz w:val="24"/>
                <w:szCs w:val="24"/>
              </w:rPr>
              <w:t xml:space="preserve">. </w:t>
            </w:r>
            <w:r w:rsidR="002177F7" w:rsidRPr="00DA3785">
              <w:rPr>
                <w:color w:val="auto"/>
                <w:sz w:val="24"/>
                <w:szCs w:val="24"/>
              </w:rPr>
              <w:t xml:space="preserve">Lai arī paredzētais </w:t>
            </w:r>
            <w:r w:rsidR="002177F7" w:rsidRPr="00DA3785">
              <w:rPr>
                <w:color w:val="auto"/>
                <w:sz w:val="24"/>
                <w:szCs w:val="24"/>
              </w:rPr>
              <w:lastRenderedPageBreak/>
              <w:t xml:space="preserve">drošības naudas apmērs </w:t>
            </w:r>
            <w:r w:rsidR="002177F7" w:rsidRPr="00DA3785">
              <w:rPr>
                <w:i/>
                <w:color w:val="auto"/>
                <w:sz w:val="24"/>
                <w:szCs w:val="24"/>
              </w:rPr>
              <w:t>euro</w:t>
            </w:r>
            <w:r w:rsidR="002177F7" w:rsidRPr="00DA3785">
              <w:rPr>
                <w:color w:val="auto"/>
                <w:sz w:val="24"/>
                <w:szCs w:val="24"/>
              </w:rPr>
              <w:t xml:space="preserve"> ir zemāks, tas tomēr</w:t>
            </w:r>
            <w:r w:rsidR="002177F7" w:rsidRPr="00DA3785">
              <w:rPr>
                <w:sz w:val="24"/>
                <w:szCs w:val="24"/>
              </w:rPr>
              <w:t xml:space="preserve"> </w:t>
            </w:r>
            <w:r w:rsidR="002177F7" w:rsidRPr="00DA3785">
              <w:rPr>
                <w:color w:val="000000" w:themeColor="text1"/>
                <w:sz w:val="24"/>
                <w:szCs w:val="24"/>
              </w:rPr>
              <w:t>nerada vērā ņemamu negatīvu ietekmi uz valsts budžetu.</w:t>
            </w:r>
            <w:r w:rsidR="007C7D92">
              <w:rPr>
                <w:sz w:val="24"/>
                <w:szCs w:val="24"/>
              </w:rPr>
              <w:t xml:space="preserve"> </w:t>
            </w:r>
            <w:r w:rsidR="007C7D92" w:rsidRPr="007C7D92">
              <w:rPr>
                <w:color w:val="auto"/>
                <w:sz w:val="24"/>
                <w:szCs w:val="24"/>
              </w:rPr>
              <w:t>Saskaņā ar Likuma 18.panta trešo daļu, ja kandidātu saraksta attiecīgās domes vēlēšanās ir ievēlēts kaut viens deputāts, drošības nauda atdodama iemaksātājiem; ja nav ievēlēts neviens, vēlēšanu komisija drošības naudu ieskaita attiecīgās pašvaldības budžetā.</w:t>
            </w:r>
            <w:r w:rsidR="007C7D92">
              <w:rPr>
                <w:color w:val="auto"/>
                <w:sz w:val="24"/>
                <w:szCs w:val="24"/>
              </w:rPr>
              <w:t xml:space="preserve"> </w:t>
            </w:r>
            <w:r w:rsidR="00972989" w:rsidRPr="007C7D92">
              <w:rPr>
                <w:color w:val="auto"/>
                <w:sz w:val="24"/>
                <w:szCs w:val="24"/>
              </w:rPr>
              <w:t>Likuma</w:t>
            </w:r>
            <w:r w:rsidR="00972989" w:rsidRPr="00DA3785">
              <w:rPr>
                <w:color w:val="auto"/>
                <w:sz w:val="24"/>
                <w:szCs w:val="24"/>
              </w:rPr>
              <w:t xml:space="preserve"> 18.panta pirmajā un otrajā daļā noteiktās drošības naudas par kandidātu sarakstu domes vēlēšanām mērķis nav valsts vai pašvaldību budžeta papildināšana. Šādas drošības naudas mērķis ir novērst pārāk liela skaita kandidātu sarakstu iesniegšanu vēlēšanām, kas varētu novest pie pārāk sadrumstalota pašvaldību domju politiskā sastāva. Bez tam, saskaņā ar Likuma 1.pantu pašvaldību domes ievēlē uz četriem gadiem. Tā kā pēdējās pašvaldību vēlēšanas notika 2013.gada jūnijā, tad nākamās pašvald</w:t>
            </w:r>
            <w:r w:rsidR="00105DD5" w:rsidRPr="00DA3785">
              <w:rPr>
                <w:color w:val="auto"/>
                <w:sz w:val="24"/>
                <w:szCs w:val="24"/>
              </w:rPr>
              <w:t>ību vēlēšanas notiks 2017.gadā un tuvāko trīs gadu laikā Likumā paredzētās drošības naudas apjoms neradīs nekādu ietekmi uz valsts vai pašvaldību budžetu.</w:t>
            </w:r>
          </w:p>
          <w:p w:rsidR="00296830" w:rsidRPr="00DA3785" w:rsidRDefault="00951161" w:rsidP="00DA3785">
            <w:pPr>
              <w:pStyle w:val="naiskr"/>
              <w:spacing w:before="0" w:after="0" w:line="40" w:lineRule="atLeast"/>
              <w:jc w:val="both"/>
              <w:rPr>
                <w:iCs/>
              </w:rPr>
            </w:pPr>
            <w:r w:rsidRPr="00DA3785">
              <w:rPr>
                <w:color w:val="000000" w:themeColor="text1"/>
              </w:rPr>
              <w:t xml:space="preserve">Grozītās tiesību normas </w:t>
            </w:r>
            <w:r w:rsidRPr="00DA3785">
              <w:rPr>
                <w:i/>
                <w:color w:val="000000" w:themeColor="text1"/>
              </w:rPr>
              <w:t xml:space="preserve">euro </w:t>
            </w:r>
            <w:r w:rsidRPr="00DA3785">
              <w:rPr>
                <w:color w:val="000000" w:themeColor="text1"/>
              </w:rPr>
              <w:t>valūtā nav personām nelabvēlīgākas par sākotnējo tiesību normu latos</w:t>
            </w:r>
            <w:r w:rsidR="002177F7" w:rsidRPr="00DA3785">
              <w:rPr>
                <w:color w:val="000000" w:themeColor="text1"/>
              </w:rPr>
              <w:t>.</w:t>
            </w:r>
            <w:r w:rsidRPr="00DA3785">
              <w:rPr>
                <w:color w:val="000000" w:themeColor="text1"/>
              </w:rPr>
              <w:t xml:space="preserve"> </w:t>
            </w:r>
          </w:p>
        </w:tc>
      </w:tr>
      <w:tr w:rsidR="00296830" w:rsidRPr="00DA3785" w:rsidTr="00E277D7">
        <w:trPr>
          <w:trHeight w:val="476"/>
        </w:trPr>
        <w:tc>
          <w:tcPr>
            <w:tcW w:w="550"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lastRenderedPageBreak/>
              <w:t>5.</w:t>
            </w:r>
          </w:p>
        </w:tc>
        <w:tc>
          <w:tcPr>
            <w:tcW w:w="431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Projekta izstrādē iesaistītās institūcijas</w:t>
            </w:r>
          </w:p>
        </w:tc>
        <w:tc>
          <w:tcPr>
            <w:tcW w:w="4779" w:type="dxa"/>
            <w:tcBorders>
              <w:top w:val="single" w:sz="4" w:space="0" w:color="auto"/>
              <w:left w:val="single" w:sz="4" w:space="0" w:color="auto"/>
              <w:bottom w:val="single" w:sz="4" w:space="0" w:color="auto"/>
              <w:right w:val="single" w:sz="4" w:space="0" w:color="auto"/>
            </w:tcBorders>
            <w:hideMark/>
          </w:tcPr>
          <w:p w:rsidR="00296830" w:rsidRPr="00DA3785" w:rsidRDefault="002177F7" w:rsidP="00DA3785">
            <w:pPr>
              <w:pStyle w:val="naiskr"/>
              <w:spacing w:before="0" w:after="0" w:line="40" w:lineRule="atLeast"/>
              <w:jc w:val="both"/>
            </w:pPr>
            <w:r w:rsidRPr="00DA3785">
              <w:t>Projekts šo jomu neskar</w:t>
            </w:r>
          </w:p>
        </w:tc>
      </w:tr>
      <w:tr w:rsidR="00296830" w:rsidRPr="00DA3785" w:rsidTr="00E277D7">
        <w:trPr>
          <w:trHeight w:val="1125"/>
        </w:trPr>
        <w:tc>
          <w:tcPr>
            <w:tcW w:w="550"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6.</w:t>
            </w:r>
          </w:p>
        </w:tc>
        <w:tc>
          <w:tcPr>
            <w:tcW w:w="431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rPr>
                <w:i/>
                <w:highlight w:val="yellow"/>
              </w:rPr>
            </w:pPr>
            <w:r w:rsidRPr="00DA3785">
              <w:t>Iemesli, kādēļ netika nodrošināta sabiedrības līdzdalība</w:t>
            </w:r>
          </w:p>
        </w:tc>
        <w:tc>
          <w:tcPr>
            <w:tcW w:w="4779" w:type="dxa"/>
            <w:tcBorders>
              <w:top w:val="single" w:sz="4" w:space="0" w:color="auto"/>
              <w:left w:val="single" w:sz="4" w:space="0" w:color="auto"/>
              <w:bottom w:val="single" w:sz="4" w:space="0" w:color="auto"/>
              <w:right w:val="single" w:sz="4" w:space="0" w:color="auto"/>
            </w:tcBorders>
            <w:hideMark/>
          </w:tcPr>
          <w:p w:rsidR="00296830" w:rsidRPr="00DA3785" w:rsidRDefault="00754DC5" w:rsidP="00DA3785">
            <w:pPr>
              <w:pStyle w:val="Vresteksts"/>
              <w:spacing w:line="40" w:lineRule="atLeast"/>
              <w:jc w:val="both"/>
              <w:rPr>
                <w:sz w:val="24"/>
                <w:szCs w:val="24"/>
              </w:rPr>
            </w:pPr>
            <w:r w:rsidRPr="00DA3785">
              <w:rPr>
                <w:sz w:val="24"/>
                <w:szCs w:val="24"/>
              </w:rPr>
              <w:t xml:space="preserve">Sabiedrības līdzdalība projekta izstrādē netika nodrošināta, jo projekts nemaina pastāvošo tiesisko regulējumu pēc būtības, bet tikai aizstāj latus ar </w:t>
            </w:r>
            <w:r w:rsidRPr="00DA3785">
              <w:rPr>
                <w:i/>
                <w:sz w:val="24"/>
                <w:szCs w:val="24"/>
              </w:rPr>
              <w:t>euro</w:t>
            </w:r>
            <w:r w:rsidRPr="00DA3785">
              <w:rPr>
                <w:sz w:val="24"/>
                <w:szCs w:val="24"/>
              </w:rPr>
              <w:t xml:space="preserve">, turklāt faktiski ir sabiedrībai labvēlīgāks, jo projekta izstrādē ir izmantots </w:t>
            </w:r>
            <w:r w:rsidRPr="00DA3785">
              <w:rPr>
                <w:i/>
                <w:color w:val="000000" w:themeColor="text1"/>
                <w:sz w:val="24"/>
                <w:szCs w:val="24"/>
              </w:rPr>
              <w:t xml:space="preserve">Euro </w:t>
            </w:r>
            <w:r w:rsidRPr="00DA3785">
              <w:rPr>
                <w:color w:val="000000" w:themeColor="text1"/>
                <w:sz w:val="24"/>
                <w:szCs w:val="24"/>
              </w:rPr>
              <w:t>ieviešanas kārtības likuma 32.panta otrās daļas 2.punkts, veicot naudas summu noapaļošanu par labu iedzīvotājiem.</w:t>
            </w:r>
          </w:p>
        </w:tc>
      </w:tr>
      <w:tr w:rsidR="00296830" w:rsidRPr="00DA3785" w:rsidTr="00E277D7">
        <w:tc>
          <w:tcPr>
            <w:tcW w:w="550"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7.</w:t>
            </w:r>
          </w:p>
        </w:tc>
        <w:tc>
          <w:tcPr>
            <w:tcW w:w="431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Cita informācija</w:t>
            </w:r>
          </w:p>
        </w:tc>
        <w:tc>
          <w:tcPr>
            <w:tcW w:w="4779" w:type="dxa"/>
            <w:tcBorders>
              <w:top w:val="single" w:sz="4" w:space="0" w:color="auto"/>
              <w:left w:val="single" w:sz="4" w:space="0" w:color="auto"/>
              <w:bottom w:val="single" w:sz="4" w:space="0" w:color="auto"/>
              <w:right w:val="single" w:sz="4" w:space="0" w:color="auto"/>
            </w:tcBorders>
            <w:hideMark/>
          </w:tcPr>
          <w:p w:rsidR="00AB059D" w:rsidRPr="00DA3785" w:rsidRDefault="00AB059D" w:rsidP="00DA3785">
            <w:pPr>
              <w:pStyle w:val="naiskr"/>
              <w:spacing w:before="0" w:after="0" w:line="40" w:lineRule="atLeast"/>
              <w:jc w:val="both"/>
            </w:pPr>
            <w:r w:rsidRPr="00DA3785">
              <w:t xml:space="preserve">Šis projekts ir virzāms izskatīšanai Saeimā vienotā ar </w:t>
            </w:r>
            <w:r w:rsidRPr="00DA3785">
              <w:rPr>
                <w:i/>
              </w:rPr>
              <w:t>euro</w:t>
            </w:r>
            <w:r w:rsidRPr="00DA3785">
              <w:t xml:space="preserve"> ieviešanu saistīto likumprojektu paketē.</w:t>
            </w:r>
          </w:p>
          <w:p w:rsidR="00296830" w:rsidRPr="00DA3785" w:rsidRDefault="00AB059D" w:rsidP="00DA3785">
            <w:pPr>
              <w:pStyle w:val="naiskr"/>
              <w:spacing w:before="0" w:after="0" w:line="40" w:lineRule="atLeast"/>
              <w:jc w:val="both"/>
            </w:pPr>
            <w:r w:rsidRPr="00DA3785">
              <w:t xml:space="preserve">Šim projektam ir jābūt apstiprinātam un publicētam oficiālajā izdevumā „Latvijas Vēstnesis” līdz </w:t>
            </w:r>
            <w:r w:rsidRPr="00DA3785">
              <w:rPr>
                <w:i/>
              </w:rPr>
              <w:t>euro</w:t>
            </w:r>
            <w:r w:rsidRPr="00DA3785">
              <w:t xml:space="preserve"> ieviešanas dienai.</w:t>
            </w:r>
          </w:p>
        </w:tc>
      </w:tr>
    </w:tbl>
    <w:p w:rsidR="00296830" w:rsidRPr="00DA3785" w:rsidRDefault="00296830" w:rsidP="00DA3785">
      <w:pPr>
        <w:pStyle w:val="naisf"/>
        <w:spacing w:before="0" w:after="0" w:line="40" w:lineRule="atLeast"/>
      </w:pPr>
    </w:p>
    <w:tbl>
      <w:tblPr>
        <w:tblpPr w:leftFromText="180" w:rightFromText="180" w:bottomFromText="20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4395"/>
        <w:gridCol w:w="4791"/>
      </w:tblGrid>
      <w:tr w:rsidR="00296830" w:rsidRPr="00DA3785" w:rsidTr="00296830">
        <w:tc>
          <w:tcPr>
            <w:tcW w:w="9758" w:type="dxa"/>
            <w:gridSpan w:val="3"/>
            <w:tcBorders>
              <w:top w:val="single" w:sz="4" w:space="0" w:color="auto"/>
              <w:left w:val="single" w:sz="4" w:space="0" w:color="auto"/>
              <w:bottom w:val="single" w:sz="4" w:space="0" w:color="auto"/>
              <w:right w:val="single" w:sz="4" w:space="0" w:color="auto"/>
            </w:tcBorders>
            <w:vAlign w:val="center"/>
            <w:hideMark/>
          </w:tcPr>
          <w:p w:rsidR="00296830" w:rsidRPr="00DA3785" w:rsidRDefault="00296830" w:rsidP="00DA3785">
            <w:pPr>
              <w:pStyle w:val="naisnod"/>
              <w:spacing w:before="0" w:after="0" w:line="40" w:lineRule="atLeast"/>
            </w:pPr>
            <w:r w:rsidRPr="00DA3785">
              <w:t>II. Tiesību akta projekta ietekme uz sabiedrību</w:t>
            </w:r>
          </w:p>
        </w:tc>
      </w:tr>
      <w:tr w:rsidR="00296830" w:rsidRPr="00DA3785" w:rsidTr="00296830">
        <w:trPr>
          <w:trHeight w:val="467"/>
        </w:trPr>
        <w:tc>
          <w:tcPr>
            <w:tcW w:w="572"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1.</w:t>
            </w:r>
          </w:p>
        </w:tc>
        <w:tc>
          <w:tcPr>
            <w:tcW w:w="439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Sabiedrības mērķgrupa</w:t>
            </w:r>
          </w:p>
        </w:tc>
        <w:tc>
          <w:tcPr>
            <w:tcW w:w="4791"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spacing w:line="40" w:lineRule="atLeast"/>
              <w:jc w:val="both"/>
            </w:pPr>
            <w:r w:rsidRPr="00DA3785">
              <w:rPr>
                <w:iCs/>
              </w:rPr>
              <w:t> </w:t>
            </w:r>
            <w:r w:rsidR="00521699" w:rsidRPr="00DA3785">
              <w:rPr>
                <w:iCs/>
              </w:rPr>
              <w:t>Reģistrētas politiskās partijas, reģistrētu politisko partiju reģistrētas apvienības un vēlētāju apvienības, kuras Centrālajā vēlēšanu komisijā iesniedz kandidātu sarakstus republikas pilsētas domes un novada domes vēlēšanām.</w:t>
            </w:r>
          </w:p>
        </w:tc>
      </w:tr>
      <w:tr w:rsidR="00296830" w:rsidRPr="00DA3785" w:rsidTr="00296830">
        <w:trPr>
          <w:trHeight w:val="523"/>
        </w:trPr>
        <w:tc>
          <w:tcPr>
            <w:tcW w:w="572"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lastRenderedPageBreak/>
              <w:t>2.</w:t>
            </w:r>
          </w:p>
        </w:tc>
        <w:tc>
          <w:tcPr>
            <w:tcW w:w="439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Citas sabiedrības grupas (bez mērķgrupas), kuras tiesiskais regulējums arī ietekmē vai varētu ietekmēt</w:t>
            </w:r>
          </w:p>
        </w:tc>
        <w:tc>
          <w:tcPr>
            <w:tcW w:w="4791" w:type="dxa"/>
            <w:tcBorders>
              <w:top w:val="single" w:sz="4" w:space="0" w:color="auto"/>
              <w:left w:val="single" w:sz="4" w:space="0" w:color="auto"/>
              <w:bottom w:val="single" w:sz="4" w:space="0" w:color="auto"/>
              <w:right w:val="single" w:sz="4" w:space="0" w:color="auto"/>
            </w:tcBorders>
            <w:hideMark/>
          </w:tcPr>
          <w:p w:rsidR="00296830" w:rsidRPr="00DA3785" w:rsidRDefault="002177F7" w:rsidP="00DA3785">
            <w:pPr>
              <w:pStyle w:val="naiskr"/>
              <w:spacing w:before="0" w:after="0" w:line="40" w:lineRule="atLeast"/>
            </w:pPr>
            <w:r w:rsidRPr="00DA3785">
              <w:t>Projekts šo jomu neskar</w:t>
            </w:r>
          </w:p>
        </w:tc>
      </w:tr>
      <w:tr w:rsidR="00296830" w:rsidRPr="00DA3785" w:rsidTr="00296830">
        <w:trPr>
          <w:trHeight w:val="517"/>
        </w:trPr>
        <w:tc>
          <w:tcPr>
            <w:tcW w:w="572"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3.</w:t>
            </w:r>
          </w:p>
        </w:tc>
        <w:tc>
          <w:tcPr>
            <w:tcW w:w="439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Tiesiskā regulējuma finansiālā ietekme</w:t>
            </w:r>
          </w:p>
        </w:tc>
        <w:tc>
          <w:tcPr>
            <w:tcW w:w="4791" w:type="dxa"/>
            <w:tcBorders>
              <w:top w:val="single" w:sz="4" w:space="0" w:color="auto"/>
              <w:left w:val="single" w:sz="4" w:space="0" w:color="auto"/>
              <w:bottom w:val="single" w:sz="4" w:space="0" w:color="auto"/>
              <w:right w:val="single" w:sz="4" w:space="0" w:color="auto"/>
            </w:tcBorders>
            <w:hideMark/>
          </w:tcPr>
          <w:p w:rsidR="00296830" w:rsidRPr="00DA3785" w:rsidRDefault="002177F7" w:rsidP="00DA3785">
            <w:pPr>
              <w:pStyle w:val="naiskr"/>
              <w:spacing w:before="0" w:after="0" w:line="40" w:lineRule="atLeast"/>
              <w:jc w:val="both"/>
              <w:rPr>
                <w:color w:val="000000" w:themeColor="text1"/>
              </w:rPr>
            </w:pPr>
            <w:r w:rsidRPr="00DA3785">
              <w:t>Projekts šo jomu neskar</w:t>
            </w:r>
          </w:p>
        </w:tc>
      </w:tr>
      <w:tr w:rsidR="00296830" w:rsidRPr="00DA3785" w:rsidTr="00296830">
        <w:trPr>
          <w:trHeight w:val="517"/>
        </w:trPr>
        <w:tc>
          <w:tcPr>
            <w:tcW w:w="572"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4.</w:t>
            </w:r>
          </w:p>
        </w:tc>
        <w:tc>
          <w:tcPr>
            <w:tcW w:w="439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Tiesiskā regulējuma nefinansiālā ietekme</w:t>
            </w:r>
          </w:p>
        </w:tc>
        <w:tc>
          <w:tcPr>
            <w:tcW w:w="4791" w:type="dxa"/>
            <w:tcBorders>
              <w:top w:val="single" w:sz="4" w:space="0" w:color="auto"/>
              <w:left w:val="single" w:sz="4" w:space="0" w:color="auto"/>
              <w:bottom w:val="single" w:sz="4" w:space="0" w:color="auto"/>
              <w:right w:val="single" w:sz="4" w:space="0" w:color="auto"/>
            </w:tcBorders>
            <w:hideMark/>
          </w:tcPr>
          <w:p w:rsidR="00296830" w:rsidRPr="00DA3785" w:rsidRDefault="002177F7" w:rsidP="00DA3785">
            <w:pPr>
              <w:pStyle w:val="naiskr"/>
              <w:spacing w:before="0" w:after="0" w:line="40" w:lineRule="atLeast"/>
              <w:jc w:val="both"/>
            </w:pPr>
            <w:r w:rsidRPr="00DA3785">
              <w:t>Projekts šo jomu neskar</w:t>
            </w:r>
          </w:p>
        </w:tc>
      </w:tr>
      <w:tr w:rsidR="00296830" w:rsidRPr="00DA3785" w:rsidTr="00296830">
        <w:trPr>
          <w:trHeight w:val="531"/>
        </w:trPr>
        <w:tc>
          <w:tcPr>
            <w:tcW w:w="572"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5.</w:t>
            </w:r>
          </w:p>
        </w:tc>
        <w:tc>
          <w:tcPr>
            <w:tcW w:w="439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Administratīvās procedūras raksturojums</w:t>
            </w:r>
          </w:p>
        </w:tc>
        <w:tc>
          <w:tcPr>
            <w:tcW w:w="4791" w:type="dxa"/>
            <w:tcBorders>
              <w:top w:val="single" w:sz="4" w:space="0" w:color="auto"/>
              <w:left w:val="single" w:sz="4" w:space="0" w:color="auto"/>
              <w:bottom w:val="single" w:sz="4" w:space="0" w:color="auto"/>
              <w:right w:val="single" w:sz="4" w:space="0" w:color="auto"/>
            </w:tcBorders>
            <w:hideMark/>
          </w:tcPr>
          <w:p w:rsidR="00296830" w:rsidRPr="00DA3785" w:rsidRDefault="002177F7" w:rsidP="00DA3785">
            <w:pPr>
              <w:pStyle w:val="naiskr"/>
              <w:spacing w:before="0" w:after="0" w:line="40" w:lineRule="atLeast"/>
            </w:pPr>
            <w:r w:rsidRPr="00DA3785">
              <w:t>Projekts šo jomu neskar</w:t>
            </w:r>
          </w:p>
        </w:tc>
      </w:tr>
      <w:tr w:rsidR="00296830" w:rsidRPr="00DA3785" w:rsidTr="00296830">
        <w:trPr>
          <w:trHeight w:val="357"/>
        </w:trPr>
        <w:tc>
          <w:tcPr>
            <w:tcW w:w="572"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6.</w:t>
            </w:r>
          </w:p>
        </w:tc>
        <w:tc>
          <w:tcPr>
            <w:tcW w:w="439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Administratīvo izmaksu monetārs novērtējums</w:t>
            </w:r>
          </w:p>
        </w:tc>
        <w:tc>
          <w:tcPr>
            <w:tcW w:w="4791" w:type="dxa"/>
            <w:tcBorders>
              <w:top w:val="single" w:sz="4" w:space="0" w:color="auto"/>
              <w:left w:val="single" w:sz="4" w:space="0" w:color="auto"/>
              <w:bottom w:val="single" w:sz="4" w:space="0" w:color="auto"/>
              <w:right w:val="single" w:sz="4" w:space="0" w:color="auto"/>
            </w:tcBorders>
            <w:hideMark/>
          </w:tcPr>
          <w:p w:rsidR="00296830" w:rsidRPr="00DA3785" w:rsidRDefault="002177F7" w:rsidP="00DA3785">
            <w:pPr>
              <w:pStyle w:val="naiskr"/>
              <w:spacing w:before="0" w:after="0" w:line="40" w:lineRule="atLeast"/>
            </w:pPr>
            <w:r w:rsidRPr="00DA3785">
              <w:t>Projekts šo jomu neskar</w:t>
            </w:r>
          </w:p>
        </w:tc>
      </w:tr>
      <w:tr w:rsidR="00296830" w:rsidRPr="00DA3785" w:rsidTr="00296830">
        <w:tc>
          <w:tcPr>
            <w:tcW w:w="572"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7.</w:t>
            </w:r>
          </w:p>
        </w:tc>
        <w:tc>
          <w:tcPr>
            <w:tcW w:w="4395" w:type="dxa"/>
            <w:tcBorders>
              <w:top w:val="single" w:sz="4" w:space="0" w:color="auto"/>
              <w:left w:val="single" w:sz="4" w:space="0" w:color="auto"/>
              <w:bottom w:val="single" w:sz="4" w:space="0" w:color="auto"/>
              <w:right w:val="single" w:sz="4" w:space="0" w:color="auto"/>
            </w:tcBorders>
            <w:hideMark/>
          </w:tcPr>
          <w:p w:rsidR="00296830" w:rsidRPr="00DA3785" w:rsidRDefault="00296830" w:rsidP="00DA3785">
            <w:pPr>
              <w:pStyle w:val="naiskr"/>
              <w:spacing w:before="0" w:after="0" w:line="40" w:lineRule="atLeast"/>
            </w:pPr>
            <w:r w:rsidRPr="00DA3785">
              <w:t>Cita informācija</w:t>
            </w:r>
          </w:p>
        </w:tc>
        <w:tc>
          <w:tcPr>
            <w:tcW w:w="4791" w:type="dxa"/>
            <w:tcBorders>
              <w:top w:val="single" w:sz="4" w:space="0" w:color="auto"/>
              <w:left w:val="single" w:sz="4" w:space="0" w:color="auto"/>
              <w:bottom w:val="single" w:sz="4" w:space="0" w:color="auto"/>
              <w:right w:val="single" w:sz="4" w:space="0" w:color="auto"/>
            </w:tcBorders>
            <w:hideMark/>
          </w:tcPr>
          <w:p w:rsidR="00296830" w:rsidRPr="00DA3785" w:rsidRDefault="002177F7" w:rsidP="00DA3785">
            <w:pPr>
              <w:pStyle w:val="naiskr"/>
              <w:spacing w:before="0" w:after="0" w:line="40" w:lineRule="atLeast"/>
            </w:pPr>
            <w:r w:rsidRPr="00DA3785">
              <w:t>Projekts šo jomu neskar</w:t>
            </w:r>
          </w:p>
        </w:tc>
      </w:tr>
    </w:tbl>
    <w:tbl>
      <w:tblPr>
        <w:tblW w:w="9935"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331"/>
        <w:gridCol w:w="1354"/>
        <w:gridCol w:w="1354"/>
        <w:gridCol w:w="1355"/>
        <w:gridCol w:w="1406"/>
      </w:tblGrid>
      <w:tr w:rsidR="00463227" w:rsidRPr="00DA3785" w:rsidTr="007C7D92">
        <w:trPr>
          <w:trHeight w:val="361"/>
          <w:jc w:val="center"/>
        </w:trPr>
        <w:tc>
          <w:tcPr>
            <w:tcW w:w="9935" w:type="dxa"/>
            <w:gridSpan w:val="6"/>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pStyle w:val="naisnod"/>
              <w:spacing w:before="0" w:after="0" w:line="40" w:lineRule="atLeast"/>
              <w:rPr>
                <w:i/>
              </w:rPr>
            </w:pPr>
            <w:r w:rsidRPr="00DA3785">
              <w:br w:type="page"/>
              <w:t>III. Tiesību akta projekta ietekme uz valsts budžetu un pašvaldību budžetiem</w:t>
            </w:r>
          </w:p>
        </w:tc>
      </w:tr>
      <w:tr w:rsidR="00463227" w:rsidRPr="00DA3785" w:rsidTr="00F57665">
        <w:trPr>
          <w:jc w:val="center"/>
        </w:trPr>
        <w:tc>
          <w:tcPr>
            <w:tcW w:w="3135" w:type="dxa"/>
            <w:vMerge w:val="restart"/>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rPr>
            </w:pPr>
            <w:r w:rsidRPr="00DA3785">
              <w:rPr>
                <w:b/>
              </w:rPr>
              <w:t>Rādītāji</w:t>
            </w:r>
          </w:p>
        </w:tc>
        <w:tc>
          <w:tcPr>
            <w:tcW w:w="2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rPr>
            </w:pPr>
            <w:r w:rsidRPr="00DA3785">
              <w:rPr>
                <w:b/>
              </w:rPr>
              <w:t>n-tais gads</w:t>
            </w:r>
          </w:p>
        </w:tc>
        <w:tc>
          <w:tcPr>
            <w:tcW w:w="4115" w:type="dxa"/>
            <w:gridSpan w:val="3"/>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t>Turpmākie trīs gadi (tūkst</w:t>
            </w:r>
            <w:smartTag w:uri="schemas-tilde-lv/tildestengine" w:element="currency2">
              <w:smartTagPr>
                <w:attr w:name="currency_id" w:val="48"/>
                <w:attr w:name="currency_key" w:val="LVL"/>
                <w:attr w:name="currency_value" w:val="."/>
                <w:attr w:name="currency_text" w:val="latu"/>
              </w:smartTagPr>
              <w:r w:rsidRPr="00DA3785">
                <w:t>. latu</w:t>
              </w:r>
            </w:smartTag>
            <w:r w:rsidRPr="00DA3785">
              <w:t>)</w:t>
            </w:r>
          </w:p>
        </w:tc>
      </w:tr>
      <w:tr w:rsidR="00463227" w:rsidRPr="00DA3785" w:rsidTr="00F57665">
        <w:trPr>
          <w:jc w:val="center"/>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b/>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rPr>
                <w:b/>
                <w:bCs/>
              </w:rPr>
              <w:t>n+1</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rPr>
                <w:b/>
                <w:bCs/>
              </w:rPr>
              <w:t>n+2</w:t>
            </w:r>
          </w:p>
        </w:tc>
        <w:tc>
          <w:tcPr>
            <w:tcW w:w="1406"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rPr>
                <w:b/>
                <w:bCs/>
              </w:rPr>
              <w:t>n+3</w:t>
            </w:r>
          </w:p>
        </w:tc>
      </w:tr>
      <w:tr w:rsidR="00463227" w:rsidRPr="00DA3785" w:rsidTr="00F57665">
        <w:trPr>
          <w:jc w:val="center"/>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b/>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t>Izmaiņas, salīdzinot ar kārtējo (n) gadu</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t>Izmaiņas, salīdzinot ar kārtējo (n) gadu</w:t>
            </w:r>
          </w:p>
        </w:tc>
        <w:tc>
          <w:tcPr>
            <w:tcW w:w="1406"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
                <w:i/>
              </w:rPr>
            </w:pPr>
            <w:r w:rsidRPr="00DA3785">
              <w:t>Izmaiņas, salīdzinot ar kārtējo (n) gadu</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Cs/>
              </w:rPr>
            </w:pPr>
            <w:r w:rsidRPr="00DA3785">
              <w:rPr>
                <w:bC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Cs/>
              </w:rPr>
            </w:pPr>
            <w:r w:rsidRPr="00DA3785">
              <w:rPr>
                <w:bCs/>
              </w:rPr>
              <w:t>2</w:t>
            </w:r>
          </w:p>
        </w:tc>
        <w:tc>
          <w:tcPr>
            <w:tcW w:w="1354"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Cs/>
              </w:rPr>
            </w:pPr>
            <w:r w:rsidRPr="00DA3785">
              <w:rPr>
                <w:bCs/>
              </w:rPr>
              <w:t>3</w:t>
            </w:r>
          </w:p>
        </w:tc>
        <w:tc>
          <w:tcPr>
            <w:tcW w:w="1354"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Cs/>
              </w:rPr>
            </w:pPr>
            <w:r w:rsidRPr="00DA3785">
              <w:rPr>
                <w:bC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Cs/>
              </w:rPr>
            </w:pPr>
            <w:r w:rsidRPr="00DA3785">
              <w:rPr>
                <w:bCs/>
              </w:rPr>
              <w:t>5</w:t>
            </w:r>
          </w:p>
        </w:tc>
        <w:tc>
          <w:tcPr>
            <w:tcW w:w="1406" w:type="dxa"/>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pStyle w:val="naisf"/>
              <w:spacing w:before="0" w:after="0" w:line="40" w:lineRule="atLeast"/>
              <w:ind w:firstLine="0"/>
              <w:jc w:val="center"/>
              <w:rPr>
                <w:bCs/>
              </w:rPr>
            </w:pPr>
            <w:r w:rsidRPr="00DA3785">
              <w:rPr>
                <w:bCs/>
              </w:rPr>
              <w:t>6</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pStyle w:val="naisf"/>
              <w:spacing w:before="0" w:after="0" w:line="40" w:lineRule="atLeast"/>
              <w:ind w:firstLine="0"/>
              <w:rPr>
                <w:i/>
              </w:rPr>
            </w:pPr>
            <w:r w:rsidRPr="00DA3785">
              <w:t>1. Budžeta ieņēmumi:</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pStyle w:val="naisf"/>
              <w:spacing w:before="0" w:after="0" w:line="40" w:lineRule="atLeast"/>
              <w:ind w:firstLine="0"/>
              <w:rPr>
                <w:i/>
              </w:rPr>
            </w:pPr>
            <w:r w:rsidRPr="00DA3785">
              <w:t>1.1. valsts pamatbudžets, tai skaitā ieņēmumi no maksas pakalpo-jumiem un citi pašu ieņēmumi</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pStyle w:val="naisf"/>
              <w:spacing w:before="0" w:after="0" w:line="40" w:lineRule="atLeast"/>
              <w:ind w:firstLine="0"/>
              <w:rPr>
                <w:i/>
              </w:rPr>
            </w:pPr>
            <w:r w:rsidRPr="00DA3785">
              <w:t>1.2. valsts speciālais budžets</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pStyle w:val="naisf"/>
              <w:spacing w:before="0" w:after="0" w:line="40" w:lineRule="atLeast"/>
              <w:ind w:firstLine="0"/>
              <w:rPr>
                <w:i/>
              </w:rPr>
            </w:pPr>
            <w:r w:rsidRPr="00DA3785">
              <w:t>1.3. pašvaldību budžets</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2. Budžeta izdevumi:</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2.1. valsts pamatbudžets</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2.2. valsts speciālais budžets</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 xml:space="preserve">2.3. pašvaldību budžets </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3. Finansiālā ietekme:</w:t>
            </w:r>
          </w:p>
        </w:tc>
        <w:tc>
          <w:tcPr>
            <w:tcW w:w="1331" w:type="dxa"/>
            <w:tcBorders>
              <w:top w:val="single" w:sz="4" w:space="0" w:color="auto"/>
              <w:left w:val="single" w:sz="4" w:space="0" w:color="auto"/>
              <w:bottom w:val="single" w:sz="4" w:space="0" w:color="auto"/>
              <w:right w:val="single" w:sz="4" w:space="0" w:color="auto"/>
            </w:tcBorders>
            <w:vAlign w:val="center"/>
          </w:tcPr>
          <w:p w:rsidR="00463227" w:rsidRPr="00DA3785" w:rsidRDefault="0047720E" w:rsidP="00DA3785">
            <w:pPr>
              <w:pStyle w:val="naisf"/>
              <w:spacing w:before="0" w:after="0" w:line="40" w:lineRule="atLeast"/>
              <w:ind w:firstLine="0"/>
              <w:jc w:val="left"/>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3.1. valsts pamatbudžets</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i/>
              </w:rPr>
            </w:pPr>
            <w:r w:rsidRPr="00DA3785">
              <w:rPr>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3.2. speciālais budžets</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i/>
              </w:rPr>
            </w:pPr>
            <w:r w:rsidRPr="00DA3785">
              <w:rPr>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 xml:space="preserve">3.3. pašvaldību budžets </w:t>
            </w:r>
          </w:p>
        </w:tc>
        <w:tc>
          <w:tcPr>
            <w:tcW w:w="1331"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i/>
              </w:rPr>
            </w:pPr>
            <w:r w:rsidRPr="00DA3785">
              <w:rPr>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vMerge w:val="restart"/>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4. Finanšu līdzekļi papildu izde</w:t>
            </w:r>
            <w:r w:rsidRPr="00DA3785">
              <w:softHyphen/>
              <w:t>vumu finansēšanai (kompensējošu izdevumu samazinājumu norāda ar "+" zīmi)</w:t>
            </w:r>
          </w:p>
        </w:tc>
        <w:tc>
          <w:tcPr>
            <w:tcW w:w="1331" w:type="dxa"/>
            <w:vMerge w:val="restart"/>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pStyle w:val="naisf"/>
              <w:spacing w:before="0" w:after="0" w:line="40" w:lineRule="atLeast"/>
              <w:ind w:firstLine="0"/>
              <w:jc w:val="center"/>
              <w:rPr>
                <w:i/>
              </w:rPr>
            </w:pPr>
            <w:r w:rsidRPr="00DA3785">
              <w:t>X</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r>
      <w:tr w:rsidR="00463227" w:rsidRPr="00DA3785" w:rsidTr="00F57665">
        <w:trPr>
          <w:jc w:val="center"/>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i/>
              </w:rPr>
            </w:pP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r>
      <w:tr w:rsidR="00463227" w:rsidRPr="00DA3785" w:rsidTr="00F57665">
        <w:trPr>
          <w:jc w:val="center"/>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i/>
              </w:rPr>
            </w:pP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jc w:val="left"/>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5. Precizēta finansiālā ietekme:</w:t>
            </w:r>
          </w:p>
        </w:tc>
        <w:tc>
          <w:tcPr>
            <w:tcW w:w="1331" w:type="dxa"/>
            <w:vMerge w:val="restart"/>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pStyle w:val="naisf"/>
              <w:spacing w:before="0" w:after="0" w:line="40" w:lineRule="atLeast"/>
              <w:ind w:firstLine="0"/>
              <w:jc w:val="center"/>
              <w:rPr>
                <w:i/>
              </w:rPr>
            </w:pPr>
            <w:r w:rsidRPr="00DA3785">
              <w:t>X</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i/>
              </w:rPr>
            </w:pP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i/>
              </w:rPr>
            </w:pP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i/>
              </w:rPr>
            </w:pP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4"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355"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c>
          <w:tcPr>
            <w:tcW w:w="1406" w:type="dxa"/>
            <w:tcBorders>
              <w:top w:val="single" w:sz="4" w:space="0" w:color="auto"/>
              <w:left w:val="single" w:sz="4" w:space="0" w:color="auto"/>
              <w:bottom w:val="single" w:sz="4" w:space="0" w:color="auto"/>
              <w:right w:val="single" w:sz="4" w:space="0" w:color="auto"/>
            </w:tcBorders>
          </w:tcPr>
          <w:p w:rsidR="00463227" w:rsidRPr="00DA3785" w:rsidRDefault="0047720E" w:rsidP="00DA3785">
            <w:pPr>
              <w:pStyle w:val="naisf"/>
              <w:spacing w:before="0" w:after="0" w:line="40" w:lineRule="atLeast"/>
              <w:ind w:firstLine="0"/>
              <w:rPr>
                <w:b/>
                <w:i/>
              </w:rPr>
            </w:pPr>
            <w:r w:rsidRPr="00DA3785">
              <w:rPr>
                <w:b/>
                <w:i/>
              </w:rPr>
              <w:t>0</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lastRenderedPageBreak/>
              <w:t>6. Detalizēts ieņēmumu un izdevu</w:t>
            </w:r>
            <w:r w:rsidRPr="00DA3785">
              <w:softHyphen/>
              <w:t>mu aprēķins (ja nepieciešams, detalizētu ieņēmumu un izdevumu aprēķinu var pievienot anotācijas pielikumā):</w:t>
            </w:r>
          </w:p>
        </w:tc>
        <w:tc>
          <w:tcPr>
            <w:tcW w:w="6800" w:type="dxa"/>
            <w:gridSpan w:val="5"/>
            <w:vMerge w:val="restart"/>
            <w:tcBorders>
              <w:top w:val="single" w:sz="4" w:space="0" w:color="auto"/>
              <w:left w:val="single" w:sz="4" w:space="0" w:color="auto"/>
              <w:bottom w:val="single" w:sz="4" w:space="0" w:color="auto"/>
              <w:right w:val="single" w:sz="4" w:space="0" w:color="auto"/>
            </w:tcBorders>
            <w:vAlign w:val="center"/>
          </w:tcPr>
          <w:p w:rsidR="00463227" w:rsidRPr="00AC6EA1" w:rsidRDefault="00AC6EA1" w:rsidP="00DA3785">
            <w:pPr>
              <w:pStyle w:val="naisf"/>
              <w:spacing w:before="0" w:after="0" w:line="40" w:lineRule="atLeast"/>
              <w:ind w:firstLine="0"/>
            </w:pPr>
            <w:r>
              <w:t>Projekts šo jomu neskar</w:t>
            </w: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b/>
                <w:i/>
              </w:rPr>
            </w:pPr>
          </w:p>
        </w:tc>
      </w:tr>
      <w:tr w:rsidR="00463227" w:rsidRPr="00DA3785" w:rsidTr="00C5409B">
        <w:trPr>
          <w:trHeight w:val="435"/>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63227" w:rsidRPr="00DA3785" w:rsidRDefault="00463227" w:rsidP="00DA3785">
            <w:pPr>
              <w:spacing w:line="40" w:lineRule="atLeast"/>
              <w:rPr>
                <w:b/>
                <w:i/>
              </w:rPr>
            </w:pPr>
          </w:p>
        </w:tc>
      </w:tr>
      <w:tr w:rsidR="00463227" w:rsidRPr="00DA3785" w:rsidTr="00F57665">
        <w:trPr>
          <w:jc w:val="center"/>
        </w:trPr>
        <w:tc>
          <w:tcPr>
            <w:tcW w:w="3135" w:type="dxa"/>
            <w:tcBorders>
              <w:top w:val="single" w:sz="4" w:space="0" w:color="auto"/>
              <w:left w:val="single" w:sz="4" w:space="0" w:color="auto"/>
              <w:bottom w:val="single" w:sz="4" w:space="0" w:color="auto"/>
              <w:right w:val="single" w:sz="4" w:space="0" w:color="auto"/>
            </w:tcBorders>
            <w:hideMark/>
          </w:tcPr>
          <w:p w:rsidR="00463227" w:rsidRPr="00DA3785" w:rsidRDefault="00463227" w:rsidP="00DA3785">
            <w:pPr>
              <w:spacing w:line="40" w:lineRule="atLeast"/>
              <w:jc w:val="both"/>
            </w:pPr>
            <w:r w:rsidRPr="00DA3785">
              <w:t>7. Cita informācija</w:t>
            </w:r>
          </w:p>
        </w:tc>
        <w:tc>
          <w:tcPr>
            <w:tcW w:w="6800" w:type="dxa"/>
            <w:gridSpan w:val="5"/>
            <w:tcBorders>
              <w:top w:val="single" w:sz="4" w:space="0" w:color="auto"/>
              <w:left w:val="single" w:sz="4" w:space="0" w:color="auto"/>
              <w:bottom w:val="single" w:sz="4" w:space="0" w:color="auto"/>
              <w:right w:val="single" w:sz="4" w:space="0" w:color="auto"/>
            </w:tcBorders>
            <w:hideMark/>
          </w:tcPr>
          <w:p w:rsidR="00105DD5" w:rsidRPr="00DA3785" w:rsidRDefault="00583707" w:rsidP="00DA3785">
            <w:pPr>
              <w:pStyle w:val="tv2131"/>
              <w:spacing w:line="40" w:lineRule="atLeast"/>
              <w:ind w:firstLine="0"/>
              <w:jc w:val="both"/>
              <w:rPr>
                <w:color w:val="auto"/>
                <w:sz w:val="24"/>
                <w:szCs w:val="24"/>
              </w:rPr>
            </w:pPr>
            <w:r w:rsidRPr="00DA3785">
              <w:rPr>
                <w:color w:val="auto"/>
                <w:sz w:val="24"/>
                <w:szCs w:val="24"/>
              </w:rPr>
              <w:t xml:space="preserve">Ievērojot </w:t>
            </w:r>
            <w:r w:rsidRPr="00DA3785">
              <w:rPr>
                <w:i/>
                <w:color w:val="auto"/>
                <w:sz w:val="24"/>
                <w:szCs w:val="24"/>
              </w:rPr>
              <w:t>Euro</w:t>
            </w:r>
            <w:r w:rsidRPr="00DA3785">
              <w:rPr>
                <w:color w:val="auto"/>
                <w:sz w:val="24"/>
                <w:szCs w:val="24"/>
              </w:rPr>
              <w:t xml:space="preserve"> ieviešanas kārtības likuma 32. panta otrās daļas 2. punktā paredzētos principus, Likumprojektā summa tiek noapaļota uz leju līdz veseliem desmitiem.</w:t>
            </w:r>
            <w:r w:rsidRPr="00DA3785">
              <w:rPr>
                <w:iCs/>
                <w:color w:val="auto"/>
                <w:sz w:val="24"/>
                <w:szCs w:val="24"/>
              </w:rPr>
              <w:t xml:space="preserve"> </w:t>
            </w:r>
            <w:r w:rsidR="003544AC" w:rsidRPr="00DA3785">
              <w:rPr>
                <w:iCs/>
                <w:color w:val="auto"/>
                <w:sz w:val="24"/>
                <w:szCs w:val="24"/>
              </w:rPr>
              <w:t xml:space="preserve">Konkrētajā gadījumā ieņēmumi no </w:t>
            </w:r>
            <w:r w:rsidRPr="00DA3785">
              <w:rPr>
                <w:iCs/>
                <w:color w:val="auto"/>
                <w:sz w:val="24"/>
                <w:szCs w:val="24"/>
              </w:rPr>
              <w:t xml:space="preserve">Likumā paredzētās drošības naudas </w:t>
            </w:r>
            <w:r w:rsidR="003544AC" w:rsidRPr="00DA3785">
              <w:rPr>
                <w:iCs/>
                <w:color w:val="auto"/>
                <w:sz w:val="24"/>
                <w:szCs w:val="24"/>
              </w:rPr>
              <w:t xml:space="preserve">netiek plānoti vidēja termiņa budžeta ietvara likumā un gadskārtējā valsts budžeta likumā. </w:t>
            </w:r>
            <w:r w:rsidR="00381C34" w:rsidRPr="00DA3785">
              <w:rPr>
                <w:color w:val="auto"/>
                <w:sz w:val="24"/>
                <w:szCs w:val="24"/>
              </w:rPr>
              <w:t>N</w:t>
            </w:r>
            <w:r w:rsidR="004A377A" w:rsidRPr="00DA3785">
              <w:rPr>
                <w:color w:val="auto"/>
                <w:sz w:val="24"/>
                <w:szCs w:val="24"/>
              </w:rPr>
              <w:t>ākamās pašvaldību vēlēšanas notiks 2017.gadā un tuvāko trīs gadu laikā Likumā paredzētās drošības naudas apjoms neradīs nekādu ietekmi uz valsts vai pašvaldību budžetu.</w:t>
            </w:r>
          </w:p>
        </w:tc>
      </w:tr>
    </w:tbl>
    <w:p w:rsidR="00283147" w:rsidRPr="00DA3785" w:rsidRDefault="00283147" w:rsidP="00DA3785">
      <w:pPr>
        <w:pStyle w:val="naiskr"/>
        <w:tabs>
          <w:tab w:val="left" w:pos="2628"/>
        </w:tabs>
        <w:spacing w:before="0" w:after="0" w:line="40" w:lineRule="atLeast"/>
      </w:pPr>
    </w:p>
    <w:tbl>
      <w:tblPr>
        <w:tblpPr w:leftFromText="180" w:rightFromText="180" w:vertAnchor="text" w:horzAnchor="margin" w:tblpXSpec="center" w:tblpY="149"/>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5"/>
      </w:tblGrid>
      <w:tr w:rsidR="00283147" w:rsidRPr="00DA3785" w:rsidTr="00283147">
        <w:trPr>
          <w:trHeight w:val="287"/>
        </w:trPr>
        <w:tc>
          <w:tcPr>
            <w:tcW w:w="9775" w:type="dxa"/>
            <w:vAlign w:val="center"/>
          </w:tcPr>
          <w:p w:rsidR="00283147" w:rsidRPr="00DA3785" w:rsidRDefault="00283147" w:rsidP="00DA3785">
            <w:pPr>
              <w:pStyle w:val="naisnod"/>
              <w:spacing w:before="0" w:after="0" w:line="40" w:lineRule="atLeast"/>
            </w:pPr>
            <w:r w:rsidRPr="00DA3785">
              <w:t>IV. Tiesību akta projekta ietekme uz spēkā esošo tiesību normu sistēmu</w:t>
            </w:r>
          </w:p>
        </w:tc>
      </w:tr>
      <w:tr w:rsidR="00283147" w:rsidRPr="00DA3785" w:rsidTr="00DD1759">
        <w:trPr>
          <w:trHeight w:val="252"/>
        </w:trPr>
        <w:tc>
          <w:tcPr>
            <w:tcW w:w="9775" w:type="dxa"/>
          </w:tcPr>
          <w:p w:rsidR="00283147" w:rsidRPr="00DA3785" w:rsidRDefault="00283147" w:rsidP="002F660E">
            <w:pPr>
              <w:pStyle w:val="naiskr"/>
              <w:spacing w:before="0" w:after="0" w:line="40" w:lineRule="atLeast"/>
              <w:ind w:right="114" w:firstLine="572"/>
              <w:jc w:val="center"/>
            </w:pPr>
            <w:r w:rsidRPr="00DA3785">
              <w:t>Projekts šo jomu neskar</w:t>
            </w:r>
          </w:p>
        </w:tc>
      </w:tr>
    </w:tbl>
    <w:p w:rsidR="00283147" w:rsidRPr="00DA3785" w:rsidRDefault="00283147" w:rsidP="00DA3785">
      <w:pPr>
        <w:pStyle w:val="naiskr"/>
        <w:tabs>
          <w:tab w:val="left" w:pos="2628"/>
        </w:tabs>
        <w:spacing w:before="0" w:after="0" w:line="40" w:lineRule="atLeast"/>
      </w:pPr>
    </w:p>
    <w:tbl>
      <w:tblPr>
        <w:tblpPr w:leftFromText="180" w:rightFromText="180" w:vertAnchor="text" w:horzAnchor="margin" w:tblpXSpec="center" w:tblpY="149"/>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5"/>
      </w:tblGrid>
      <w:tr w:rsidR="00283147" w:rsidRPr="00DA3785" w:rsidTr="00283147">
        <w:trPr>
          <w:trHeight w:val="287"/>
        </w:trPr>
        <w:tc>
          <w:tcPr>
            <w:tcW w:w="9775" w:type="dxa"/>
            <w:vAlign w:val="center"/>
          </w:tcPr>
          <w:p w:rsidR="00283147" w:rsidRPr="00DA3785" w:rsidRDefault="00283147" w:rsidP="00DA3785">
            <w:pPr>
              <w:pStyle w:val="naisnod"/>
              <w:spacing w:before="0" w:after="0" w:line="40" w:lineRule="atLeast"/>
            </w:pPr>
            <w:r w:rsidRPr="00DA3785">
              <w:t>V. Tiesību akta projekta atbilstība Latvijas Republikas starptautiskajām saistībām</w:t>
            </w:r>
          </w:p>
        </w:tc>
      </w:tr>
      <w:tr w:rsidR="00283147" w:rsidRPr="00DA3785" w:rsidTr="00DD1759">
        <w:trPr>
          <w:trHeight w:val="256"/>
        </w:trPr>
        <w:tc>
          <w:tcPr>
            <w:tcW w:w="9775" w:type="dxa"/>
          </w:tcPr>
          <w:p w:rsidR="00283147" w:rsidRPr="00DA3785" w:rsidRDefault="00283147" w:rsidP="002F660E">
            <w:pPr>
              <w:pStyle w:val="naiskr"/>
              <w:spacing w:before="0" w:after="0" w:line="40" w:lineRule="atLeast"/>
              <w:ind w:right="114" w:firstLine="572"/>
              <w:jc w:val="center"/>
            </w:pPr>
            <w:r w:rsidRPr="00DA3785">
              <w:t>Projekts šo jomu neskar</w:t>
            </w:r>
          </w:p>
        </w:tc>
      </w:tr>
    </w:tbl>
    <w:p w:rsidR="00283147" w:rsidRPr="00DA3785" w:rsidRDefault="00283147" w:rsidP="00DA3785">
      <w:pPr>
        <w:pStyle w:val="naiskr"/>
        <w:tabs>
          <w:tab w:val="left" w:pos="2628"/>
        </w:tabs>
        <w:spacing w:before="0" w:after="0" w:line="40" w:lineRule="atLeast"/>
      </w:pPr>
    </w:p>
    <w:tbl>
      <w:tblPr>
        <w:tblpPr w:leftFromText="180" w:rightFromText="180" w:vertAnchor="text" w:horzAnchor="margin" w:tblpXSpec="center" w:tblpY="149"/>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5"/>
      </w:tblGrid>
      <w:tr w:rsidR="00283147" w:rsidRPr="00DA3785" w:rsidTr="00283147">
        <w:trPr>
          <w:trHeight w:val="287"/>
        </w:trPr>
        <w:tc>
          <w:tcPr>
            <w:tcW w:w="9775" w:type="dxa"/>
            <w:vAlign w:val="center"/>
          </w:tcPr>
          <w:p w:rsidR="00283147" w:rsidRPr="00DA3785" w:rsidRDefault="00283147" w:rsidP="00DA3785">
            <w:pPr>
              <w:pStyle w:val="naisnod"/>
              <w:spacing w:before="0" w:after="0" w:line="40" w:lineRule="atLeast"/>
            </w:pPr>
            <w:r w:rsidRPr="00DA3785">
              <w:t>VI. Sabiedrības līdzdalība un šīs līdzdalības rezultāti</w:t>
            </w:r>
          </w:p>
        </w:tc>
      </w:tr>
      <w:tr w:rsidR="00283147" w:rsidRPr="00DA3785" w:rsidTr="00DD1759">
        <w:trPr>
          <w:trHeight w:val="272"/>
        </w:trPr>
        <w:tc>
          <w:tcPr>
            <w:tcW w:w="9775" w:type="dxa"/>
          </w:tcPr>
          <w:p w:rsidR="00283147" w:rsidRPr="00DA3785" w:rsidRDefault="00283147" w:rsidP="002F660E">
            <w:pPr>
              <w:pStyle w:val="naiskr"/>
              <w:spacing w:before="0" w:after="0" w:line="40" w:lineRule="atLeast"/>
              <w:ind w:right="114" w:firstLine="572"/>
              <w:jc w:val="center"/>
            </w:pPr>
            <w:r w:rsidRPr="00DA3785">
              <w:t>Projekts šo jomu neskar</w:t>
            </w:r>
          </w:p>
        </w:tc>
      </w:tr>
    </w:tbl>
    <w:p w:rsidR="00283147" w:rsidRPr="00DA3785" w:rsidRDefault="00283147" w:rsidP="00DA3785">
      <w:pPr>
        <w:pStyle w:val="naiskr"/>
        <w:tabs>
          <w:tab w:val="left" w:pos="2628"/>
        </w:tabs>
        <w:spacing w:before="0" w:after="0" w:line="40" w:lineRule="atLeast"/>
      </w:pPr>
    </w:p>
    <w:tbl>
      <w:tblPr>
        <w:tblpPr w:leftFromText="180" w:rightFromText="180" w:vertAnchor="text" w:horzAnchor="margin" w:tblpXSpec="center" w:tblpY="149"/>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5"/>
      </w:tblGrid>
      <w:tr w:rsidR="00283147" w:rsidRPr="00DA3785" w:rsidTr="00283147">
        <w:trPr>
          <w:trHeight w:val="287"/>
        </w:trPr>
        <w:tc>
          <w:tcPr>
            <w:tcW w:w="9775" w:type="dxa"/>
            <w:vAlign w:val="center"/>
          </w:tcPr>
          <w:p w:rsidR="00283147" w:rsidRPr="00DA3785" w:rsidRDefault="00283147" w:rsidP="00DA3785">
            <w:pPr>
              <w:pStyle w:val="naisnod"/>
              <w:spacing w:before="0" w:after="0" w:line="40" w:lineRule="atLeast"/>
            </w:pPr>
            <w:r w:rsidRPr="00DA3785">
              <w:t>VII. Tiesību akta projekta izpildes nodrošināšana un tās ietekme uz institūcijām</w:t>
            </w:r>
          </w:p>
        </w:tc>
      </w:tr>
      <w:tr w:rsidR="00283147" w:rsidRPr="00DA3785" w:rsidTr="00DD1759">
        <w:trPr>
          <w:trHeight w:val="267"/>
        </w:trPr>
        <w:tc>
          <w:tcPr>
            <w:tcW w:w="9775" w:type="dxa"/>
          </w:tcPr>
          <w:p w:rsidR="00283147" w:rsidRPr="00DA3785" w:rsidRDefault="00283147" w:rsidP="002F660E">
            <w:pPr>
              <w:pStyle w:val="naiskr"/>
              <w:spacing w:before="0" w:after="0" w:line="40" w:lineRule="atLeast"/>
              <w:ind w:right="114" w:firstLine="572"/>
              <w:jc w:val="center"/>
            </w:pPr>
            <w:r w:rsidRPr="00DA3785">
              <w:t>Projekts šo jomu neskar</w:t>
            </w:r>
          </w:p>
        </w:tc>
      </w:tr>
    </w:tbl>
    <w:p w:rsidR="00283147" w:rsidRPr="00DD1759" w:rsidRDefault="00283147" w:rsidP="00296830">
      <w:pPr>
        <w:pStyle w:val="naiskr"/>
        <w:tabs>
          <w:tab w:val="left" w:pos="2628"/>
        </w:tabs>
        <w:spacing w:before="0" w:after="0"/>
      </w:pPr>
    </w:p>
    <w:p w:rsidR="00092228" w:rsidRPr="00DD1759" w:rsidRDefault="00092228" w:rsidP="00296830"/>
    <w:p w:rsidR="00296830" w:rsidRPr="00DD1759" w:rsidRDefault="00A86AD7" w:rsidP="00092228">
      <w:pPr>
        <w:pStyle w:val="naisf"/>
        <w:tabs>
          <w:tab w:val="left" w:pos="6804"/>
        </w:tabs>
        <w:spacing w:before="0" w:after="0"/>
        <w:ind w:firstLine="0"/>
      </w:pPr>
      <w:r w:rsidRPr="00DD1759">
        <w:t>Tieslietu ministrs</w:t>
      </w:r>
      <w:r w:rsidRPr="00DD1759">
        <w:tab/>
      </w:r>
      <w:r w:rsidR="00D77F43">
        <w:tab/>
      </w:r>
      <w:r w:rsidRPr="00DD1759">
        <w:t>L.Bordāns</w:t>
      </w:r>
    </w:p>
    <w:p w:rsidR="00296830" w:rsidRPr="00DD1759" w:rsidRDefault="00296830" w:rsidP="00296830"/>
    <w:p w:rsidR="001F2B46" w:rsidRPr="00DD1759" w:rsidRDefault="00283147">
      <w:r w:rsidRPr="00DD1759">
        <w:t>Iesniedzējs:</w:t>
      </w:r>
    </w:p>
    <w:p w:rsidR="00283147" w:rsidRPr="00DD1759" w:rsidRDefault="00AC6EA1">
      <w:r>
        <w:t>tieslietu ministrs</w:t>
      </w:r>
      <w:r w:rsidR="00283147" w:rsidRPr="00DD1759">
        <w:tab/>
      </w:r>
      <w:r w:rsidR="00283147" w:rsidRPr="00DD1759">
        <w:tab/>
      </w:r>
      <w:r w:rsidR="00283147" w:rsidRPr="00DD1759">
        <w:tab/>
      </w:r>
      <w:r w:rsidR="00283147" w:rsidRPr="00DD1759">
        <w:tab/>
      </w:r>
      <w:r w:rsidR="00283147" w:rsidRPr="00DD1759">
        <w:tab/>
      </w:r>
      <w:r w:rsidR="00283147" w:rsidRPr="00DD1759">
        <w:tab/>
      </w:r>
      <w:r w:rsidR="00283147" w:rsidRPr="00DD1759">
        <w:tab/>
      </w:r>
      <w:r w:rsidR="00D77F43">
        <w:tab/>
      </w:r>
      <w:r>
        <w:t xml:space="preserve">J.Bordāns </w:t>
      </w:r>
    </w:p>
    <w:p w:rsidR="007C7D92" w:rsidRDefault="007C7D92" w:rsidP="00283147">
      <w:pPr>
        <w:jc w:val="both"/>
        <w:rPr>
          <w:bCs/>
          <w:sz w:val="20"/>
          <w:szCs w:val="20"/>
        </w:rPr>
      </w:pPr>
    </w:p>
    <w:p w:rsidR="00283147" w:rsidRDefault="00C25EF5" w:rsidP="00283147">
      <w:pPr>
        <w:jc w:val="both"/>
        <w:rPr>
          <w:bCs/>
          <w:sz w:val="20"/>
          <w:szCs w:val="20"/>
        </w:rPr>
      </w:pPr>
      <w:r>
        <w:rPr>
          <w:bCs/>
          <w:sz w:val="20"/>
          <w:szCs w:val="20"/>
        </w:rPr>
        <w:t>1</w:t>
      </w:r>
      <w:r w:rsidR="00AC6EA1">
        <w:rPr>
          <w:bCs/>
          <w:sz w:val="20"/>
          <w:szCs w:val="20"/>
        </w:rPr>
        <w:t>7</w:t>
      </w:r>
      <w:r>
        <w:rPr>
          <w:bCs/>
          <w:sz w:val="20"/>
          <w:szCs w:val="20"/>
        </w:rPr>
        <w:t>.07.</w:t>
      </w:r>
      <w:r w:rsidR="00283147">
        <w:rPr>
          <w:bCs/>
          <w:sz w:val="20"/>
          <w:szCs w:val="20"/>
        </w:rPr>
        <w:t>2013. 1</w:t>
      </w:r>
      <w:r w:rsidR="00CD59A9">
        <w:rPr>
          <w:bCs/>
          <w:sz w:val="20"/>
          <w:szCs w:val="20"/>
        </w:rPr>
        <w:t>3</w:t>
      </w:r>
      <w:r w:rsidR="00283147">
        <w:rPr>
          <w:bCs/>
          <w:sz w:val="20"/>
          <w:szCs w:val="20"/>
        </w:rPr>
        <w:t>.09</w:t>
      </w:r>
    </w:p>
    <w:p w:rsidR="00283147" w:rsidRDefault="00796CD2" w:rsidP="00283147">
      <w:pPr>
        <w:jc w:val="both"/>
        <w:outlineLvl w:val="3"/>
        <w:rPr>
          <w:bCs/>
          <w:sz w:val="20"/>
          <w:szCs w:val="20"/>
        </w:rPr>
      </w:pPr>
      <w:r>
        <w:rPr>
          <w:bCs/>
          <w:sz w:val="20"/>
          <w:szCs w:val="20"/>
        </w:rPr>
        <w:t>10</w:t>
      </w:r>
      <w:r w:rsidR="00AC6EA1">
        <w:rPr>
          <w:bCs/>
          <w:sz w:val="20"/>
          <w:szCs w:val="20"/>
        </w:rPr>
        <w:t>32</w:t>
      </w:r>
    </w:p>
    <w:p w:rsidR="00283147" w:rsidRPr="00D67F4D" w:rsidRDefault="00283147" w:rsidP="00283147">
      <w:pPr>
        <w:jc w:val="both"/>
        <w:rPr>
          <w:sz w:val="20"/>
          <w:szCs w:val="20"/>
        </w:rPr>
      </w:pPr>
      <w:r w:rsidRPr="00D67F4D">
        <w:rPr>
          <w:sz w:val="20"/>
          <w:szCs w:val="20"/>
        </w:rPr>
        <w:t>L.Zariņa</w:t>
      </w:r>
    </w:p>
    <w:p w:rsidR="00283147" w:rsidRPr="00DD1759" w:rsidRDefault="00283147" w:rsidP="00DD1759">
      <w:pPr>
        <w:jc w:val="both"/>
        <w:rPr>
          <w:sz w:val="20"/>
          <w:szCs w:val="20"/>
        </w:rPr>
      </w:pPr>
      <w:r w:rsidRPr="00D67F4D">
        <w:rPr>
          <w:sz w:val="20"/>
          <w:szCs w:val="20"/>
        </w:rPr>
        <w:t>67036905, Liene.Zarina@tm.gov.l</w:t>
      </w:r>
      <w:r w:rsidR="00DD1759">
        <w:rPr>
          <w:sz w:val="20"/>
          <w:szCs w:val="20"/>
        </w:rPr>
        <w:t>v</w:t>
      </w:r>
    </w:p>
    <w:sectPr w:rsidR="00283147" w:rsidRPr="00DD1759" w:rsidSect="004D054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85" w:rsidRDefault="00DA3785" w:rsidP="004E6280">
      <w:r>
        <w:separator/>
      </w:r>
    </w:p>
  </w:endnote>
  <w:endnote w:type="continuationSeparator" w:id="0">
    <w:p w:rsidR="00DA3785" w:rsidRDefault="00DA3785" w:rsidP="004E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85" w:rsidRPr="001A610C" w:rsidRDefault="00DA3785" w:rsidP="00283147">
    <w:pPr>
      <w:pStyle w:val="Kjene"/>
      <w:jc w:val="both"/>
      <w:rPr>
        <w:sz w:val="20"/>
        <w:szCs w:val="20"/>
      </w:rPr>
    </w:pPr>
    <w:r w:rsidRPr="001A610C">
      <w:rPr>
        <w:sz w:val="20"/>
        <w:szCs w:val="20"/>
      </w:rPr>
      <w:t>TMAnot_</w:t>
    </w:r>
    <w:r w:rsidR="000F2215">
      <w:rPr>
        <w:sz w:val="20"/>
        <w:szCs w:val="20"/>
      </w:rPr>
      <w:t>1607</w:t>
    </w:r>
    <w:r>
      <w:rPr>
        <w:sz w:val="20"/>
        <w:szCs w:val="20"/>
      </w:rPr>
      <w:t>13_pasvaldibu</w:t>
    </w:r>
    <w:r w:rsidRPr="001A610C">
      <w:rPr>
        <w:sz w:val="20"/>
        <w:szCs w:val="20"/>
      </w:rPr>
      <w:t xml:space="preserve">; Likumprojekta „Grozījums </w:t>
    </w:r>
    <w:r>
      <w:rPr>
        <w:sz w:val="20"/>
        <w:szCs w:val="20"/>
      </w:rPr>
      <w:t xml:space="preserve">Republikas pilsētas domes un novada domes vēlēšanu  likumā” </w:t>
    </w:r>
    <w:r w:rsidRPr="004D0545">
      <w:rPr>
        <w:sz w:val="20"/>
        <w:szCs w:val="20"/>
      </w:rPr>
      <w:t xml:space="preserve"> sākotnējās ietekmes novērtējuma ziņojums </w:t>
    </w:r>
    <w:r w:rsidRPr="001A610C">
      <w:rPr>
        <w:sz w:val="20"/>
        <w:szCs w:val="20"/>
      </w:rPr>
      <w:t>(anotācija)</w:t>
    </w:r>
  </w:p>
  <w:p w:rsidR="00DA3785" w:rsidRDefault="00DA3785" w:rsidP="005864D8">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85" w:rsidRPr="001A610C" w:rsidRDefault="003E35B5" w:rsidP="00337D3B">
    <w:pPr>
      <w:pStyle w:val="Kjene"/>
      <w:jc w:val="both"/>
      <w:rPr>
        <w:sz w:val="20"/>
        <w:szCs w:val="20"/>
      </w:rPr>
    </w:pPr>
    <w:r>
      <w:rPr>
        <w:sz w:val="20"/>
        <w:szCs w:val="20"/>
      </w:rPr>
      <w:t>TMAnot_1607</w:t>
    </w:r>
    <w:r w:rsidR="00145D34" w:rsidRPr="00145D34">
      <w:rPr>
        <w:sz w:val="20"/>
        <w:szCs w:val="20"/>
      </w:rPr>
      <w:t>13_pasvaldibu</w:t>
    </w:r>
    <w:r w:rsidR="00DA3785" w:rsidRPr="001A610C">
      <w:rPr>
        <w:sz w:val="20"/>
        <w:szCs w:val="20"/>
      </w:rPr>
      <w:t xml:space="preserve">; Likumprojekta „Grozījums </w:t>
    </w:r>
    <w:r w:rsidR="00DA3785">
      <w:rPr>
        <w:sz w:val="20"/>
        <w:szCs w:val="20"/>
      </w:rPr>
      <w:t xml:space="preserve">Republikas pilsētas domes un novada domes vēlēšanu  likumā” </w:t>
    </w:r>
    <w:r w:rsidR="00DA3785" w:rsidRPr="004D0545">
      <w:rPr>
        <w:sz w:val="20"/>
        <w:szCs w:val="20"/>
      </w:rPr>
      <w:t xml:space="preserve"> sākotnējās ietekmes novērtējuma ziņojums </w:t>
    </w:r>
    <w:r w:rsidR="00DA3785" w:rsidRPr="001A610C">
      <w:rPr>
        <w:sz w:val="20"/>
        <w:szCs w:val="20"/>
      </w:rPr>
      <w:t>(anotācija)</w:t>
    </w:r>
  </w:p>
  <w:p w:rsidR="00DA3785" w:rsidRDefault="00DA378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85" w:rsidRDefault="00DA3785" w:rsidP="004E6280">
      <w:r>
        <w:separator/>
      </w:r>
    </w:p>
  </w:footnote>
  <w:footnote w:type="continuationSeparator" w:id="0">
    <w:p w:rsidR="00DA3785" w:rsidRDefault="00DA3785" w:rsidP="004E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922"/>
      <w:docPartObj>
        <w:docPartGallery w:val="Page Numbers (Top of Page)"/>
        <w:docPartUnique/>
      </w:docPartObj>
    </w:sdtPr>
    <w:sdtEndPr/>
    <w:sdtContent>
      <w:p w:rsidR="00DA3785" w:rsidRDefault="002F660E">
        <w:pPr>
          <w:pStyle w:val="Galvene"/>
          <w:jc w:val="center"/>
        </w:pPr>
        <w:r>
          <w:fldChar w:fldCharType="begin"/>
        </w:r>
        <w:r>
          <w:instrText xml:space="preserve"> PAGE   \* MERGEFORMAT </w:instrText>
        </w:r>
        <w:r>
          <w:fldChar w:fldCharType="separate"/>
        </w:r>
        <w:r w:rsidR="00FC05C1">
          <w:rPr>
            <w:noProof/>
          </w:rPr>
          <w:t>4</w:t>
        </w:r>
        <w:r>
          <w:rPr>
            <w:noProof/>
          </w:rPr>
          <w:fldChar w:fldCharType="end"/>
        </w:r>
      </w:p>
    </w:sdtContent>
  </w:sdt>
  <w:p w:rsidR="00DA3785" w:rsidRDefault="00DA378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7AD"/>
    <w:multiLevelType w:val="hybridMultilevel"/>
    <w:tmpl w:val="2954C0BA"/>
    <w:lvl w:ilvl="0" w:tplc="13169F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830"/>
    <w:rsid w:val="00042FB8"/>
    <w:rsid w:val="00056FD3"/>
    <w:rsid w:val="000913DE"/>
    <w:rsid w:val="00092228"/>
    <w:rsid w:val="000C70EA"/>
    <w:rsid w:val="000D0DF1"/>
    <w:rsid w:val="000F2215"/>
    <w:rsid w:val="00105800"/>
    <w:rsid w:val="00105DD5"/>
    <w:rsid w:val="001147B1"/>
    <w:rsid w:val="00145D34"/>
    <w:rsid w:val="001C25B5"/>
    <w:rsid w:val="001E24F9"/>
    <w:rsid w:val="001F2B46"/>
    <w:rsid w:val="001F3EF1"/>
    <w:rsid w:val="00205F9E"/>
    <w:rsid w:val="002177F7"/>
    <w:rsid w:val="002350CB"/>
    <w:rsid w:val="00282E98"/>
    <w:rsid w:val="00283147"/>
    <w:rsid w:val="00296830"/>
    <w:rsid w:val="002A4549"/>
    <w:rsid w:val="002B7CE9"/>
    <w:rsid w:val="002C54B9"/>
    <w:rsid w:val="002F660E"/>
    <w:rsid w:val="003131F3"/>
    <w:rsid w:val="00317C3D"/>
    <w:rsid w:val="00337D3B"/>
    <w:rsid w:val="0034385F"/>
    <w:rsid w:val="003544AC"/>
    <w:rsid w:val="00381C34"/>
    <w:rsid w:val="00386114"/>
    <w:rsid w:val="00392544"/>
    <w:rsid w:val="00395F70"/>
    <w:rsid w:val="003E35B5"/>
    <w:rsid w:val="003E4E54"/>
    <w:rsid w:val="003F5D74"/>
    <w:rsid w:val="00463227"/>
    <w:rsid w:val="00466CD7"/>
    <w:rsid w:val="0047720E"/>
    <w:rsid w:val="00493A7C"/>
    <w:rsid w:val="004A377A"/>
    <w:rsid w:val="004D0545"/>
    <w:rsid w:val="004E6280"/>
    <w:rsid w:val="005145D9"/>
    <w:rsid w:val="00521699"/>
    <w:rsid w:val="00583707"/>
    <w:rsid w:val="005864D8"/>
    <w:rsid w:val="005A43CC"/>
    <w:rsid w:val="005A739F"/>
    <w:rsid w:val="005F3712"/>
    <w:rsid w:val="005F39D6"/>
    <w:rsid w:val="00602725"/>
    <w:rsid w:val="00610996"/>
    <w:rsid w:val="00621F46"/>
    <w:rsid w:val="00623DB8"/>
    <w:rsid w:val="00630708"/>
    <w:rsid w:val="00682D40"/>
    <w:rsid w:val="006858AA"/>
    <w:rsid w:val="00692D8D"/>
    <w:rsid w:val="006E4A64"/>
    <w:rsid w:val="006F4239"/>
    <w:rsid w:val="007230CB"/>
    <w:rsid w:val="00746236"/>
    <w:rsid w:val="00747CD9"/>
    <w:rsid w:val="00754DC5"/>
    <w:rsid w:val="007870AC"/>
    <w:rsid w:val="00796CD2"/>
    <w:rsid w:val="007B25CE"/>
    <w:rsid w:val="007B4A7F"/>
    <w:rsid w:val="007C7D92"/>
    <w:rsid w:val="007D663C"/>
    <w:rsid w:val="007E3DCC"/>
    <w:rsid w:val="00826F23"/>
    <w:rsid w:val="00827A6B"/>
    <w:rsid w:val="00850FAB"/>
    <w:rsid w:val="008A0BCF"/>
    <w:rsid w:val="008A26F4"/>
    <w:rsid w:val="00917A50"/>
    <w:rsid w:val="00917EAD"/>
    <w:rsid w:val="00951161"/>
    <w:rsid w:val="0095465B"/>
    <w:rsid w:val="00972989"/>
    <w:rsid w:val="009D6623"/>
    <w:rsid w:val="009E2A0D"/>
    <w:rsid w:val="009F1BB1"/>
    <w:rsid w:val="00A008D3"/>
    <w:rsid w:val="00A04FF4"/>
    <w:rsid w:val="00A169EE"/>
    <w:rsid w:val="00A308A2"/>
    <w:rsid w:val="00A31C27"/>
    <w:rsid w:val="00A609FE"/>
    <w:rsid w:val="00A67E80"/>
    <w:rsid w:val="00A86AD7"/>
    <w:rsid w:val="00AB059D"/>
    <w:rsid w:val="00AC6EA1"/>
    <w:rsid w:val="00B73DEC"/>
    <w:rsid w:val="00B8336B"/>
    <w:rsid w:val="00BA0CF7"/>
    <w:rsid w:val="00BF4925"/>
    <w:rsid w:val="00C25EF5"/>
    <w:rsid w:val="00C5409B"/>
    <w:rsid w:val="00C60C29"/>
    <w:rsid w:val="00C86C90"/>
    <w:rsid w:val="00CC305C"/>
    <w:rsid w:val="00CD59A9"/>
    <w:rsid w:val="00CE4347"/>
    <w:rsid w:val="00CF1E1C"/>
    <w:rsid w:val="00D16E74"/>
    <w:rsid w:val="00D26FFC"/>
    <w:rsid w:val="00D4085A"/>
    <w:rsid w:val="00D7601B"/>
    <w:rsid w:val="00D77F43"/>
    <w:rsid w:val="00DA3785"/>
    <w:rsid w:val="00DD1759"/>
    <w:rsid w:val="00DD3EBD"/>
    <w:rsid w:val="00DD6ECF"/>
    <w:rsid w:val="00DF7774"/>
    <w:rsid w:val="00E02172"/>
    <w:rsid w:val="00E072FF"/>
    <w:rsid w:val="00E277D7"/>
    <w:rsid w:val="00E31580"/>
    <w:rsid w:val="00E47195"/>
    <w:rsid w:val="00E60E06"/>
    <w:rsid w:val="00E60EA3"/>
    <w:rsid w:val="00EB21BB"/>
    <w:rsid w:val="00EC2AFC"/>
    <w:rsid w:val="00EC340B"/>
    <w:rsid w:val="00EE6278"/>
    <w:rsid w:val="00F03D1E"/>
    <w:rsid w:val="00F57665"/>
    <w:rsid w:val="00F64ED3"/>
    <w:rsid w:val="00F73C3B"/>
    <w:rsid w:val="00FB734D"/>
    <w:rsid w:val="00FC05C1"/>
    <w:rsid w:val="00FE3718"/>
    <w:rsid w:val="00FF2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683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296830"/>
    <w:rPr>
      <w:sz w:val="20"/>
      <w:szCs w:val="20"/>
    </w:rPr>
  </w:style>
  <w:style w:type="character" w:customStyle="1" w:styleId="VrestekstsRakstz">
    <w:name w:val="Vēres teksts Rakstz."/>
    <w:basedOn w:val="Noklusjumarindkopasfonts"/>
    <w:link w:val="Vresteksts"/>
    <w:rsid w:val="00296830"/>
    <w:rPr>
      <w:rFonts w:ascii="Times New Roman" w:eastAsia="Times New Roman" w:hAnsi="Times New Roman" w:cs="Times New Roman"/>
      <w:sz w:val="20"/>
      <w:szCs w:val="20"/>
      <w:lang w:eastAsia="lv-LV"/>
    </w:rPr>
  </w:style>
  <w:style w:type="paragraph" w:customStyle="1" w:styleId="naisf">
    <w:name w:val="naisf"/>
    <w:basedOn w:val="Parasts"/>
    <w:rsid w:val="00296830"/>
    <w:pPr>
      <w:spacing w:before="75" w:after="75"/>
      <w:ind w:firstLine="375"/>
      <w:jc w:val="both"/>
    </w:pPr>
  </w:style>
  <w:style w:type="paragraph" w:customStyle="1" w:styleId="naisnod">
    <w:name w:val="naisnod"/>
    <w:basedOn w:val="Parasts"/>
    <w:rsid w:val="00296830"/>
    <w:pPr>
      <w:spacing w:before="150" w:after="150"/>
      <w:jc w:val="center"/>
    </w:pPr>
    <w:rPr>
      <w:b/>
      <w:bCs/>
    </w:rPr>
  </w:style>
  <w:style w:type="paragraph" w:customStyle="1" w:styleId="naislab">
    <w:name w:val="naislab"/>
    <w:basedOn w:val="Parasts"/>
    <w:rsid w:val="00296830"/>
    <w:pPr>
      <w:spacing w:before="75" w:after="75"/>
      <w:jc w:val="right"/>
    </w:pPr>
  </w:style>
  <w:style w:type="paragraph" w:customStyle="1" w:styleId="naiskr">
    <w:name w:val="naiskr"/>
    <w:basedOn w:val="Parasts"/>
    <w:rsid w:val="00296830"/>
    <w:pPr>
      <w:spacing w:before="75" w:after="75"/>
    </w:pPr>
  </w:style>
  <w:style w:type="paragraph" w:styleId="Sarakstarindkopa">
    <w:name w:val="List Paragraph"/>
    <w:basedOn w:val="Parasts"/>
    <w:uiPriority w:val="34"/>
    <w:qFormat/>
    <w:rsid w:val="005F39D6"/>
    <w:pPr>
      <w:ind w:left="720"/>
      <w:contextualSpacing/>
    </w:pPr>
  </w:style>
  <w:style w:type="character" w:styleId="Vresatsauce">
    <w:name w:val="footnote reference"/>
    <w:uiPriority w:val="99"/>
    <w:semiHidden/>
    <w:unhideWhenUsed/>
    <w:rsid w:val="004E6280"/>
    <w:rPr>
      <w:vertAlign w:val="superscript"/>
    </w:rPr>
  </w:style>
  <w:style w:type="character" w:styleId="Hipersaite">
    <w:name w:val="Hyperlink"/>
    <w:unhideWhenUsed/>
    <w:rsid w:val="004E6280"/>
    <w:rPr>
      <w:color w:val="0000FF"/>
      <w:u w:val="single"/>
    </w:rPr>
  </w:style>
  <w:style w:type="character" w:styleId="Komentraatsauce">
    <w:name w:val="annotation reference"/>
    <w:uiPriority w:val="99"/>
    <w:semiHidden/>
    <w:unhideWhenUsed/>
    <w:rsid w:val="00754DC5"/>
    <w:rPr>
      <w:sz w:val="16"/>
      <w:szCs w:val="16"/>
    </w:rPr>
  </w:style>
  <w:style w:type="paragraph" w:styleId="Balonteksts">
    <w:name w:val="Balloon Text"/>
    <w:basedOn w:val="Parasts"/>
    <w:link w:val="BalontekstsRakstz"/>
    <w:uiPriority w:val="99"/>
    <w:semiHidden/>
    <w:unhideWhenUsed/>
    <w:rsid w:val="00AB059D"/>
    <w:rPr>
      <w:rFonts w:ascii="Tahoma" w:eastAsia="Calibri" w:hAnsi="Tahoma"/>
      <w:sz w:val="16"/>
      <w:szCs w:val="16"/>
      <w:lang w:eastAsia="en-US"/>
    </w:rPr>
  </w:style>
  <w:style w:type="character" w:customStyle="1" w:styleId="BalontekstsRakstz">
    <w:name w:val="Balonteksts Rakstz."/>
    <w:basedOn w:val="Noklusjumarindkopasfonts"/>
    <w:link w:val="Balonteksts"/>
    <w:uiPriority w:val="99"/>
    <w:semiHidden/>
    <w:rsid w:val="00AB059D"/>
    <w:rPr>
      <w:rFonts w:ascii="Tahoma" w:eastAsia="Calibri" w:hAnsi="Tahoma" w:cs="Times New Roman"/>
      <w:sz w:val="16"/>
      <w:szCs w:val="16"/>
    </w:rPr>
  </w:style>
  <w:style w:type="paragraph" w:styleId="Pamattekstsaratkpi">
    <w:name w:val="Body Text Indent"/>
    <w:basedOn w:val="Parasts"/>
    <w:link w:val="PamattekstsaratkpiRakstz"/>
    <w:unhideWhenUsed/>
    <w:rsid w:val="00395F70"/>
    <w:pPr>
      <w:ind w:firstLine="720"/>
      <w:jc w:val="both"/>
    </w:pPr>
    <w:rPr>
      <w:lang w:eastAsia="en-US"/>
    </w:rPr>
  </w:style>
  <w:style w:type="character" w:customStyle="1" w:styleId="PamattekstsaratkpiRakstz">
    <w:name w:val="Pamatteksts ar atkāpi Rakstz."/>
    <w:basedOn w:val="Noklusjumarindkopasfonts"/>
    <w:link w:val="Pamattekstsaratkpi"/>
    <w:rsid w:val="00395F70"/>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395F70"/>
    <w:pPr>
      <w:tabs>
        <w:tab w:val="center" w:pos="4153"/>
        <w:tab w:val="right" w:pos="8306"/>
      </w:tabs>
    </w:pPr>
  </w:style>
  <w:style w:type="character" w:customStyle="1" w:styleId="GalveneRakstz">
    <w:name w:val="Galvene Rakstz."/>
    <w:basedOn w:val="Noklusjumarindkopasfonts"/>
    <w:link w:val="Galvene"/>
    <w:uiPriority w:val="99"/>
    <w:rsid w:val="00395F7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95F70"/>
    <w:pPr>
      <w:tabs>
        <w:tab w:val="center" w:pos="4153"/>
        <w:tab w:val="right" w:pos="8306"/>
      </w:tabs>
    </w:pPr>
  </w:style>
  <w:style w:type="character" w:customStyle="1" w:styleId="KjeneRakstz">
    <w:name w:val="Kājene Rakstz."/>
    <w:basedOn w:val="Noklusjumarindkopasfonts"/>
    <w:link w:val="Kjene"/>
    <w:uiPriority w:val="99"/>
    <w:rsid w:val="00395F70"/>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unhideWhenUsed/>
    <w:rsid w:val="00283147"/>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semiHidden/>
    <w:rsid w:val="0028314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D0545"/>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4D0545"/>
    <w:rPr>
      <w:rFonts w:ascii="Times New Roman" w:eastAsia="Times New Roman" w:hAnsi="Times New Roman" w:cs="Times New Roman"/>
      <w:b/>
      <w:bCs/>
      <w:sz w:val="20"/>
      <w:szCs w:val="20"/>
      <w:lang w:eastAsia="lv-LV"/>
    </w:rPr>
  </w:style>
  <w:style w:type="paragraph" w:customStyle="1" w:styleId="tv2131">
    <w:name w:val="tv2131"/>
    <w:basedOn w:val="Parasts"/>
    <w:rsid w:val="00E02172"/>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629">
      <w:bodyDiv w:val="1"/>
      <w:marLeft w:val="0"/>
      <w:marRight w:val="0"/>
      <w:marTop w:val="0"/>
      <w:marBottom w:val="0"/>
      <w:divBdr>
        <w:top w:val="none" w:sz="0" w:space="0" w:color="auto"/>
        <w:left w:val="none" w:sz="0" w:space="0" w:color="auto"/>
        <w:bottom w:val="none" w:sz="0" w:space="0" w:color="auto"/>
        <w:right w:val="none" w:sz="0" w:space="0" w:color="auto"/>
      </w:divBdr>
      <w:divsChild>
        <w:div w:id="780342977">
          <w:marLeft w:val="0"/>
          <w:marRight w:val="0"/>
          <w:marTop w:val="0"/>
          <w:marBottom w:val="0"/>
          <w:divBdr>
            <w:top w:val="none" w:sz="0" w:space="0" w:color="auto"/>
            <w:left w:val="none" w:sz="0" w:space="0" w:color="auto"/>
            <w:bottom w:val="none" w:sz="0" w:space="0" w:color="auto"/>
            <w:right w:val="none" w:sz="0" w:space="0" w:color="auto"/>
          </w:divBdr>
          <w:divsChild>
            <w:div w:id="1315449203">
              <w:marLeft w:val="0"/>
              <w:marRight w:val="0"/>
              <w:marTop w:val="0"/>
              <w:marBottom w:val="0"/>
              <w:divBdr>
                <w:top w:val="none" w:sz="0" w:space="0" w:color="auto"/>
                <w:left w:val="none" w:sz="0" w:space="0" w:color="auto"/>
                <w:bottom w:val="none" w:sz="0" w:space="0" w:color="auto"/>
                <w:right w:val="none" w:sz="0" w:space="0" w:color="auto"/>
              </w:divBdr>
              <w:divsChild>
                <w:div w:id="1946381135">
                  <w:marLeft w:val="0"/>
                  <w:marRight w:val="0"/>
                  <w:marTop w:val="0"/>
                  <w:marBottom w:val="0"/>
                  <w:divBdr>
                    <w:top w:val="none" w:sz="0" w:space="0" w:color="auto"/>
                    <w:left w:val="none" w:sz="0" w:space="0" w:color="auto"/>
                    <w:bottom w:val="none" w:sz="0" w:space="0" w:color="auto"/>
                    <w:right w:val="none" w:sz="0" w:space="0" w:color="auto"/>
                  </w:divBdr>
                  <w:divsChild>
                    <w:div w:id="1922442169">
                      <w:marLeft w:val="0"/>
                      <w:marRight w:val="0"/>
                      <w:marTop w:val="0"/>
                      <w:marBottom w:val="0"/>
                      <w:divBdr>
                        <w:top w:val="none" w:sz="0" w:space="0" w:color="auto"/>
                        <w:left w:val="none" w:sz="0" w:space="0" w:color="auto"/>
                        <w:bottom w:val="none" w:sz="0" w:space="0" w:color="auto"/>
                        <w:right w:val="none" w:sz="0" w:space="0" w:color="auto"/>
                      </w:divBdr>
                      <w:divsChild>
                        <w:div w:id="469132251">
                          <w:marLeft w:val="0"/>
                          <w:marRight w:val="0"/>
                          <w:marTop w:val="300"/>
                          <w:marBottom w:val="0"/>
                          <w:divBdr>
                            <w:top w:val="none" w:sz="0" w:space="0" w:color="auto"/>
                            <w:left w:val="none" w:sz="0" w:space="0" w:color="auto"/>
                            <w:bottom w:val="none" w:sz="0" w:space="0" w:color="auto"/>
                            <w:right w:val="none" w:sz="0" w:space="0" w:color="auto"/>
                          </w:divBdr>
                          <w:divsChild>
                            <w:div w:id="142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2678">
      <w:bodyDiv w:val="1"/>
      <w:marLeft w:val="0"/>
      <w:marRight w:val="0"/>
      <w:marTop w:val="0"/>
      <w:marBottom w:val="0"/>
      <w:divBdr>
        <w:top w:val="none" w:sz="0" w:space="0" w:color="auto"/>
        <w:left w:val="none" w:sz="0" w:space="0" w:color="auto"/>
        <w:bottom w:val="none" w:sz="0" w:space="0" w:color="auto"/>
        <w:right w:val="none" w:sz="0" w:space="0" w:color="auto"/>
      </w:divBdr>
    </w:div>
    <w:div w:id="13904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4</Pages>
  <Words>4666</Words>
  <Characters>2661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Likumprojekta „Grozījumi Republikas pilsētas domes un novada domes vēlēšanu likumā” ” sākotnējās ietekmes novērtējuma ziņojums (anotācija)</vt:lpstr>
    </vt:vector>
  </TitlesOfParts>
  <Company>Tieslietu Ministrija</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Republikas pilsētas domes un novada domes vēlēšanu likumā” ” sākotnējās ietekmes novērtējuma ziņojums (anotācija)</dc:title>
  <dc:subject>anotācija</dc:subject>
  <dc:creator>Liene Zariņa</dc:creator>
  <cp:keywords/>
  <dc:description>67036905_x000d_
Liene.Zarina@tm.gov.lv</dc:description>
  <cp:lastModifiedBy>Liga Kokare</cp:lastModifiedBy>
  <cp:revision>102</cp:revision>
  <dcterms:created xsi:type="dcterms:W3CDTF">2012-09-07T07:36:00Z</dcterms:created>
  <dcterms:modified xsi:type="dcterms:W3CDTF">2013-07-22T12:47:00Z</dcterms:modified>
</cp:coreProperties>
</file>