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CD" w:rsidRPr="00110777" w:rsidRDefault="002422CD" w:rsidP="00D264A1">
      <w:pPr>
        <w:spacing w:after="12"/>
        <w:jc w:val="center"/>
        <w:rPr>
          <w:b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r w:rsidRPr="00110777">
        <w:rPr>
          <w:b/>
          <w:color w:val="000000" w:themeColor="text1"/>
          <w:sz w:val="28"/>
          <w:szCs w:val="28"/>
        </w:rPr>
        <w:t>Ministru kabineta noteikumu projekta</w:t>
      </w:r>
    </w:p>
    <w:p w:rsidR="003925BB" w:rsidRPr="00110777" w:rsidRDefault="003925BB" w:rsidP="00D264A1">
      <w:pPr>
        <w:spacing w:after="12"/>
        <w:jc w:val="center"/>
        <w:rPr>
          <w:b/>
          <w:bCs/>
          <w:color w:val="000000" w:themeColor="text1"/>
          <w:sz w:val="28"/>
          <w:szCs w:val="28"/>
        </w:rPr>
      </w:pPr>
      <w:r w:rsidRPr="00110777">
        <w:rPr>
          <w:b/>
          <w:color w:val="000000" w:themeColor="text1"/>
          <w:sz w:val="28"/>
          <w:szCs w:val="28"/>
        </w:rPr>
        <w:t>"</w:t>
      </w:r>
      <w:r w:rsidR="001D5DF5" w:rsidRPr="00110777">
        <w:rPr>
          <w:b/>
          <w:bCs/>
          <w:color w:val="000000" w:themeColor="text1"/>
          <w:sz w:val="28"/>
          <w:szCs w:val="28"/>
        </w:rPr>
        <w:t>Grozījumi Ministru kabineta 2003. gada 29. aprīļa noteikumos Nr. 243 "Tieslietu ministrijas nolikums"</w:t>
      </w:r>
      <w:r w:rsidRPr="00110777">
        <w:rPr>
          <w:b/>
          <w:bCs/>
          <w:color w:val="000000" w:themeColor="text1"/>
          <w:sz w:val="28"/>
          <w:szCs w:val="28"/>
        </w:rPr>
        <w:t>"</w:t>
      </w:r>
      <w:r w:rsidR="002422CD" w:rsidRPr="00110777">
        <w:rPr>
          <w:b/>
          <w:bCs/>
          <w:color w:val="000000" w:themeColor="text1"/>
          <w:sz w:val="28"/>
          <w:szCs w:val="28"/>
        </w:rPr>
        <w:t xml:space="preserve"> </w:t>
      </w:r>
      <w:r w:rsidRPr="00110777">
        <w:rPr>
          <w:b/>
          <w:bCs/>
          <w:color w:val="000000" w:themeColor="text1"/>
          <w:sz w:val="28"/>
          <w:szCs w:val="28"/>
        </w:rPr>
        <w:br/>
      </w:r>
      <w:bookmarkEnd w:id="0"/>
      <w:bookmarkEnd w:id="1"/>
      <w:r w:rsidRPr="00110777">
        <w:rPr>
          <w:b/>
          <w:bCs/>
          <w:color w:val="000000" w:themeColor="text1"/>
          <w:sz w:val="28"/>
          <w:szCs w:val="28"/>
        </w:rPr>
        <w:t>sākotnējās ietekmes novērtējuma ziņojums (anotācija)</w:t>
      </w:r>
      <w:bookmarkEnd w:id="2"/>
      <w:bookmarkEnd w:id="3"/>
    </w:p>
    <w:p w:rsidR="003925BB" w:rsidRPr="00110777" w:rsidRDefault="003925BB" w:rsidP="00D264A1">
      <w:pPr>
        <w:spacing w:after="12"/>
        <w:jc w:val="center"/>
        <w:rPr>
          <w:b/>
          <w:bCs/>
          <w:color w:val="000000" w:themeColor="text1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75"/>
        <w:gridCol w:w="6697"/>
      </w:tblGrid>
      <w:tr w:rsidR="003925BB" w:rsidRPr="00110777" w:rsidTr="005178CA">
        <w:trPr>
          <w:trHeight w:val="379"/>
        </w:trPr>
        <w:tc>
          <w:tcPr>
            <w:tcW w:w="9640" w:type="dxa"/>
            <w:gridSpan w:val="3"/>
            <w:vAlign w:val="center"/>
            <w:hideMark/>
          </w:tcPr>
          <w:p w:rsidR="003925BB" w:rsidRPr="00110777" w:rsidRDefault="003925BB" w:rsidP="00D264A1">
            <w:pPr>
              <w:spacing w:after="12"/>
              <w:jc w:val="center"/>
              <w:rPr>
                <w:b/>
                <w:color w:val="000000" w:themeColor="text1"/>
              </w:rPr>
            </w:pPr>
            <w:r w:rsidRPr="00110777">
              <w:rPr>
                <w:b/>
                <w:bCs/>
                <w:color w:val="000000" w:themeColor="text1"/>
              </w:rPr>
              <w:t>I. Tiesību akta projekta izstrādes nepieciešamība</w:t>
            </w:r>
          </w:p>
        </w:tc>
      </w:tr>
      <w:tr w:rsidR="003925BB" w:rsidRPr="00110777" w:rsidTr="00130DE3">
        <w:tc>
          <w:tcPr>
            <w:tcW w:w="568" w:type="dxa"/>
            <w:hideMark/>
          </w:tcPr>
          <w:p w:rsidR="003925BB" w:rsidRPr="00110777" w:rsidRDefault="003925BB" w:rsidP="00D264A1">
            <w:pPr>
              <w:spacing w:after="12"/>
              <w:rPr>
                <w:color w:val="000000" w:themeColor="text1"/>
              </w:rPr>
            </w:pPr>
            <w:r w:rsidRPr="00110777">
              <w:rPr>
                <w:color w:val="000000" w:themeColor="text1"/>
              </w:rPr>
              <w:t> 1.</w:t>
            </w:r>
          </w:p>
        </w:tc>
        <w:tc>
          <w:tcPr>
            <w:tcW w:w="2375" w:type="dxa"/>
            <w:hideMark/>
          </w:tcPr>
          <w:p w:rsidR="003925BB" w:rsidRPr="00110777" w:rsidRDefault="003925BB" w:rsidP="00D264A1">
            <w:pPr>
              <w:spacing w:after="12"/>
              <w:rPr>
                <w:color w:val="000000" w:themeColor="text1"/>
              </w:rPr>
            </w:pPr>
            <w:r w:rsidRPr="00110777">
              <w:rPr>
                <w:color w:val="000000" w:themeColor="text1"/>
              </w:rPr>
              <w:t> Pamatojums</w:t>
            </w:r>
          </w:p>
        </w:tc>
        <w:tc>
          <w:tcPr>
            <w:tcW w:w="6697" w:type="dxa"/>
            <w:hideMark/>
          </w:tcPr>
          <w:p w:rsidR="003925BB" w:rsidRPr="0058118F" w:rsidRDefault="0058118F" w:rsidP="0099726E">
            <w:pPr>
              <w:jc w:val="both"/>
              <w:rPr>
                <w:color w:val="000000" w:themeColor="text1"/>
              </w:rPr>
            </w:pPr>
            <w:r w:rsidRPr="0058118F">
              <w:t xml:space="preserve">Ministru kabineta 2010.gada 7. decembra </w:t>
            </w:r>
            <w:r w:rsidR="0099726E">
              <w:t xml:space="preserve">sēdes </w:t>
            </w:r>
            <w:proofErr w:type="spellStart"/>
            <w:r w:rsidRPr="0058118F">
              <w:t>protokollēmum</w:t>
            </w:r>
            <w:r w:rsidR="0099726E">
              <w:t>ā</w:t>
            </w:r>
            <w:proofErr w:type="spellEnd"/>
            <w:r w:rsidRPr="0058118F">
              <w:t xml:space="preserve"> </w:t>
            </w:r>
            <w:r w:rsidR="0099726E">
              <w:t xml:space="preserve">(Prot </w:t>
            </w:r>
            <w:r w:rsidRPr="0058118F">
              <w:t>Nr.71 44</w:t>
            </w:r>
            <w:r w:rsidRPr="0058118F">
              <w:rPr>
                <w:bCs/>
              </w:rPr>
              <w:t>.§</w:t>
            </w:r>
            <w:r w:rsidR="0099726E">
              <w:rPr>
                <w:bCs/>
              </w:rPr>
              <w:t>)</w:t>
            </w:r>
            <w:r w:rsidR="0099726E" w:rsidRPr="00967A13">
              <w:rPr>
                <w:color w:val="000000"/>
              </w:rPr>
              <w:t xml:space="preserve"> Tieslietu ministrijai uzdots </w:t>
            </w:r>
            <w:r w:rsidR="0099726E">
              <w:rPr>
                <w:rStyle w:val="spelle"/>
              </w:rPr>
              <w:t xml:space="preserve">līdz 2010.gada 21.decembrim </w:t>
            </w:r>
            <w:r w:rsidR="0099726E" w:rsidRPr="00967A13">
              <w:rPr>
                <w:color w:val="000000"/>
              </w:rPr>
              <w:t xml:space="preserve">sagatavot </w:t>
            </w:r>
            <w:r w:rsidR="0099726E">
              <w:rPr>
                <w:rStyle w:val="spelle"/>
              </w:rPr>
              <w:t>un normatīvajos aktos noteiktajā kārtībā iesniegt Ministru kabinetā tiesību akta projektu par grozījumiem Ministru kabineta 2003.gada 29.aprīļa noteikumos Nr.243 "Tieslietu ministrijas nolikums".</w:t>
            </w:r>
          </w:p>
        </w:tc>
      </w:tr>
      <w:tr w:rsidR="003925BB" w:rsidRPr="00427931" w:rsidTr="00D5070D">
        <w:trPr>
          <w:trHeight w:val="5093"/>
        </w:trPr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110777">
              <w:rPr>
                <w:color w:val="000000" w:themeColor="text1"/>
              </w:rPr>
              <w:t> </w:t>
            </w:r>
            <w:r w:rsidRPr="00427931">
              <w:rPr>
                <w:color w:val="000000" w:themeColor="text1"/>
              </w:rPr>
              <w:t>2.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Pašreizējā situācija un problēmas</w:t>
            </w:r>
          </w:p>
        </w:tc>
        <w:tc>
          <w:tcPr>
            <w:tcW w:w="6697" w:type="dxa"/>
            <w:hideMark/>
          </w:tcPr>
          <w:p w:rsidR="00504759" w:rsidRPr="00427931" w:rsidRDefault="00EC5E94" w:rsidP="00D256BD">
            <w:pPr>
              <w:spacing w:after="12"/>
              <w:ind w:firstLine="318"/>
              <w:jc w:val="both"/>
              <w:rPr>
                <w:color w:val="000000" w:themeColor="text1"/>
              </w:rPr>
            </w:pPr>
            <w:r w:rsidRPr="00427931">
              <w:rPr>
                <w:bCs/>
                <w:color w:val="000000" w:themeColor="text1"/>
              </w:rPr>
              <w:t>Ministru kabineta 2003. gada 29. aprīļa noteikum</w:t>
            </w:r>
            <w:r w:rsidR="00FF205F" w:rsidRPr="00427931">
              <w:rPr>
                <w:bCs/>
                <w:color w:val="000000" w:themeColor="text1"/>
              </w:rPr>
              <w:t>i</w:t>
            </w:r>
            <w:r w:rsidRPr="00427931">
              <w:rPr>
                <w:bCs/>
                <w:color w:val="000000" w:themeColor="text1"/>
              </w:rPr>
              <w:t xml:space="preserve"> Nr. 243 "Tieslietu ministrijas nolikums"</w:t>
            </w:r>
            <w:r w:rsidR="00ED6FEA" w:rsidRPr="00427931">
              <w:rPr>
                <w:color w:val="000000" w:themeColor="text1"/>
              </w:rPr>
              <w:t xml:space="preserve"> </w:t>
            </w:r>
            <w:r w:rsidR="00502D37" w:rsidRPr="00427931">
              <w:rPr>
                <w:color w:val="000000" w:themeColor="text1"/>
              </w:rPr>
              <w:t xml:space="preserve">nosaka, ka tieslietu ministrija izstrādā un īsteno valsts politiku sabiedrības integrācijas </w:t>
            </w:r>
            <w:r w:rsidR="00D256BD" w:rsidRPr="00427931">
              <w:rPr>
                <w:color w:val="000000" w:themeColor="text1"/>
              </w:rPr>
              <w:t>jomā (4.1.12. un 5.1.1. punkts)</w:t>
            </w:r>
            <w:r w:rsidR="00502D37" w:rsidRPr="00427931">
              <w:rPr>
                <w:color w:val="000000" w:themeColor="text1"/>
              </w:rPr>
              <w:t xml:space="preserve">, kā arī </w:t>
            </w:r>
            <w:r w:rsidR="00D256BD" w:rsidRPr="00427931">
              <w:rPr>
                <w:color w:val="000000" w:themeColor="text1"/>
              </w:rPr>
              <w:t xml:space="preserve">koordinē pilsoniskās sabiedrības attīstību un starpkultūru dialogu (5.1.5. punkts). </w:t>
            </w:r>
          </w:p>
          <w:p w:rsidR="00D256BD" w:rsidRPr="00427931" w:rsidRDefault="00D256BD" w:rsidP="00D256BD">
            <w:pPr>
              <w:jc w:val="both"/>
              <w:rPr>
                <w:rStyle w:val="spelle"/>
              </w:rPr>
            </w:pPr>
            <w:r w:rsidRPr="00427931">
              <w:rPr>
                <w:color w:val="000000" w:themeColor="text1"/>
              </w:rPr>
              <w:t>Saskaņā ar</w:t>
            </w:r>
            <w:r w:rsidRPr="00427931">
              <w:t xml:space="preserve"> Ministru kabineta 2010.gada </w:t>
            </w:r>
            <w:r w:rsidR="0099726E" w:rsidRPr="00427931">
              <w:t>7.</w:t>
            </w:r>
            <w:r w:rsidRPr="00427931">
              <w:t xml:space="preserve">decembra </w:t>
            </w:r>
            <w:proofErr w:type="spellStart"/>
            <w:r w:rsidRPr="00427931">
              <w:t>protokollēmumu</w:t>
            </w:r>
            <w:proofErr w:type="spellEnd"/>
            <w:r w:rsidRPr="00427931">
              <w:t xml:space="preserve"> </w:t>
            </w:r>
            <w:r w:rsidR="0099726E" w:rsidRPr="00427931">
              <w:t xml:space="preserve">(Prot. </w:t>
            </w:r>
            <w:r w:rsidRPr="00427931">
              <w:t>Nr.71 44</w:t>
            </w:r>
            <w:r w:rsidRPr="00427931">
              <w:rPr>
                <w:bCs/>
              </w:rPr>
              <w:t>.§</w:t>
            </w:r>
            <w:r w:rsidR="0099726E" w:rsidRPr="00427931">
              <w:rPr>
                <w:bCs/>
              </w:rPr>
              <w:t>)</w:t>
            </w:r>
            <w:r w:rsidR="007319E0" w:rsidRPr="00427931">
              <w:rPr>
                <w:bCs/>
              </w:rPr>
              <w:t xml:space="preserve"> (turpmāk –</w:t>
            </w:r>
            <w:proofErr w:type="spellStart"/>
            <w:r w:rsidR="007319E0" w:rsidRPr="00427931">
              <w:rPr>
                <w:bCs/>
              </w:rPr>
              <w:t>protkollēmums</w:t>
            </w:r>
            <w:proofErr w:type="spellEnd"/>
            <w:r w:rsidR="007319E0" w:rsidRPr="00427931">
              <w:rPr>
                <w:bCs/>
              </w:rPr>
              <w:t>)</w:t>
            </w:r>
            <w:r w:rsidRPr="00427931">
              <w:rPr>
                <w:bCs/>
              </w:rPr>
              <w:t xml:space="preserve">, Ministru kabinets ir uzdevis </w:t>
            </w:r>
            <w:r w:rsidRPr="00427931">
              <w:rPr>
                <w:rStyle w:val="spelle"/>
              </w:rPr>
              <w:t xml:space="preserve">Tieslietu ministrijai nodod </w:t>
            </w:r>
            <w:r w:rsidR="007319E0" w:rsidRPr="00427931">
              <w:rPr>
                <w:rStyle w:val="spelle"/>
              </w:rPr>
              <w:t xml:space="preserve">un Kultūras ministrijai un Iekšlietu ministrijai attiecīgi pārņemt </w:t>
            </w:r>
            <w:r w:rsidRPr="00427931">
              <w:rPr>
                <w:rStyle w:val="spelle"/>
              </w:rPr>
              <w:t>sabiedrības integrācijas funkciju šādā kompetenču sadalījumā:</w:t>
            </w:r>
          </w:p>
          <w:p w:rsidR="00D256BD" w:rsidRPr="00427931" w:rsidRDefault="00D256BD" w:rsidP="00D256BD">
            <w:pPr>
              <w:jc w:val="both"/>
              <w:rPr>
                <w:rStyle w:val="spelle"/>
              </w:rPr>
            </w:pPr>
            <w:r w:rsidRPr="00427931">
              <w:rPr>
                <w:rStyle w:val="spelle"/>
              </w:rPr>
              <w:t>     1. Kultūras ministrijai no 2011.gada 1.janvāra:</w:t>
            </w:r>
          </w:p>
          <w:p w:rsidR="00D256BD" w:rsidRPr="00427931" w:rsidRDefault="00D256BD" w:rsidP="00D256BD">
            <w:pPr>
              <w:jc w:val="both"/>
              <w:rPr>
                <w:rStyle w:val="spelle"/>
              </w:rPr>
            </w:pPr>
            <w:r w:rsidRPr="00427931">
              <w:rPr>
                <w:rStyle w:val="spelle"/>
              </w:rPr>
              <w:t xml:space="preserve">     1.1. valsts politikas izstrādi sabiedrības integrācijas jomā, kā arī tās īstenošanas organizēšanu un koordinēšanu – sekmēt pilsoniskās sabiedrības attīstību, starpkultūru dialogu; </w:t>
            </w:r>
          </w:p>
          <w:p w:rsidR="00D256BD" w:rsidRPr="00427931" w:rsidRDefault="00D256BD" w:rsidP="00D256BD">
            <w:pPr>
              <w:jc w:val="both"/>
              <w:rPr>
                <w:rStyle w:val="spelle"/>
              </w:rPr>
            </w:pPr>
            <w:r w:rsidRPr="00427931">
              <w:rPr>
                <w:rStyle w:val="spelle"/>
              </w:rPr>
              <w:t>     1.2. ārējos normatīvajos aktos noteikto uzdevumu izpildi saistībā ar Sabiedrības integrācijas fondu;</w:t>
            </w:r>
          </w:p>
          <w:p w:rsidR="00D256BD" w:rsidRPr="00427931" w:rsidRDefault="00D256BD" w:rsidP="00D256BD">
            <w:pPr>
              <w:jc w:val="both"/>
              <w:rPr>
                <w:rStyle w:val="spelle"/>
              </w:rPr>
            </w:pPr>
            <w:r w:rsidRPr="00427931">
              <w:rPr>
                <w:rStyle w:val="spelle"/>
              </w:rPr>
              <w:t>     2. Iekšlietu ministrijai no 2011.gada 1.jūnija:</w:t>
            </w:r>
          </w:p>
          <w:p w:rsidR="00D256BD" w:rsidRPr="00427931" w:rsidRDefault="00D256BD" w:rsidP="00D256BD">
            <w:pPr>
              <w:jc w:val="both"/>
              <w:rPr>
                <w:rStyle w:val="spelle"/>
              </w:rPr>
            </w:pPr>
            <w:r w:rsidRPr="00427931">
              <w:rPr>
                <w:rStyle w:val="spelle"/>
              </w:rPr>
              <w:t>     2.1. imigrantu integrācijas politikas izstrādi un īstenošanu;</w:t>
            </w:r>
          </w:p>
          <w:p w:rsidR="00D256BD" w:rsidRPr="00427931" w:rsidRDefault="00D256BD" w:rsidP="00D256BD">
            <w:pPr>
              <w:jc w:val="both"/>
              <w:rPr>
                <w:rStyle w:val="spelle"/>
              </w:rPr>
            </w:pPr>
            <w:r w:rsidRPr="00427931">
              <w:rPr>
                <w:rStyle w:val="spelle"/>
              </w:rPr>
              <w:t>     2.2. Eiropas Trešo valstu valstspiederīgo integrācijas fonda pārraudzības funkcijas īstenošanu.</w:t>
            </w:r>
          </w:p>
          <w:p w:rsidR="00D256BD" w:rsidRPr="00427931" w:rsidRDefault="00D256BD" w:rsidP="007319E0">
            <w:pPr>
              <w:jc w:val="both"/>
            </w:pPr>
            <w:r w:rsidRPr="00427931">
              <w:rPr>
                <w:rStyle w:val="spelle"/>
              </w:rPr>
              <w:t xml:space="preserve">Lai nodrošinātu minētā uzdevuma izpildi, Ministru kabinets ar </w:t>
            </w:r>
            <w:proofErr w:type="spellStart"/>
            <w:r w:rsidR="007319E0" w:rsidRPr="00427931">
              <w:rPr>
                <w:rStyle w:val="spelle"/>
              </w:rPr>
              <w:t>protokollēmumu</w:t>
            </w:r>
            <w:proofErr w:type="spellEnd"/>
            <w:r w:rsidR="007319E0" w:rsidRPr="00427931">
              <w:rPr>
                <w:rStyle w:val="spelle"/>
              </w:rPr>
              <w:t xml:space="preserve"> (7.2. punkts)</w:t>
            </w:r>
            <w:r w:rsidRPr="00427931">
              <w:rPr>
                <w:rStyle w:val="spelle"/>
              </w:rPr>
              <w:t xml:space="preserve"> ir uzdevis Tieslietu ministrijai sagatavot un normatīvajos aktos noteiktajā kārtībā iesniegt Ministru kabinetā grozījumu projektu Ministru kabineta 2003.gada 29.aprīļa noteikumos Nr.243 "Tieslietu ministrijas nolikums"</w:t>
            </w:r>
            <w:r w:rsidR="007319E0" w:rsidRPr="00427931">
              <w:rPr>
                <w:rStyle w:val="spelle"/>
              </w:rPr>
              <w:t xml:space="preserve"> (turpmāk – projekts)</w:t>
            </w:r>
            <w:r w:rsidRPr="00427931">
              <w:rPr>
                <w:rStyle w:val="spelle"/>
              </w:rPr>
              <w:t>;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3.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Saistītie politikas ietekmes novērtējumi un pētījumi</w:t>
            </w:r>
          </w:p>
        </w:tc>
        <w:tc>
          <w:tcPr>
            <w:tcW w:w="6697" w:type="dxa"/>
            <w:hideMark/>
          </w:tcPr>
          <w:p w:rsidR="00101E11" w:rsidRPr="00427931" w:rsidRDefault="00504759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Nav attiecināms.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4.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Tiesiskā regulējuma mērķis un būtība</w:t>
            </w:r>
          </w:p>
        </w:tc>
        <w:tc>
          <w:tcPr>
            <w:tcW w:w="6697" w:type="dxa"/>
            <w:hideMark/>
          </w:tcPr>
          <w:p w:rsidR="00E07B2E" w:rsidRPr="00427931" w:rsidRDefault="007319E0" w:rsidP="00F21AAE">
            <w:pPr>
              <w:ind w:firstLine="318"/>
              <w:jc w:val="both"/>
              <w:rPr>
                <w:color w:val="000000" w:themeColor="text1"/>
              </w:rPr>
            </w:pPr>
            <w:r w:rsidRPr="00427931">
              <w:t>Projekts</w:t>
            </w:r>
            <w:r w:rsidR="00D256BD" w:rsidRPr="00427931">
              <w:t xml:space="preserve"> paredz svītrot Tieslietu ministrijas kompetenci izstrādāt tiesību politiku sabiedrības integrācijas jomā, kā arī </w:t>
            </w:r>
            <w:r w:rsidR="000E687F" w:rsidRPr="00427931">
              <w:t xml:space="preserve">koordinēt pilsoniskās sabiedrības attīstību un starpkultūru dialogu. No 2011.gada 1.janvāra </w:t>
            </w:r>
            <w:r w:rsidRPr="00427931">
              <w:t xml:space="preserve">saskaņā ar </w:t>
            </w:r>
            <w:proofErr w:type="spellStart"/>
            <w:r w:rsidRPr="00427931">
              <w:t>protokollēmumā</w:t>
            </w:r>
            <w:proofErr w:type="spellEnd"/>
            <w:r w:rsidRPr="00427931">
              <w:t xml:space="preserve"> </w:t>
            </w:r>
            <w:r w:rsidR="000E687F" w:rsidRPr="00427931">
              <w:t>minēto kompet</w:t>
            </w:r>
            <w:r w:rsidRPr="00427931">
              <w:t>enci pārņem Kultūras ministrija.</w:t>
            </w:r>
            <w:r w:rsidR="000E687F" w:rsidRPr="00427931">
              <w:rPr>
                <w:bCs/>
              </w:rPr>
              <w:t xml:space="preserve"> Projekts precizē Tieslietu ministrijas kompetenci daļā par Kultūras ministrijai nododamo kompetenču apjomu</w:t>
            </w:r>
            <w:r w:rsidRPr="00427931">
              <w:rPr>
                <w:bCs/>
              </w:rPr>
              <w:t xml:space="preserve">. </w:t>
            </w:r>
            <w:r w:rsidR="00F21AAE" w:rsidRPr="00427931">
              <w:rPr>
                <w:bCs/>
              </w:rPr>
              <w:t xml:space="preserve">Projekts skatāms vienlaikus ar </w:t>
            </w:r>
            <w:r w:rsidR="00F21AAE" w:rsidRPr="00427931">
              <w:rPr>
                <w:rStyle w:val="spelle"/>
              </w:rPr>
              <w:t>grozījumu projektu Ministru kabineta 2003.gada 29.aprīļa noteikumos Nr.241 "Kultūras ministrijas nolikums".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lastRenderedPageBreak/>
              <w:t> 5.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Projekta izstrādē iesaistītās institūcijas</w:t>
            </w:r>
          </w:p>
        </w:tc>
        <w:tc>
          <w:tcPr>
            <w:tcW w:w="6697" w:type="dxa"/>
            <w:hideMark/>
          </w:tcPr>
          <w:p w:rsidR="00101E11" w:rsidRPr="00427931" w:rsidRDefault="00480684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Projektu izstrādāja Tieslietu ministrija.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6.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Iemesli, kādēļ netika nodrošināta sabiedrības līdzdalība</w:t>
            </w:r>
          </w:p>
        </w:tc>
        <w:tc>
          <w:tcPr>
            <w:tcW w:w="6697" w:type="dxa"/>
            <w:hideMark/>
          </w:tcPr>
          <w:p w:rsidR="00101E11" w:rsidRPr="00427931" w:rsidRDefault="007212CD" w:rsidP="007319E0">
            <w:pPr>
              <w:spacing w:after="12"/>
              <w:jc w:val="both"/>
              <w:rPr>
                <w:color w:val="000000" w:themeColor="text1"/>
              </w:rPr>
            </w:pPr>
            <w:r w:rsidRPr="00427931">
              <w:t xml:space="preserve">Projekts precizē Tieslietu ministrijas </w:t>
            </w:r>
            <w:r w:rsidR="007319E0" w:rsidRPr="00427931">
              <w:t>kompetenci</w:t>
            </w:r>
            <w:r w:rsidR="000E687F" w:rsidRPr="00427931">
              <w:t xml:space="preserve"> atbilstoši </w:t>
            </w:r>
            <w:proofErr w:type="spellStart"/>
            <w:r w:rsidR="007319E0" w:rsidRPr="00427931">
              <w:t>protokolēmumam</w:t>
            </w:r>
            <w:proofErr w:type="spellEnd"/>
            <w:r w:rsidR="007319E0" w:rsidRPr="00427931">
              <w:t xml:space="preserve"> </w:t>
            </w:r>
            <w:r w:rsidR="000E687F" w:rsidRPr="00427931">
              <w:t xml:space="preserve">par </w:t>
            </w:r>
            <w:r w:rsidR="007319E0" w:rsidRPr="00427931">
              <w:t xml:space="preserve">sabiedrības integrācijas funkcijas </w:t>
            </w:r>
            <w:r w:rsidR="000E687F" w:rsidRPr="00427931">
              <w:t>nodošanu</w:t>
            </w:r>
            <w:r w:rsidR="007319E0" w:rsidRPr="00427931">
              <w:t xml:space="preserve"> Kultūras ministrijai,</w:t>
            </w:r>
            <w:r w:rsidR="000E687F" w:rsidRPr="00427931">
              <w:t xml:space="preserve"> t</w:t>
            </w:r>
            <w:r w:rsidRPr="00427931">
              <w:t>ādējādi p</w:t>
            </w:r>
            <w:r w:rsidR="00480684" w:rsidRPr="00427931">
              <w:rPr>
                <w:color w:val="000000" w:themeColor="text1"/>
              </w:rPr>
              <w:t>rojekts tiešā veidā neietekmē sabiedrības</w:t>
            </w:r>
            <w:r w:rsidRPr="00427931">
              <w:rPr>
                <w:color w:val="000000" w:themeColor="text1"/>
              </w:rPr>
              <w:t xml:space="preserve"> intereses.</w:t>
            </w:r>
            <w:r w:rsidR="00480684" w:rsidRPr="00427931">
              <w:rPr>
                <w:color w:val="000000" w:themeColor="text1"/>
              </w:rPr>
              <w:t xml:space="preserve"> 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7.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Cita informācija</w:t>
            </w:r>
          </w:p>
        </w:tc>
        <w:tc>
          <w:tcPr>
            <w:tcW w:w="6697" w:type="dxa"/>
            <w:hideMark/>
          </w:tcPr>
          <w:p w:rsidR="00101E11" w:rsidRPr="00427931" w:rsidRDefault="00101E11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Nav</w:t>
            </w:r>
            <w:r w:rsidR="00580E1B" w:rsidRPr="00427931">
              <w:rPr>
                <w:color w:val="000000" w:themeColor="text1"/>
              </w:rPr>
              <w:t>.</w:t>
            </w:r>
          </w:p>
        </w:tc>
      </w:tr>
    </w:tbl>
    <w:p w:rsidR="003925BB" w:rsidRPr="00427931" w:rsidRDefault="003925BB" w:rsidP="00D264A1">
      <w:pPr>
        <w:spacing w:after="12"/>
        <w:rPr>
          <w:color w:val="000000" w:themeColor="text1"/>
        </w:rPr>
      </w:pPr>
      <w:r w:rsidRPr="00427931">
        <w:rPr>
          <w:color w:val="000000" w:themeColor="text1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770"/>
        <w:gridCol w:w="5347"/>
      </w:tblGrid>
      <w:tr w:rsidR="003925BB" w:rsidRPr="00427931" w:rsidTr="005178CA">
        <w:trPr>
          <w:trHeight w:val="435"/>
        </w:trPr>
        <w:tc>
          <w:tcPr>
            <w:tcW w:w="9606" w:type="dxa"/>
            <w:gridSpan w:val="3"/>
            <w:vAlign w:val="center"/>
            <w:hideMark/>
          </w:tcPr>
          <w:p w:rsidR="003925BB" w:rsidRPr="00427931" w:rsidRDefault="003925BB" w:rsidP="005178CA">
            <w:pPr>
              <w:spacing w:after="12"/>
              <w:jc w:val="center"/>
              <w:rPr>
                <w:color w:val="000000" w:themeColor="text1"/>
              </w:rPr>
            </w:pPr>
            <w:r w:rsidRPr="00427931">
              <w:rPr>
                <w:b/>
                <w:bCs/>
                <w:color w:val="000000" w:themeColor="text1"/>
              </w:rPr>
              <w:t>VII. Tiesību akta projekta izpildes nodrošināšana un tās ietekme uz institūcijām</w:t>
            </w:r>
          </w:p>
        </w:tc>
      </w:tr>
      <w:tr w:rsidR="003925BB" w:rsidRPr="00427931" w:rsidTr="003242F8">
        <w:trPr>
          <w:trHeight w:val="427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1.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izpildē iesaistītās institūcijas</w:t>
            </w:r>
          </w:p>
        </w:tc>
        <w:tc>
          <w:tcPr>
            <w:tcW w:w="5347" w:type="dxa"/>
            <w:hideMark/>
          </w:tcPr>
          <w:p w:rsidR="003925BB" w:rsidRPr="00427931" w:rsidRDefault="00295D05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Tieslietu ministrija.</w:t>
            </w:r>
          </w:p>
        </w:tc>
      </w:tr>
      <w:tr w:rsidR="003925BB" w:rsidRPr="00427931" w:rsidTr="003242F8">
        <w:trPr>
          <w:trHeight w:val="463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2.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izpildes ietekme uz pārvaldes funkcijām</w:t>
            </w:r>
          </w:p>
        </w:tc>
        <w:tc>
          <w:tcPr>
            <w:tcW w:w="5347" w:type="dxa"/>
            <w:hideMark/>
          </w:tcPr>
          <w:p w:rsidR="003925BB" w:rsidRPr="00427931" w:rsidRDefault="003C353A" w:rsidP="00E775FE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 xml:space="preserve">Projekts </w:t>
            </w:r>
            <w:r w:rsidR="00E775FE" w:rsidRPr="00427931">
              <w:rPr>
                <w:color w:val="000000" w:themeColor="text1"/>
              </w:rPr>
              <w:t xml:space="preserve">sašaurinās </w:t>
            </w:r>
            <w:r w:rsidRPr="00427931">
              <w:rPr>
                <w:color w:val="000000" w:themeColor="text1"/>
              </w:rPr>
              <w:t>Tieslietu ministrija</w:t>
            </w:r>
            <w:r w:rsidR="00E775FE" w:rsidRPr="00427931">
              <w:rPr>
                <w:color w:val="000000" w:themeColor="text1"/>
              </w:rPr>
              <w:t xml:space="preserve">s </w:t>
            </w:r>
            <w:r w:rsidRPr="00427931">
              <w:rPr>
                <w:color w:val="000000" w:themeColor="text1"/>
              </w:rPr>
              <w:t xml:space="preserve">funkcijas, </w:t>
            </w:r>
            <w:r w:rsidR="00E775FE" w:rsidRPr="00427931">
              <w:rPr>
                <w:color w:val="000000" w:themeColor="text1"/>
              </w:rPr>
              <w:t xml:space="preserve">svītrojot ministrijas </w:t>
            </w:r>
            <w:r w:rsidR="00E775FE" w:rsidRPr="00427931">
              <w:t>kompetenci izstrādāt tiesību politiku sabiedrības integrācijas jomā, kā arī koordinēt pilsoniskās sabiedrības attīstību un starpkultūru dialogu</w:t>
            </w:r>
          </w:p>
        </w:tc>
      </w:tr>
      <w:tr w:rsidR="003925BB" w:rsidRPr="00427931" w:rsidTr="003242F8">
        <w:trPr>
          <w:trHeight w:val="725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3.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izpildes ietekme uz pārvaldes institucionālo struktūru.</w:t>
            </w:r>
          </w:p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Jaunu institūciju izveide</w:t>
            </w:r>
          </w:p>
        </w:tc>
        <w:tc>
          <w:tcPr>
            <w:tcW w:w="5347" w:type="dxa"/>
            <w:hideMark/>
          </w:tcPr>
          <w:p w:rsidR="003925BB" w:rsidRPr="00427931" w:rsidRDefault="00295D05" w:rsidP="003C353A">
            <w:pPr>
              <w:spacing w:after="12"/>
              <w:jc w:val="both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Saistībā ar projekta izpildi nav nepieciešams veidot jaunas institūcijas.</w:t>
            </w:r>
          </w:p>
        </w:tc>
      </w:tr>
      <w:tr w:rsidR="003925BB" w:rsidRPr="00427931" w:rsidTr="003242F8">
        <w:trPr>
          <w:trHeight w:val="780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4.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izpildes ietekme uz pārvaldes institucionālo struktūru.</w:t>
            </w:r>
          </w:p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Esošu institūciju likvidācija</w:t>
            </w:r>
          </w:p>
        </w:tc>
        <w:tc>
          <w:tcPr>
            <w:tcW w:w="5347" w:type="dxa"/>
            <w:hideMark/>
          </w:tcPr>
          <w:p w:rsidR="003925BB" w:rsidRPr="00427931" w:rsidRDefault="00295D05" w:rsidP="003C353A">
            <w:pPr>
              <w:spacing w:after="12"/>
              <w:jc w:val="both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 xml:space="preserve">Saistībā ar </w:t>
            </w:r>
            <w:r w:rsidR="003C353A" w:rsidRPr="00427931">
              <w:rPr>
                <w:color w:val="000000" w:themeColor="text1"/>
              </w:rPr>
              <w:t>p</w:t>
            </w:r>
            <w:r w:rsidRPr="00427931">
              <w:rPr>
                <w:color w:val="000000" w:themeColor="text1"/>
              </w:rPr>
              <w:t>rojekta izpildi nav plānots likvidēt esošās institūcijas.</w:t>
            </w:r>
          </w:p>
        </w:tc>
      </w:tr>
      <w:tr w:rsidR="003925BB" w:rsidRPr="00427931" w:rsidTr="003242F8">
        <w:trPr>
          <w:trHeight w:val="703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5.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izpildes ietekme uz pārvaldes institucionālo struktūru.</w:t>
            </w:r>
          </w:p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Esošu institūciju reorganizācija</w:t>
            </w:r>
          </w:p>
        </w:tc>
        <w:tc>
          <w:tcPr>
            <w:tcW w:w="5347" w:type="dxa"/>
            <w:hideMark/>
          </w:tcPr>
          <w:p w:rsidR="003925BB" w:rsidRPr="00427931" w:rsidRDefault="00295D05" w:rsidP="003C353A">
            <w:pPr>
              <w:spacing w:after="12"/>
              <w:jc w:val="both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Saistībā ar projekta izpildi nav plānots reorganizēt esošu institūciju vai arī apvienot esošas institūcijas.</w:t>
            </w:r>
          </w:p>
        </w:tc>
      </w:tr>
      <w:tr w:rsidR="003925BB" w:rsidRPr="00110777" w:rsidTr="003242F8">
        <w:trPr>
          <w:trHeight w:val="476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6.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Cita informācija</w:t>
            </w:r>
          </w:p>
        </w:tc>
        <w:tc>
          <w:tcPr>
            <w:tcW w:w="5347" w:type="dxa"/>
            <w:hideMark/>
          </w:tcPr>
          <w:p w:rsidR="003925BB" w:rsidRPr="00110777" w:rsidRDefault="00295D05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Nav.</w:t>
            </w:r>
          </w:p>
        </w:tc>
      </w:tr>
    </w:tbl>
    <w:p w:rsidR="003925BB" w:rsidRPr="00110777" w:rsidRDefault="003925BB" w:rsidP="00D264A1">
      <w:pPr>
        <w:spacing w:after="12"/>
        <w:rPr>
          <w:color w:val="000000" w:themeColor="text1"/>
        </w:rPr>
      </w:pPr>
      <w:r w:rsidRPr="00110777">
        <w:rPr>
          <w:color w:val="000000" w:themeColor="text1"/>
        </w:rPr>
        <w:t> </w:t>
      </w:r>
    </w:p>
    <w:p w:rsidR="00EC5E94" w:rsidRPr="00110777" w:rsidRDefault="00EC5E94" w:rsidP="00EC5E94">
      <w:pPr>
        <w:spacing w:after="12"/>
        <w:rPr>
          <w:i/>
          <w:iCs/>
          <w:color w:val="000000" w:themeColor="text1"/>
        </w:rPr>
      </w:pPr>
      <w:r w:rsidRPr="00110777">
        <w:rPr>
          <w:b/>
          <w:i/>
          <w:iCs/>
          <w:color w:val="000000" w:themeColor="text1"/>
        </w:rPr>
        <w:t>Anotācijas II, III, IV, V, VI sadaļa</w:t>
      </w:r>
      <w:r w:rsidRPr="00110777">
        <w:rPr>
          <w:i/>
          <w:iCs/>
          <w:color w:val="000000" w:themeColor="text1"/>
        </w:rPr>
        <w:t> – nav attiecināms.</w:t>
      </w:r>
    </w:p>
    <w:p w:rsidR="00EC5E94" w:rsidRDefault="00EC5E94" w:rsidP="00A13300">
      <w:pPr>
        <w:spacing w:after="12"/>
        <w:rPr>
          <w:color w:val="000000" w:themeColor="text1"/>
        </w:rPr>
      </w:pPr>
      <w:r w:rsidRPr="00110777">
        <w:rPr>
          <w:color w:val="000000" w:themeColor="text1"/>
        </w:rPr>
        <w:t> </w:t>
      </w:r>
    </w:p>
    <w:p w:rsidR="003F250B" w:rsidRPr="00110777" w:rsidRDefault="003F250B" w:rsidP="00A13300">
      <w:pPr>
        <w:spacing w:after="12"/>
        <w:rPr>
          <w:color w:val="000000" w:themeColor="text1"/>
        </w:rPr>
      </w:pPr>
    </w:p>
    <w:p w:rsidR="00A13300" w:rsidRPr="00110777" w:rsidRDefault="00300EAF" w:rsidP="00A13300">
      <w:pPr>
        <w:tabs>
          <w:tab w:val="left" w:pos="5812"/>
        </w:tabs>
        <w:spacing w:after="12"/>
        <w:rPr>
          <w:color w:val="000000" w:themeColor="text1"/>
        </w:rPr>
      </w:pPr>
      <w:r>
        <w:rPr>
          <w:color w:val="000000" w:themeColor="text1"/>
        </w:rPr>
        <w:t>Tieslietu</w:t>
      </w:r>
      <w:r w:rsidR="00A13300" w:rsidRPr="00110777">
        <w:rPr>
          <w:color w:val="000000" w:themeColor="text1"/>
        </w:rPr>
        <w:t xml:space="preserve"> ministrs</w:t>
      </w:r>
      <w:r w:rsidR="00A13300" w:rsidRPr="00110777">
        <w:rPr>
          <w:color w:val="000000" w:themeColor="text1"/>
        </w:rPr>
        <w:tab/>
      </w:r>
      <w:r w:rsidR="00A13300" w:rsidRPr="00110777">
        <w:rPr>
          <w:color w:val="000000" w:themeColor="text1"/>
        </w:rPr>
        <w:tab/>
      </w:r>
      <w:r>
        <w:rPr>
          <w:color w:val="000000" w:themeColor="text1"/>
        </w:rPr>
        <w:t>A.Štokenbergs</w:t>
      </w:r>
    </w:p>
    <w:p w:rsidR="003925BB" w:rsidRPr="00110777" w:rsidRDefault="003925BB" w:rsidP="00D264A1">
      <w:pPr>
        <w:spacing w:after="12"/>
        <w:rPr>
          <w:color w:val="000000" w:themeColor="text1"/>
        </w:rPr>
      </w:pPr>
      <w:r w:rsidRPr="00110777">
        <w:rPr>
          <w:color w:val="000000" w:themeColor="text1"/>
        </w:rPr>
        <w:t xml:space="preserve"> </w:t>
      </w:r>
    </w:p>
    <w:p w:rsidR="003925BB" w:rsidRDefault="003925BB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3F250B" w:rsidRPr="00110777" w:rsidRDefault="003F250B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00EAF" w:rsidRDefault="00300EAF" w:rsidP="002C662B">
      <w:pPr>
        <w:spacing w:after="12"/>
        <w:rPr>
          <w:color w:val="000000" w:themeColor="text1"/>
          <w:sz w:val="20"/>
          <w:szCs w:val="20"/>
        </w:rPr>
      </w:pPr>
    </w:p>
    <w:p w:rsidR="003925BB" w:rsidRPr="00110777" w:rsidRDefault="00300EAF" w:rsidP="002C662B">
      <w:pPr>
        <w:spacing w:after="1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17.12</w:t>
      </w:r>
      <w:r w:rsidR="003925BB" w:rsidRPr="00110777">
        <w:rPr>
          <w:color w:val="000000" w:themeColor="text1"/>
          <w:sz w:val="20"/>
          <w:szCs w:val="20"/>
        </w:rPr>
        <w:t xml:space="preserve">.2010. </w:t>
      </w:r>
      <w:r>
        <w:rPr>
          <w:color w:val="000000" w:themeColor="text1"/>
          <w:sz w:val="20"/>
          <w:szCs w:val="20"/>
        </w:rPr>
        <w:t>12</w:t>
      </w:r>
      <w:r w:rsidR="00295D05" w:rsidRPr="00110777">
        <w:rPr>
          <w:color w:val="000000" w:themeColor="text1"/>
          <w:sz w:val="20"/>
          <w:szCs w:val="20"/>
        </w:rPr>
        <w:t>:</w:t>
      </w:r>
      <w:r w:rsidR="003C353A">
        <w:rPr>
          <w:color w:val="000000" w:themeColor="text1"/>
          <w:sz w:val="20"/>
          <w:szCs w:val="20"/>
        </w:rPr>
        <w:t>00</w:t>
      </w:r>
    </w:p>
    <w:p w:rsidR="003925BB" w:rsidRPr="00110777" w:rsidRDefault="00E775FE" w:rsidP="002C662B">
      <w:pPr>
        <w:spacing w:after="1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="00F21AAE">
        <w:rPr>
          <w:color w:val="000000" w:themeColor="text1"/>
          <w:sz w:val="20"/>
          <w:szCs w:val="20"/>
        </w:rPr>
        <w:t>94</w:t>
      </w:r>
    </w:p>
    <w:p w:rsidR="003925BB" w:rsidRPr="00110777" w:rsidRDefault="00300EAF" w:rsidP="002C662B">
      <w:pPr>
        <w:tabs>
          <w:tab w:val="left" w:pos="2295"/>
        </w:tabs>
        <w:spacing w:after="12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A.Rācene-Krūmiņa</w:t>
      </w:r>
      <w:proofErr w:type="spellEnd"/>
      <w:r w:rsidR="003925BB" w:rsidRPr="00110777">
        <w:rPr>
          <w:color w:val="000000" w:themeColor="text1"/>
          <w:sz w:val="20"/>
          <w:szCs w:val="20"/>
        </w:rPr>
        <w:tab/>
      </w:r>
    </w:p>
    <w:p w:rsidR="00300EAF" w:rsidRDefault="003925BB" w:rsidP="00EC5E94">
      <w:pPr>
        <w:spacing w:after="12"/>
        <w:jc w:val="both"/>
        <w:rPr>
          <w:color w:val="000000" w:themeColor="text1"/>
          <w:sz w:val="20"/>
          <w:szCs w:val="20"/>
        </w:rPr>
      </w:pPr>
      <w:r w:rsidRPr="00110777">
        <w:rPr>
          <w:color w:val="000000" w:themeColor="text1"/>
          <w:sz w:val="20"/>
          <w:szCs w:val="20"/>
        </w:rPr>
        <w:t>67036</w:t>
      </w:r>
      <w:r w:rsidR="00300EAF">
        <w:rPr>
          <w:color w:val="000000" w:themeColor="text1"/>
          <w:sz w:val="20"/>
          <w:szCs w:val="20"/>
        </w:rPr>
        <w:t>734</w:t>
      </w:r>
      <w:r w:rsidRPr="00110777">
        <w:rPr>
          <w:color w:val="000000" w:themeColor="text1"/>
          <w:sz w:val="20"/>
          <w:szCs w:val="20"/>
        </w:rPr>
        <w:t>,</w:t>
      </w:r>
    </w:p>
    <w:p w:rsidR="002C662B" w:rsidRPr="00110777" w:rsidRDefault="00300EAF" w:rsidP="00EC5E94">
      <w:pPr>
        <w:spacing w:after="1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Agnese.Racene-Krumina</w:t>
      </w:r>
      <w:r w:rsidR="003925BB" w:rsidRPr="00110777">
        <w:rPr>
          <w:color w:val="000000" w:themeColor="text1"/>
          <w:sz w:val="20"/>
          <w:szCs w:val="20"/>
        </w:rPr>
        <w:t>@tm.gov.lv</w:t>
      </w:r>
    </w:p>
    <w:sectPr w:rsidR="002C662B" w:rsidRPr="00110777" w:rsidSect="00D264A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E0" w:rsidRDefault="007319E0">
      <w:r>
        <w:separator/>
      </w:r>
    </w:p>
  </w:endnote>
  <w:endnote w:type="continuationSeparator" w:id="0">
    <w:p w:rsidR="007319E0" w:rsidRDefault="0073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0" w:rsidRPr="00EC5E94" w:rsidRDefault="007319E0" w:rsidP="00EC5E94">
    <w:pPr>
      <w:jc w:val="both"/>
      <w:rPr>
        <w:color w:val="000000" w:themeColor="text1"/>
        <w:sz w:val="20"/>
        <w:szCs w:val="20"/>
      </w:rPr>
    </w:pPr>
    <w:r w:rsidRPr="00EC5E94">
      <w:rPr>
        <w:color w:val="000000" w:themeColor="text1"/>
        <w:sz w:val="20"/>
        <w:szCs w:val="20"/>
      </w:rPr>
      <w:t>TMAnot_</w:t>
    </w:r>
    <w:r>
      <w:rPr>
        <w:color w:val="000000" w:themeColor="text1"/>
        <w:sz w:val="20"/>
        <w:szCs w:val="20"/>
      </w:rPr>
      <w:t>1712</w:t>
    </w:r>
    <w:r w:rsidRPr="00EC5E94">
      <w:rPr>
        <w:color w:val="000000" w:themeColor="text1"/>
        <w:sz w:val="20"/>
        <w:szCs w:val="20"/>
      </w:rPr>
      <w:t xml:space="preserve">10_TM_nolikums; Ministru kabineta noteikumu projekta </w:t>
    </w:r>
    <w:r w:rsidRPr="00EC5E94">
      <w:rPr>
        <w:bCs/>
        <w:sz w:val="20"/>
        <w:szCs w:val="20"/>
      </w:rPr>
      <w:t>"</w:t>
    </w:r>
    <w:r>
      <w:rPr>
        <w:color w:val="000000" w:themeColor="text1"/>
        <w:sz w:val="20"/>
        <w:szCs w:val="20"/>
      </w:rPr>
      <w:t xml:space="preserve">Grozījumi </w:t>
    </w:r>
    <w:r w:rsidRPr="00EC5E94">
      <w:rPr>
        <w:bCs/>
        <w:sz w:val="20"/>
        <w:szCs w:val="20"/>
      </w:rPr>
      <w:t>Ministru kabineta 2003. gada 29. aprīļa noteikumos Nr. 243 "Tieslietu ministrijas nolikums""</w:t>
    </w:r>
    <w:r w:rsidRPr="00EC5E94">
      <w:rPr>
        <w:bCs/>
        <w:color w:val="000000" w:themeColor="text1"/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0" w:rsidRPr="00EC5E94" w:rsidRDefault="007319E0" w:rsidP="00487A85">
    <w:pPr>
      <w:jc w:val="both"/>
      <w:rPr>
        <w:color w:val="000000" w:themeColor="text1"/>
        <w:sz w:val="20"/>
        <w:szCs w:val="20"/>
      </w:rPr>
    </w:pPr>
    <w:r w:rsidRPr="00EC5E94">
      <w:rPr>
        <w:color w:val="000000" w:themeColor="text1"/>
        <w:sz w:val="20"/>
        <w:szCs w:val="20"/>
      </w:rPr>
      <w:t>TMAnot_</w:t>
    </w:r>
    <w:r>
      <w:rPr>
        <w:color w:val="000000" w:themeColor="text1"/>
        <w:sz w:val="20"/>
        <w:szCs w:val="20"/>
      </w:rPr>
      <w:t>1712</w:t>
    </w:r>
    <w:r w:rsidRPr="00EC5E94">
      <w:rPr>
        <w:color w:val="000000" w:themeColor="text1"/>
        <w:sz w:val="20"/>
        <w:szCs w:val="20"/>
      </w:rPr>
      <w:t xml:space="preserve">10_TM_nolikums; </w:t>
    </w:r>
    <w:bookmarkStart w:id="4" w:name="OLE_LINK3"/>
    <w:bookmarkStart w:id="5" w:name="OLE_LINK4"/>
    <w:r w:rsidRPr="00EC5E94">
      <w:rPr>
        <w:color w:val="000000" w:themeColor="text1"/>
        <w:sz w:val="20"/>
        <w:szCs w:val="20"/>
      </w:rPr>
      <w:t xml:space="preserve">Ministru kabineta noteikumu projekta </w:t>
    </w:r>
    <w:r w:rsidRPr="00EC5E94">
      <w:rPr>
        <w:bCs/>
        <w:sz w:val="20"/>
        <w:szCs w:val="20"/>
      </w:rPr>
      <w:t>"</w:t>
    </w:r>
    <w:r>
      <w:rPr>
        <w:color w:val="000000" w:themeColor="text1"/>
        <w:sz w:val="20"/>
        <w:szCs w:val="20"/>
      </w:rPr>
      <w:t xml:space="preserve">Grozījumi </w:t>
    </w:r>
    <w:r w:rsidRPr="00EC5E94">
      <w:rPr>
        <w:bCs/>
        <w:sz w:val="20"/>
        <w:szCs w:val="20"/>
      </w:rPr>
      <w:t>Ministru kabineta 2003. gada 29. aprīļa noteikumos Nr. 243 "Tieslietu ministrijas nolikums""</w:t>
    </w:r>
    <w:r w:rsidRPr="00EC5E94">
      <w:rPr>
        <w:bCs/>
        <w:color w:val="000000" w:themeColor="text1"/>
        <w:sz w:val="20"/>
        <w:szCs w:val="20"/>
      </w:rPr>
      <w:t xml:space="preserve"> </w:t>
    </w:r>
    <w:bookmarkStart w:id="6" w:name="OLE_LINK5"/>
    <w:bookmarkStart w:id="7" w:name="OLE_LINK6"/>
    <w:r w:rsidRPr="00EC5E94">
      <w:rPr>
        <w:bCs/>
        <w:color w:val="000000" w:themeColor="text1"/>
        <w:sz w:val="20"/>
        <w:szCs w:val="20"/>
      </w:rPr>
      <w:t xml:space="preserve">sākotnējās ietekmes novērtējuma ziņojums </w:t>
    </w:r>
    <w:bookmarkEnd w:id="6"/>
    <w:bookmarkEnd w:id="7"/>
    <w:r w:rsidRPr="00EC5E94">
      <w:rPr>
        <w:bCs/>
        <w:color w:val="000000" w:themeColor="text1"/>
        <w:sz w:val="20"/>
        <w:szCs w:val="20"/>
      </w:rPr>
      <w:t>(anotācija)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E0" w:rsidRDefault="007319E0">
      <w:r>
        <w:separator/>
      </w:r>
    </w:p>
  </w:footnote>
  <w:footnote w:type="continuationSeparator" w:id="0">
    <w:p w:rsidR="007319E0" w:rsidRDefault="0073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0" w:rsidRDefault="00303682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319E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319E0" w:rsidRDefault="007319E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0" w:rsidRDefault="00303682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319E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28E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319E0" w:rsidRDefault="007319E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E1623B"/>
    <w:multiLevelType w:val="hybridMultilevel"/>
    <w:tmpl w:val="1B749CDE"/>
    <w:lvl w:ilvl="0" w:tplc="4438AE1C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3" w:hanging="360"/>
      </w:pPr>
    </w:lvl>
    <w:lvl w:ilvl="2" w:tplc="0426001B" w:tentative="1">
      <w:start w:val="1"/>
      <w:numFmt w:val="lowerRoman"/>
      <w:lvlText w:val="%3."/>
      <w:lvlJc w:val="right"/>
      <w:pPr>
        <w:ind w:left="2043" w:hanging="180"/>
      </w:pPr>
    </w:lvl>
    <w:lvl w:ilvl="3" w:tplc="0426000F" w:tentative="1">
      <w:start w:val="1"/>
      <w:numFmt w:val="decimal"/>
      <w:lvlText w:val="%4."/>
      <w:lvlJc w:val="left"/>
      <w:pPr>
        <w:ind w:left="2763" w:hanging="360"/>
      </w:pPr>
    </w:lvl>
    <w:lvl w:ilvl="4" w:tplc="04260019" w:tentative="1">
      <w:start w:val="1"/>
      <w:numFmt w:val="lowerLetter"/>
      <w:lvlText w:val="%5."/>
      <w:lvlJc w:val="left"/>
      <w:pPr>
        <w:ind w:left="3483" w:hanging="360"/>
      </w:pPr>
    </w:lvl>
    <w:lvl w:ilvl="5" w:tplc="0426001B" w:tentative="1">
      <w:start w:val="1"/>
      <w:numFmt w:val="lowerRoman"/>
      <w:lvlText w:val="%6."/>
      <w:lvlJc w:val="right"/>
      <w:pPr>
        <w:ind w:left="4203" w:hanging="180"/>
      </w:pPr>
    </w:lvl>
    <w:lvl w:ilvl="6" w:tplc="0426000F" w:tentative="1">
      <w:start w:val="1"/>
      <w:numFmt w:val="decimal"/>
      <w:lvlText w:val="%7."/>
      <w:lvlJc w:val="left"/>
      <w:pPr>
        <w:ind w:left="4923" w:hanging="360"/>
      </w:pPr>
    </w:lvl>
    <w:lvl w:ilvl="7" w:tplc="04260019" w:tentative="1">
      <w:start w:val="1"/>
      <w:numFmt w:val="lowerLetter"/>
      <w:lvlText w:val="%8."/>
      <w:lvlJc w:val="left"/>
      <w:pPr>
        <w:ind w:left="5643" w:hanging="360"/>
      </w:pPr>
    </w:lvl>
    <w:lvl w:ilvl="8" w:tplc="0426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269D1"/>
    <w:multiLevelType w:val="hybridMultilevel"/>
    <w:tmpl w:val="543C0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3296"/>
    <w:rsid w:val="00011D24"/>
    <w:rsid w:val="00011E99"/>
    <w:rsid w:val="00013FF4"/>
    <w:rsid w:val="00020FE1"/>
    <w:rsid w:val="00022E13"/>
    <w:rsid w:val="00026039"/>
    <w:rsid w:val="00030950"/>
    <w:rsid w:val="00032388"/>
    <w:rsid w:val="000335F0"/>
    <w:rsid w:val="00035CE2"/>
    <w:rsid w:val="00042FF6"/>
    <w:rsid w:val="0005553B"/>
    <w:rsid w:val="0006041D"/>
    <w:rsid w:val="000604D2"/>
    <w:rsid w:val="0009005E"/>
    <w:rsid w:val="000941C5"/>
    <w:rsid w:val="000A10E1"/>
    <w:rsid w:val="000A261E"/>
    <w:rsid w:val="000A6451"/>
    <w:rsid w:val="000B064E"/>
    <w:rsid w:val="000B69CF"/>
    <w:rsid w:val="000C2776"/>
    <w:rsid w:val="000C790C"/>
    <w:rsid w:val="000E687F"/>
    <w:rsid w:val="000F061D"/>
    <w:rsid w:val="000F157F"/>
    <w:rsid w:val="000F3DFA"/>
    <w:rsid w:val="000F4794"/>
    <w:rsid w:val="000F6F85"/>
    <w:rsid w:val="00101E11"/>
    <w:rsid w:val="0010594A"/>
    <w:rsid w:val="00110777"/>
    <w:rsid w:val="00124F12"/>
    <w:rsid w:val="00130DE3"/>
    <w:rsid w:val="00144E3A"/>
    <w:rsid w:val="0015060C"/>
    <w:rsid w:val="00153F26"/>
    <w:rsid w:val="0016018A"/>
    <w:rsid w:val="00161F0E"/>
    <w:rsid w:val="00166F9F"/>
    <w:rsid w:val="00170E2A"/>
    <w:rsid w:val="00175FE2"/>
    <w:rsid w:val="00177394"/>
    <w:rsid w:val="0018264E"/>
    <w:rsid w:val="00182C18"/>
    <w:rsid w:val="00183CC2"/>
    <w:rsid w:val="001900E4"/>
    <w:rsid w:val="00190F88"/>
    <w:rsid w:val="001A4066"/>
    <w:rsid w:val="001A6AE4"/>
    <w:rsid w:val="001B01FD"/>
    <w:rsid w:val="001B4A71"/>
    <w:rsid w:val="001C10C5"/>
    <w:rsid w:val="001C598C"/>
    <w:rsid w:val="001D4ED5"/>
    <w:rsid w:val="001D5B54"/>
    <w:rsid w:val="001D5DF5"/>
    <w:rsid w:val="001E008E"/>
    <w:rsid w:val="001E0DF1"/>
    <w:rsid w:val="001E1DBF"/>
    <w:rsid w:val="001E4639"/>
    <w:rsid w:val="001E4A7D"/>
    <w:rsid w:val="001F0DE2"/>
    <w:rsid w:val="001F15FF"/>
    <w:rsid w:val="001F43A8"/>
    <w:rsid w:val="001F5CD6"/>
    <w:rsid w:val="002019AC"/>
    <w:rsid w:val="00201AC3"/>
    <w:rsid w:val="002052B0"/>
    <w:rsid w:val="0021263D"/>
    <w:rsid w:val="00213F0C"/>
    <w:rsid w:val="00214094"/>
    <w:rsid w:val="0021592D"/>
    <w:rsid w:val="00222D76"/>
    <w:rsid w:val="00223EB1"/>
    <w:rsid w:val="00227A72"/>
    <w:rsid w:val="002302F5"/>
    <w:rsid w:val="00231344"/>
    <w:rsid w:val="0023436E"/>
    <w:rsid w:val="002347C0"/>
    <w:rsid w:val="00241A6C"/>
    <w:rsid w:val="002422CD"/>
    <w:rsid w:val="00242D2B"/>
    <w:rsid w:val="00243E30"/>
    <w:rsid w:val="00246CE7"/>
    <w:rsid w:val="00261FD0"/>
    <w:rsid w:val="00262E2B"/>
    <w:rsid w:val="00270429"/>
    <w:rsid w:val="002707E6"/>
    <w:rsid w:val="002718EE"/>
    <w:rsid w:val="002723E9"/>
    <w:rsid w:val="00276959"/>
    <w:rsid w:val="00277929"/>
    <w:rsid w:val="0028027B"/>
    <w:rsid w:val="00283B82"/>
    <w:rsid w:val="002846E9"/>
    <w:rsid w:val="00284C34"/>
    <w:rsid w:val="00287422"/>
    <w:rsid w:val="0029066C"/>
    <w:rsid w:val="00295D05"/>
    <w:rsid w:val="002A40C3"/>
    <w:rsid w:val="002B320F"/>
    <w:rsid w:val="002B50DB"/>
    <w:rsid w:val="002C12AB"/>
    <w:rsid w:val="002C662B"/>
    <w:rsid w:val="002C7CAC"/>
    <w:rsid w:val="002D3306"/>
    <w:rsid w:val="002D48AA"/>
    <w:rsid w:val="002D5C8E"/>
    <w:rsid w:val="002D7BAA"/>
    <w:rsid w:val="002D7F54"/>
    <w:rsid w:val="002E0B01"/>
    <w:rsid w:val="002E3FF4"/>
    <w:rsid w:val="002F2EF5"/>
    <w:rsid w:val="002F78C8"/>
    <w:rsid w:val="00300EAF"/>
    <w:rsid w:val="00301CF3"/>
    <w:rsid w:val="00303682"/>
    <w:rsid w:val="00305EC3"/>
    <w:rsid w:val="003179CA"/>
    <w:rsid w:val="003242F8"/>
    <w:rsid w:val="0032715C"/>
    <w:rsid w:val="0033229D"/>
    <w:rsid w:val="00337CA5"/>
    <w:rsid w:val="00345F27"/>
    <w:rsid w:val="00346752"/>
    <w:rsid w:val="00360B4F"/>
    <w:rsid w:val="00362478"/>
    <w:rsid w:val="0036706B"/>
    <w:rsid w:val="00375B25"/>
    <w:rsid w:val="00382C03"/>
    <w:rsid w:val="003925BB"/>
    <w:rsid w:val="00396542"/>
    <w:rsid w:val="0039685B"/>
    <w:rsid w:val="003A14A4"/>
    <w:rsid w:val="003A31A6"/>
    <w:rsid w:val="003A7F0C"/>
    <w:rsid w:val="003A7F79"/>
    <w:rsid w:val="003B0CA0"/>
    <w:rsid w:val="003B6404"/>
    <w:rsid w:val="003C353A"/>
    <w:rsid w:val="003C449B"/>
    <w:rsid w:val="003D1BCE"/>
    <w:rsid w:val="003D21FF"/>
    <w:rsid w:val="003F0112"/>
    <w:rsid w:val="003F071A"/>
    <w:rsid w:val="003F160B"/>
    <w:rsid w:val="003F167F"/>
    <w:rsid w:val="003F250B"/>
    <w:rsid w:val="003F6E10"/>
    <w:rsid w:val="00400032"/>
    <w:rsid w:val="00400B5B"/>
    <w:rsid w:val="00405A00"/>
    <w:rsid w:val="00406CE0"/>
    <w:rsid w:val="00420870"/>
    <w:rsid w:val="0042412F"/>
    <w:rsid w:val="00425C4B"/>
    <w:rsid w:val="00427931"/>
    <w:rsid w:val="00436D85"/>
    <w:rsid w:val="0043791B"/>
    <w:rsid w:val="004411C7"/>
    <w:rsid w:val="00441483"/>
    <w:rsid w:val="00441BCB"/>
    <w:rsid w:val="004448BC"/>
    <w:rsid w:val="0045176A"/>
    <w:rsid w:val="00455D0D"/>
    <w:rsid w:val="00456332"/>
    <w:rsid w:val="00461826"/>
    <w:rsid w:val="00466A5B"/>
    <w:rsid w:val="004678C9"/>
    <w:rsid w:val="00472C11"/>
    <w:rsid w:val="004764AC"/>
    <w:rsid w:val="00477A78"/>
    <w:rsid w:val="004800F9"/>
    <w:rsid w:val="00480684"/>
    <w:rsid w:val="00487A85"/>
    <w:rsid w:val="004900B0"/>
    <w:rsid w:val="0049134A"/>
    <w:rsid w:val="004A1C30"/>
    <w:rsid w:val="004A43B6"/>
    <w:rsid w:val="004A58CB"/>
    <w:rsid w:val="004B1795"/>
    <w:rsid w:val="004B5362"/>
    <w:rsid w:val="004B56DD"/>
    <w:rsid w:val="004B5A1A"/>
    <w:rsid w:val="004B7373"/>
    <w:rsid w:val="004C020F"/>
    <w:rsid w:val="004C1AFD"/>
    <w:rsid w:val="004C558B"/>
    <w:rsid w:val="004D068B"/>
    <w:rsid w:val="004D7F2E"/>
    <w:rsid w:val="004E38C3"/>
    <w:rsid w:val="004E7B77"/>
    <w:rsid w:val="004F1F88"/>
    <w:rsid w:val="004F2FCB"/>
    <w:rsid w:val="004F5F1B"/>
    <w:rsid w:val="00502374"/>
    <w:rsid w:val="00502D37"/>
    <w:rsid w:val="00504759"/>
    <w:rsid w:val="00504E12"/>
    <w:rsid w:val="005060A1"/>
    <w:rsid w:val="0050715D"/>
    <w:rsid w:val="00511030"/>
    <w:rsid w:val="00514C25"/>
    <w:rsid w:val="00516072"/>
    <w:rsid w:val="005178CA"/>
    <w:rsid w:val="005332EC"/>
    <w:rsid w:val="00534418"/>
    <w:rsid w:val="005353AB"/>
    <w:rsid w:val="00545B96"/>
    <w:rsid w:val="005474A6"/>
    <w:rsid w:val="005510C7"/>
    <w:rsid w:val="00553D22"/>
    <w:rsid w:val="005560BC"/>
    <w:rsid w:val="005573BE"/>
    <w:rsid w:val="00560461"/>
    <w:rsid w:val="00566289"/>
    <w:rsid w:val="00572700"/>
    <w:rsid w:val="00580468"/>
    <w:rsid w:val="00580E1B"/>
    <w:rsid w:val="0058118F"/>
    <w:rsid w:val="005813CA"/>
    <w:rsid w:val="0058603B"/>
    <w:rsid w:val="00593FDF"/>
    <w:rsid w:val="0059431B"/>
    <w:rsid w:val="005A39CC"/>
    <w:rsid w:val="005A47D4"/>
    <w:rsid w:val="005B4730"/>
    <w:rsid w:val="005B4B51"/>
    <w:rsid w:val="005B5A3F"/>
    <w:rsid w:val="005C4819"/>
    <w:rsid w:val="005E05D7"/>
    <w:rsid w:val="005E41E7"/>
    <w:rsid w:val="005E450F"/>
    <w:rsid w:val="0060208E"/>
    <w:rsid w:val="00602EFC"/>
    <w:rsid w:val="006033C6"/>
    <w:rsid w:val="0062298A"/>
    <w:rsid w:val="00626514"/>
    <w:rsid w:val="00626589"/>
    <w:rsid w:val="006334DB"/>
    <w:rsid w:val="006339A0"/>
    <w:rsid w:val="006368E0"/>
    <w:rsid w:val="00640D4E"/>
    <w:rsid w:val="006413A8"/>
    <w:rsid w:val="00642E56"/>
    <w:rsid w:val="00651E00"/>
    <w:rsid w:val="00655466"/>
    <w:rsid w:val="00661EF2"/>
    <w:rsid w:val="00671220"/>
    <w:rsid w:val="00674572"/>
    <w:rsid w:val="006774C5"/>
    <w:rsid w:val="006860B8"/>
    <w:rsid w:val="00687763"/>
    <w:rsid w:val="00692B0D"/>
    <w:rsid w:val="00693E0E"/>
    <w:rsid w:val="00696C67"/>
    <w:rsid w:val="006A1AE3"/>
    <w:rsid w:val="006B41A1"/>
    <w:rsid w:val="006C30E1"/>
    <w:rsid w:val="006C4607"/>
    <w:rsid w:val="006C71B0"/>
    <w:rsid w:val="006C7308"/>
    <w:rsid w:val="006D2735"/>
    <w:rsid w:val="006D48F1"/>
    <w:rsid w:val="006E0E67"/>
    <w:rsid w:val="006F45BE"/>
    <w:rsid w:val="006F6336"/>
    <w:rsid w:val="007004FC"/>
    <w:rsid w:val="00706670"/>
    <w:rsid w:val="00711CBD"/>
    <w:rsid w:val="00720F5C"/>
    <w:rsid w:val="007212CD"/>
    <w:rsid w:val="0072417C"/>
    <w:rsid w:val="007319E0"/>
    <w:rsid w:val="00734450"/>
    <w:rsid w:val="007355BB"/>
    <w:rsid w:val="00745F67"/>
    <w:rsid w:val="0075039E"/>
    <w:rsid w:val="00752D9D"/>
    <w:rsid w:val="00754784"/>
    <w:rsid w:val="00757C6E"/>
    <w:rsid w:val="00761002"/>
    <w:rsid w:val="00762BDA"/>
    <w:rsid w:val="007723B2"/>
    <w:rsid w:val="007771E8"/>
    <w:rsid w:val="007805FD"/>
    <w:rsid w:val="00784422"/>
    <w:rsid w:val="00785463"/>
    <w:rsid w:val="00794466"/>
    <w:rsid w:val="007945D3"/>
    <w:rsid w:val="007A0F54"/>
    <w:rsid w:val="007A1537"/>
    <w:rsid w:val="007A6467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10040"/>
    <w:rsid w:val="00811BEA"/>
    <w:rsid w:val="00816695"/>
    <w:rsid w:val="00816FC3"/>
    <w:rsid w:val="0082023A"/>
    <w:rsid w:val="00821A7A"/>
    <w:rsid w:val="008253F8"/>
    <w:rsid w:val="008256B9"/>
    <w:rsid w:val="00826D70"/>
    <w:rsid w:val="00831908"/>
    <w:rsid w:val="008325E4"/>
    <w:rsid w:val="00832A2B"/>
    <w:rsid w:val="008345E0"/>
    <w:rsid w:val="0084055F"/>
    <w:rsid w:val="00842598"/>
    <w:rsid w:val="00845811"/>
    <w:rsid w:val="00846994"/>
    <w:rsid w:val="00850451"/>
    <w:rsid w:val="00852042"/>
    <w:rsid w:val="008534C9"/>
    <w:rsid w:val="0085599D"/>
    <w:rsid w:val="00855AE3"/>
    <w:rsid w:val="00855C49"/>
    <w:rsid w:val="00857614"/>
    <w:rsid w:val="0087510C"/>
    <w:rsid w:val="00890AA4"/>
    <w:rsid w:val="00891563"/>
    <w:rsid w:val="00893EDB"/>
    <w:rsid w:val="008965FF"/>
    <w:rsid w:val="0089738E"/>
    <w:rsid w:val="008B4114"/>
    <w:rsid w:val="008B42A6"/>
    <w:rsid w:val="008B5FDB"/>
    <w:rsid w:val="008C50F4"/>
    <w:rsid w:val="008C5649"/>
    <w:rsid w:val="008E44A2"/>
    <w:rsid w:val="008E697D"/>
    <w:rsid w:val="008F4EFE"/>
    <w:rsid w:val="008F561C"/>
    <w:rsid w:val="008F684F"/>
    <w:rsid w:val="00903263"/>
    <w:rsid w:val="00906A21"/>
    <w:rsid w:val="009079C3"/>
    <w:rsid w:val="00907A53"/>
    <w:rsid w:val="00910462"/>
    <w:rsid w:val="00910C9B"/>
    <w:rsid w:val="00911A30"/>
    <w:rsid w:val="009125A1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55205"/>
    <w:rsid w:val="00965897"/>
    <w:rsid w:val="0096765C"/>
    <w:rsid w:val="009706C9"/>
    <w:rsid w:val="009727E4"/>
    <w:rsid w:val="0097708A"/>
    <w:rsid w:val="009934C5"/>
    <w:rsid w:val="00994C0F"/>
    <w:rsid w:val="0099726E"/>
    <w:rsid w:val="009A7E9E"/>
    <w:rsid w:val="009B22D7"/>
    <w:rsid w:val="009B72ED"/>
    <w:rsid w:val="009C2FB0"/>
    <w:rsid w:val="009C6DEB"/>
    <w:rsid w:val="009D6504"/>
    <w:rsid w:val="009E12D7"/>
    <w:rsid w:val="009E661A"/>
    <w:rsid w:val="009F20CC"/>
    <w:rsid w:val="009F3E68"/>
    <w:rsid w:val="009F62E2"/>
    <w:rsid w:val="00A00DB9"/>
    <w:rsid w:val="00A06781"/>
    <w:rsid w:val="00A074C3"/>
    <w:rsid w:val="00A130FF"/>
    <w:rsid w:val="00A13300"/>
    <w:rsid w:val="00A1509C"/>
    <w:rsid w:val="00A15EB4"/>
    <w:rsid w:val="00A33525"/>
    <w:rsid w:val="00A34260"/>
    <w:rsid w:val="00A50310"/>
    <w:rsid w:val="00A5759D"/>
    <w:rsid w:val="00A608D3"/>
    <w:rsid w:val="00A6182A"/>
    <w:rsid w:val="00A6220D"/>
    <w:rsid w:val="00A63529"/>
    <w:rsid w:val="00A66D42"/>
    <w:rsid w:val="00A70CFD"/>
    <w:rsid w:val="00A72A0B"/>
    <w:rsid w:val="00A81E42"/>
    <w:rsid w:val="00A83F79"/>
    <w:rsid w:val="00A864FE"/>
    <w:rsid w:val="00A86F41"/>
    <w:rsid w:val="00A87D04"/>
    <w:rsid w:val="00A950C5"/>
    <w:rsid w:val="00AA0FF8"/>
    <w:rsid w:val="00AA1D25"/>
    <w:rsid w:val="00AA6C01"/>
    <w:rsid w:val="00AA7B7F"/>
    <w:rsid w:val="00AB0BFB"/>
    <w:rsid w:val="00AB2B1A"/>
    <w:rsid w:val="00AB397F"/>
    <w:rsid w:val="00AB5832"/>
    <w:rsid w:val="00AC0F97"/>
    <w:rsid w:val="00AC3C69"/>
    <w:rsid w:val="00AC51F2"/>
    <w:rsid w:val="00AD3C11"/>
    <w:rsid w:val="00AD72E8"/>
    <w:rsid w:val="00AE5066"/>
    <w:rsid w:val="00AE5E24"/>
    <w:rsid w:val="00AE61B7"/>
    <w:rsid w:val="00AE6CBA"/>
    <w:rsid w:val="00AE79AD"/>
    <w:rsid w:val="00AF35E4"/>
    <w:rsid w:val="00AF5CDE"/>
    <w:rsid w:val="00B07E55"/>
    <w:rsid w:val="00B11A57"/>
    <w:rsid w:val="00B132F8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24B6"/>
    <w:rsid w:val="00B64BB1"/>
    <w:rsid w:val="00B66472"/>
    <w:rsid w:val="00B73166"/>
    <w:rsid w:val="00B8426C"/>
    <w:rsid w:val="00B91B8D"/>
    <w:rsid w:val="00B94E90"/>
    <w:rsid w:val="00BA468B"/>
    <w:rsid w:val="00BA70A3"/>
    <w:rsid w:val="00BB0A82"/>
    <w:rsid w:val="00BB7C94"/>
    <w:rsid w:val="00BC0A9D"/>
    <w:rsid w:val="00BD0198"/>
    <w:rsid w:val="00BD2C14"/>
    <w:rsid w:val="00BD52E0"/>
    <w:rsid w:val="00BE436A"/>
    <w:rsid w:val="00BF204E"/>
    <w:rsid w:val="00BF40ED"/>
    <w:rsid w:val="00BF5BC2"/>
    <w:rsid w:val="00C1133D"/>
    <w:rsid w:val="00C128C5"/>
    <w:rsid w:val="00C13C35"/>
    <w:rsid w:val="00C226EA"/>
    <w:rsid w:val="00C23C00"/>
    <w:rsid w:val="00C2538E"/>
    <w:rsid w:val="00C27A08"/>
    <w:rsid w:val="00C31312"/>
    <w:rsid w:val="00C326C6"/>
    <w:rsid w:val="00C32F46"/>
    <w:rsid w:val="00C35295"/>
    <w:rsid w:val="00C36ADD"/>
    <w:rsid w:val="00C36E74"/>
    <w:rsid w:val="00C40595"/>
    <w:rsid w:val="00C41621"/>
    <w:rsid w:val="00C44618"/>
    <w:rsid w:val="00C449FA"/>
    <w:rsid w:val="00C45FE1"/>
    <w:rsid w:val="00C515FE"/>
    <w:rsid w:val="00C5384F"/>
    <w:rsid w:val="00C56964"/>
    <w:rsid w:val="00C604B9"/>
    <w:rsid w:val="00C656D5"/>
    <w:rsid w:val="00C66ECE"/>
    <w:rsid w:val="00C67103"/>
    <w:rsid w:val="00C71BB9"/>
    <w:rsid w:val="00C903C5"/>
    <w:rsid w:val="00C91581"/>
    <w:rsid w:val="00C927D3"/>
    <w:rsid w:val="00C94C28"/>
    <w:rsid w:val="00CB0247"/>
    <w:rsid w:val="00CB3440"/>
    <w:rsid w:val="00CB5EBE"/>
    <w:rsid w:val="00CB76BF"/>
    <w:rsid w:val="00CC0216"/>
    <w:rsid w:val="00CC1692"/>
    <w:rsid w:val="00CD06C2"/>
    <w:rsid w:val="00CD0996"/>
    <w:rsid w:val="00CD138B"/>
    <w:rsid w:val="00CD3E31"/>
    <w:rsid w:val="00CD74A3"/>
    <w:rsid w:val="00CE0527"/>
    <w:rsid w:val="00CE5B23"/>
    <w:rsid w:val="00CF70AD"/>
    <w:rsid w:val="00CF7729"/>
    <w:rsid w:val="00D00059"/>
    <w:rsid w:val="00D06708"/>
    <w:rsid w:val="00D107FA"/>
    <w:rsid w:val="00D12275"/>
    <w:rsid w:val="00D12766"/>
    <w:rsid w:val="00D20FF4"/>
    <w:rsid w:val="00D24D2C"/>
    <w:rsid w:val="00D255F2"/>
    <w:rsid w:val="00D256BD"/>
    <w:rsid w:val="00D25A29"/>
    <w:rsid w:val="00D264A1"/>
    <w:rsid w:val="00D35881"/>
    <w:rsid w:val="00D40A09"/>
    <w:rsid w:val="00D505B9"/>
    <w:rsid w:val="00D5070D"/>
    <w:rsid w:val="00D628EC"/>
    <w:rsid w:val="00D63DB3"/>
    <w:rsid w:val="00D646A5"/>
    <w:rsid w:val="00D804C7"/>
    <w:rsid w:val="00D97F58"/>
    <w:rsid w:val="00DA5621"/>
    <w:rsid w:val="00DA7DA5"/>
    <w:rsid w:val="00DB0187"/>
    <w:rsid w:val="00DB073B"/>
    <w:rsid w:val="00DB78F0"/>
    <w:rsid w:val="00DC2E43"/>
    <w:rsid w:val="00DD095C"/>
    <w:rsid w:val="00DD1020"/>
    <w:rsid w:val="00DD1330"/>
    <w:rsid w:val="00DD7DC5"/>
    <w:rsid w:val="00DE0B83"/>
    <w:rsid w:val="00DE1A81"/>
    <w:rsid w:val="00DE1C13"/>
    <w:rsid w:val="00DE204B"/>
    <w:rsid w:val="00DE3EC6"/>
    <w:rsid w:val="00DE443B"/>
    <w:rsid w:val="00DE4E10"/>
    <w:rsid w:val="00DF2CC8"/>
    <w:rsid w:val="00E02ABF"/>
    <w:rsid w:val="00E07B2E"/>
    <w:rsid w:val="00E1258C"/>
    <w:rsid w:val="00E14995"/>
    <w:rsid w:val="00E179CD"/>
    <w:rsid w:val="00E21CED"/>
    <w:rsid w:val="00E225EF"/>
    <w:rsid w:val="00E23E8D"/>
    <w:rsid w:val="00E31B2A"/>
    <w:rsid w:val="00E37F98"/>
    <w:rsid w:val="00E424BB"/>
    <w:rsid w:val="00E46559"/>
    <w:rsid w:val="00E6670C"/>
    <w:rsid w:val="00E775FE"/>
    <w:rsid w:val="00E776E8"/>
    <w:rsid w:val="00E92C1F"/>
    <w:rsid w:val="00E95D4B"/>
    <w:rsid w:val="00EB1317"/>
    <w:rsid w:val="00EB199F"/>
    <w:rsid w:val="00EC23F7"/>
    <w:rsid w:val="00EC4BD8"/>
    <w:rsid w:val="00EC5E94"/>
    <w:rsid w:val="00EC63EB"/>
    <w:rsid w:val="00EC6AB5"/>
    <w:rsid w:val="00EC6BA3"/>
    <w:rsid w:val="00ED2DD7"/>
    <w:rsid w:val="00ED412F"/>
    <w:rsid w:val="00ED6FEA"/>
    <w:rsid w:val="00EE7193"/>
    <w:rsid w:val="00EE795C"/>
    <w:rsid w:val="00EF260B"/>
    <w:rsid w:val="00EF36B2"/>
    <w:rsid w:val="00F201EC"/>
    <w:rsid w:val="00F208A9"/>
    <w:rsid w:val="00F21AAE"/>
    <w:rsid w:val="00F2475B"/>
    <w:rsid w:val="00F41D75"/>
    <w:rsid w:val="00F44C99"/>
    <w:rsid w:val="00F505E7"/>
    <w:rsid w:val="00F5139D"/>
    <w:rsid w:val="00F51721"/>
    <w:rsid w:val="00F63CA8"/>
    <w:rsid w:val="00F63DAC"/>
    <w:rsid w:val="00F7454F"/>
    <w:rsid w:val="00F77988"/>
    <w:rsid w:val="00F77F48"/>
    <w:rsid w:val="00F959AF"/>
    <w:rsid w:val="00FB13CB"/>
    <w:rsid w:val="00FB30F1"/>
    <w:rsid w:val="00FB53E7"/>
    <w:rsid w:val="00FC7383"/>
    <w:rsid w:val="00FD25D2"/>
    <w:rsid w:val="00FD2863"/>
    <w:rsid w:val="00FE1B0A"/>
    <w:rsid w:val="00FF205F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BE436A"/>
    <w:rPr>
      <w:sz w:val="24"/>
      <w:szCs w:val="24"/>
    </w:rPr>
  </w:style>
  <w:style w:type="paragraph" w:customStyle="1" w:styleId="naispant">
    <w:name w:val="naispant"/>
    <w:basedOn w:val="Parastais"/>
    <w:rsid w:val="00C45FE1"/>
    <w:pPr>
      <w:spacing w:before="100" w:beforeAutospacing="1" w:after="100" w:afterAutospacing="1"/>
    </w:pPr>
  </w:style>
  <w:style w:type="character" w:customStyle="1" w:styleId="spelle">
    <w:name w:val="spelle"/>
    <w:basedOn w:val="Noklusjumarindkopasfonts"/>
    <w:rsid w:val="00D2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7A41-2C87-443B-BE64-43A5FCB5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3899</Characters>
  <Application>Microsoft Office Word</Application>
  <DocSecurity>0</DocSecurity>
  <Lines>32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projekta"Grozījumi Ministru kabineta 2003. gada 29. aprīļa noteikumos Nr. 243 "Tieslietu ministrijas nolikums"" sākotnējās ietekmes novērtējuma ziņojums (anotācija)</vt:lpstr>
      <vt:lpstr>Ministru kabineta noteikumu projekts" Grozījumi Ministru kabineta 2003. gada 29. aprīļa noteikumos Nr. 243 "Tieslietu ministrijas nolikums"" </vt:lpstr>
      <vt:lpstr>Ministru kabineta noteikumu projekta „Grozījumi Ministru kabineta 2009. gada 3. februāra noteikumos Nr.108 „Normatīvo aktu projektu sagatavošanas noteikumi”” anotācija</vt:lpstr>
    </vt:vector>
  </TitlesOfParts>
  <Company>Tieslietu ministrija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projekta"Grozījumi Ministru kabineta 2003. gada 29. aprīļa noteikumos Nr. 243 "Tieslietu ministrijas nolikums"" sākotnējās ietekmes novērtējuma ziņojums (anotācija)</dc:title>
  <dc:subject>Sākotnējās ietekmes novērtējuma ziņojums </dc:subject>
  <dc:creator>Margarita Baumane</dc:creator>
  <cp:keywords/>
  <dc:description>margarita.baumane@tm.gov.lv, 67036976</dc:description>
  <cp:lastModifiedBy>ar1901</cp:lastModifiedBy>
  <cp:revision>2</cp:revision>
  <cp:lastPrinted>2009-12-22T17:09:00Z</cp:lastPrinted>
  <dcterms:created xsi:type="dcterms:W3CDTF">2010-12-16T11:29:00Z</dcterms:created>
  <dcterms:modified xsi:type="dcterms:W3CDTF">2010-12-16T11:29:00Z</dcterms:modified>
</cp:coreProperties>
</file>