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23A" w:rsidRPr="00250A9A" w:rsidRDefault="009A4B32" w:rsidP="00250A9A">
      <w:pPr>
        <w:jc w:val="center"/>
        <w:rPr>
          <w:b/>
        </w:rPr>
      </w:pPr>
      <w:bookmarkStart w:id="0" w:name="OLE_LINK1"/>
      <w:bookmarkStart w:id="1" w:name="OLE_LINK2"/>
      <w:bookmarkStart w:id="2" w:name="OLE_LINK5"/>
      <w:r w:rsidRPr="00250A9A">
        <w:rPr>
          <w:b/>
        </w:rPr>
        <w:t xml:space="preserve">Likumprojekta </w:t>
      </w:r>
      <w:r w:rsidR="008F538D" w:rsidRPr="00250A9A">
        <w:rPr>
          <w:b/>
        </w:rPr>
        <w:t>„Grozījumi</w:t>
      </w:r>
      <w:r w:rsidR="00B6123A" w:rsidRPr="00250A9A">
        <w:rPr>
          <w:b/>
        </w:rPr>
        <w:t xml:space="preserve"> </w:t>
      </w:r>
      <w:r w:rsidR="001A150A" w:rsidRPr="00250A9A">
        <w:rPr>
          <w:b/>
        </w:rPr>
        <w:t>likumā</w:t>
      </w:r>
      <w:r w:rsidR="00D9341B" w:rsidRPr="00250A9A">
        <w:rPr>
          <w:b/>
        </w:rPr>
        <w:t xml:space="preserve"> „Par valsts kompensāciju cietušajiem”</w:t>
      </w:r>
      <w:r w:rsidRPr="00250A9A">
        <w:rPr>
          <w:b/>
        </w:rPr>
        <w:t>”</w:t>
      </w:r>
      <w:r w:rsidR="00CC1729" w:rsidRPr="00250A9A">
        <w:rPr>
          <w:b/>
        </w:rPr>
        <w:t xml:space="preserve"> </w:t>
      </w:r>
      <w:r w:rsidR="00846547" w:rsidRPr="00250A9A">
        <w:rPr>
          <w:b/>
        </w:rPr>
        <w:t>sākotnējās ietekmes novērtējuma ziņojums</w:t>
      </w:r>
      <w:r w:rsidR="001A150A" w:rsidRPr="00250A9A">
        <w:rPr>
          <w:b/>
        </w:rPr>
        <w:t xml:space="preserve"> (anotācija)</w:t>
      </w:r>
    </w:p>
    <w:tbl>
      <w:tblPr>
        <w:tblW w:w="9214" w:type="dxa"/>
        <w:tblCellSpacing w:w="0" w:type="dxa"/>
        <w:tblInd w:w="15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10"/>
        <w:gridCol w:w="2257"/>
        <w:gridCol w:w="6647"/>
      </w:tblGrid>
      <w:tr w:rsidR="00846547" w:rsidRPr="00250A9A" w:rsidTr="001C49C0">
        <w:trPr>
          <w:trHeight w:val="273"/>
          <w:tblCellSpacing w:w="0" w:type="dxa"/>
        </w:trPr>
        <w:tc>
          <w:tcPr>
            <w:tcW w:w="9214" w:type="dxa"/>
            <w:gridSpan w:val="3"/>
            <w:tcBorders>
              <w:top w:val="outset" w:sz="6" w:space="0" w:color="auto"/>
              <w:left w:val="outset" w:sz="6" w:space="0" w:color="auto"/>
              <w:bottom w:val="outset" w:sz="6" w:space="0" w:color="auto"/>
              <w:right w:val="outset" w:sz="6" w:space="0" w:color="auto"/>
            </w:tcBorders>
            <w:vAlign w:val="center"/>
          </w:tcPr>
          <w:bookmarkEnd w:id="0"/>
          <w:bookmarkEnd w:id="1"/>
          <w:bookmarkEnd w:id="2"/>
          <w:p w:rsidR="00846547" w:rsidRPr="00250A9A" w:rsidRDefault="00846547" w:rsidP="00250A9A">
            <w:pPr>
              <w:pStyle w:val="naisc"/>
              <w:spacing w:before="0" w:after="0"/>
              <w:jc w:val="both"/>
            </w:pPr>
            <w:r w:rsidRPr="00250A9A">
              <w:rPr>
                <w:b/>
                <w:bCs/>
              </w:rPr>
              <w:t> I. Tiesību akta projekta izstrādes nepieciešamība</w:t>
            </w:r>
          </w:p>
        </w:tc>
      </w:tr>
      <w:tr w:rsidR="00846547" w:rsidRPr="00250A9A" w:rsidTr="001C49C0">
        <w:trPr>
          <w:trHeight w:val="630"/>
          <w:tblCellSpacing w:w="0" w:type="dxa"/>
        </w:trPr>
        <w:tc>
          <w:tcPr>
            <w:tcW w:w="310" w:type="dxa"/>
            <w:tcBorders>
              <w:top w:val="outset" w:sz="6" w:space="0" w:color="auto"/>
              <w:left w:val="outset" w:sz="6" w:space="0" w:color="auto"/>
              <w:bottom w:val="outset" w:sz="6" w:space="0" w:color="auto"/>
              <w:right w:val="outset" w:sz="6" w:space="0" w:color="auto"/>
            </w:tcBorders>
          </w:tcPr>
          <w:p w:rsidR="00846547" w:rsidRPr="00250A9A" w:rsidRDefault="00846547" w:rsidP="00250A9A">
            <w:pPr>
              <w:pStyle w:val="naiskr"/>
              <w:spacing w:before="0" w:after="0"/>
              <w:jc w:val="both"/>
            </w:pPr>
            <w:r w:rsidRPr="00250A9A">
              <w:t> 1.</w:t>
            </w:r>
          </w:p>
        </w:tc>
        <w:tc>
          <w:tcPr>
            <w:tcW w:w="2257" w:type="dxa"/>
            <w:tcBorders>
              <w:top w:val="outset" w:sz="6" w:space="0" w:color="auto"/>
              <w:left w:val="outset" w:sz="6" w:space="0" w:color="auto"/>
              <w:bottom w:val="outset" w:sz="6" w:space="0" w:color="auto"/>
              <w:right w:val="outset" w:sz="6" w:space="0" w:color="auto"/>
            </w:tcBorders>
          </w:tcPr>
          <w:p w:rsidR="00846547" w:rsidRPr="00250A9A" w:rsidRDefault="00846547" w:rsidP="00250A9A">
            <w:pPr>
              <w:pStyle w:val="naislab"/>
              <w:spacing w:before="0" w:after="0"/>
              <w:jc w:val="both"/>
            </w:pPr>
            <w:r w:rsidRPr="00250A9A">
              <w:t>Pamatojums</w:t>
            </w:r>
          </w:p>
        </w:tc>
        <w:tc>
          <w:tcPr>
            <w:tcW w:w="6647" w:type="dxa"/>
            <w:tcBorders>
              <w:top w:val="outset" w:sz="6" w:space="0" w:color="auto"/>
              <w:left w:val="outset" w:sz="6" w:space="0" w:color="auto"/>
              <w:bottom w:val="outset" w:sz="6" w:space="0" w:color="auto"/>
              <w:right w:val="outset" w:sz="6" w:space="0" w:color="auto"/>
            </w:tcBorders>
          </w:tcPr>
          <w:p w:rsidR="00FC7CAD" w:rsidRDefault="00D9341B" w:rsidP="00250A9A">
            <w:pPr>
              <w:pStyle w:val="naiskr"/>
              <w:spacing w:before="0" w:after="0"/>
              <w:ind w:firstLine="720"/>
              <w:jc w:val="both"/>
            </w:pPr>
            <w:r w:rsidRPr="00250A9A">
              <w:t xml:space="preserve">Likumprojekts „Grozījumi likumā „Par valsts kompensāciju cietušajiem”” (turpmāk – Likumprojekts) izstrādāts, lai saskaņā ar  Eiropas Parlamenta un Padomes </w:t>
            </w:r>
            <w:r w:rsidRPr="00250A9A">
              <w:rPr>
                <w:bCs/>
              </w:rPr>
              <w:t xml:space="preserve">2011.gada 5.aprīļa </w:t>
            </w:r>
            <w:r w:rsidRPr="00250A9A">
              <w:t xml:space="preserve">direktīvas 2011/36/ES </w:t>
            </w:r>
            <w:r w:rsidRPr="00250A9A">
              <w:rPr>
                <w:bCs/>
              </w:rPr>
              <w:t>par cilvēku tirdzniecības novēršanu un apkarošanu un cietušo aizsardzību, un ar kuru aizstāj Padomes Pamatlēmumu 2002/629/TI (turpmāk – Direktīva 2011/</w:t>
            </w:r>
            <w:r w:rsidR="00E670BC" w:rsidRPr="00250A9A">
              <w:rPr>
                <w:bCs/>
              </w:rPr>
              <w:t>36</w:t>
            </w:r>
            <w:r w:rsidRPr="00250A9A">
              <w:rPr>
                <w:bCs/>
              </w:rPr>
              <w:t>/</w:t>
            </w:r>
            <w:r w:rsidR="00E670BC" w:rsidRPr="00250A9A">
              <w:rPr>
                <w:bCs/>
              </w:rPr>
              <w:t>ES</w:t>
            </w:r>
            <w:r w:rsidRPr="00250A9A">
              <w:rPr>
                <w:bCs/>
              </w:rPr>
              <w:t xml:space="preserve">), 17.pantu cilvēku tirdzniecībā cietušajiem </w:t>
            </w:r>
            <w:r w:rsidRPr="00250A9A">
              <w:t>nodrošinātu piekļuvi pastāvošajām shēmām, kas paredz kompensācijas ar nodomu veiktos vardarbīgos noziedzīgos nodarījumos. Direktīvā</w:t>
            </w:r>
            <w:r w:rsidR="00E670BC" w:rsidRPr="00250A9A">
              <w:t xml:space="preserve"> </w:t>
            </w:r>
            <w:r w:rsidR="00E670BC" w:rsidRPr="00250A9A">
              <w:rPr>
                <w:bCs/>
              </w:rPr>
              <w:t>2011/36/ES</w:t>
            </w:r>
            <w:r w:rsidRPr="00250A9A">
              <w:t xml:space="preserve"> paredzētie nosacījumi jāievieš nacionālaj</w:t>
            </w:r>
            <w:r w:rsidR="005E377C">
              <w:t>os normatīvajos aktos</w:t>
            </w:r>
            <w:r w:rsidRPr="00250A9A">
              <w:t xml:space="preserve"> ne vēlāk kā līdz 2013.gada 6.aprīlim.</w:t>
            </w:r>
          </w:p>
          <w:p w:rsidR="00C96E97" w:rsidRPr="00297970" w:rsidRDefault="000E7240" w:rsidP="00C96E97">
            <w:pPr>
              <w:pStyle w:val="naiskr"/>
              <w:spacing w:before="0" w:after="0"/>
              <w:ind w:firstLine="720"/>
              <w:jc w:val="both"/>
            </w:pPr>
            <w:r w:rsidRPr="00297970">
              <w:t>Turklāt Likumprojekts ir izstrādāts, ie</w:t>
            </w:r>
            <w:r w:rsidR="00C20BCD">
              <w:t>vērojot Ministru kabineta 2012.gada 17.</w:t>
            </w:r>
            <w:r w:rsidRPr="00297970">
              <w:t xml:space="preserve">aprīļa </w:t>
            </w:r>
            <w:r w:rsidR="00C20BCD">
              <w:t xml:space="preserve">sēdes </w:t>
            </w:r>
            <w:r w:rsidRPr="00297970">
              <w:t xml:space="preserve">protokola </w:t>
            </w:r>
            <w:r w:rsidR="00C20BCD">
              <w:t>38.§ 10.</w:t>
            </w:r>
            <w:r w:rsidR="00705CEE" w:rsidRPr="00297970">
              <w:t xml:space="preserve">punktu </w:t>
            </w:r>
            <w:r w:rsidRPr="00297970">
              <w:t>(</w:t>
            </w:r>
            <w:r w:rsidR="00C20BCD">
              <w:t>2012.gada 17.</w:t>
            </w:r>
            <w:r w:rsidR="00705CEE" w:rsidRPr="00297970">
              <w:t xml:space="preserve">aprīļa </w:t>
            </w:r>
            <w:r w:rsidR="00C20BCD">
              <w:t>prot. Nr.</w:t>
            </w:r>
            <w:r w:rsidRPr="00297970">
              <w:t xml:space="preserve">20), kas cita starpā paredz Tieslietu ministrijai izvērtēt un līdz 2012. gada 1. jūlijam iesniegt izskatīšanai Ministru kabinetā priekšlikumus par iespējamiem grozījumiem </w:t>
            </w:r>
            <w:r w:rsidRPr="00297970">
              <w:rPr>
                <w:rStyle w:val="spelle"/>
              </w:rPr>
              <w:t xml:space="preserve">likumā „Par valsts kompensāciju cietušajiem” (turpmāk – VKC), </w:t>
            </w:r>
            <w:r w:rsidRPr="00297970">
              <w:t>paredzot, ka normu ierobež</w:t>
            </w:r>
            <w:r w:rsidR="00705CEE">
              <w:t>ojumi tiek saglabāti līdz 2016.</w:t>
            </w:r>
            <w:r w:rsidRPr="00297970">
              <w:t>gada 1.janvārim, vai arī to apjoms tiek atjaunots pakāpeniski trīs gadu laikā.</w:t>
            </w:r>
            <w:r w:rsidR="00C96E97" w:rsidRPr="00297970">
              <w:t xml:space="preserve"> </w:t>
            </w:r>
          </w:p>
          <w:p w:rsidR="0053555E" w:rsidRPr="00297970" w:rsidRDefault="00C96E97" w:rsidP="004B274F">
            <w:pPr>
              <w:pStyle w:val="naiskr"/>
              <w:spacing w:before="0" w:after="0"/>
              <w:ind w:firstLine="720"/>
              <w:jc w:val="both"/>
            </w:pPr>
            <w:r w:rsidRPr="00297970">
              <w:t xml:space="preserve">2012.gada 31.jūlijā Ministru kabineta sēdē tika izskatīts informatīvais ziņojums „Par priekšlikumiem par iespējamiem grozījumiem normatīvajos aktos, paredzot normu ierobežojumu saglabāšanu līdz 2016.gada 1.janvārim vai arī to apjoma pakāpenisku atjaunošanu trīs gadu laikā” (TA-1727) un tika nolemts, ka </w:t>
            </w:r>
            <w:r w:rsidRPr="00297970">
              <w:rPr>
                <w:rStyle w:val="spelle"/>
              </w:rPr>
              <w:t>jautājumu kopā ar pārējiem iesniegtajiem priekšlikumiem par papildu finansējumu prioritāriem pasākumiem turpināt izskatīt Ministru kabineta locekļu seminārā par budžeta jautājumiem (2012.gada 31.jūlija prot</w:t>
            </w:r>
            <w:r w:rsidR="00B26A3E" w:rsidRPr="00297970">
              <w:rPr>
                <w:rStyle w:val="spelle"/>
              </w:rPr>
              <w:t xml:space="preserve">. </w:t>
            </w:r>
            <w:r w:rsidRPr="00297970">
              <w:rPr>
                <w:rStyle w:val="spelle"/>
              </w:rPr>
              <w:t xml:space="preserve">Nr.42 </w:t>
            </w:r>
            <w:bookmarkStart w:id="3" w:name="62"/>
            <w:r w:rsidRPr="00297970">
              <w:t>62</w:t>
            </w:r>
            <w:bookmarkEnd w:id="3"/>
            <w:r w:rsidRPr="00297970">
              <w:t xml:space="preserve">.§). </w:t>
            </w:r>
            <w:r w:rsidR="00FF0E3D">
              <w:t xml:space="preserve">2012.gada 16.augustā, atkārtoti Ministru kabinetā izskatot minēto informatīvo ziņojumu, </w:t>
            </w:r>
            <w:r w:rsidR="00FF0E3D">
              <w:rPr>
                <w:rStyle w:val="spelle"/>
              </w:rPr>
              <w:t xml:space="preserve">Tieslietu ministrijai </w:t>
            </w:r>
            <w:r w:rsidR="00FF0E3D">
              <w:t xml:space="preserve">tika uzdots </w:t>
            </w:r>
            <w:r w:rsidR="00FF0E3D">
              <w:rPr>
                <w:rStyle w:val="spelle"/>
              </w:rPr>
              <w:t xml:space="preserve">izstrādāt un noteiktā kārtībā iesniegt Ministru kabinetā informatīvajā ziņojumā paredzētos grozījumus VKC virzīšanai likumprojekta "Par valsts budžetu 2013.gadam" pavadošo likumprojektu paketē, kā arī </w:t>
            </w:r>
            <w:r w:rsidR="00705CEE">
              <w:rPr>
                <w:rStyle w:val="spelle"/>
              </w:rPr>
              <w:t xml:space="preserve">tika </w:t>
            </w:r>
            <w:r w:rsidR="00FF0E3D">
              <w:rPr>
                <w:rStyle w:val="spelle"/>
              </w:rPr>
              <w:t>atbalstīt</w:t>
            </w:r>
            <w:r w:rsidR="00705CEE">
              <w:rPr>
                <w:rStyle w:val="spelle"/>
              </w:rPr>
              <w:t>a</w:t>
            </w:r>
            <w:r w:rsidR="00FF0E3D">
              <w:rPr>
                <w:rStyle w:val="spelle"/>
              </w:rPr>
              <w:t xml:space="preserve"> papildu fin</w:t>
            </w:r>
            <w:r w:rsidR="00A55FD2">
              <w:rPr>
                <w:rStyle w:val="spelle"/>
              </w:rPr>
              <w:t>ansējuma piešķiršan</w:t>
            </w:r>
            <w:r w:rsidR="00705CEE">
              <w:rPr>
                <w:rStyle w:val="spelle"/>
              </w:rPr>
              <w:t>a</w:t>
            </w:r>
            <w:r w:rsidR="00FF0E3D">
              <w:rPr>
                <w:rStyle w:val="spelle"/>
              </w:rPr>
              <w:t xml:space="preserve"> Tieslietu ministrijai programmā 45.00.00 „Juridiskās palīdzības nodrošināšana” valsts kompensāciju izmaksai 2013. – 2015.gadam 173 088 </w:t>
            </w:r>
            <w:r w:rsidR="00A55FD2">
              <w:rPr>
                <w:rStyle w:val="spelle"/>
              </w:rPr>
              <w:t>LVL</w:t>
            </w:r>
            <w:r w:rsidR="00FF0E3D">
              <w:rPr>
                <w:rStyle w:val="spelle"/>
              </w:rPr>
              <w:t xml:space="preserve"> katru gadu.</w:t>
            </w:r>
            <w:r w:rsidR="007E69A2">
              <w:rPr>
                <w:rStyle w:val="spelle"/>
              </w:rPr>
              <w:t xml:space="preserve"> </w:t>
            </w:r>
            <w:r w:rsidR="00FF0E3D">
              <w:t>Turklāt j</w:t>
            </w:r>
            <w:r w:rsidR="00FF0E3D">
              <w:rPr>
                <w:rStyle w:val="spelle"/>
              </w:rPr>
              <w:t xml:space="preserve">autājumu par papildu nepieciešamā finansējuma piešķiršanu Tieslietu ministrijai 2014.gadā un turpmākajos gados </w:t>
            </w:r>
            <w:r w:rsidR="00705CEE">
              <w:rPr>
                <w:rStyle w:val="spelle"/>
              </w:rPr>
              <w:t xml:space="preserve">nolemts </w:t>
            </w:r>
            <w:r w:rsidR="00FF0E3D">
              <w:rPr>
                <w:rStyle w:val="spelle"/>
              </w:rPr>
              <w:t>izskatīt Ministru kabinetā kārtējā gada valsts budžeta likumprojekta sagatavošanas procesā</w:t>
            </w:r>
            <w:r w:rsidR="000E5B73">
              <w:rPr>
                <w:rStyle w:val="spelle"/>
              </w:rPr>
              <w:t xml:space="preserve"> (2012.gada 16.augusta prot.</w:t>
            </w:r>
            <w:r w:rsidR="000E5B73" w:rsidRPr="000E5B73">
              <w:rPr>
                <w:sz w:val="28"/>
                <w:szCs w:val="20"/>
              </w:rPr>
              <w:t xml:space="preserve"> </w:t>
            </w:r>
            <w:r w:rsidR="000E5B73" w:rsidRPr="000E5B73">
              <w:t>Nr.46</w:t>
            </w:r>
            <w:r w:rsidR="000E5B73">
              <w:t xml:space="preserve"> 2</w:t>
            </w:r>
            <w:r w:rsidR="000E5B73" w:rsidRPr="00297970">
              <w:t xml:space="preserve">2.§). </w:t>
            </w:r>
            <w:r w:rsidR="000E5B73">
              <w:rPr>
                <w:rStyle w:val="spelle"/>
              </w:rPr>
              <w:t xml:space="preserve"> </w:t>
            </w:r>
          </w:p>
          <w:p w:rsidR="003C2C94" w:rsidRPr="003C2C94" w:rsidRDefault="003C2C94" w:rsidP="004B274F">
            <w:pPr>
              <w:pStyle w:val="naiskr"/>
              <w:spacing w:before="0" w:after="0"/>
              <w:ind w:firstLine="720"/>
              <w:jc w:val="both"/>
              <w:rPr>
                <w:bCs/>
              </w:rPr>
            </w:pPr>
            <w:r w:rsidRPr="00297970">
              <w:rPr>
                <w:bCs/>
              </w:rPr>
              <w:t xml:space="preserve">Likumprojekta virzība ir nodrošināma, ievērojot Ministru kabineta </w:t>
            </w:r>
            <w:r w:rsidRPr="00297970">
              <w:t xml:space="preserve">2012.gada 9.marta </w:t>
            </w:r>
            <w:r w:rsidRPr="00297970">
              <w:rPr>
                <w:bCs/>
              </w:rPr>
              <w:t>rīkojumā Nr.120 „Par likumprojekta "Par vidēja termiņa budžeta ietvaru 2013.-2015.gadam" un likumprojekta "Par valsts budžetu 2013.gadam" sagatavošanas grafiku” (2012.gada 6.marta prot.Nr.12 21.§) noteikto.</w:t>
            </w:r>
          </w:p>
        </w:tc>
      </w:tr>
      <w:tr w:rsidR="00846547" w:rsidRPr="00250A9A" w:rsidTr="001C49C0">
        <w:trPr>
          <w:trHeight w:val="472"/>
          <w:tblCellSpacing w:w="0" w:type="dxa"/>
        </w:trPr>
        <w:tc>
          <w:tcPr>
            <w:tcW w:w="310" w:type="dxa"/>
            <w:tcBorders>
              <w:top w:val="outset" w:sz="6" w:space="0" w:color="auto"/>
              <w:left w:val="outset" w:sz="6" w:space="0" w:color="auto"/>
              <w:bottom w:val="outset" w:sz="6" w:space="0" w:color="auto"/>
              <w:right w:val="outset" w:sz="6" w:space="0" w:color="auto"/>
            </w:tcBorders>
          </w:tcPr>
          <w:p w:rsidR="00846547" w:rsidRPr="00250A9A" w:rsidRDefault="00846547" w:rsidP="00250A9A">
            <w:pPr>
              <w:pStyle w:val="naiskr"/>
              <w:spacing w:before="0" w:after="0"/>
              <w:jc w:val="both"/>
            </w:pPr>
            <w:r w:rsidRPr="00250A9A">
              <w:lastRenderedPageBreak/>
              <w:t> 2.</w:t>
            </w:r>
          </w:p>
        </w:tc>
        <w:tc>
          <w:tcPr>
            <w:tcW w:w="2257" w:type="dxa"/>
            <w:tcBorders>
              <w:top w:val="outset" w:sz="6" w:space="0" w:color="auto"/>
              <w:left w:val="outset" w:sz="6" w:space="0" w:color="auto"/>
              <w:bottom w:val="outset" w:sz="6" w:space="0" w:color="auto"/>
              <w:right w:val="outset" w:sz="6" w:space="0" w:color="auto"/>
            </w:tcBorders>
          </w:tcPr>
          <w:p w:rsidR="00846547" w:rsidRPr="00250A9A" w:rsidRDefault="00846547" w:rsidP="00250A9A">
            <w:pPr>
              <w:pStyle w:val="naiskr"/>
              <w:spacing w:before="0" w:after="0"/>
              <w:jc w:val="both"/>
            </w:pPr>
            <w:r w:rsidRPr="00250A9A">
              <w:t> Pašreizējā situācija un problēmas</w:t>
            </w:r>
          </w:p>
        </w:tc>
        <w:tc>
          <w:tcPr>
            <w:tcW w:w="6647" w:type="dxa"/>
            <w:tcBorders>
              <w:top w:val="outset" w:sz="6" w:space="0" w:color="auto"/>
              <w:left w:val="outset" w:sz="6" w:space="0" w:color="auto"/>
              <w:bottom w:val="outset" w:sz="6" w:space="0" w:color="auto"/>
              <w:right w:val="outset" w:sz="6" w:space="0" w:color="auto"/>
            </w:tcBorders>
          </w:tcPr>
          <w:p w:rsidR="00964516" w:rsidRPr="00250A9A" w:rsidRDefault="00964516" w:rsidP="00250A9A">
            <w:pPr>
              <w:ind w:firstLine="720"/>
              <w:jc w:val="both"/>
            </w:pPr>
            <w:r w:rsidRPr="00250A9A">
              <w:rPr>
                <w:bCs/>
              </w:rPr>
              <w:t>Eiropas Savienībā</w:t>
            </w:r>
            <w:r w:rsidRPr="00250A9A">
              <w:t xml:space="preserve"> aktivitātes pret cilvēku tirdzniecību tika uzsāktas jau </w:t>
            </w:r>
            <w:r w:rsidR="00E029BB" w:rsidRPr="00250A9A">
              <w:t>19</w:t>
            </w:r>
            <w:r w:rsidRPr="00250A9A">
              <w:t xml:space="preserve">80.gadu beigās, bet kopējus rīcības dokumentus ar mērķi apkarot un novērst cilvēku tirdzniecību sāka izdot </w:t>
            </w:r>
            <w:r w:rsidR="00E029BB" w:rsidRPr="00250A9A">
              <w:t>19</w:t>
            </w:r>
            <w:r w:rsidRPr="00250A9A">
              <w:t>90.gadu vidū. No 1996.</w:t>
            </w:r>
            <w:r w:rsidR="00D83D62">
              <w:t xml:space="preserve">gada </w:t>
            </w:r>
            <w:r w:rsidRPr="00250A9A">
              <w:t>līdz 2000.gadam Eiropas Savienības Ministru Padome izdeva piecas Kopējās rīcības, kuru mērķis ir veicināt dalībvalstu sadarbību cilvēku tirdzniecības apkarošanai. 2000.gadā Nicā pasludinātās tikai politiski saistošās Eiropas Pamattiesību hartas 5.pants cita starpā paredz arī cilvēku tirdzniecības aizliegumu</w:t>
            </w:r>
            <w:r w:rsidRPr="00250A9A">
              <w:rPr>
                <w:rStyle w:val="Vresatsauce"/>
              </w:rPr>
              <w:footnoteReference w:id="1"/>
            </w:r>
            <w:r w:rsidRPr="00250A9A">
              <w:t xml:space="preserve">. </w:t>
            </w:r>
          </w:p>
          <w:p w:rsidR="00964516" w:rsidRPr="00250A9A" w:rsidRDefault="00BE003B" w:rsidP="00250A9A">
            <w:pPr>
              <w:ind w:firstLine="720"/>
              <w:jc w:val="both"/>
            </w:pPr>
            <w:r w:rsidRPr="00250A9A">
              <w:t xml:space="preserve">Latvija ir uzņēmusies </w:t>
            </w:r>
            <w:r w:rsidR="00B33B88" w:rsidRPr="00250A9A">
              <w:t xml:space="preserve">arī </w:t>
            </w:r>
            <w:r w:rsidRPr="00250A9A">
              <w:t xml:space="preserve">starptautiskas saistības cilvēku seksuālās ekspluatācijas novēršanā, 2004.gadā pievienojoties </w:t>
            </w:r>
            <w:r w:rsidR="00B0403C" w:rsidRPr="00250A9A">
              <w:t xml:space="preserve">Eiropas Padomes apstiprinātajam ietvarlēmumam par cilvēku tirdzniecības apkarošanu un </w:t>
            </w:r>
            <w:r w:rsidRPr="00250A9A">
              <w:t xml:space="preserve">Apvienoto </w:t>
            </w:r>
            <w:r w:rsidR="008B3F84" w:rsidRPr="00250A9A">
              <w:t>N</w:t>
            </w:r>
            <w:r w:rsidRPr="00250A9A">
              <w:t xml:space="preserve">āciju </w:t>
            </w:r>
            <w:r w:rsidR="008B3F84" w:rsidRPr="00250A9A">
              <w:t>Organizācijas Konvencijas pret transnacionālo o</w:t>
            </w:r>
            <w:r w:rsidR="00E029BB" w:rsidRPr="00250A9A">
              <w:t>rganizēto noziedzību protokolam</w:t>
            </w:r>
            <w:r w:rsidR="008B3F84" w:rsidRPr="00250A9A">
              <w:t xml:space="preserve"> par cilvēku tirdzniecības, jo sevišķi tirdzniecības ar sievietēm un bērniem, novēršanu, apkarošanu un sodīšanu par to</w:t>
            </w:r>
            <w:r w:rsidR="000A0B4F" w:rsidRPr="00250A9A">
              <w:t xml:space="preserve"> jeb Palermo protokolam</w:t>
            </w:r>
            <w:r w:rsidR="008B3F84" w:rsidRPr="00250A9A">
              <w:t>, kura mērķi ir novērst un apkarot cilvēku tirdzniecību, aizsargāt šīs tirdzniecības upurus un palīdzēt viņiem.</w:t>
            </w:r>
            <w:r w:rsidR="00964516" w:rsidRPr="00250A9A">
              <w:t xml:space="preserve"> </w:t>
            </w:r>
          </w:p>
          <w:p w:rsidR="00964516" w:rsidRPr="00250A9A" w:rsidRDefault="00964516" w:rsidP="00250A9A">
            <w:pPr>
              <w:ind w:firstLine="720"/>
              <w:jc w:val="both"/>
            </w:pPr>
            <w:r w:rsidRPr="00250A9A">
              <w:t>Tādejādi 2004.gadā Krimināllikumā ir iestrādāts tiesiskais regulējums, ar kuru paredzēta iespēja arī Latvijas Republikā izdarītos noziedzīgus nodarījumus, kas atbilst cilvēku tirdzniecības jēdzienam, uzskatīt par cilvēku tirdzniecību.</w:t>
            </w:r>
          </w:p>
          <w:p w:rsidR="005B0E39" w:rsidRPr="00250A9A" w:rsidRDefault="00B0403C" w:rsidP="00250A9A">
            <w:pPr>
              <w:ind w:firstLine="720"/>
              <w:jc w:val="both"/>
            </w:pPr>
            <w:r w:rsidRPr="00250A9A">
              <w:t xml:space="preserve">2005.gada 3.maijā Eiropas Ministru Komiteja apstiprināja vēl vienu nozīmīgu dokumentu </w:t>
            </w:r>
            <w:r w:rsidR="00E029BB" w:rsidRPr="00250A9A">
              <w:t>–</w:t>
            </w:r>
            <w:r w:rsidRPr="00250A9A">
              <w:t xml:space="preserve"> Eiropas Padomes konvenciju cīņai pret cilvēku tirdzniecību. Konvencija ir visaptverošs līgums, kas galvenokārt vērsts uz cilvēku tirdzniecības upuru aizsardzību un viņu tiesību nodrošināšanu. Konvencija paredz arī cilvēku tirdzniecības novēršanas pasākumus un cilvēku tirgotāju sodīšanu.</w:t>
            </w:r>
          </w:p>
          <w:p w:rsidR="003225AF" w:rsidRPr="00250A9A" w:rsidRDefault="005B0E39" w:rsidP="00250A9A">
            <w:pPr>
              <w:ind w:firstLine="720"/>
              <w:jc w:val="both"/>
            </w:pPr>
            <w:r w:rsidRPr="00250A9A">
              <w:t xml:space="preserve">Konvencijas 15.pants noteic, ka </w:t>
            </w:r>
            <w:r w:rsidR="003225AF" w:rsidRPr="00250A9A">
              <w:t>valstīm jāpieņem tādi normatīvie a</w:t>
            </w:r>
            <w:r w:rsidR="003225AF" w:rsidRPr="00250A9A">
              <w:rPr>
                <w:rStyle w:val="hps"/>
              </w:rPr>
              <w:t>kti vai jāveic tādi pasākumi,</w:t>
            </w:r>
            <w:r w:rsidR="003225AF" w:rsidRPr="00250A9A">
              <w:t xml:space="preserve"> </w:t>
            </w:r>
            <w:r w:rsidR="003225AF" w:rsidRPr="00250A9A">
              <w:rPr>
                <w:rStyle w:val="hps"/>
              </w:rPr>
              <w:t>kādi nepieciešami, lai</w:t>
            </w:r>
            <w:r w:rsidR="003225AF" w:rsidRPr="00250A9A">
              <w:t xml:space="preserve"> </w:t>
            </w:r>
            <w:r w:rsidR="003225AF" w:rsidRPr="00250A9A">
              <w:rPr>
                <w:rStyle w:val="hps"/>
              </w:rPr>
              <w:t>cietušajiem garantētu kompensācijas</w:t>
            </w:r>
            <w:r w:rsidR="003225AF" w:rsidRPr="00250A9A">
              <w:t xml:space="preserve">, </w:t>
            </w:r>
            <w:r w:rsidR="003225AF" w:rsidRPr="00250A9A">
              <w:rPr>
                <w:rStyle w:val="hps"/>
              </w:rPr>
              <w:t>piemēram</w:t>
            </w:r>
            <w:r w:rsidR="003225AF" w:rsidRPr="00250A9A">
              <w:t xml:space="preserve">, izveidojot </w:t>
            </w:r>
            <w:r w:rsidR="003225AF" w:rsidRPr="00250A9A">
              <w:rPr>
                <w:rStyle w:val="hps"/>
              </w:rPr>
              <w:t>fondu</w:t>
            </w:r>
            <w:r w:rsidR="003225AF" w:rsidRPr="00250A9A">
              <w:t xml:space="preserve"> </w:t>
            </w:r>
            <w:r w:rsidR="003225AF" w:rsidRPr="00250A9A">
              <w:rPr>
                <w:rStyle w:val="hps"/>
              </w:rPr>
              <w:t>cietušo</w:t>
            </w:r>
            <w:r w:rsidR="003225AF" w:rsidRPr="00250A9A">
              <w:t xml:space="preserve"> </w:t>
            </w:r>
            <w:r w:rsidR="003225AF" w:rsidRPr="00250A9A">
              <w:rPr>
                <w:rStyle w:val="hps"/>
              </w:rPr>
              <w:t>kompensācijām</w:t>
            </w:r>
            <w:r w:rsidR="003225AF" w:rsidRPr="00250A9A">
              <w:t xml:space="preserve"> </w:t>
            </w:r>
            <w:r w:rsidR="003225AF" w:rsidRPr="00250A9A">
              <w:rPr>
                <w:rStyle w:val="hps"/>
              </w:rPr>
              <w:t xml:space="preserve">vai īstenojot pasākumus un programmas, </w:t>
            </w:r>
            <w:r w:rsidR="003225AF" w:rsidRPr="00250A9A">
              <w:t xml:space="preserve">kuru mērķis ir cietušo </w:t>
            </w:r>
            <w:r w:rsidR="003225AF" w:rsidRPr="00250A9A">
              <w:rPr>
                <w:rStyle w:val="hps"/>
              </w:rPr>
              <w:t>sociālās</w:t>
            </w:r>
            <w:r w:rsidR="003225AF" w:rsidRPr="00250A9A">
              <w:t xml:space="preserve"> </w:t>
            </w:r>
            <w:r w:rsidR="003225AF" w:rsidRPr="00250A9A">
              <w:rPr>
                <w:rStyle w:val="hps"/>
              </w:rPr>
              <w:t>palīdzības un</w:t>
            </w:r>
            <w:r w:rsidR="003225AF" w:rsidRPr="00250A9A">
              <w:t xml:space="preserve"> </w:t>
            </w:r>
            <w:r w:rsidR="003225AF" w:rsidRPr="00250A9A">
              <w:rPr>
                <w:rStyle w:val="hps"/>
              </w:rPr>
              <w:t>sociālās</w:t>
            </w:r>
            <w:r w:rsidR="003225AF" w:rsidRPr="00250A9A">
              <w:t xml:space="preserve"> </w:t>
            </w:r>
            <w:r w:rsidR="003225AF" w:rsidRPr="00250A9A">
              <w:rPr>
                <w:rStyle w:val="hps"/>
              </w:rPr>
              <w:t>integrācijas</w:t>
            </w:r>
            <w:r w:rsidR="003225AF" w:rsidRPr="00250A9A">
              <w:t xml:space="preserve"> nodrošināšana.</w:t>
            </w:r>
          </w:p>
          <w:p w:rsidR="00B0403C" w:rsidRPr="00250A9A" w:rsidRDefault="00B0403C" w:rsidP="00250A9A">
            <w:pPr>
              <w:ind w:firstLine="720"/>
              <w:jc w:val="both"/>
            </w:pPr>
            <w:r w:rsidRPr="00250A9A">
              <w:t>Latvija minētajai konvencijai pievienojās 2008.gadā.</w:t>
            </w:r>
          </w:p>
          <w:p w:rsidR="00913EB5" w:rsidRPr="00250A9A" w:rsidRDefault="00913EB5" w:rsidP="00250A9A">
            <w:pPr>
              <w:ind w:firstLine="720"/>
              <w:jc w:val="both"/>
            </w:pPr>
            <w:r w:rsidRPr="00250A9A">
              <w:t>Ar Ministru kabineta 2009.gada 27.augusta rīkojumu Nr.590 apstiprināta „Programma cilvēku tirdzniecības novēršanai 2009.</w:t>
            </w:r>
            <w:r w:rsidR="00E029BB" w:rsidRPr="00250A9A">
              <w:t xml:space="preserve"> – </w:t>
            </w:r>
            <w:r w:rsidRPr="00250A9A">
              <w:t>2013.gadam”, kuras galvenais mērķis ir plānot un īstenot pasākumus, lai sekmētu cilvēku tirdzniecības novēršanu un apkarošanu.</w:t>
            </w:r>
          </w:p>
          <w:p w:rsidR="00B0403C" w:rsidRPr="00250A9A" w:rsidRDefault="00964516" w:rsidP="00250A9A">
            <w:pPr>
              <w:ind w:firstLine="720"/>
              <w:jc w:val="both"/>
            </w:pPr>
            <w:r w:rsidRPr="00250A9A">
              <w:t>Ņemot vērā minēto un to, ka</w:t>
            </w:r>
            <w:r w:rsidR="00D47B8B" w:rsidRPr="00250A9A">
              <w:t xml:space="preserve"> gan Eiropas Savienības līmenī, gan Latvijā </w:t>
            </w:r>
            <w:r w:rsidR="00A34B12" w:rsidRPr="00250A9A">
              <w:t>no cietušo tirdzniecības</w:t>
            </w:r>
            <w:r w:rsidR="0098527E" w:rsidRPr="00250A9A">
              <w:t xml:space="preserve"> cietušo atbalsta pasākumu noteikšanas</w:t>
            </w:r>
            <w:r w:rsidR="00A34B12" w:rsidRPr="00250A9A">
              <w:t xml:space="preserve"> </w:t>
            </w:r>
            <w:r w:rsidR="00D47B8B" w:rsidRPr="00250A9A">
              <w:t>jautājums ir aktuāls, kā arī to, ka</w:t>
            </w:r>
            <w:r w:rsidRPr="00250A9A">
              <w:t xml:space="preserve"> </w:t>
            </w:r>
            <w:r w:rsidR="00EA476A" w:rsidRPr="00250A9A">
              <w:t xml:space="preserve">Eiropas Parlaments un Padome 2011.gada 5.aprīlī pieņēma </w:t>
            </w:r>
            <w:r w:rsidR="00EA476A" w:rsidRPr="00250A9A">
              <w:rPr>
                <w:bCs/>
              </w:rPr>
              <w:t xml:space="preserve">Direktīvu </w:t>
            </w:r>
            <w:r w:rsidR="00E670BC" w:rsidRPr="00250A9A">
              <w:rPr>
                <w:bCs/>
              </w:rPr>
              <w:t>2011/36/ES</w:t>
            </w:r>
            <w:r w:rsidR="00EA476A" w:rsidRPr="00250A9A">
              <w:rPr>
                <w:bCs/>
              </w:rPr>
              <w:t>, kas paredz dalībvalstīm izmaksāt valsts kompensāciju cilvēku tirdzniecībā cietušajiem</w:t>
            </w:r>
            <w:r w:rsidR="00A34B12" w:rsidRPr="00250A9A">
              <w:rPr>
                <w:bCs/>
              </w:rPr>
              <w:t xml:space="preserve"> un </w:t>
            </w:r>
            <w:r w:rsidR="00B0403C" w:rsidRPr="00250A9A">
              <w:t>nodrošin</w:t>
            </w:r>
            <w:r w:rsidR="00A34B12" w:rsidRPr="00250A9A">
              <w:t>āt</w:t>
            </w:r>
            <w:r w:rsidR="00B0403C" w:rsidRPr="00250A9A">
              <w:t xml:space="preserve"> piekļuv</w:t>
            </w:r>
            <w:r w:rsidR="00A34B12" w:rsidRPr="00250A9A">
              <w:t>i</w:t>
            </w:r>
            <w:r w:rsidR="00B0403C" w:rsidRPr="00250A9A">
              <w:t xml:space="preserve"> pastāvošajām shēmām, nodrošinot kompensācijas ar nodomu veiktos vardarbīgos </w:t>
            </w:r>
            <w:r w:rsidR="00B0403C" w:rsidRPr="00250A9A">
              <w:lastRenderedPageBreak/>
              <w:t>noziedzīgos nodarījumos izmaks</w:t>
            </w:r>
            <w:r w:rsidR="00E84D8D">
              <w:t>āšan</w:t>
            </w:r>
            <w:r w:rsidR="00B0403C" w:rsidRPr="00250A9A">
              <w:t xml:space="preserve">u, </w:t>
            </w:r>
            <w:r w:rsidR="00A34B12" w:rsidRPr="00250A9A">
              <w:t xml:space="preserve">kas </w:t>
            </w:r>
            <w:r w:rsidR="00D83D62">
              <w:t>līdz 2013.gada 1.aprīlim</w:t>
            </w:r>
            <w:r w:rsidR="00B0403C" w:rsidRPr="00250A9A">
              <w:t xml:space="preserve"> ir jāievieš </w:t>
            </w:r>
            <w:r w:rsidR="00A34B12" w:rsidRPr="00250A9A">
              <w:t>nacionālajos normatīvajos aktos</w:t>
            </w:r>
            <w:r w:rsidR="00D83D62">
              <w:t xml:space="preserve">, nepieciešams papildināt </w:t>
            </w:r>
            <w:r w:rsidR="00F46A12" w:rsidRPr="00250A9A">
              <w:t xml:space="preserve">VKC </w:t>
            </w:r>
            <w:r w:rsidR="00B0403C" w:rsidRPr="00250A9A">
              <w:t xml:space="preserve">ar jaunu valsts kompensācijas </w:t>
            </w:r>
            <w:r w:rsidR="00D83D62">
              <w:t>piešķiršanas pamatu</w:t>
            </w:r>
            <w:r w:rsidR="00B0403C" w:rsidRPr="00250A9A">
              <w:t xml:space="preserve"> – </w:t>
            </w:r>
            <w:r w:rsidR="00D83D62">
              <w:t xml:space="preserve">tiesības saņemt </w:t>
            </w:r>
            <w:r w:rsidR="00B0403C" w:rsidRPr="00250A9A">
              <w:t>valsts kompensācij</w:t>
            </w:r>
            <w:r w:rsidR="00D83D62">
              <w:t>u</w:t>
            </w:r>
            <w:r w:rsidR="00B0403C" w:rsidRPr="00250A9A">
              <w:t xml:space="preserve"> cilvēku tirdzniecībā cietušajiem</w:t>
            </w:r>
            <w:r w:rsidR="00C96E97">
              <w:t xml:space="preserve"> (šobrīd cietušajam tiesības saņemt valsts kompensāciju </w:t>
            </w:r>
            <w:r w:rsidR="0018110F">
              <w:t xml:space="preserve">rodas, ja </w:t>
            </w:r>
            <w:r w:rsidR="00C96E97">
              <w:t>iestāj</w:t>
            </w:r>
            <w:r w:rsidR="0018110F">
              <w:t>as</w:t>
            </w:r>
            <w:r w:rsidR="00C96E97">
              <w:t xml:space="preserve"> </w:t>
            </w:r>
            <w:r w:rsidR="0018110F">
              <w:t xml:space="preserve">VKC </w:t>
            </w:r>
            <w:r w:rsidR="00C96E97">
              <w:t xml:space="preserve">noteikta </w:t>
            </w:r>
            <w:r w:rsidR="0018110F">
              <w:t>rakstura sekas)</w:t>
            </w:r>
            <w:r w:rsidR="00B0403C" w:rsidRPr="00250A9A">
              <w:t>.</w:t>
            </w:r>
          </w:p>
          <w:p w:rsidR="00FE295C" w:rsidRPr="00250A9A" w:rsidRDefault="00FE295C" w:rsidP="00250A9A">
            <w:pPr>
              <w:ind w:firstLine="720"/>
              <w:jc w:val="both"/>
            </w:pPr>
          </w:p>
          <w:p w:rsidR="00037E74" w:rsidRPr="00250A9A" w:rsidRDefault="00037E74" w:rsidP="00250A9A">
            <w:pPr>
              <w:ind w:firstLine="720"/>
              <w:jc w:val="both"/>
            </w:pPr>
            <w:r w:rsidRPr="00250A9A">
              <w:t>Saeimā 2006.gad</w:t>
            </w:r>
            <w:r w:rsidR="0047733B">
              <w:t>a 18.maijā pieņēma VKC, kura 7.</w:t>
            </w:r>
            <w:r w:rsidRPr="00250A9A">
              <w:t>panta pirmajā daļā ir noteikts, ka vienam vardarbīgā noziedzīgā nodarījumā cietušajam izmaksājamās valsts kompensācijas maksimālais apmērs ir Latvijas Republikā noteiktās 10 minimālās mēneša darba algas. Saskaņā ar likuma pārejas noteikumu 3.punktu</w:t>
            </w:r>
            <w:r w:rsidR="00192975">
              <w:t xml:space="preserve"> (vairākkārtīgi 2007. un 2008.gadā grozot un pagarinot minētā pārejas punkta darbību) </w:t>
            </w:r>
            <w:r w:rsidRPr="00250A9A">
              <w:t>līdz 2009.gada 1.janvārim vienam vardarbīgā noziedzīgā nodarījumā cietušajam izmaksājamās valsts kompensācijas maksimālais apmērs tika noteikts piecu minimālo mēneša darba algu apmērā un likuma 7.panta otrajā daļā noteiktās izmaksājamās</w:t>
            </w:r>
            <w:r w:rsidR="00192975">
              <w:t xml:space="preserve"> valsts</w:t>
            </w:r>
            <w:r w:rsidRPr="00250A9A">
              <w:t xml:space="preserve"> kompensācijas apmērs tik</w:t>
            </w:r>
            <w:r w:rsidR="00192975">
              <w:t>a</w:t>
            </w:r>
            <w:r w:rsidRPr="00250A9A">
              <w:t xml:space="preserve"> aprēķināts, par pamatu ņemot piecas minimālās mēneša darba algas.</w:t>
            </w:r>
            <w:r w:rsidR="008936A8">
              <w:t xml:space="preserve"> Tādējādi kopš VKC stāšanās spēkā no 2006.gada 20.jūnija līdz 2009.gada 31.decembrim maksimālais valsts kompensācijas apmērs bija piecas minimālās mēneša darba algas. </w:t>
            </w:r>
          </w:p>
          <w:p w:rsidR="00037E74" w:rsidRPr="00250A9A" w:rsidRDefault="00192975" w:rsidP="00250A9A">
            <w:pPr>
              <w:ind w:firstLine="720"/>
              <w:jc w:val="both"/>
            </w:pPr>
            <w:r>
              <w:t>I</w:t>
            </w:r>
            <w:r w:rsidRPr="007D058B">
              <w:t xml:space="preserve">evērojot ekonomisko situāciju valstī </w:t>
            </w:r>
            <w:r>
              <w:t xml:space="preserve">un tās radītās sekas 2009.gadā, ņemot vērā </w:t>
            </w:r>
            <w:r w:rsidRPr="007D058B">
              <w:t>ierobežoto valsts budžeta līdzekļu apmēru</w:t>
            </w:r>
            <w:r w:rsidR="00037E74" w:rsidRPr="00250A9A">
              <w:t xml:space="preserve">, kā arī prognozējot minimālās mēneša darba algas palielināšanos 2009.gadā, pastāvot </w:t>
            </w:r>
            <w:r w:rsidR="00FE295C" w:rsidRPr="00250A9A">
              <w:t>iespējamībai</w:t>
            </w:r>
            <w:r w:rsidR="00037E74" w:rsidRPr="00250A9A">
              <w:t xml:space="preserve">, ka </w:t>
            </w:r>
            <w:r w:rsidR="00783F86" w:rsidRPr="00250A9A">
              <w:t xml:space="preserve">Juridiskās palīdzības administrācijai (turpmāk – </w:t>
            </w:r>
            <w:r w:rsidR="00037E74" w:rsidRPr="00250A9A">
              <w:t>JPA</w:t>
            </w:r>
            <w:r w:rsidR="00783F86" w:rsidRPr="00250A9A">
              <w:t>)</w:t>
            </w:r>
            <w:r w:rsidR="00037E74" w:rsidRPr="00250A9A">
              <w:t xml:space="preserve"> nebūs iespējams nodrošināt valsts kompensācijas </w:t>
            </w:r>
            <w:r>
              <w:t>izmaks</w:t>
            </w:r>
            <w:r w:rsidR="00E84D8D">
              <w:t>āšanu</w:t>
            </w:r>
            <w:r w:rsidRPr="00250A9A">
              <w:t xml:space="preserve"> </w:t>
            </w:r>
            <w:r w:rsidR="00037E74" w:rsidRPr="00250A9A">
              <w:t>cietušajām personām</w:t>
            </w:r>
            <w:r w:rsidR="00FE295C" w:rsidRPr="00250A9A">
              <w:t>, kurām saskaņā ar likumu ir tiesības saņemt valsts kompensāciju, piešķirtā valsts budžeta līdzekļu ietvaros</w:t>
            </w:r>
            <w:r>
              <w:t>,</w:t>
            </w:r>
            <w:r w:rsidR="00FE295C" w:rsidRPr="00250A9A">
              <w:t xml:space="preserve"> </w:t>
            </w:r>
            <w:r w:rsidR="0098536E">
              <w:t xml:space="preserve">ievērojot </w:t>
            </w:r>
            <w:r w:rsidR="0098536E">
              <w:rPr>
                <w:bCs/>
              </w:rPr>
              <w:t xml:space="preserve">valsts budžeta līdzekļu, kas tika piešķirti valsts kompensāciju izmaksai, izlietojumu un sistēmisku trūkumu, </w:t>
            </w:r>
            <w:r w:rsidR="0098536E" w:rsidRPr="00A119C4">
              <w:rPr>
                <w:bCs/>
              </w:rPr>
              <w:t xml:space="preserve">Ministru kabinets </w:t>
            </w:r>
            <w:r w:rsidR="0098536E" w:rsidRPr="00A119C4">
              <w:t>2009. gada 23. jūlijā (rīkojums Nr. 501, prot. Nr. 49 45.</w:t>
            </w:r>
            <w:r w:rsidR="0098536E">
              <w:t xml:space="preserve"> §), </w:t>
            </w:r>
            <w:r w:rsidR="0098536E" w:rsidRPr="00A119C4">
              <w:t>2009. gada 10. septembrī (rīkojums Nr. 620</w:t>
            </w:r>
            <w:r w:rsidR="0098536E">
              <w:t>, Nr. 621</w:t>
            </w:r>
            <w:r w:rsidR="0098536E" w:rsidRPr="00A119C4">
              <w:t>, prot. Nr. 56</w:t>
            </w:r>
            <w:r w:rsidR="0098536E">
              <w:t>,</w:t>
            </w:r>
            <w:r w:rsidR="0098536E" w:rsidRPr="00A119C4">
              <w:t xml:space="preserve"> 54.</w:t>
            </w:r>
            <w:r w:rsidR="0098536E">
              <w:t xml:space="preserve"> un 55. </w:t>
            </w:r>
            <w:r w:rsidR="0098536E" w:rsidRPr="00A119C4">
              <w:t xml:space="preserve">§) </w:t>
            </w:r>
            <w:r w:rsidR="0098536E">
              <w:t>un 2009. gada 6. oktobrī (prot. Nr. 67, 46. </w:t>
            </w:r>
            <w:r w:rsidR="0098536E" w:rsidRPr="00A119C4">
              <w:t>§)</w:t>
            </w:r>
            <w:r w:rsidR="0098536E">
              <w:t xml:space="preserve"> </w:t>
            </w:r>
            <w:r w:rsidR="0098536E" w:rsidRPr="00A119C4">
              <w:t xml:space="preserve">izskatīja un apstiprināja </w:t>
            </w:r>
            <w:r w:rsidR="0098536E">
              <w:t>JPA</w:t>
            </w:r>
            <w:r w:rsidR="0098536E" w:rsidRPr="00A119C4">
              <w:t xml:space="preserve"> iesniegtos rīkojuma projektus par finanšu līdzekļu piešķiršanu no valsts pamatbudžeta apakšprogrammas „Līdzekļi neparedzētiem gadījumiem”</w:t>
            </w:r>
            <w:r w:rsidR="0098536E">
              <w:t xml:space="preserve">, kā arī, </w:t>
            </w:r>
            <w:r w:rsidR="00FE295C" w:rsidRPr="00250A9A">
              <w:t xml:space="preserve">ņemot vērā, ka nav precīzi iespējams paredzēt noziedzīgu nodarījumu skaita dinamiku un to, cik personas no cietušajiem, kam ir tiesības saņemt valsts kompensāciju, iesniegs </w:t>
            </w:r>
            <w:r>
              <w:t>pieprasījumus</w:t>
            </w:r>
            <w:r w:rsidR="00FE295C" w:rsidRPr="00250A9A">
              <w:t xml:space="preserve"> </w:t>
            </w:r>
            <w:r w:rsidRPr="00250A9A">
              <w:t xml:space="preserve">valsts kompensācijas saņemšanai </w:t>
            </w:r>
            <w:r w:rsidR="00FE295C" w:rsidRPr="00250A9A">
              <w:t>JPA</w:t>
            </w:r>
            <w:r w:rsidR="00037E74" w:rsidRPr="00250A9A">
              <w:t xml:space="preserve">, </w:t>
            </w:r>
            <w:r>
              <w:t>2009.gada 10.decembrī</w:t>
            </w:r>
            <w:r w:rsidR="00037E74" w:rsidRPr="00250A9A">
              <w:t xml:space="preserve"> Saeimā tika pieņemts likums „Grozījums likumā „Par valsts kompensāciju cietušajiem””, kas stājās spēkā 2010.gada 1.janvārī un paredz laika posmā no 2010.gada 1.janvāra līdz 2013.gada 1.janvārim valsts kompensāciju izmaksāt samazinātā apmērā. Tādejādi no 2010.gada 1.janvāra līdz 2013.gada 1.janvārim valsts kompensācija tiek </w:t>
            </w:r>
            <w:r w:rsidR="008936A8">
              <w:t xml:space="preserve">aprēķināta un </w:t>
            </w:r>
            <w:r w:rsidR="00037E74" w:rsidRPr="00250A9A">
              <w:t xml:space="preserve">izmaksāta </w:t>
            </w:r>
            <w:r w:rsidR="008936A8">
              <w:t xml:space="preserve">par pamatu ņemot </w:t>
            </w:r>
            <w:r w:rsidR="00037E74" w:rsidRPr="00250A9A">
              <w:t xml:space="preserve">nevis </w:t>
            </w:r>
            <w:r w:rsidR="008936A8">
              <w:t>pamatregulējumā paredzēto</w:t>
            </w:r>
            <w:r w:rsidR="00037E74" w:rsidRPr="00250A9A">
              <w:t xml:space="preserve"> </w:t>
            </w:r>
            <w:r w:rsidR="00FE295C" w:rsidRPr="00250A9A">
              <w:t>apmēr</w:t>
            </w:r>
            <w:r w:rsidR="008936A8">
              <w:t>u – 10 minimālās</w:t>
            </w:r>
            <w:r w:rsidR="00037E74" w:rsidRPr="00250A9A">
              <w:t xml:space="preserve"> mēneš</w:t>
            </w:r>
            <w:r w:rsidR="008936A8">
              <w:t>a darba algas (kāds tā arī nav stājies spēkā)</w:t>
            </w:r>
            <w:r w:rsidR="00037E74" w:rsidRPr="00250A9A">
              <w:t xml:space="preserve">, bet gan </w:t>
            </w:r>
            <w:r w:rsidR="008936A8">
              <w:t>trīs</w:t>
            </w:r>
            <w:r w:rsidR="008936A8" w:rsidRPr="00250A9A">
              <w:t xml:space="preserve"> minimāl</w:t>
            </w:r>
            <w:r w:rsidR="008936A8">
              <w:t>ās</w:t>
            </w:r>
            <w:r w:rsidR="008936A8" w:rsidRPr="00250A9A">
              <w:t xml:space="preserve"> mēneša</w:t>
            </w:r>
            <w:r w:rsidR="008936A8">
              <w:t xml:space="preserve"> darba algas</w:t>
            </w:r>
            <w:r w:rsidR="008936A8" w:rsidRPr="00250A9A">
              <w:t xml:space="preserve"> </w:t>
            </w:r>
            <w:r w:rsidR="008936A8">
              <w:lastRenderedPageBreak/>
              <w:t>(iepriekš noteiktā piecu minimālo mēneša darba algu apmēra vietā)</w:t>
            </w:r>
            <w:r w:rsidR="00037E74" w:rsidRPr="00250A9A">
              <w:t>.</w:t>
            </w:r>
          </w:p>
          <w:p w:rsidR="00037E74" w:rsidRPr="00250A9A" w:rsidRDefault="00037E74" w:rsidP="00250A9A">
            <w:pPr>
              <w:ind w:firstLine="720"/>
              <w:jc w:val="both"/>
            </w:pPr>
            <w:r w:rsidRPr="00250A9A">
              <w:t>Tuvojoties minētā pārejas perioda termiņa beigām, nepieciešams izvērtēt turpmāk</w:t>
            </w:r>
            <w:r w:rsidR="00FE295C" w:rsidRPr="00250A9A">
              <w:t>o</w:t>
            </w:r>
            <w:r w:rsidRPr="00250A9A">
              <w:t xml:space="preserve"> valsts kompensācijas </w:t>
            </w:r>
            <w:r w:rsidR="00FE295C" w:rsidRPr="00250A9A">
              <w:t>izmaksājamo apmēru</w:t>
            </w:r>
            <w:r w:rsidRPr="00250A9A">
              <w:t xml:space="preserve"> un izmaks</w:t>
            </w:r>
            <w:r w:rsidR="00E84D8D">
              <w:t>āšanas</w:t>
            </w:r>
            <w:r w:rsidRPr="00250A9A">
              <w:t xml:space="preserve"> iespējas un turpmāko valsts kompensācijas apmēra noteikšanas un izmaksas politiku. </w:t>
            </w:r>
          </w:p>
          <w:p w:rsidR="00037E74" w:rsidRPr="00250A9A" w:rsidRDefault="00037E74" w:rsidP="00250A9A">
            <w:pPr>
              <w:ind w:firstLine="720"/>
              <w:jc w:val="both"/>
            </w:pPr>
            <w:r w:rsidRPr="00250A9A">
              <w:t>Lai arī valsts ekonomiskā situācija, salīdzinot ar situāciju 2009.gadā, kad tika pieņemts minētais pašreiz spēkā esošais pārejas periods, ir stabilizējusies un ir vērojamas pozitīvas izmaiņas valsts ekonomiskajos rādītājos, taču joprojām valsts politika ir īstenojama, ievērojot ierobežotu valsts budžeta līdzekļu pieejamību, lai būtu iespējams īstenot valsts fiskālo politiku, tādējādi nodrošinot ekonomiskās izaugsmes un ilgtspējas veicināšanu. Tā, piemēram, informatīvajā ziņojumā “Par Latvijas Stratēģiskās attīstības plāna 2010. – 2013. gadam uzdevumu un darbības rezultātu īstenošanu 2011.gadā un kārtējā pārskata periodā” (Ministru kabineta 2012.gada 21.februāra prot. Nr.10 39.§) minēts, ka Latvijas tuvāko gadu fiskālās politikas galvenais virziens ir ekonomiskās attīstības ciklam atbilstošas fiskālās politikas īstenošana, kas ļaus novērst pārmērīga budžeta deficīta esamību un ilgtspējīgas Latvijas ekonomikas attīstības perspektīvas.</w:t>
            </w:r>
          </w:p>
          <w:p w:rsidR="00037E74" w:rsidRPr="00250A9A" w:rsidRDefault="00037E74" w:rsidP="00250A9A">
            <w:pPr>
              <w:ind w:firstLine="720"/>
              <w:jc w:val="both"/>
            </w:pPr>
            <w:r w:rsidRPr="00250A9A">
              <w:t xml:space="preserve">Tāpat arī Latvijas konverģences programma 2011. – 2014.gadam (apstiprināta ar Ministru kabineta 2011.gada 26.aprīļa prot. Nr.27 35.§) paredz, ka Latvijas pēdējā laika, kā arī tuvāko gadu fiskālās politikas galvenais mērķis un arī izaicinājums ir fiskālās konsolidācijas veikšana pārmērīga valsts konsolidētā budžeta deficīta novēršanai, vienlaikus nodrošinot ilgtspējīgu Latvijas ekonomikas attīstību un uzticības atjaunošanu valsts finansēm. Turklāt Saeima ir uzdevusi valdībai, sagatavojot 2012., 2013. un 2014. gada valsts budžetu likumprojektus, nodrošināt, ka tiek īstenoti fiskālās konsolidācijas pasākumi un vispārējās valdības budžeta deficīts. Šeit jāatzīmē, ka ir arī izstrādāts un 2012.gada 12.janvārī Saeimā pirmajā lasījumā pieņemts </w:t>
            </w:r>
            <w:r w:rsidRPr="00B26A3E">
              <w:t>Fiskālās disciplīnas likuma projekts (Nr. 137/Lp11),</w:t>
            </w:r>
            <w:r w:rsidRPr="00250A9A">
              <w:t xml:space="preserve"> kas kā likuma mērķi paredz nodrošināt ilgtspējīgu valsts attīstību, makroekonomisko stabilitāti un samazināt tautsaimniecības ievainojamību ārējo satricinājumu rezultātā. Minētā likumprojekta anotācijā cita starpā norādīts, ka piesardzīga, konsekventa un caurredzama fiskālā politika, kas nodrošina budžeta plānošanu vidējā termiņā, kā arī deficīta un vispārējās valdības parāda strikta kontrole, paaugstinās tautsaimniecības konkurētspēju un samazinās tās ievainojamību ārējo faktoru ietekmes rezultātā, turklāt fiskālās disciplīnas ieviešana un nostiprināšana tiesību aktos dotu arī būtisku pozitīvu ieguvumu finanšu tirgiem, jo nostiprinātu uzticību valsts spējai īstenot budžeta politiku ilgtermiņā. Saskaņā ar minētajā anotācijā norādīto izstrādātais tiesību akta projekts attiecas uz valsts un pašvaldību budžeta iestādēm, budžeta nefinansētām iestādēm, no valsts budžeta daļēji finansētām atvasinātām publiskām personām, kā arī nosaka fiskālās politikas principus, kas jāievēro arī citām vispārējās valdības sektorā atbilstoši Eiropas Savienībā  piemērotajai </w:t>
            </w:r>
            <w:r w:rsidRPr="00250A9A">
              <w:lastRenderedPageBreak/>
              <w:t xml:space="preserve">metodoloģijai iekļaujamām institūcijām. </w:t>
            </w:r>
          </w:p>
          <w:p w:rsidR="00037E74" w:rsidRDefault="00037E74" w:rsidP="00250A9A">
            <w:pPr>
              <w:ind w:firstLine="720"/>
              <w:jc w:val="both"/>
            </w:pPr>
            <w:r w:rsidRPr="00250A9A">
              <w:t xml:space="preserve">Tāpat arī informatīvajā ziņojumā "Nacionālā attīstības plāna 2014.–2020.gadam prioritāšu pamatojuma ziņojums" (Ministru kabineta 2012.gada 6.marta prot. Nr.12 28.§) kā galvenie secinājumi attiecībā uz makroekonomisko situāciju ir norādīti, ka makroekonomiskā situācija Latvijā ir stabilizējusies, un galvenie makroekonomiskie rādītāji (IKP dinamika, bezdarbs, ārējās tirdzniecības bilance, tekošā konta bilance, inflācija) uzrāda pozitīvas tendences, tomēr bažas rada neskaidrā globālā ekonomiskā situācija (īpaši eirozonā), kā arī vēl joprojām augstais budžeta deficīts un pieaugošais valsts parāda līmenis. Turpat arī secināts, ka fiskālās krīzes sekas un ar to saistītie lēmumi ir atstājuši ietekmi uz sociālās nevienlīdzības palielināšanos, ēnu ekonomikas pieaugumu, kā arī inovāciju attīstību, un Latvijas fiskālā un nodokļu politika kopumā ir starptautiski konkurētspējīga, tomēr nepieciešama valsts parāda apjoma mazināšana vidējā termiņā un darbaspēka nodokļu politikas pārskatīšana. </w:t>
            </w:r>
          </w:p>
          <w:p w:rsidR="00291708" w:rsidRPr="00250A9A" w:rsidRDefault="00037E74" w:rsidP="00250A9A">
            <w:pPr>
              <w:ind w:firstLine="720"/>
              <w:jc w:val="both"/>
            </w:pPr>
            <w:r w:rsidRPr="00250A9A">
              <w:t>Līdz ar to</w:t>
            </w:r>
            <w:r w:rsidR="00BD02C4">
              <w:t>, ievērojot arī Ministru kabinetā pieņemtos lēmumus p</w:t>
            </w:r>
            <w:r w:rsidR="00BD02C4" w:rsidRPr="00BD02C4">
              <w:t>ar valsts budžeta bāzes izdevum</w:t>
            </w:r>
            <w:r w:rsidR="00BD02C4">
              <w:t>u</w:t>
            </w:r>
            <w:r w:rsidR="00BD02C4" w:rsidRPr="00BD02C4">
              <w:t xml:space="preserve"> 2013. – 2015.gadam</w:t>
            </w:r>
            <w:r w:rsidR="00BD02C4">
              <w:t xml:space="preserve"> noteikšanas kārtību (Ministru kabineta </w:t>
            </w:r>
            <w:r w:rsidR="00E02C0A" w:rsidRPr="00423A83">
              <w:rPr>
                <w:bCs/>
              </w:rPr>
              <w:t xml:space="preserve">2012.gada 6.marta </w:t>
            </w:r>
            <w:r w:rsidR="00C20BCD">
              <w:rPr>
                <w:bCs/>
              </w:rPr>
              <w:t xml:space="preserve">sēdes </w:t>
            </w:r>
            <w:r w:rsidR="00E02C0A" w:rsidRPr="00423A83">
              <w:rPr>
                <w:bCs/>
              </w:rPr>
              <w:t>protokola (prot.Nr.12) 21.§</w:t>
            </w:r>
            <w:r w:rsidR="00E02C0A">
              <w:rPr>
                <w:bCs/>
              </w:rPr>
              <w:t xml:space="preserve">, </w:t>
            </w:r>
            <w:r w:rsidR="00BD02C4">
              <w:t>2012. gada 17. </w:t>
            </w:r>
            <w:r w:rsidR="00BD02C4" w:rsidRPr="006E02A1">
              <w:t xml:space="preserve">aprīļa </w:t>
            </w:r>
            <w:r w:rsidR="00C20BCD">
              <w:t xml:space="preserve">sēdes </w:t>
            </w:r>
            <w:r w:rsidR="00BD02C4" w:rsidRPr="006E02A1">
              <w:t>protokola (prot. Nr</w:t>
            </w:r>
            <w:r w:rsidR="00BD02C4">
              <w:t xml:space="preserve">. 20) </w:t>
            </w:r>
            <w:r w:rsidR="000F5E3F">
              <w:t>38.§</w:t>
            </w:r>
            <w:r w:rsidR="00BD02C4">
              <w:t>10. </w:t>
            </w:r>
            <w:r w:rsidR="00B26A3E">
              <w:t>p</w:t>
            </w:r>
            <w:r w:rsidR="00BD02C4" w:rsidRPr="006E02A1">
              <w:t>unkt</w:t>
            </w:r>
            <w:r w:rsidR="00423A83">
              <w:t>s</w:t>
            </w:r>
            <w:r w:rsidR="00B26A3E">
              <w:t xml:space="preserve">, 2012.gada 31.jūlija </w:t>
            </w:r>
            <w:r w:rsidR="00CD11F5">
              <w:t xml:space="preserve">sēdes </w:t>
            </w:r>
            <w:r w:rsidR="00B26A3E">
              <w:t xml:space="preserve">protokola (prot.Nr.42) </w:t>
            </w:r>
            <w:r w:rsidR="00B26A3E" w:rsidRPr="00B26A3E">
              <w:t>62.§</w:t>
            </w:r>
            <w:r w:rsidR="00423A83">
              <w:t>,</w:t>
            </w:r>
            <w:r w:rsidR="00E02C0A">
              <w:t xml:space="preserve"> 2012.gada 16.augusta </w:t>
            </w:r>
            <w:r w:rsidR="00CD11F5">
              <w:t xml:space="preserve">sēdes </w:t>
            </w:r>
            <w:r w:rsidR="00E02C0A">
              <w:t>protokola (prot.Nr.46) 2</w:t>
            </w:r>
            <w:r w:rsidR="00E02C0A" w:rsidRPr="00B26A3E">
              <w:t>2.§</w:t>
            </w:r>
            <w:r w:rsidR="00BD02C4" w:rsidRPr="00423A83">
              <w:t>)</w:t>
            </w:r>
            <w:r w:rsidRPr="00423A83">
              <w:t>,</w:t>
            </w:r>
            <w:r w:rsidRPr="00250A9A">
              <w:t xml:space="preserve"> plānojot un nosakot turpmāko valsts kompensācijas apmēra noteikšanas un izmaks</w:t>
            </w:r>
            <w:r w:rsidR="00E84D8D">
              <w:t>āšan</w:t>
            </w:r>
            <w:r w:rsidRPr="00250A9A">
              <w:t>as politiku, atbilstoši valsts iezīmētajiem ilgtermiņa un vidēja termiņa mērķiem, ievērojot kopējās valsts attīstības politikas tendences, nepieciešams ņemt vērā kā ierobe</w:t>
            </w:r>
            <w:r w:rsidR="007D133B" w:rsidRPr="00250A9A">
              <w:t>žotos valsts budžeta resursus, t</w:t>
            </w:r>
            <w:r w:rsidRPr="00250A9A">
              <w:t xml:space="preserve">ā arī nepieciešamību ievērot </w:t>
            </w:r>
            <w:r w:rsidR="009E35A1">
              <w:t xml:space="preserve">un veicināt </w:t>
            </w:r>
            <w:r w:rsidRPr="00250A9A">
              <w:t xml:space="preserve">cietušo </w:t>
            </w:r>
            <w:r w:rsidR="009E35A1" w:rsidRPr="00250A9A">
              <w:t xml:space="preserve">kriminālprocesā </w:t>
            </w:r>
            <w:r w:rsidRPr="00250A9A">
              <w:t xml:space="preserve">intereses, nepieciešams pārskatīt </w:t>
            </w:r>
            <w:r w:rsidR="00FE295C" w:rsidRPr="00250A9A">
              <w:t xml:space="preserve">un </w:t>
            </w:r>
            <w:r w:rsidRPr="00250A9A">
              <w:t xml:space="preserve">noteikt </w:t>
            </w:r>
            <w:r w:rsidR="009E35A1">
              <w:t xml:space="preserve">atbilstošu </w:t>
            </w:r>
            <w:r w:rsidRPr="00250A9A">
              <w:t>valsts kompensācijas apmēr</w:t>
            </w:r>
            <w:r w:rsidR="00FE295C" w:rsidRPr="00250A9A">
              <w:t>u un</w:t>
            </w:r>
            <w:r w:rsidRPr="00250A9A">
              <w:t xml:space="preserve"> izmaks</w:t>
            </w:r>
            <w:r w:rsidR="00E84D8D">
              <w:t>āšan</w:t>
            </w:r>
            <w:r w:rsidRPr="00250A9A">
              <w:t xml:space="preserve">as </w:t>
            </w:r>
            <w:r w:rsidR="00FE295C" w:rsidRPr="00250A9A">
              <w:t>nosacījumus</w:t>
            </w:r>
            <w:r w:rsidRPr="00250A9A">
              <w:t>.</w:t>
            </w:r>
          </w:p>
          <w:p w:rsidR="007D133B" w:rsidRPr="00250A9A" w:rsidRDefault="007D133B" w:rsidP="00250A9A">
            <w:pPr>
              <w:ind w:firstLine="720"/>
              <w:jc w:val="both"/>
            </w:pPr>
          </w:p>
          <w:p w:rsidR="003D2448" w:rsidRDefault="003D2448" w:rsidP="00250A9A">
            <w:pPr>
              <w:ind w:firstLine="720"/>
              <w:jc w:val="both"/>
            </w:pPr>
            <w:r>
              <w:t xml:space="preserve">VKC ir spēkā kopš 2006.gada 20.jūnija. VKC piemērošanas prakse šobrīd ļauj izdarīt secinājumus par VKC regulējuma nepilnībām, kuras ar Likumprojektu būtu novēršamas.  </w:t>
            </w:r>
          </w:p>
          <w:p w:rsidR="00496D08" w:rsidRDefault="00496D08" w:rsidP="00250A9A">
            <w:pPr>
              <w:ind w:firstLine="720"/>
              <w:jc w:val="both"/>
            </w:pPr>
            <w:r w:rsidRPr="00250A9A">
              <w:t xml:space="preserve">Saskaņā ar </w:t>
            </w:r>
            <w:r>
              <w:t>rokasgrāmatas „</w:t>
            </w:r>
            <w:r w:rsidRPr="00250A9A">
              <w:t>Normatīvo aktu izstrādes noteikumu rokasgrāmata</w:t>
            </w:r>
            <w:r>
              <w:t>”</w:t>
            </w:r>
            <w:r w:rsidRPr="00250A9A">
              <w:rPr>
                <w:rStyle w:val="Vresatsauce"/>
              </w:rPr>
              <w:footnoteReference w:id="2"/>
            </w:r>
            <w:r w:rsidRPr="00250A9A">
              <w:t xml:space="preserve"> 1.7.1.punktu likuma mērķis nosaka nepieciešamo un pietiekamo likuma saturu. </w:t>
            </w:r>
          </w:p>
          <w:p w:rsidR="00496D08" w:rsidRDefault="00496D08" w:rsidP="00250A9A">
            <w:pPr>
              <w:ind w:firstLine="720"/>
              <w:jc w:val="both"/>
            </w:pPr>
            <w:r>
              <w:t>VKC 1.pants paredz, ka l</w:t>
            </w:r>
            <w:r w:rsidRPr="00496D08">
              <w:t>ikuma mērķis ir nodrošināt fiziskajai personai, kura Kriminālprocesa likumā noteiktajā kārtībā ir atzīta par cietušo, tiesības saņemt valsts kompensāciju par tīša noziedzīga nodarījuma rezultātā radīto morālo aizskārumu, fiziskajām ciešanām vai mantisko zaudējumu, ja noziedzīga nodarījuma rezultātā iestājusies personas nāve vai cietušajam nodarīti smagi, vidēja smaguma miesas bojājumi, aizskarta personas dzimumneaizskaramība vai cietušais inficēts ar cilvēka imūndef</w:t>
            </w:r>
            <w:r>
              <w:t xml:space="preserve">icīta </w:t>
            </w:r>
            <w:r>
              <w:lastRenderedPageBreak/>
              <w:t>vīrusu, B vai C hepatītu</w:t>
            </w:r>
            <w:r w:rsidRPr="00496D08">
              <w:t>.</w:t>
            </w:r>
            <w:r>
              <w:t xml:space="preserve"> Tādējādi VKC 1.pants sa</w:t>
            </w:r>
            <w:r w:rsidR="00B26A3E">
              <w:t>tur uzskaitījumu, kādos gadījumo</w:t>
            </w:r>
            <w:r>
              <w:t>s tiek piešķirta un izmaksāta valsts kompensācija. Ņemot vērā likuma konstrukciju un to, ka valsts kompensācijas piešķiršanas un izmaks</w:t>
            </w:r>
            <w:r w:rsidR="00E84D8D">
              <w:t>āšan</w:t>
            </w:r>
            <w:r>
              <w:t>as gadījumiem būtu jābūt uzskaitītiem, definējot cietušā tiesības uz valsts kompensāciju</w:t>
            </w:r>
            <w:r w:rsidR="00597226">
              <w:t xml:space="preserve">, tādējādi ar minētajiem gadījumiem aizpildot </w:t>
            </w:r>
            <w:r w:rsidR="00556BB2">
              <w:t xml:space="preserve">šo </w:t>
            </w:r>
            <w:r w:rsidR="00597226">
              <w:t xml:space="preserve">tiesību saturu, un to, ka valsts kompensācijas piešķiršanas un izmaksas gadījumi </w:t>
            </w:r>
            <w:r>
              <w:t>var tikt pārskatīti</w:t>
            </w:r>
            <w:r w:rsidR="00556BB2">
              <w:t xml:space="preserve"> (t.sk., ņemot vērā Eiropas Savienības un citu starptautisku organizāciju iniciatīvas cietušo atbalsta jomās)</w:t>
            </w:r>
            <w:r w:rsidR="00597226">
              <w:t>,</w:t>
            </w:r>
            <w:r>
              <w:t xml:space="preserve"> </w:t>
            </w:r>
            <w:r w:rsidR="00597226">
              <w:t xml:space="preserve">tie </w:t>
            </w:r>
            <w:r>
              <w:t xml:space="preserve">būtu nosakāmi </w:t>
            </w:r>
            <w:r w:rsidR="00597226">
              <w:t xml:space="preserve">un uzskaitāmi VKC </w:t>
            </w:r>
            <w:r w:rsidR="00A31925">
              <w:t>pamatnormās</w:t>
            </w:r>
            <w:r w:rsidR="00597226">
              <w:t>.</w:t>
            </w:r>
          </w:p>
          <w:p w:rsidR="00496D08" w:rsidRDefault="00496D08" w:rsidP="00250A9A">
            <w:pPr>
              <w:ind w:firstLine="720"/>
              <w:jc w:val="both"/>
            </w:pPr>
            <w:r w:rsidRPr="00250A9A">
              <w:t xml:space="preserve">Ņemot vērā minēto, nepieciešams precizēt VKC 1.pantu, </w:t>
            </w:r>
            <w:r w:rsidR="00556BB2">
              <w:t xml:space="preserve">tajā </w:t>
            </w:r>
            <w:r w:rsidR="0047733B" w:rsidRPr="00250A9A">
              <w:t>izslēdz</w:t>
            </w:r>
            <w:r w:rsidR="0047733B">
              <w:t>ot</w:t>
            </w:r>
            <w:r w:rsidR="0047733B" w:rsidRPr="00250A9A">
              <w:t xml:space="preserve"> valsts kompensācijas </w:t>
            </w:r>
            <w:r w:rsidR="0047733B">
              <w:t>piešķiršanas un izmaks</w:t>
            </w:r>
            <w:r w:rsidR="00234092">
              <w:t>āšan</w:t>
            </w:r>
            <w:r w:rsidR="0047733B">
              <w:t xml:space="preserve">as gadījumu uzskaitījumu. </w:t>
            </w:r>
            <w:r w:rsidRPr="00250A9A">
              <w:t xml:space="preserve">VKC 3.pants noteic tiesības cietušajam saņemt valsts kompensāciju, </w:t>
            </w:r>
            <w:r w:rsidR="0047733B">
              <w:t xml:space="preserve">līdz ar to </w:t>
            </w:r>
            <w:r w:rsidRPr="00250A9A">
              <w:t xml:space="preserve">minēto </w:t>
            </w:r>
            <w:r w:rsidR="00A31925">
              <w:t>gadījumu uzskaitījumu</w:t>
            </w:r>
            <w:r w:rsidRPr="00250A9A">
              <w:t xml:space="preserve"> nepieciešams </w:t>
            </w:r>
            <w:r w:rsidR="007F2769">
              <w:t>iekļaut šajā pantā</w:t>
            </w:r>
            <w:r w:rsidRPr="00250A9A">
              <w:t>.</w:t>
            </w:r>
          </w:p>
          <w:p w:rsidR="007F2769" w:rsidRDefault="007F2769" w:rsidP="00250A9A">
            <w:pPr>
              <w:ind w:firstLine="720"/>
              <w:jc w:val="both"/>
            </w:pPr>
          </w:p>
          <w:p w:rsidR="00CB1DA9" w:rsidRDefault="009E1CBC" w:rsidP="00250A9A">
            <w:pPr>
              <w:ind w:firstLine="720"/>
              <w:jc w:val="both"/>
            </w:pPr>
            <w:r w:rsidRPr="00250A9A">
              <w:t>Krimināllikuma 7.pant</w:t>
            </w:r>
            <w:r w:rsidR="00AD44FB" w:rsidRPr="00250A9A">
              <w:t>ā</w:t>
            </w:r>
            <w:r w:rsidRPr="00250A9A">
              <w:t xml:space="preserve"> notei</w:t>
            </w:r>
            <w:r w:rsidR="00AD44FB" w:rsidRPr="00250A9A">
              <w:t>kta</w:t>
            </w:r>
            <w:r w:rsidRPr="00250A9A">
              <w:t xml:space="preserve"> noziedzīgu nodarījumu klasifikācij</w:t>
            </w:r>
            <w:r w:rsidR="00AD44FB" w:rsidRPr="00250A9A">
              <w:t>a</w:t>
            </w:r>
            <w:r w:rsidRPr="00250A9A">
              <w:t xml:space="preserve">, </w:t>
            </w:r>
            <w:r w:rsidR="003147AB">
              <w:t xml:space="preserve">proti, </w:t>
            </w:r>
            <w:r w:rsidRPr="00250A9A">
              <w:t>noziedzīg</w:t>
            </w:r>
            <w:r w:rsidR="00AD44FB" w:rsidRPr="00250A9A">
              <w:t>i</w:t>
            </w:r>
            <w:r w:rsidRPr="00250A9A">
              <w:t xml:space="preserve"> nodarījum</w:t>
            </w:r>
            <w:r w:rsidR="00AD44FB" w:rsidRPr="00250A9A">
              <w:t>i</w:t>
            </w:r>
            <w:r w:rsidR="007B0508" w:rsidRPr="00250A9A">
              <w:t xml:space="preserve"> </w:t>
            </w:r>
            <w:r w:rsidR="00CB1DA9" w:rsidRPr="00CB1DA9">
              <w:t>ir kriminālpārkāpumi un noziegumi</w:t>
            </w:r>
            <w:r w:rsidR="00CB1DA9">
              <w:t xml:space="preserve">, savukārt </w:t>
            </w:r>
            <w:r w:rsidR="007B0508" w:rsidRPr="00250A9A">
              <w:t>noziegumi</w:t>
            </w:r>
            <w:r w:rsidR="00AD44FB" w:rsidRPr="00250A9A">
              <w:t xml:space="preserve"> tiek iedalīti</w:t>
            </w:r>
            <w:r w:rsidRPr="00250A9A">
              <w:t xml:space="preserve"> mazāk smag</w:t>
            </w:r>
            <w:r w:rsidR="00E029BB" w:rsidRPr="00250A9A">
              <w:t>os</w:t>
            </w:r>
            <w:r w:rsidRPr="00250A9A">
              <w:t xml:space="preserve"> noziegum</w:t>
            </w:r>
            <w:r w:rsidR="00887433" w:rsidRPr="00250A9A">
              <w:t>os</w:t>
            </w:r>
            <w:r w:rsidRPr="00250A9A">
              <w:t>, smag</w:t>
            </w:r>
            <w:r w:rsidR="00887433" w:rsidRPr="00250A9A">
              <w:t xml:space="preserve">os </w:t>
            </w:r>
            <w:r w:rsidRPr="00250A9A">
              <w:t>noziegum</w:t>
            </w:r>
            <w:r w:rsidR="00887433" w:rsidRPr="00250A9A">
              <w:t xml:space="preserve">os </w:t>
            </w:r>
            <w:r w:rsidRPr="00250A9A">
              <w:t>un sevišķi smag</w:t>
            </w:r>
            <w:r w:rsidR="00887433" w:rsidRPr="00250A9A">
              <w:t xml:space="preserve">os </w:t>
            </w:r>
            <w:r w:rsidRPr="00250A9A">
              <w:t>noziegum</w:t>
            </w:r>
            <w:r w:rsidR="00887433" w:rsidRPr="00250A9A">
              <w:t>os.</w:t>
            </w:r>
            <w:r w:rsidR="007B0508" w:rsidRPr="00250A9A">
              <w:t xml:space="preserve"> </w:t>
            </w:r>
          </w:p>
          <w:p w:rsidR="00496D08" w:rsidRDefault="00496D08" w:rsidP="00250A9A">
            <w:pPr>
              <w:ind w:firstLine="720"/>
              <w:jc w:val="both"/>
            </w:pPr>
            <w:r>
              <w:t>Šobrīd VKC paredz, ka valsts kompensācija tiek izmaksāta:</w:t>
            </w:r>
          </w:p>
          <w:p w:rsidR="00225D0C" w:rsidRDefault="00225D0C" w:rsidP="00225D0C">
            <w:pPr>
              <w:tabs>
                <w:tab w:val="left" w:pos="268"/>
              </w:tabs>
              <w:jc w:val="both"/>
            </w:pPr>
            <w:r>
              <w:t xml:space="preserve">1)  </w:t>
            </w:r>
            <w:r w:rsidR="00496D08" w:rsidRPr="00496D08">
              <w:t>100 procentu apmērā, ja iestājusies personas nāve;</w:t>
            </w:r>
          </w:p>
          <w:p w:rsidR="00225D0C" w:rsidRDefault="00225D0C" w:rsidP="00225D0C">
            <w:pPr>
              <w:tabs>
                <w:tab w:val="left" w:pos="268"/>
              </w:tabs>
              <w:jc w:val="both"/>
            </w:pPr>
            <w:r>
              <w:t xml:space="preserve">2) </w:t>
            </w:r>
            <w:r w:rsidR="00496D08" w:rsidRPr="00496D08">
              <w:t>70 procentu apmērā, ja cietušajam nodarīti smagi miesas bojājumi vai aizskarta cietušā dzimumneaizskaramība, vai cietušais inficēts ar cilvēka imūndeficīta vīrusu, B vai C hepatītu;</w:t>
            </w:r>
          </w:p>
          <w:p w:rsidR="00225D0C" w:rsidRDefault="00496D08" w:rsidP="00225D0C">
            <w:pPr>
              <w:tabs>
                <w:tab w:val="left" w:pos="268"/>
              </w:tabs>
              <w:jc w:val="both"/>
            </w:pPr>
            <w:r w:rsidRPr="00496D08">
              <w:t>3) 50 procentu apmērā, ja cietušajam nodarīti vidēja smaguma miesas bojājumi.</w:t>
            </w:r>
          </w:p>
          <w:p w:rsidR="00F103B7" w:rsidRDefault="00F103B7" w:rsidP="00F103B7">
            <w:pPr>
              <w:tabs>
                <w:tab w:val="left" w:pos="268"/>
              </w:tabs>
              <w:ind w:firstLine="694"/>
              <w:jc w:val="both"/>
            </w:pPr>
            <w:r>
              <w:t xml:space="preserve">Tā, piemēram, personas tīša prettiesiska nonāvēšana ir sevišķi smags noziegums, </w:t>
            </w:r>
            <w:r w:rsidRPr="00F103B7">
              <w:t>t</w:t>
            </w:r>
            <w:r w:rsidRPr="00F103B7">
              <w:rPr>
                <w:bCs/>
              </w:rPr>
              <w:t>īš</w:t>
            </w:r>
            <w:r>
              <w:rPr>
                <w:bCs/>
              </w:rPr>
              <w:t>a</w:t>
            </w:r>
            <w:r w:rsidRPr="00F103B7">
              <w:rPr>
                <w:bCs/>
              </w:rPr>
              <w:t xml:space="preserve"> smag</w:t>
            </w:r>
            <w:r>
              <w:rPr>
                <w:bCs/>
              </w:rPr>
              <w:t>a</w:t>
            </w:r>
            <w:r w:rsidRPr="00F103B7">
              <w:rPr>
                <w:bCs/>
              </w:rPr>
              <w:t xml:space="preserve"> miesas bojājum</w:t>
            </w:r>
            <w:r>
              <w:rPr>
                <w:bCs/>
              </w:rPr>
              <w:t xml:space="preserve">a nodarīšana bez kvalificējošām pazīmēm, </w:t>
            </w:r>
            <w:r w:rsidRPr="00F103B7">
              <w:rPr>
                <w:bCs/>
              </w:rPr>
              <w:t>cilvēku tirdzniecīb</w:t>
            </w:r>
            <w:r>
              <w:rPr>
                <w:bCs/>
              </w:rPr>
              <w:t xml:space="preserve">a bez kvalificējošām pazīmēm – smags noziegums, </w:t>
            </w:r>
            <w:r w:rsidRPr="00F103B7">
              <w:rPr>
                <w:bCs/>
              </w:rPr>
              <w:t>personas apzināt</w:t>
            </w:r>
            <w:r>
              <w:rPr>
                <w:bCs/>
              </w:rPr>
              <w:t>a inficēšana</w:t>
            </w:r>
            <w:r w:rsidRPr="00F103B7">
              <w:rPr>
                <w:bCs/>
              </w:rPr>
              <w:t xml:space="preserve"> ar cilvēka imūndeficīta vīrusu vai B vai C hepatīta vīrusu </w:t>
            </w:r>
            <w:r>
              <w:rPr>
                <w:bCs/>
              </w:rPr>
              <w:t>– mazāk smags noziegums.</w:t>
            </w:r>
            <w:r>
              <w:t xml:space="preserve"> </w:t>
            </w:r>
          </w:p>
          <w:p w:rsidR="00F103B7" w:rsidRPr="00F103B7" w:rsidRDefault="00A9650A" w:rsidP="00F103B7">
            <w:pPr>
              <w:tabs>
                <w:tab w:val="left" w:pos="268"/>
              </w:tabs>
              <w:ind w:firstLine="694"/>
              <w:jc w:val="both"/>
            </w:pPr>
            <w:r>
              <w:t xml:space="preserve">Šādas likumā noteiktās valsts kompensācijas izmaksas aprēķināšanas (attiecīgais procentuālais apmērs) pamatā ir </w:t>
            </w:r>
            <w:r w:rsidR="00911D98">
              <w:t xml:space="preserve">noziedzīgu nodarījumu klasifikācija un </w:t>
            </w:r>
            <w:r>
              <w:t xml:space="preserve">noziedzīga nodarījuma </w:t>
            </w:r>
            <w:r w:rsidR="00911D98">
              <w:t xml:space="preserve">rezultātā </w:t>
            </w:r>
            <w:r>
              <w:t>iestājušos seku smagum</w:t>
            </w:r>
            <w:r w:rsidR="00C078FD">
              <w:t>a pakāpe</w:t>
            </w:r>
            <w:r>
              <w:t>. Līdz ar to, paplašinot valsts kompensācijas piešķiršanas un izmaks</w:t>
            </w:r>
            <w:r w:rsidR="00E84D8D">
              <w:t>āšan</w:t>
            </w:r>
            <w:r>
              <w:t xml:space="preserve">as gadījumus, kā arī novēršot VKC piemērošanas praksē konstatētās problēmas sakarā ar </w:t>
            </w:r>
            <w:r w:rsidR="00911D98">
              <w:t xml:space="preserve">valsts kompensācijas procentuāla apmēra </w:t>
            </w:r>
            <w:r w:rsidR="00C078FD">
              <w:t>diferencēšanas nepieciešamību (sk. aprakstu zemāk</w:t>
            </w:r>
            <w:r w:rsidR="00C45B49">
              <w:t xml:space="preserve"> šīs sadaļas 4.punktā</w:t>
            </w:r>
            <w:r w:rsidR="00C078FD">
              <w:t xml:space="preserve">), būtu </w:t>
            </w:r>
            <w:r w:rsidR="009E1CBC" w:rsidRPr="00250A9A">
              <w:t>pārskat</w:t>
            </w:r>
            <w:r w:rsidR="00C078FD">
              <w:t xml:space="preserve">āms </w:t>
            </w:r>
            <w:r w:rsidR="00AA114C" w:rsidRPr="00250A9A">
              <w:t>VKC 7.panta otr</w:t>
            </w:r>
            <w:r w:rsidR="00C078FD">
              <w:t>aj</w:t>
            </w:r>
            <w:r w:rsidR="00AA114C" w:rsidRPr="00250A9A">
              <w:t>ā daļ</w:t>
            </w:r>
            <w:r w:rsidR="00C078FD">
              <w:t>ā</w:t>
            </w:r>
            <w:r w:rsidR="00AA114C" w:rsidRPr="00250A9A">
              <w:t xml:space="preserve"> </w:t>
            </w:r>
            <w:r w:rsidR="00C078FD">
              <w:t xml:space="preserve">noteiktās </w:t>
            </w:r>
            <w:r w:rsidR="009E1CBC" w:rsidRPr="00250A9A">
              <w:t>izmaksājamās</w:t>
            </w:r>
            <w:r w:rsidR="00B2225A" w:rsidRPr="00250A9A">
              <w:t xml:space="preserve"> valsts </w:t>
            </w:r>
            <w:r w:rsidR="00C078FD">
              <w:t>kompensācijas procentuālā</w:t>
            </w:r>
            <w:r w:rsidR="009E1CBC" w:rsidRPr="00250A9A">
              <w:t xml:space="preserve"> apmēr</w:t>
            </w:r>
            <w:r w:rsidR="00C078FD">
              <w:t>a noteikšanas princips</w:t>
            </w:r>
            <w:r w:rsidR="00887433" w:rsidRPr="00250A9A">
              <w:t>.</w:t>
            </w:r>
            <w:r w:rsidR="00F103B7">
              <w:t xml:space="preserve"> </w:t>
            </w:r>
          </w:p>
          <w:p w:rsidR="00B971DB" w:rsidRDefault="00B971DB" w:rsidP="00250A9A">
            <w:pPr>
              <w:ind w:firstLine="720"/>
              <w:jc w:val="both"/>
            </w:pPr>
          </w:p>
          <w:p w:rsidR="0057576E" w:rsidRPr="00250A9A" w:rsidRDefault="00AA114C" w:rsidP="00250A9A">
            <w:pPr>
              <w:ind w:firstLine="720"/>
              <w:jc w:val="both"/>
            </w:pPr>
            <w:r w:rsidRPr="00250A9A">
              <w:t xml:space="preserve">Praksē konstatēta problēma, ka atbilstoši noziedzīga nodarījuma kvalifikācijai problemātiski nodalīt tos gadījumus, kad ir aizskarta personas </w:t>
            </w:r>
            <w:r w:rsidR="007D133B" w:rsidRPr="00250A9A">
              <w:t xml:space="preserve">tikumība vai </w:t>
            </w:r>
            <w:r w:rsidRPr="00250A9A">
              <w:t>dzimumneaizskaramība</w:t>
            </w:r>
            <w:r w:rsidR="00B971DB">
              <w:t xml:space="preserve">, jo VKC nosaka cietušā tiesības saņemt valsts kompensāciju, ja ir </w:t>
            </w:r>
            <w:r w:rsidR="00B971DB" w:rsidRPr="00496D08">
              <w:t>aizskarta cietušā dzimumneaizskaramība</w:t>
            </w:r>
            <w:r w:rsidR="00B971DB">
              <w:t xml:space="preserve"> (nevis tikumība </w:t>
            </w:r>
            <w:r w:rsidR="00AC357E">
              <w:t>vai</w:t>
            </w:r>
            <w:r w:rsidR="00B971DB">
              <w:t xml:space="preserve"> </w:t>
            </w:r>
            <w:r w:rsidR="00B971DB">
              <w:lastRenderedPageBreak/>
              <w:t>dzimumneaizskaramība)</w:t>
            </w:r>
            <w:r w:rsidR="0057576E" w:rsidRPr="00250A9A">
              <w:t xml:space="preserve">. </w:t>
            </w:r>
          </w:p>
          <w:p w:rsidR="0057576E" w:rsidRPr="00250A9A" w:rsidRDefault="0057576E" w:rsidP="00250A9A">
            <w:pPr>
              <w:ind w:firstLine="720"/>
              <w:jc w:val="both"/>
              <w:rPr>
                <w:bCs/>
              </w:rPr>
            </w:pPr>
            <w:bookmarkStart w:id="4" w:name="9368"/>
            <w:r w:rsidRPr="00250A9A">
              <w:rPr>
                <w:bCs/>
              </w:rPr>
              <w:t>Krimināllikuma XVI nodaļ</w:t>
            </w:r>
            <w:r w:rsidR="007D133B" w:rsidRPr="00250A9A">
              <w:rPr>
                <w:bCs/>
              </w:rPr>
              <w:t>ā ietverti nozie</w:t>
            </w:r>
            <w:r w:rsidRPr="00250A9A">
              <w:rPr>
                <w:bCs/>
              </w:rPr>
              <w:t>dzīgi nodarījumi</w:t>
            </w:r>
            <w:r w:rsidR="007D133B" w:rsidRPr="00250A9A">
              <w:rPr>
                <w:bCs/>
              </w:rPr>
              <w:t>, kas vērsti uz personas</w:t>
            </w:r>
            <w:r w:rsidRPr="00250A9A">
              <w:rPr>
                <w:bCs/>
              </w:rPr>
              <w:t xml:space="preserve"> tikumīb</w:t>
            </w:r>
            <w:r w:rsidR="007D133B" w:rsidRPr="00250A9A">
              <w:rPr>
                <w:bCs/>
              </w:rPr>
              <w:t>as</w:t>
            </w:r>
            <w:r w:rsidRPr="00250A9A">
              <w:rPr>
                <w:bCs/>
              </w:rPr>
              <w:t xml:space="preserve"> un dzimumneaizskaramīb</w:t>
            </w:r>
            <w:bookmarkEnd w:id="4"/>
            <w:r w:rsidR="007D133B" w:rsidRPr="00250A9A">
              <w:rPr>
                <w:bCs/>
              </w:rPr>
              <w:t>as aizskārumu. Šo noziedzīgo nodarījumu</w:t>
            </w:r>
            <w:r w:rsidRPr="00250A9A">
              <w:rPr>
                <w:bCs/>
              </w:rPr>
              <w:t xml:space="preserve"> galvenais objekts ir personas </w:t>
            </w:r>
            <w:r w:rsidR="00B2225A" w:rsidRPr="00250A9A">
              <w:rPr>
                <w:bCs/>
              </w:rPr>
              <w:t>tikumība</w:t>
            </w:r>
            <w:r w:rsidR="009A67E0">
              <w:rPr>
                <w:bCs/>
              </w:rPr>
              <w:t>s</w:t>
            </w:r>
            <w:r w:rsidR="00B2225A" w:rsidRPr="00250A9A">
              <w:rPr>
                <w:bCs/>
              </w:rPr>
              <w:t xml:space="preserve"> (g</w:t>
            </w:r>
            <w:r w:rsidR="009A67E0">
              <w:rPr>
                <w:bCs/>
              </w:rPr>
              <w:t>arīgā</w:t>
            </w:r>
            <w:r w:rsidR="00B2225A" w:rsidRPr="00250A9A">
              <w:rPr>
                <w:bCs/>
              </w:rPr>
              <w:t xml:space="preserve"> attīstība u</w:t>
            </w:r>
            <w:r w:rsidR="009A67E0">
              <w:rPr>
                <w:bCs/>
              </w:rPr>
              <w:t xml:space="preserve">n </w:t>
            </w:r>
            <w:r w:rsidR="00B2225A" w:rsidRPr="00250A9A">
              <w:rPr>
                <w:bCs/>
              </w:rPr>
              <w:t xml:space="preserve">tml.) vai </w:t>
            </w:r>
            <w:r w:rsidRPr="00250A9A">
              <w:rPr>
                <w:bCs/>
              </w:rPr>
              <w:t>dzimumneaizskaramība</w:t>
            </w:r>
            <w:r w:rsidR="009A67E0">
              <w:rPr>
                <w:bCs/>
              </w:rPr>
              <w:t>s</w:t>
            </w:r>
            <w:r w:rsidRPr="00250A9A">
              <w:rPr>
                <w:bCs/>
              </w:rPr>
              <w:t xml:space="preserve"> (veselība, dzīvība</w:t>
            </w:r>
            <w:r w:rsidR="009A67E0">
              <w:rPr>
                <w:bCs/>
              </w:rPr>
              <w:t>, dzimumbrīvība</w:t>
            </w:r>
            <w:r w:rsidRPr="00250A9A">
              <w:rPr>
                <w:bCs/>
              </w:rPr>
              <w:t xml:space="preserve"> u</w:t>
            </w:r>
            <w:r w:rsidR="009A67E0">
              <w:rPr>
                <w:bCs/>
              </w:rPr>
              <w:t xml:space="preserve">n </w:t>
            </w:r>
            <w:r w:rsidRPr="00250A9A">
              <w:rPr>
                <w:bCs/>
              </w:rPr>
              <w:t>tml.)</w:t>
            </w:r>
            <w:r w:rsidR="009A67E0">
              <w:rPr>
                <w:bCs/>
              </w:rPr>
              <w:t xml:space="preserve"> aizskārums</w:t>
            </w:r>
            <w:r w:rsidRPr="00250A9A">
              <w:rPr>
                <w:bCs/>
              </w:rPr>
              <w:t xml:space="preserve">, kuru objektīvo pusi raksturo fizisku </w:t>
            </w:r>
            <w:r w:rsidR="009A67E0" w:rsidRPr="00250A9A">
              <w:rPr>
                <w:bCs/>
              </w:rPr>
              <w:t xml:space="preserve">vai morālu </w:t>
            </w:r>
            <w:r w:rsidRPr="00250A9A">
              <w:rPr>
                <w:bCs/>
              </w:rPr>
              <w:t xml:space="preserve">netiklu darbību veikšana ar personas ķermeni vai apziņu. </w:t>
            </w:r>
          </w:p>
          <w:p w:rsidR="00957B31" w:rsidRPr="00250A9A" w:rsidRDefault="00481D96" w:rsidP="00250A9A">
            <w:pPr>
              <w:ind w:firstLine="720"/>
              <w:jc w:val="both"/>
            </w:pPr>
            <w:r w:rsidRPr="00250A9A">
              <w:t>A</w:t>
            </w:r>
            <w:r w:rsidR="00957B31" w:rsidRPr="00250A9A">
              <w:t>tbilstoši VKC 7.panta otrajai daļai valsts kompensācija tiek izmaksāta, ja aizskarta cietušā dzimumneaizskaramība, praksē JPA rodas grūtības noteikt, vai cietušais ir VKC</w:t>
            </w:r>
            <w:r w:rsidRPr="00250A9A">
              <w:t xml:space="preserve"> subjekts</w:t>
            </w:r>
            <w:r w:rsidR="009A67E0">
              <w:t>,</w:t>
            </w:r>
            <w:r w:rsidRPr="00250A9A">
              <w:t xml:space="preserve"> vai valsts kompensācija par dzimumneaizskaramības aizskārumu izmaksājama visos Krimināllikuma XVI nodaļā minētajos noziedzīgajos nodarījumos.</w:t>
            </w:r>
          </w:p>
          <w:p w:rsidR="00887433" w:rsidRPr="00250A9A" w:rsidRDefault="00481D96" w:rsidP="00587949">
            <w:pPr>
              <w:tabs>
                <w:tab w:val="left" w:pos="720"/>
                <w:tab w:val="left" w:pos="900"/>
              </w:tabs>
              <w:ind w:firstLine="720"/>
              <w:jc w:val="both"/>
            </w:pPr>
            <w:r w:rsidRPr="00250A9A">
              <w:t>Ņemot vērā to, ka</w:t>
            </w:r>
            <w:r w:rsidRPr="00250A9A">
              <w:rPr>
                <w:bCs/>
              </w:rPr>
              <w:t xml:space="preserve"> </w:t>
            </w:r>
            <w:r w:rsidR="002E173F" w:rsidRPr="00250A9A">
              <w:rPr>
                <w:bCs/>
              </w:rPr>
              <w:t xml:space="preserve">nav iespējams nodalīt </w:t>
            </w:r>
            <w:r w:rsidR="00313657" w:rsidRPr="00250A9A">
              <w:rPr>
                <w:bCs/>
              </w:rPr>
              <w:t xml:space="preserve">tikumības </w:t>
            </w:r>
            <w:r w:rsidR="002E173F" w:rsidRPr="00250A9A">
              <w:rPr>
                <w:bCs/>
              </w:rPr>
              <w:t xml:space="preserve">aizskārumu no </w:t>
            </w:r>
            <w:r w:rsidR="00313657" w:rsidRPr="00250A9A">
              <w:rPr>
                <w:bCs/>
              </w:rPr>
              <w:t xml:space="preserve">dzimumneaizskarības </w:t>
            </w:r>
            <w:r w:rsidR="002E173F" w:rsidRPr="00250A9A">
              <w:rPr>
                <w:bCs/>
              </w:rPr>
              <w:t xml:space="preserve">aizskāruma, nepieciešams </w:t>
            </w:r>
            <w:r w:rsidR="00E22151">
              <w:rPr>
                <w:bCs/>
              </w:rPr>
              <w:t xml:space="preserve">precizēt VKC, nosakot, ka cietušajam ir tiesības uz valsts kompensāciju, ja aizskarta </w:t>
            </w:r>
            <w:r w:rsidR="00E22151" w:rsidRPr="00250A9A">
              <w:t xml:space="preserve">personas tikumība </w:t>
            </w:r>
            <w:r w:rsidR="00AC357E">
              <w:t>vai</w:t>
            </w:r>
            <w:r w:rsidR="00E22151" w:rsidRPr="00250A9A">
              <w:t xml:space="preserve"> dzimumneaizskaramība</w:t>
            </w:r>
            <w:r w:rsidR="00E22151">
              <w:t xml:space="preserve">, taču vienlaikus, </w:t>
            </w:r>
            <w:r w:rsidR="00197E15">
              <w:t xml:space="preserve">analizējot Krimināllikumā paredzēto attiecīgo noziegumu sastāvus, </w:t>
            </w:r>
            <w:r w:rsidR="00E22151">
              <w:t xml:space="preserve">ņemot vērā izraisīto seku smaguma pakāpi un </w:t>
            </w:r>
            <w:r w:rsidR="00587949">
              <w:t xml:space="preserve">iespējamo </w:t>
            </w:r>
            <w:r w:rsidR="00E22151">
              <w:t>speciālo subjektu šajos noziedzīgajos nodarījumos (</w:t>
            </w:r>
            <w:r w:rsidR="00587949" w:rsidRPr="00250A9A">
              <w:t>bērna tiesību prioritāti un īpašu aizsardzību nosaka gan Latvijai saistošie starptautiskie normatīvie akti, gan nacionālie politikas plānošanas dokumenti (piem., ar Ministru kabineta 2009.gada 25.augusta rīkojumu Nr.581 apstiprinātais Rīcības plāns nepilngadīgo aizsardzībai no noziedzīgiem nodarījumiem pret tikumību un dzimumneaizskaramību 2009.-2013.gadam</w:t>
            </w:r>
            <w:r w:rsidR="00587949" w:rsidRPr="00250A9A">
              <w:rPr>
                <w:rStyle w:val="Vresatsauce"/>
              </w:rPr>
              <w:footnoteReference w:id="3"/>
            </w:r>
            <w:r w:rsidR="00587949" w:rsidRPr="00250A9A">
              <w:t>, kur apkopoti gan institūciju jau īstenotie pasākumi, gan plānoti jauni pasākumi, kas piešķirto valsts budžeta līdzekļu ietvaros ļautu samazināt minēto apdraudējumu.) un nacionālie tiesību akti</w:t>
            </w:r>
            <w:r w:rsidR="00815260">
              <w:t>;</w:t>
            </w:r>
            <w:r w:rsidR="00587949" w:rsidRPr="00250A9A">
              <w:t xml:space="preserve"> jāņem vērā arī cietušā vecums pret personas tikumību </w:t>
            </w:r>
            <w:r w:rsidR="00C63256">
              <w:t>vai</w:t>
            </w:r>
            <w:r w:rsidR="00587949" w:rsidRPr="00250A9A">
              <w:t xml:space="preserve"> dzimumneaizskaramību vērstos noziedzīgos nodarījumos, proti, vai noziedzīgs nodarījums izdarīts pret </w:t>
            </w:r>
            <w:r w:rsidR="004160A4" w:rsidRPr="00312A55">
              <w:t>nepilngadīgu</w:t>
            </w:r>
            <w:r w:rsidR="00587949" w:rsidRPr="00312A55">
              <w:t xml:space="preserve"> personu (</w:t>
            </w:r>
            <w:r w:rsidR="004160A4" w:rsidRPr="00312A55">
              <w:t>persona, kas nav sasniegusi astoņpadsmit gadu vecumu</w:t>
            </w:r>
            <w:r w:rsidR="00587949" w:rsidRPr="00312A55">
              <w:t xml:space="preserve">), kas šajā gadījumā ir vērtējams kā </w:t>
            </w:r>
            <w:r w:rsidR="004160A4" w:rsidRPr="00312A55">
              <w:t xml:space="preserve">smags vai </w:t>
            </w:r>
            <w:r w:rsidR="00587949" w:rsidRPr="00312A55">
              <w:t>sevišķi smags noziegums</w:t>
            </w:r>
            <w:r w:rsidR="00E22151" w:rsidRPr="00312A55">
              <w:t>),</w:t>
            </w:r>
            <w:r w:rsidR="00E22151">
              <w:t xml:space="preserve"> nepieciešams </w:t>
            </w:r>
            <w:r w:rsidR="002E173F" w:rsidRPr="00250A9A">
              <w:rPr>
                <w:bCs/>
              </w:rPr>
              <w:t>pārskatīt izmaksājamās valsts kompensācijas apmēru</w:t>
            </w:r>
            <w:r w:rsidR="00E22151">
              <w:rPr>
                <w:bCs/>
              </w:rPr>
              <w:t>, diferencējot to</w:t>
            </w:r>
            <w:r w:rsidR="00980679" w:rsidRPr="00250A9A">
              <w:t xml:space="preserve">. </w:t>
            </w:r>
          </w:p>
          <w:p w:rsidR="00F45F12" w:rsidRPr="00250A9A" w:rsidRDefault="00F45F12" w:rsidP="00250A9A">
            <w:pPr>
              <w:ind w:firstLine="720"/>
              <w:jc w:val="both"/>
            </w:pPr>
          </w:p>
          <w:p w:rsidR="008B5B78" w:rsidRPr="00250A9A" w:rsidRDefault="008B5B78" w:rsidP="00250A9A">
            <w:pPr>
              <w:ind w:firstLine="720"/>
              <w:jc w:val="both"/>
            </w:pPr>
            <w:r w:rsidRPr="00250A9A">
              <w:t xml:space="preserve">Lai nodrošinātu taisnīgu valsts kompensācijas </w:t>
            </w:r>
            <w:r w:rsidR="00DB42AF">
              <w:t xml:space="preserve">piešķiršanu un </w:t>
            </w:r>
            <w:r w:rsidRPr="00250A9A">
              <w:t>izmaks</w:t>
            </w:r>
            <w:r w:rsidR="00B448EE">
              <w:t>āšanu</w:t>
            </w:r>
            <w:r w:rsidRPr="00250A9A">
              <w:t xml:space="preserve">, nepieciešams VKC papildināt ar papildus nosacījumiem izmaksājamās valsts kompensācijas </w:t>
            </w:r>
            <w:r w:rsidR="00DB42AF">
              <w:t xml:space="preserve">piešķiršanai, </w:t>
            </w:r>
            <w:r w:rsidRPr="00250A9A">
              <w:t>apmēra noteikšanai</w:t>
            </w:r>
            <w:r w:rsidR="00DB42AF">
              <w:t xml:space="preserve"> un izmaks</w:t>
            </w:r>
            <w:r w:rsidR="00E84D8D">
              <w:t>āš</w:t>
            </w:r>
            <w:r w:rsidR="00B448EE">
              <w:t>an</w:t>
            </w:r>
            <w:r w:rsidR="00DB42AF">
              <w:t>ai, piemēram</w:t>
            </w:r>
            <w:r w:rsidRPr="00250A9A">
              <w:t>, ja cietušais ir miris</w:t>
            </w:r>
            <w:r w:rsidR="00DB42AF">
              <w:t xml:space="preserve"> un </w:t>
            </w:r>
            <w:r w:rsidR="00D1471D">
              <w:t>ar procesa virzītāja lēmumu ir noteikt</w:t>
            </w:r>
            <w:r w:rsidR="00CB3F9F">
              <w:t>a</w:t>
            </w:r>
            <w:r w:rsidR="00D1471D">
              <w:t xml:space="preserve"> persona, kura aizstāj cietušo</w:t>
            </w:r>
            <w:r w:rsidR="00CB3F9F">
              <w:t xml:space="preserve"> (tātad iegūst arī cietušā tiesības uz valsts kompensāciju)</w:t>
            </w:r>
            <w:r w:rsidR="00D1471D">
              <w:t xml:space="preserve">, līdz ar to tai būtu </w:t>
            </w:r>
            <w:r w:rsidR="00CB3F9F">
              <w:t xml:space="preserve">nosakāmas </w:t>
            </w:r>
            <w:r w:rsidR="00D1471D">
              <w:t>tiesības saņemt valsts kompensāciju;</w:t>
            </w:r>
            <w:r w:rsidRPr="00250A9A">
              <w:t xml:space="preserve"> noziedzīga nodarījuma rezultātā iestājušās vairākas personu nāves</w:t>
            </w:r>
            <w:r w:rsidR="00D1471D">
              <w:t xml:space="preserve">, līdz ar to būtu iekļaujams regulējums, ka šādos gadījumos ir </w:t>
            </w:r>
            <w:r w:rsidR="00D1471D">
              <w:lastRenderedPageBreak/>
              <w:t>piešķiramas un izmaksājamas valsts kompensācijas atbilstoši to personu skaitam, kuru nāves ir iestāj</w:t>
            </w:r>
            <w:r w:rsidR="00B448EE">
              <w:t xml:space="preserve">ušās; nepieciešams noregulēt </w:t>
            </w:r>
            <w:r w:rsidR="00D1471D">
              <w:t xml:space="preserve">situāciju, ja kriminālprocesā </w:t>
            </w:r>
            <w:r w:rsidR="00B22DE6">
              <w:t xml:space="preserve">sakarā ar iestājušos personas nāvi </w:t>
            </w:r>
            <w:r w:rsidR="00D1471D">
              <w:t xml:space="preserve">ir atzīti vairāki cietušie, nosakot, ka šādos gadījumos valsts kompensācija tiek sadalīta proporcionāli cietušo skaitam </w:t>
            </w:r>
            <w:r w:rsidR="00CB3F9F">
              <w:t>(</w:t>
            </w:r>
            <w:r w:rsidR="00CB3F9F" w:rsidRPr="00250A9A">
              <w:t>JPA</w:t>
            </w:r>
            <w:r w:rsidR="00CB3F9F">
              <w:t>,</w:t>
            </w:r>
            <w:r w:rsidR="00CB3F9F" w:rsidRPr="00250A9A">
              <w:t xml:space="preserve"> pamatojoties uz pašreizējo regulējumu</w:t>
            </w:r>
            <w:r w:rsidR="00CB3F9F">
              <w:t xml:space="preserve">, piešķir un </w:t>
            </w:r>
            <w:r w:rsidR="00CB3F9F" w:rsidRPr="00250A9A">
              <w:t>izmaksā valsts kompensācijas par vien</w:t>
            </w:r>
            <w:r w:rsidR="00CB3F9F">
              <w:t xml:space="preserve">as personas iestājušos nāvi vairākiem cietušajiem (atbilstoši procesa virzītāju pieņemtajiem lēmumiem par atzīšanu par cietušo)). </w:t>
            </w:r>
            <w:r w:rsidRPr="00250A9A">
              <w:t xml:space="preserve">Tāpat šobrīd VKC neparedz valsts kompensācijas </w:t>
            </w:r>
            <w:r w:rsidR="00CB3F9F">
              <w:t xml:space="preserve">piešķiršanas, </w:t>
            </w:r>
            <w:r w:rsidRPr="00250A9A">
              <w:t xml:space="preserve">aprēķināšanas un </w:t>
            </w:r>
            <w:r w:rsidR="00B448EE" w:rsidRPr="00250A9A">
              <w:t>izmaks</w:t>
            </w:r>
            <w:r w:rsidR="00B448EE">
              <w:t>āšan</w:t>
            </w:r>
            <w:r w:rsidR="00B448EE" w:rsidRPr="00250A9A">
              <w:t>as</w:t>
            </w:r>
            <w:r w:rsidRPr="00250A9A">
              <w:t xml:space="preserve"> kārtību, ja noziedzīga nodarījuma rezultātā persona atzīta par cietušo (piem</w:t>
            </w:r>
            <w:r w:rsidR="00BD1010">
              <w:t>ēram</w:t>
            </w:r>
            <w:r w:rsidRPr="00250A9A">
              <w:t>, guvu</w:t>
            </w:r>
            <w:r w:rsidR="00CB3F9F">
              <w:t>si smagus miesas bojājumus) un t</w:t>
            </w:r>
            <w:r w:rsidRPr="00250A9A">
              <w:t xml:space="preserve">ā paša noziedzīga nodarījuma rezultātā ir iestājusies citas personas nāve, un minētais cietušais ir atzīts par cietušo arī </w:t>
            </w:r>
            <w:r w:rsidR="00CB3F9F">
              <w:t>s</w:t>
            </w:r>
            <w:r w:rsidR="00297970">
              <w:t>a</w:t>
            </w:r>
            <w:r w:rsidR="00CB3F9F">
              <w:t xml:space="preserve">karā ar iestājušos </w:t>
            </w:r>
            <w:r w:rsidRPr="00250A9A">
              <w:t>personas nāv</w:t>
            </w:r>
            <w:r w:rsidR="00CB3F9F">
              <w:t>i</w:t>
            </w:r>
            <w:r w:rsidRPr="00250A9A">
              <w:t>.</w:t>
            </w:r>
          </w:p>
          <w:p w:rsidR="008B5B78" w:rsidRPr="00250A9A" w:rsidRDefault="008B5B78" w:rsidP="00250A9A">
            <w:pPr>
              <w:ind w:firstLine="720"/>
              <w:jc w:val="both"/>
            </w:pPr>
          </w:p>
          <w:p w:rsidR="00B760D3" w:rsidRPr="00250A9A" w:rsidRDefault="00B760D3" w:rsidP="00250A9A">
            <w:pPr>
              <w:ind w:firstLine="720"/>
              <w:jc w:val="both"/>
            </w:pPr>
            <w:r w:rsidRPr="00250A9A">
              <w:t xml:space="preserve">Saskaņā ar Kriminālprocesa likuma </w:t>
            </w:r>
            <w:r w:rsidR="00453C55" w:rsidRPr="00312A55">
              <w:t>5.nodaļas</w:t>
            </w:r>
            <w:r w:rsidR="00453C55">
              <w:t xml:space="preserve"> regulējumu</w:t>
            </w:r>
            <w:r w:rsidRPr="00250A9A">
              <w:rPr>
                <w:bCs/>
              </w:rPr>
              <w:t xml:space="preserve"> noziedzīga nodarījuma izdarītājam saskaņā ar procesa virzītāja lēmumu tiek noteikts kriminālprocesuālais statuss, kas piešķir noziedzīga nodarījuma izdarītājam konkrētas tiesības un pienākumus</w:t>
            </w:r>
            <w:r w:rsidR="00B2225A" w:rsidRPr="00250A9A">
              <w:rPr>
                <w:bCs/>
              </w:rPr>
              <w:t xml:space="preserve"> kriminālprocesā</w:t>
            </w:r>
            <w:r w:rsidRPr="00250A9A">
              <w:rPr>
                <w:bCs/>
              </w:rPr>
              <w:t xml:space="preserve">. Kriminālprocesuālais statuss ir piesaistīts konkrētai kriminālprocesa stadijai. Kriminālprocesa likums noteic šādus noziedzīga nodarījuma izdarītāja kriminālprocesuālos statusus: persona, pret kuru uzsākts kriminālprocess; aizturētais; aizdomās turētais; </w:t>
            </w:r>
            <w:r w:rsidRPr="00250A9A">
              <w:t>apsūdzētais;</w:t>
            </w:r>
            <w:r w:rsidR="00453C55">
              <w:t xml:space="preserve">  </w:t>
            </w:r>
            <w:r w:rsidR="00453C55" w:rsidRPr="00312A55">
              <w:t>persona, pret kuru notiek process medicīniska rakstura piespiedu līdzekļu noteikšanai;</w:t>
            </w:r>
            <w:r w:rsidRPr="00250A9A">
              <w:t xml:space="preserve"> notiesātais.</w:t>
            </w:r>
          </w:p>
          <w:p w:rsidR="00B760D3" w:rsidRPr="00250A9A" w:rsidRDefault="00B760D3" w:rsidP="00250A9A">
            <w:pPr>
              <w:ind w:firstLine="720"/>
              <w:jc w:val="both"/>
            </w:pPr>
            <w:r w:rsidRPr="00250A9A">
              <w:t xml:space="preserve">Kriminālprocesa likums paredz, ka kriminālprocesu var izbeigt gan pirmstiesas (policija, prokuratūra) stadijā, gan tiesvedības stadijā (tiesa). </w:t>
            </w:r>
          </w:p>
          <w:p w:rsidR="004A4756" w:rsidRPr="00250A9A" w:rsidRDefault="004A4756" w:rsidP="00250A9A">
            <w:pPr>
              <w:ind w:firstLine="720"/>
              <w:jc w:val="both"/>
            </w:pPr>
            <w:r w:rsidRPr="00250A9A">
              <w:t xml:space="preserve">Atbilstoši </w:t>
            </w:r>
            <w:r w:rsidR="003061B5" w:rsidRPr="00250A9A">
              <w:t>VKC</w:t>
            </w:r>
            <w:r w:rsidRPr="00250A9A">
              <w:t xml:space="preserve"> </w:t>
            </w:r>
            <w:r w:rsidR="00910028">
              <w:t>3.</w:t>
            </w:r>
            <w:r w:rsidR="00910028" w:rsidRPr="00910028">
              <w:rPr>
                <w:vertAlign w:val="superscript"/>
              </w:rPr>
              <w:t>1</w:t>
            </w:r>
            <w:r w:rsidRPr="00250A9A">
              <w:t>pant</w:t>
            </w:r>
            <w:r w:rsidR="00910028">
              <w:t>am</w:t>
            </w:r>
            <w:r w:rsidRPr="00250A9A">
              <w:t xml:space="preserve"> </w:t>
            </w:r>
            <w:r w:rsidR="00910028">
              <w:t xml:space="preserve">pienākums atmaksāt valsts budžetā cietušajam izmaksāto valsts kompensāciju ir </w:t>
            </w:r>
            <w:r w:rsidRPr="00250A9A">
              <w:t>apsūdzēt</w:t>
            </w:r>
            <w:r w:rsidR="00910028">
              <w:t>ajam</w:t>
            </w:r>
            <w:r w:rsidRPr="00250A9A">
              <w:t>, kas atzīts par vainīgu noziedzīga nodarījuma izdarīšanā</w:t>
            </w:r>
            <w:r w:rsidR="00B760D3" w:rsidRPr="00250A9A">
              <w:t>.</w:t>
            </w:r>
          </w:p>
          <w:p w:rsidR="00B760D3" w:rsidRPr="00250A9A" w:rsidRDefault="00910028" w:rsidP="00250A9A">
            <w:pPr>
              <w:ind w:firstLine="720"/>
              <w:jc w:val="both"/>
            </w:pPr>
            <w:r>
              <w:t>P</w:t>
            </w:r>
            <w:r w:rsidR="004A4756" w:rsidRPr="00250A9A">
              <w:t xml:space="preserve">raksē konstatēts, ka </w:t>
            </w:r>
            <w:r w:rsidR="00B760D3" w:rsidRPr="00250A9A">
              <w:t>procesa virzītāji izbeidz kriminālprocesu pirms personai saskaņā ar procesa virzītāj</w:t>
            </w:r>
            <w:r>
              <w:t xml:space="preserve">a lēmumu ir noteikts apsūdzētā </w:t>
            </w:r>
            <w:r w:rsidR="00B760D3" w:rsidRPr="00250A9A">
              <w:t>kriminālprocesuālais statuss. Tādejādi, p</w:t>
            </w:r>
            <w:r w:rsidR="004A4756" w:rsidRPr="00250A9A">
              <w:t>iem</w:t>
            </w:r>
            <w:r w:rsidR="00BD1010">
              <w:t>ēram</w:t>
            </w:r>
            <w:r w:rsidR="004A4756" w:rsidRPr="00250A9A">
              <w:t>, izbeidzot kriminālprocesu pirmstiesas stadijā policijā, ja aizdomās turētais un cietušais ir noslēdzis izlīgumu, JPA</w:t>
            </w:r>
            <w:r w:rsidR="006F264C" w:rsidRPr="00250A9A">
              <w:t xml:space="preserve">, kurai saskaņā ar VKC </w:t>
            </w:r>
            <w:r w:rsidR="00217573" w:rsidRPr="00250A9A">
              <w:t xml:space="preserve">4.panta pirmās daļas 4.punktu ir pienākums nodrošināt izmaksātās valsts kompensācijas piedziņu no </w:t>
            </w:r>
            <w:r w:rsidRPr="00250A9A">
              <w:t>apsūdzētā, kas atzīts par vainīgu</w:t>
            </w:r>
            <w:r>
              <w:t xml:space="preserve"> noziedzīga nodarījuma izdarīšanā</w:t>
            </w:r>
            <w:r w:rsidR="00217573" w:rsidRPr="00250A9A">
              <w:t>,</w:t>
            </w:r>
            <w:r w:rsidR="004A4756" w:rsidRPr="00250A9A">
              <w:t xml:space="preserve"> </w:t>
            </w:r>
            <w:r w:rsidR="00B760D3" w:rsidRPr="00250A9A">
              <w:t>nav pamata</w:t>
            </w:r>
            <w:r w:rsidR="004A4756" w:rsidRPr="00250A9A">
              <w:t xml:space="preserve"> veikt i</w:t>
            </w:r>
            <w:r w:rsidR="00B760D3" w:rsidRPr="00250A9A">
              <w:t>zmaksātās valsts kompensācijas</w:t>
            </w:r>
            <w:r w:rsidR="004A4756" w:rsidRPr="00250A9A">
              <w:t xml:space="preserve"> piedziņu, jo </w:t>
            </w:r>
            <w:r>
              <w:t>persona</w:t>
            </w:r>
            <w:r w:rsidR="00B760D3" w:rsidRPr="00250A9A">
              <w:t xml:space="preserve">, </w:t>
            </w:r>
            <w:r>
              <w:t>kurai</w:t>
            </w:r>
            <w:r w:rsidR="00B760D3" w:rsidRPr="00250A9A">
              <w:t xml:space="preserve"> noteikts aizdomās turētā statuss, nav </w:t>
            </w:r>
            <w:r w:rsidR="004A4756" w:rsidRPr="00250A9A">
              <w:t xml:space="preserve">VKC </w:t>
            </w:r>
            <w:r>
              <w:t>3.</w:t>
            </w:r>
            <w:r w:rsidRPr="00910028">
              <w:rPr>
                <w:vertAlign w:val="superscript"/>
              </w:rPr>
              <w:t>1</w:t>
            </w:r>
            <w:r>
              <w:rPr>
                <w:vertAlign w:val="superscript"/>
              </w:rPr>
              <w:t xml:space="preserve"> </w:t>
            </w:r>
            <w:r>
              <w:t>un</w:t>
            </w:r>
            <w:r w:rsidRPr="00250A9A">
              <w:t xml:space="preserve"> </w:t>
            </w:r>
            <w:r w:rsidR="004A4756" w:rsidRPr="00250A9A">
              <w:t>21.pant</w:t>
            </w:r>
            <w:r w:rsidR="00B760D3" w:rsidRPr="00250A9A">
              <w:t>a subjekts.</w:t>
            </w:r>
          </w:p>
          <w:p w:rsidR="00F629AF" w:rsidRDefault="004A4756" w:rsidP="00F629AF">
            <w:pPr>
              <w:ind w:firstLine="720"/>
              <w:jc w:val="both"/>
            </w:pPr>
            <w:r w:rsidRPr="00250A9A">
              <w:t xml:space="preserve">No minētā izriet, ka </w:t>
            </w:r>
            <w:r w:rsidR="00B760D3" w:rsidRPr="00250A9A">
              <w:t>kriminālprocess var tikt pabeigts</w:t>
            </w:r>
            <w:r w:rsidR="003C50E7">
              <w:t>, balstoties uz dažādiem attiecīgajiem Kriminālprocesa likumā noteiktajiem pamatiem</w:t>
            </w:r>
            <w:r w:rsidR="00B760D3" w:rsidRPr="00250A9A">
              <w:t xml:space="preserve">, kā arī nav paredzams, kāds kriminālprocesuālais statuss </w:t>
            </w:r>
            <w:r w:rsidR="00A22E23">
              <w:t>tiks</w:t>
            </w:r>
            <w:r w:rsidR="003C50E7">
              <w:t xml:space="preserve"> </w:t>
            </w:r>
            <w:r w:rsidR="00B760D3" w:rsidRPr="00250A9A">
              <w:t xml:space="preserve">noteikts personai kriminālprocesa </w:t>
            </w:r>
            <w:r w:rsidR="003C50E7">
              <w:t>pabeigšanas</w:t>
            </w:r>
            <w:r w:rsidR="00B760D3" w:rsidRPr="00250A9A">
              <w:t xml:space="preserve"> stadijā</w:t>
            </w:r>
            <w:r w:rsidR="003C50E7">
              <w:t>. L</w:t>
            </w:r>
            <w:r w:rsidR="00B760D3" w:rsidRPr="00250A9A">
              <w:t xml:space="preserve">īdz ar ko </w:t>
            </w:r>
            <w:r w:rsidRPr="00250A9A">
              <w:t xml:space="preserve">nepieciešams personu, kas izdarījusi noziedzīgu nodarījumu – personu, pret kuru uzsākts kriminālprocess, aizturēto, aizdomās turamo, apsūdzēto, </w:t>
            </w:r>
            <w:r w:rsidR="00A22E23" w:rsidRPr="00312A55">
              <w:t xml:space="preserve">personu, </w:t>
            </w:r>
            <w:r w:rsidR="00A22E23" w:rsidRPr="00312A55">
              <w:lastRenderedPageBreak/>
              <w:t>pret kuru notiek process medicīniska rakstura piespiedu līdzekļu noteikšanai</w:t>
            </w:r>
            <w:r w:rsidR="00A22E23" w:rsidRPr="00250A9A">
              <w:t xml:space="preserve"> </w:t>
            </w:r>
            <w:r w:rsidR="00A22E23">
              <w:t xml:space="preserve">un </w:t>
            </w:r>
            <w:r w:rsidRPr="00250A9A">
              <w:t>notiesāto – apzīmēt VKC ar vienotu terminu – noziedzīga nodarījuma izdarītājs.</w:t>
            </w:r>
          </w:p>
          <w:p w:rsidR="00E5726B" w:rsidRPr="00F629AF" w:rsidRDefault="005D74AD" w:rsidP="00F105FA">
            <w:pPr>
              <w:ind w:firstLine="720"/>
              <w:jc w:val="both"/>
            </w:pPr>
            <w:r w:rsidRPr="00250A9A">
              <w:t xml:space="preserve">VKC </w:t>
            </w:r>
            <w:r w:rsidRPr="00250A9A">
              <w:rPr>
                <w:bCs/>
              </w:rPr>
              <w:t>3.</w:t>
            </w:r>
            <w:r w:rsidRPr="00250A9A">
              <w:rPr>
                <w:bCs/>
                <w:vertAlign w:val="superscript"/>
              </w:rPr>
              <w:t>1</w:t>
            </w:r>
            <w:r w:rsidRPr="00250A9A">
              <w:rPr>
                <w:bCs/>
              </w:rPr>
              <w:t xml:space="preserve">pants </w:t>
            </w:r>
            <w:r w:rsidR="00F629AF">
              <w:rPr>
                <w:bCs/>
              </w:rPr>
              <w:t xml:space="preserve">paredz </w:t>
            </w:r>
            <w:r w:rsidRPr="00250A9A">
              <w:rPr>
                <w:bCs/>
              </w:rPr>
              <w:t xml:space="preserve">cietušā </w:t>
            </w:r>
            <w:r w:rsidR="00F629AF">
              <w:rPr>
                <w:bCs/>
              </w:rPr>
              <w:t xml:space="preserve">un apsūdzētā, kas atzīts par vainīgu </w:t>
            </w:r>
            <w:r w:rsidRPr="00250A9A">
              <w:rPr>
                <w:bCs/>
              </w:rPr>
              <w:t>noziedzīga nodarījuma izdarī</w:t>
            </w:r>
            <w:r w:rsidR="00F629AF">
              <w:rPr>
                <w:bCs/>
              </w:rPr>
              <w:t>šanā,</w:t>
            </w:r>
            <w:r w:rsidRPr="00250A9A">
              <w:rPr>
                <w:bCs/>
              </w:rPr>
              <w:t xml:space="preserve"> pienākumu atmaksāt </w:t>
            </w:r>
            <w:r w:rsidR="00F629AF">
              <w:rPr>
                <w:bCs/>
              </w:rPr>
              <w:t xml:space="preserve">valsts budžetā </w:t>
            </w:r>
            <w:r w:rsidRPr="00250A9A">
              <w:rPr>
                <w:bCs/>
              </w:rPr>
              <w:t xml:space="preserve">izmaksāto valsts kompensāciju </w:t>
            </w:r>
            <w:r w:rsidR="00F629AF">
              <w:rPr>
                <w:bCs/>
              </w:rPr>
              <w:t>un gadījumus, kad šāds pienākums iestājas. Ņemot vērā iepriekšējā rindkopā izklāstīto par noziedzīga nodarījuma izdarītāja kriminālprocesuālo statusu un to, ka noziedzīga nodarījuma izdarītāja pienākuma atmaksāt valsts budžetā cietušajam izmaksāto valsts kompensāciju iestāšanās ir atkarī</w:t>
            </w:r>
            <w:r w:rsidR="00F105FA">
              <w:rPr>
                <w:bCs/>
              </w:rPr>
              <w:t>ga no tā, vai persona tiek atzī</w:t>
            </w:r>
            <w:r w:rsidR="00F629AF">
              <w:rPr>
                <w:bCs/>
              </w:rPr>
              <w:t>ta</w:t>
            </w:r>
            <w:r w:rsidR="00F105FA">
              <w:rPr>
                <w:bCs/>
              </w:rPr>
              <w:t xml:space="preserve"> </w:t>
            </w:r>
            <w:r w:rsidR="00F629AF">
              <w:rPr>
                <w:bCs/>
              </w:rPr>
              <w:t>par vainīgu</w:t>
            </w:r>
            <w:r w:rsidR="00F0013F">
              <w:rPr>
                <w:bCs/>
              </w:rPr>
              <w:t xml:space="preserve"> vai kriminālprocess tiek izbeigts uz nereabilitējošajiem pamatiem</w:t>
            </w:r>
            <w:r w:rsidR="00F629AF">
              <w:rPr>
                <w:bCs/>
              </w:rPr>
              <w:t xml:space="preserve">, būtu precizējama </w:t>
            </w:r>
            <w:r w:rsidR="00F629AF" w:rsidRPr="00250A9A">
              <w:rPr>
                <w:bCs/>
              </w:rPr>
              <w:t>3.</w:t>
            </w:r>
            <w:r w:rsidR="00F629AF" w:rsidRPr="00250A9A">
              <w:rPr>
                <w:bCs/>
                <w:vertAlign w:val="superscript"/>
              </w:rPr>
              <w:t>1</w:t>
            </w:r>
            <w:r w:rsidR="00F629AF" w:rsidRPr="00250A9A">
              <w:rPr>
                <w:bCs/>
              </w:rPr>
              <w:t>pant</w:t>
            </w:r>
            <w:r w:rsidR="00F629AF">
              <w:rPr>
                <w:bCs/>
              </w:rPr>
              <w:t>a 2</w:t>
            </w:r>
            <w:r w:rsidR="006B759C">
              <w:rPr>
                <w:bCs/>
              </w:rPr>
              <w:t>.</w:t>
            </w:r>
            <w:r w:rsidR="00F629AF">
              <w:rPr>
                <w:bCs/>
              </w:rPr>
              <w:t xml:space="preserve">punkta redakcija, kura paredzētu, ka noziedzīga nodarījuma izdarītājam ir pienākums atmaksāt valsts budžetā izmaksāto valsts kompensāciju, ja tas ir atzīts par vainīgu, pamatojoties uz notiesājošu spriedumu </w:t>
            </w:r>
            <w:r w:rsidR="00F0013F" w:rsidRPr="006145CE">
              <w:rPr>
                <w:bCs/>
              </w:rPr>
              <w:t>vai prokurora priekšrakstu par sodu</w:t>
            </w:r>
            <w:r w:rsidR="00F0013F">
              <w:rPr>
                <w:bCs/>
              </w:rPr>
              <w:t xml:space="preserve">, </w:t>
            </w:r>
            <w:r w:rsidR="00F629AF">
              <w:rPr>
                <w:bCs/>
              </w:rPr>
              <w:t xml:space="preserve">vai </w:t>
            </w:r>
            <w:r w:rsidR="00F0013F">
              <w:rPr>
                <w:bCs/>
              </w:rPr>
              <w:t xml:space="preserve">pret kuru kriminālprocess izbeigts </w:t>
            </w:r>
            <w:r w:rsidR="00F629AF">
              <w:rPr>
                <w:bCs/>
              </w:rPr>
              <w:t>personu nereabilitējošu apstākļu dēļ - Kriminālprocesa likuma 380.pantā noteiktie pamati.</w:t>
            </w:r>
          </w:p>
        </w:tc>
      </w:tr>
      <w:tr w:rsidR="00846547" w:rsidRPr="00250A9A" w:rsidTr="001C49C0">
        <w:trPr>
          <w:trHeight w:val="899"/>
          <w:tblCellSpacing w:w="0" w:type="dxa"/>
        </w:trPr>
        <w:tc>
          <w:tcPr>
            <w:tcW w:w="310" w:type="dxa"/>
            <w:tcBorders>
              <w:top w:val="outset" w:sz="6" w:space="0" w:color="auto"/>
              <w:left w:val="outset" w:sz="6" w:space="0" w:color="auto"/>
              <w:bottom w:val="outset" w:sz="6" w:space="0" w:color="auto"/>
              <w:right w:val="outset" w:sz="6" w:space="0" w:color="auto"/>
            </w:tcBorders>
          </w:tcPr>
          <w:p w:rsidR="00846547" w:rsidRPr="00250A9A" w:rsidRDefault="00846547" w:rsidP="00250A9A">
            <w:pPr>
              <w:pStyle w:val="naiskr"/>
              <w:spacing w:before="0" w:after="0"/>
              <w:jc w:val="both"/>
            </w:pPr>
            <w:r w:rsidRPr="00250A9A">
              <w:lastRenderedPageBreak/>
              <w:t> 3.</w:t>
            </w:r>
          </w:p>
        </w:tc>
        <w:tc>
          <w:tcPr>
            <w:tcW w:w="2257" w:type="dxa"/>
            <w:tcBorders>
              <w:top w:val="outset" w:sz="6" w:space="0" w:color="auto"/>
              <w:left w:val="outset" w:sz="6" w:space="0" w:color="auto"/>
              <w:bottom w:val="outset" w:sz="6" w:space="0" w:color="auto"/>
              <w:right w:val="outset" w:sz="6" w:space="0" w:color="auto"/>
            </w:tcBorders>
          </w:tcPr>
          <w:p w:rsidR="00846547" w:rsidRPr="00250A9A" w:rsidRDefault="00846547" w:rsidP="00250A9A">
            <w:pPr>
              <w:pStyle w:val="naiskr"/>
              <w:spacing w:before="0" w:after="0"/>
              <w:jc w:val="both"/>
            </w:pPr>
            <w:r w:rsidRPr="00250A9A">
              <w:t> Saistītie politikas ietekmes novērtējumi un pētījumi</w:t>
            </w:r>
          </w:p>
        </w:tc>
        <w:tc>
          <w:tcPr>
            <w:tcW w:w="6647" w:type="dxa"/>
            <w:tcBorders>
              <w:top w:val="outset" w:sz="6" w:space="0" w:color="auto"/>
              <w:left w:val="outset" w:sz="6" w:space="0" w:color="auto"/>
              <w:bottom w:val="outset" w:sz="6" w:space="0" w:color="auto"/>
              <w:right w:val="outset" w:sz="6" w:space="0" w:color="auto"/>
            </w:tcBorders>
          </w:tcPr>
          <w:p w:rsidR="00846547" w:rsidRPr="00250A9A" w:rsidRDefault="001630F3" w:rsidP="00250A9A">
            <w:pPr>
              <w:pStyle w:val="naiskr"/>
              <w:spacing w:before="0" w:after="0"/>
              <w:ind w:firstLine="720"/>
              <w:jc w:val="both"/>
            </w:pPr>
            <w:r w:rsidRPr="00250A9A">
              <w:t xml:space="preserve">Politikas ietekmes novērtējumi vai pētījumi nav veikti. </w:t>
            </w:r>
          </w:p>
        </w:tc>
      </w:tr>
      <w:tr w:rsidR="00846547" w:rsidRPr="00250A9A" w:rsidTr="001C49C0">
        <w:trPr>
          <w:trHeight w:val="384"/>
          <w:tblCellSpacing w:w="0" w:type="dxa"/>
        </w:trPr>
        <w:tc>
          <w:tcPr>
            <w:tcW w:w="310" w:type="dxa"/>
            <w:tcBorders>
              <w:top w:val="outset" w:sz="6" w:space="0" w:color="auto"/>
              <w:left w:val="outset" w:sz="6" w:space="0" w:color="auto"/>
              <w:bottom w:val="outset" w:sz="6" w:space="0" w:color="auto"/>
              <w:right w:val="outset" w:sz="6" w:space="0" w:color="auto"/>
            </w:tcBorders>
          </w:tcPr>
          <w:p w:rsidR="00846547" w:rsidRPr="00250A9A" w:rsidRDefault="00846547" w:rsidP="00250A9A">
            <w:pPr>
              <w:pStyle w:val="naiskr"/>
              <w:spacing w:before="0" w:after="0"/>
              <w:jc w:val="both"/>
            </w:pPr>
            <w:r w:rsidRPr="00250A9A">
              <w:t> 4.</w:t>
            </w:r>
          </w:p>
        </w:tc>
        <w:tc>
          <w:tcPr>
            <w:tcW w:w="2257" w:type="dxa"/>
            <w:tcBorders>
              <w:top w:val="outset" w:sz="6" w:space="0" w:color="auto"/>
              <w:left w:val="outset" w:sz="6" w:space="0" w:color="auto"/>
              <w:bottom w:val="outset" w:sz="6" w:space="0" w:color="auto"/>
              <w:right w:val="outset" w:sz="6" w:space="0" w:color="auto"/>
            </w:tcBorders>
          </w:tcPr>
          <w:p w:rsidR="00846547" w:rsidRPr="00250A9A" w:rsidRDefault="00846547" w:rsidP="00250A9A">
            <w:pPr>
              <w:pStyle w:val="naiskr"/>
              <w:spacing w:before="0" w:after="0"/>
              <w:jc w:val="both"/>
            </w:pPr>
            <w:r w:rsidRPr="00250A9A">
              <w:t> Tiesiskā regulējuma mērķis un būtība</w:t>
            </w:r>
          </w:p>
        </w:tc>
        <w:tc>
          <w:tcPr>
            <w:tcW w:w="6647" w:type="dxa"/>
            <w:tcBorders>
              <w:top w:val="outset" w:sz="6" w:space="0" w:color="auto"/>
              <w:left w:val="outset" w:sz="6" w:space="0" w:color="auto"/>
              <w:bottom w:val="outset" w:sz="6" w:space="0" w:color="auto"/>
              <w:right w:val="outset" w:sz="6" w:space="0" w:color="auto"/>
            </w:tcBorders>
          </w:tcPr>
          <w:p w:rsidR="006B759C" w:rsidRDefault="006B759C" w:rsidP="00250A9A">
            <w:pPr>
              <w:pStyle w:val="naisf"/>
              <w:spacing w:before="0" w:after="0"/>
              <w:ind w:firstLine="720"/>
            </w:pPr>
            <w:r>
              <w:t>Ievērojot Likumprojektā paredzētās normas, secīgi tiek izklāstīta paredzēto VKC grozījumu būtība:</w:t>
            </w:r>
          </w:p>
          <w:p w:rsidR="006B759C" w:rsidRDefault="006B759C" w:rsidP="006B759C">
            <w:pPr>
              <w:pStyle w:val="naisf"/>
              <w:spacing w:before="0" w:after="0"/>
            </w:pPr>
          </w:p>
          <w:p w:rsidR="006B759C" w:rsidRDefault="006B759C" w:rsidP="006B759C">
            <w:pPr>
              <w:ind w:firstLine="720"/>
              <w:jc w:val="both"/>
            </w:pPr>
            <w:r>
              <w:t>P</w:t>
            </w:r>
            <w:r w:rsidRPr="00250A9A">
              <w:t>recizēt</w:t>
            </w:r>
            <w:r>
              <w:t>s</w:t>
            </w:r>
            <w:r w:rsidRPr="00250A9A">
              <w:t xml:space="preserve"> </w:t>
            </w:r>
            <w:r>
              <w:t>likuma mērķis</w:t>
            </w:r>
            <w:r w:rsidRPr="00250A9A">
              <w:t xml:space="preserve"> </w:t>
            </w:r>
            <w:r>
              <w:t xml:space="preserve">– </w:t>
            </w:r>
            <w:r w:rsidRPr="00250A9A">
              <w:t>VKC 1.pant</w:t>
            </w:r>
            <w:r>
              <w:t>s</w:t>
            </w:r>
            <w:r w:rsidRPr="00250A9A">
              <w:t xml:space="preserve">, </w:t>
            </w:r>
            <w:r>
              <w:t xml:space="preserve">tajā nosakot likuma sasniedzamo mērķi un likuma pamatnormās – 3.pantā (Tiesības uz valsts kompensāciju) uzskaitot </w:t>
            </w:r>
            <w:r w:rsidRPr="00250A9A">
              <w:t xml:space="preserve">valsts kompensācijas </w:t>
            </w:r>
            <w:r>
              <w:t>piešķiršanas un izmaks</w:t>
            </w:r>
            <w:r w:rsidR="00B448EE">
              <w:t>āšan</w:t>
            </w:r>
            <w:r>
              <w:t xml:space="preserve">as </w:t>
            </w:r>
            <w:r w:rsidR="000D0E6F">
              <w:t>gadījumus</w:t>
            </w:r>
            <w:r w:rsidRPr="00250A9A">
              <w:t>.</w:t>
            </w:r>
          </w:p>
          <w:p w:rsidR="006B759C" w:rsidRDefault="006B759C" w:rsidP="006B759C">
            <w:pPr>
              <w:ind w:firstLine="720"/>
              <w:jc w:val="both"/>
            </w:pPr>
          </w:p>
          <w:p w:rsidR="00EC19A0" w:rsidRPr="00250A9A" w:rsidRDefault="006B759C" w:rsidP="006B759C">
            <w:pPr>
              <w:ind w:firstLine="720"/>
              <w:jc w:val="both"/>
            </w:pPr>
            <w:r>
              <w:t>Precizēts likuma 2.pants, tajā nosakot vienota termina – noziedzīga nodarījuma izdarītājs lietojumu šā likuma ietvaros, proti, VKC</w:t>
            </w:r>
            <w:r w:rsidRPr="006B759C">
              <w:t xml:space="preserve"> izpratnē, ņemot vērā kriminālprocesa virzības stadiju, persona, pret kuru uzsākts kriminālprocess, aizturētais, aizdomās turētais, apsūdzētais</w:t>
            </w:r>
            <w:r w:rsidR="003F1BB7">
              <w:t xml:space="preserve">, </w:t>
            </w:r>
            <w:r w:rsidR="003F1BB7" w:rsidRPr="00F04A3C">
              <w:t>persona, pret kuru notiek process medicīniska rakstura piespiedu līdzekļu noteikšanai</w:t>
            </w:r>
            <w:r w:rsidRPr="006B759C">
              <w:t xml:space="preserve"> vai notiesātais uzskatāms par noziedzīga nodarījuma izdarītāju.</w:t>
            </w:r>
            <w:r>
              <w:t xml:space="preserve"> Tādējādi attiecīgie grozījumi ir nepieciešami arī </w:t>
            </w:r>
            <w:r w:rsidR="00EC19A0" w:rsidRPr="00250A9A">
              <w:t>VKC</w:t>
            </w:r>
            <w:r w:rsidR="0000405F">
              <w:t xml:space="preserve"> </w:t>
            </w:r>
            <w:r w:rsidR="00EC19A0" w:rsidRPr="00250A9A">
              <w:t xml:space="preserve">4.panta pirmās daļas 4.punktā, </w:t>
            </w:r>
            <w:r>
              <w:t>8.panta otrās daļas 7.punkt</w:t>
            </w:r>
            <w:r w:rsidR="00D5757D">
              <w:t>ā</w:t>
            </w:r>
            <w:r>
              <w:t>,</w:t>
            </w:r>
            <w:r w:rsidRPr="00250A9A">
              <w:t xml:space="preserve"> </w:t>
            </w:r>
            <w:r w:rsidR="00EC19A0" w:rsidRPr="00250A9A">
              <w:t>12.panta 4.punktā, 19.panta 1., 4. un 5.punktā, 21.panta nosaukumā, trešajā, ceturtajā un piektajā daļā</w:t>
            </w:r>
            <w:r>
              <w:t xml:space="preserve">, </w:t>
            </w:r>
            <w:r w:rsidR="00EC19A0" w:rsidRPr="00250A9A">
              <w:t>paredz</w:t>
            </w:r>
            <w:r w:rsidR="0000405F">
              <w:t>ot lietot jēdzienu „noziedzīga nodarījuma izdarītājs”.</w:t>
            </w:r>
          </w:p>
          <w:p w:rsidR="00EC19A0" w:rsidRPr="00250A9A" w:rsidRDefault="00EC19A0" w:rsidP="00250A9A">
            <w:pPr>
              <w:pStyle w:val="naisf"/>
              <w:spacing w:before="0" w:after="0"/>
              <w:ind w:firstLine="720"/>
            </w:pPr>
          </w:p>
          <w:p w:rsidR="0000405F" w:rsidRPr="0000405F" w:rsidRDefault="0000405F" w:rsidP="0000405F">
            <w:pPr>
              <w:pStyle w:val="naisf"/>
              <w:spacing w:before="0" w:after="0"/>
              <w:ind w:firstLine="720"/>
              <w:rPr>
                <w:bCs/>
              </w:rPr>
            </w:pPr>
            <w:r>
              <w:t xml:space="preserve">VKC 3.pantā tiek precizēts, ka, ja noziedzīga nodarījuma </w:t>
            </w:r>
            <w:r w:rsidR="00DD10F9">
              <w:t xml:space="preserve">rezultātā </w:t>
            </w:r>
            <w:r w:rsidRPr="0000405F">
              <w:rPr>
                <w:bCs/>
              </w:rPr>
              <w:t>iestājusies personas nāve, valsts kompensāciju ir tiesības saņemt personai, kura atzīta par ciet</w:t>
            </w:r>
            <w:r>
              <w:rPr>
                <w:bCs/>
              </w:rPr>
              <w:t xml:space="preserve">ušo attiecīgajā kriminālprocesā. Šajā pantā </w:t>
            </w:r>
            <w:r w:rsidR="00DD10F9">
              <w:rPr>
                <w:bCs/>
              </w:rPr>
              <w:t xml:space="preserve">arī </w:t>
            </w:r>
            <w:r>
              <w:rPr>
                <w:bCs/>
              </w:rPr>
              <w:t xml:space="preserve">tiek </w:t>
            </w:r>
            <w:r>
              <w:t xml:space="preserve">paredzēts, ka, ja </w:t>
            </w:r>
            <w:r w:rsidRPr="00250A9A">
              <w:t>cietušais ir miris</w:t>
            </w:r>
            <w:r w:rsidR="00F04A3C">
              <w:t xml:space="preserve"> (tātad cietušajam ir iestājušās VKC noteiktās sekas, izņemot noziedzīga nodarījuma rezultātā iestājušos nāvi</w:t>
            </w:r>
            <w:r>
              <w:t xml:space="preserve">, </w:t>
            </w:r>
            <w:r w:rsidR="00F04A3C">
              <w:t xml:space="preserve">un cietušai ir miris no </w:t>
            </w:r>
            <w:r w:rsidR="00F04A3C">
              <w:lastRenderedPageBreak/>
              <w:t xml:space="preserve">noziedzīga nodarījuma neatkarīgu apstākļu dēļ) </w:t>
            </w:r>
            <w:r>
              <w:t xml:space="preserve">tiesības uz valsts kompensāciju ir personai, kura saskaņā ar procesa virzītāja lēmumu aizstāj cietušo, tātad iegūst cietušā tiesības uz valsts kompensācijas saņemšanu. </w:t>
            </w:r>
          </w:p>
          <w:p w:rsidR="0000405F" w:rsidRPr="0000405F" w:rsidRDefault="0000405F" w:rsidP="003C5152">
            <w:pPr>
              <w:pStyle w:val="naisf"/>
              <w:spacing w:before="0" w:after="0"/>
              <w:ind w:firstLine="694"/>
              <w:rPr>
                <w:bCs/>
              </w:rPr>
            </w:pPr>
            <w:r>
              <w:t xml:space="preserve">VKC 3.pantā tiek noteikts gadījumu uzskaitījums, atbilstoši kuram cietušajam ir tiesības uz valsts kompensāciju, proti, </w:t>
            </w:r>
            <w:r>
              <w:rPr>
                <w:bCs/>
              </w:rPr>
              <w:t>t</w:t>
            </w:r>
            <w:r w:rsidRPr="0000405F">
              <w:rPr>
                <w:bCs/>
              </w:rPr>
              <w:t>iesības uz valsts kompensāciju ir, ja tīša noziedzīga nodarījuma rezultātā:</w:t>
            </w:r>
          </w:p>
          <w:p w:rsidR="0000405F" w:rsidRPr="0000405F" w:rsidRDefault="0000405F" w:rsidP="0000405F">
            <w:pPr>
              <w:pStyle w:val="naisf"/>
              <w:spacing w:before="0" w:after="0"/>
              <w:rPr>
                <w:bCs/>
              </w:rPr>
            </w:pPr>
            <w:r w:rsidRPr="0000405F">
              <w:rPr>
                <w:bCs/>
              </w:rPr>
              <w:t>1) iestājusies personas nāve;</w:t>
            </w:r>
          </w:p>
          <w:p w:rsidR="0000405F" w:rsidRPr="0000405F" w:rsidRDefault="0000405F" w:rsidP="0000405F">
            <w:pPr>
              <w:pStyle w:val="naisf"/>
              <w:spacing w:before="0" w:after="0"/>
              <w:rPr>
                <w:bCs/>
              </w:rPr>
            </w:pPr>
            <w:r w:rsidRPr="0000405F">
              <w:rPr>
                <w:bCs/>
              </w:rPr>
              <w:t>2) cietušajam nodarīti smagi vai vidēja smaguma miesas bojājumi;</w:t>
            </w:r>
          </w:p>
          <w:p w:rsidR="0000405F" w:rsidRPr="0000405F" w:rsidRDefault="0000405F" w:rsidP="0000405F">
            <w:pPr>
              <w:pStyle w:val="naisf"/>
              <w:spacing w:before="0" w:after="0"/>
              <w:rPr>
                <w:bCs/>
              </w:rPr>
            </w:pPr>
            <w:r w:rsidRPr="0000405F">
              <w:rPr>
                <w:bCs/>
              </w:rPr>
              <w:t xml:space="preserve">3) aizskarta cietušā tikumība </w:t>
            </w:r>
            <w:r w:rsidR="0036398C" w:rsidRPr="00F04A3C">
              <w:rPr>
                <w:bCs/>
              </w:rPr>
              <w:t>vai</w:t>
            </w:r>
            <w:r w:rsidRPr="0000405F">
              <w:rPr>
                <w:bCs/>
              </w:rPr>
              <w:t xml:space="preserve"> dzimumneaizskaramība;</w:t>
            </w:r>
          </w:p>
          <w:p w:rsidR="0000405F" w:rsidRDefault="0000405F" w:rsidP="0000405F">
            <w:pPr>
              <w:pStyle w:val="naisf"/>
              <w:spacing w:before="0" w:after="0"/>
              <w:rPr>
                <w:bCs/>
              </w:rPr>
            </w:pPr>
            <w:r w:rsidRPr="0000405F">
              <w:rPr>
                <w:bCs/>
              </w:rPr>
              <w:t>4) cietušais cietis no cilvēku tirdzniecības;</w:t>
            </w:r>
          </w:p>
          <w:p w:rsidR="0000405F" w:rsidRDefault="0000405F" w:rsidP="0000405F">
            <w:pPr>
              <w:pStyle w:val="naisf"/>
              <w:spacing w:before="0" w:after="0"/>
              <w:rPr>
                <w:bCs/>
              </w:rPr>
            </w:pPr>
            <w:r w:rsidRPr="0000405F">
              <w:rPr>
                <w:bCs/>
              </w:rPr>
              <w:t>5) cietušais inficēts ar cilvēka imūndeficīta vīrusu, B vai C hepatītu.</w:t>
            </w:r>
            <w:r>
              <w:rPr>
                <w:bCs/>
              </w:rPr>
              <w:t xml:space="preserve"> </w:t>
            </w:r>
          </w:p>
          <w:p w:rsidR="0000405F" w:rsidRPr="0000405F" w:rsidRDefault="003C5152" w:rsidP="003C5152">
            <w:pPr>
              <w:pStyle w:val="naisf"/>
              <w:spacing w:before="0" w:after="0"/>
              <w:ind w:firstLine="694"/>
              <w:rPr>
                <w:bCs/>
              </w:rPr>
            </w:pPr>
            <w:r>
              <w:rPr>
                <w:bCs/>
              </w:rPr>
              <w:t xml:space="preserve">Atbilstoši minētajam gadījumu uzskaitījumam, šā brīža likuma regulējums, pamatojoties uz nepieciešamību ieviest Direktīvas 2011/36/ES 17.pantu, tiek papildināts ar jaunu valsts kompensācijas piešķiršanas </w:t>
            </w:r>
            <w:r w:rsidR="000677EF">
              <w:rPr>
                <w:bCs/>
              </w:rPr>
              <w:t>gadījumu</w:t>
            </w:r>
            <w:r>
              <w:rPr>
                <w:bCs/>
              </w:rPr>
              <w:t xml:space="preserve"> – ja cietušais </w:t>
            </w:r>
            <w:r w:rsidRPr="0000405F">
              <w:rPr>
                <w:bCs/>
              </w:rPr>
              <w:t>cietis no cilvēku tirdzniecības</w:t>
            </w:r>
            <w:r>
              <w:rPr>
                <w:bCs/>
              </w:rPr>
              <w:t>, kā arī precizēt</w:t>
            </w:r>
            <w:r w:rsidR="000677EF">
              <w:rPr>
                <w:bCs/>
              </w:rPr>
              <w:t>i</w:t>
            </w:r>
            <w:r>
              <w:rPr>
                <w:bCs/>
              </w:rPr>
              <w:t xml:space="preserve"> šobrīd esoš</w:t>
            </w:r>
            <w:r w:rsidR="000677EF">
              <w:rPr>
                <w:bCs/>
              </w:rPr>
              <w:t>ie</w:t>
            </w:r>
            <w:r>
              <w:rPr>
                <w:bCs/>
              </w:rPr>
              <w:t xml:space="preserve"> valsts kompensācijas piešķiršanas </w:t>
            </w:r>
            <w:r w:rsidR="000677EF">
              <w:rPr>
                <w:bCs/>
              </w:rPr>
              <w:t>gadījumi</w:t>
            </w:r>
            <w:r>
              <w:rPr>
                <w:bCs/>
              </w:rPr>
              <w:t xml:space="preserve"> - </w:t>
            </w:r>
            <w:r w:rsidRPr="0000405F">
              <w:rPr>
                <w:bCs/>
              </w:rPr>
              <w:t>aizskarta cietušā dzimumneaizskaramība</w:t>
            </w:r>
            <w:r>
              <w:rPr>
                <w:bCs/>
              </w:rPr>
              <w:t xml:space="preserve">, papildinot minēto </w:t>
            </w:r>
            <w:r w:rsidR="000677EF">
              <w:rPr>
                <w:bCs/>
              </w:rPr>
              <w:t>gadījumu</w:t>
            </w:r>
            <w:r>
              <w:rPr>
                <w:bCs/>
              </w:rPr>
              <w:t xml:space="preserve"> ar tikumības aizskārumu.</w:t>
            </w:r>
          </w:p>
          <w:p w:rsidR="007B2EDD" w:rsidRPr="00250A9A" w:rsidRDefault="007B2EDD" w:rsidP="00250A9A">
            <w:pPr>
              <w:pStyle w:val="naisf"/>
              <w:spacing w:before="0" w:after="0"/>
              <w:ind w:firstLine="720"/>
            </w:pPr>
          </w:p>
          <w:p w:rsidR="003C5152" w:rsidRDefault="003C5152" w:rsidP="00250A9A">
            <w:pPr>
              <w:pStyle w:val="naisf"/>
              <w:spacing w:before="0" w:after="0"/>
              <w:ind w:firstLine="720"/>
              <w:rPr>
                <w:bCs/>
              </w:rPr>
            </w:pPr>
            <w:r>
              <w:rPr>
                <w:bCs/>
              </w:rPr>
              <w:t xml:space="preserve">Precizēta VKC </w:t>
            </w:r>
            <w:r w:rsidRPr="00250A9A">
              <w:rPr>
                <w:bCs/>
              </w:rPr>
              <w:t>3.</w:t>
            </w:r>
            <w:r w:rsidRPr="00250A9A">
              <w:rPr>
                <w:bCs/>
                <w:vertAlign w:val="superscript"/>
              </w:rPr>
              <w:t>1</w:t>
            </w:r>
            <w:r w:rsidRPr="00250A9A">
              <w:rPr>
                <w:bCs/>
              </w:rPr>
              <w:t>pant</w:t>
            </w:r>
            <w:r>
              <w:rPr>
                <w:bCs/>
              </w:rPr>
              <w:t xml:space="preserve">a 2.punkta redakcija, paredzot, ka noziedzīga nodarījuma izdarītājam ir pienākums atmaksāt valsts budžetā izmaksāto valsts kompensāciju, ja tas ir atzīts par vainīgu, pamatojoties uz notiesājošu spriedumu vai </w:t>
            </w:r>
            <w:r w:rsidR="00CD268A">
              <w:rPr>
                <w:bCs/>
              </w:rPr>
              <w:t xml:space="preserve">prokurora </w:t>
            </w:r>
            <w:r w:rsidR="00CD268A" w:rsidRPr="00F04A3C">
              <w:rPr>
                <w:bCs/>
              </w:rPr>
              <w:t>priekšrakstu par sodu</w:t>
            </w:r>
            <w:r w:rsidR="00CD268A">
              <w:rPr>
                <w:bCs/>
              </w:rPr>
              <w:t xml:space="preserve">, vai pret kuru </w:t>
            </w:r>
            <w:r>
              <w:rPr>
                <w:bCs/>
              </w:rPr>
              <w:t>kriminālproces</w:t>
            </w:r>
            <w:r w:rsidR="00CD268A">
              <w:rPr>
                <w:bCs/>
              </w:rPr>
              <w:t>s</w:t>
            </w:r>
            <w:r>
              <w:rPr>
                <w:bCs/>
              </w:rPr>
              <w:t xml:space="preserve"> izbeig</w:t>
            </w:r>
            <w:r w:rsidR="00CD268A">
              <w:rPr>
                <w:bCs/>
              </w:rPr>
              <w:t>ts</w:t>
            </w:r>
            <w:r>
              <w:rPr>
                <w:bCs/>
              </w:rPr>
              <w:t xml:space="preserve"> personu nereabilitējošu apstākļu dēļ - Kriminālprocesa likuma 380.pantā noteiktie pamati. </w:t>
            </w:r>
          </w:p>
          <w:p w:rsidR="003C5152" w:rsidRDefault="003C5152" w:rsidP="00250A9A">
            <w:pPr>
              <w:pStyle w:val="naisf"/>
              <w:spacing w:before="0" w:after="0"/>
              <w:ind w:firstLine="720"/>
              <w:rPr>
                <w:bCs/>
              </w:rPr>
            </w:pPr>
          </w:p>
          <w:p w:rsidR="005012A8" w:rsidRPr="00250A9A" w:rsidRDefault="005012A8" w:rsidP="005012A8">
            <w:pPr>
              <w:pStyle w:val="naisf"/>
              <w:spacing w:before="0" w:after="0"/>
              <w:ind w:firstLine="720"/>
            </w:pPr>
            <w:r w:rsidRPr="00250A9A">
              <w:t>Ņemot vērā, ka valsts kompensācijas maksimālais apmērs</w:t>
            </w:r>
            <w:r w:rsidR="00053741">
              <w:t>,</w:t>
            </w:r>
            <w:r w:rsidRPr="00250A9A">
              <w:t xml:space="preserve"> pieņemot VKC</w:t>
            </w:r>
            <w:r w:rsidR="00053741">
              <w:t>,</w:t>
            </w:r>
            <w:r w:rsidRPr="00250A9A">
              <w:t xml:space="preserve"> tika noteikts 10 minimālo mēneša</w:t>
            </w:r>
            <w:r w:rsidR="006F5CCE">
              <w:t xml:space="preserve"> darba a</w:t>
            </w:r>
            <w:r w:rsidRPr="00250A9A">
              <w:t>lgu apmērā, bet šis regulējums nekad nav ticis piemērots, kā arī to, ka pārejas periodā maksimāl</w:t>
            </w:r>
            <w:r w:rsidR="001831DB">
              <w:t>ais</w:t>
            </w:r>
            <w:r w:rsidRPr="00250A9A">
              <w:t xml:space="preserve"> valsts kompensācijas apmērs tika noteikts </w:t>
            </w:r>
            <w:r>
              <w:t>piecu</w:t>
            </w:r>
            <w:r w:rsidRPr="00250A9A">
              <w:t xml:space="preserve"> minimālo mēneša</w:t>
            </w:r>
            <w:r w:rsidR="006F5CCE">
              <w:t xml:space="preserve"> darba a</w:t>
            </w:r>
            <w:r w:rsidRPr="00250A9A">
              <w:t xml:space="preserve">lgu apmērā, </w:t>
            </w:r>
            <w:r w:rsidR="00F04A3C">
              <w:t>savukārt</w:t>
            </w:r>
            <w:r w:rsidRPr="00250A9A">
              <w:t xml:space="preserve"> 2009.gadā, pagarinot pārejas periodu un ņemot vērā valsts ekonomisko situāciju</w:t>
            </w:r>
            <w:r w:rsidR="00F04A3C">
              <w:t>,</w:t>
            </w:r>
            <w:r w:rsidRPr="00250A9A">
              <w:t xml:space="preserve"> – </w:t>
            </w:r>
            <w:r>
              <w:t>trīs</w:t>
            </w:r>
            <w:r w:rsidRPr="00250A9A">
              <w:t xml:space="preserve"> minimālo mēneša</w:t>
            </w:r>
            <w:r w:rsidR="006F5CCE">
              <w:t xml:space="preserve"> darba a</w:t>
            </w:r>
            <w:r w:rsidRPr="00250A9A">
              <w:t>lgu apmērā, plānojot un nosakot turpmāko valsts kompensācijas apmēra noteikšanas un izmaks</w:t>
            </w:r>
            <w:r w:rsidR="00B448EE">
              <w:t>āšan</w:t>
            </w:r>
            <w:r w:rsidRPr="00250A9A">
              <w:t>as politiku, atbilstoši valsts iezīmētajiem ilgtermiņa un vidēja termiņa mērķiem, ievērojot kopējās valsts attīstības politikas tendences, ņemot vērā ierobežotos valsts budžeta resursus, kā arī nepieciešamību ievērot</w:t>
            </w:r>
            <w:r>
              <w:t xml:space="preserve"> un veicināt </w:t>
            </w:r>
            <w:r w:rsidRPr="00250A9A">
              <w:t>cietušo intereses, Likumprojekta 6.pant</w:t>
            </w:r>
            <w:r w:rsidR="004A66C3">
              <w:t>a pirmajā daļā</w:t>
            </w:r>
            <w:r w:rsidRPr="00250A9A">
              <w:t xml:space="preserve"> valsts kompensācijas maksimālais apmērs noteikts </w:t>
            </w:r>
            <w:r>
              <w:t>piecu</w:t>
            </w:r>
            <w:r w:rsidRPr="00250A9A">
              <w:t xml:space="preserve"> minimālo mēneša</w:t>
            </w:r>
            <w:r w:rsidR="006F5CCE">
              <w:t xml:space="preserve"> darba a</w:t>
            </w:r>
            <w:r w:rsidRPr="00250A9A">
              <w:t>lgu apmērā</w:t>
            </w:r>
            <w:r w:rsidR="004A66C3">
              <w:t xml:space="preserve"> (kāds bija no VKC spēkā stāšanās līdz 2009.gada 31.decembrim)</w:t>
            </w:r>
            <w:r>
              <w:t>, taču, ievērojot Ministru kabineta 2012. gada 17. </w:t>
            </w:r>
            <w:r w:rsidR="00056929">
              <w:t xml:space="preserve">aprīļa </w:t>
            </w:r>
            <w:r w:rsidR="00C20BCD">
              <w:t xml:space="preserve">sēdes </w:t>
            </w:r>
            <w:r w:rsidR="00056929">
              <w:t xml:space="preserve">protokola (prot. </w:t>
            </w:r>
            <w:r w:rsidRPr="006E02A1">
              <w:t>Nr</w:t>
            </w:r>
            <w:r w:rsidR="00056929">
              <w:t>.</w:t>
            </w:r>
            <w:r>
              <w:t>20</w:t>
            </w:r>
            <w:r w:rsidR="009E18DA">
              <w:t xml:space="preserve">) 38.§ </w:t>
            </w:r>
            <w:r>
              <w:t>10. </w:t>
            </w:r>
            <w:r w:rsidR="00056929">
              <w:t>p</w:t>
            </w:r>
            <w:r w:rsidRPr="006E02A1">
              <w:t>unktu</w:t>
            </w:r>
            <w:r w:rsidR="00056929">
              <w:t xml:space="preserve"> un 2012.gada 16.augusta </w:t>
            </w:r>
            <w:r w:rsidR="00C20BCD">
              <w:t xml:space="preserve">sēdes </w:t>
            </w:r>
            <w:r w:rsidR="00056929">
              <w:t>protokola (prot.</w:t>
            </w:r>
            <w:r w:rsidR="00147957">
              <w:t xml:space="preserve"> Nr.46) 22.§</w:t>
            </w:r>
            <w:r>
              <w:t xml:space="preserve">, </w:t>
            </w:r>
            <w:r w:rsidR="0028338E">
              <w:t>ar Likumprojekta 1</w:t>
            </w:r>
            <w:r w:rsidR="00480F30">
              <w:t>5</w:t>
            </w:r>
            <w:r w:rsidR="0028338E">
              <w:t xml:space="preserve">.pantu </w:t>
            </w:r>
            <w:r>
              <w:t xml:space="preserve">paredzēts pārejas periods, atbilstoši kuram </w:t>
            </w:r>
            <w:r w:rsidR="0028338E">
              <w:t xml:space="preserve">laika periodā no 2013.gada 1.janvāra </w:t>
            </w:r>
            <w:r w:rsidR="0028338E">
              <w:rPr>
                <w:bCs/>
              </w:rPr>
              <w:t>l</w:t>
            </w:r>
            <w:r w:rsidR="0028338E" w:rsidRPr="0028338E">
              <w:rPr>
                <w:bCs/>
              </w:rPr>
              <w:t>īdz 2013.gada 31.decembrim vienam noziedzīgā nodarījumā cietušajam izmaksājamās valsts kompensācijas maksimālais apmērs tiek noteikts četru minimālo mēneša darba algu apmērā, un šā likuma 7.panta otrajā daļā noteiktās izmaksājamās valsts kompensācijas apmērs tiek aprēķināts, par pamatu ņemot četras</w:t>
            </w:r>
            <w:r w:rsidR="0028338E">
              <w:rPr>
                <w:bCs/>
              </w:rPr>
              <w:t xml:space="preserve"> minimālās mēneša darba algas, savukārt no 2014.gada 1.janvāra i</w:t>
            </w:r>
            <w:r w:rsidR="0028338E" w:rsidRPr="0028338E">
              <w:rPr>
                <w:bCs/>
              </w:rPr>
              <w:t>zmaksājamās valsts kompensācijas maksimālais apmērs</w:t>
            </w:r>
            <w:r w:rsidR="0028338E">
              <w:rPr>
                <w:bCs/>
              </w:rPr>
              <w:t xml:space="preserve"> būtu piecu </w:t>
            </w:r>
            <w:r w:rsidR="0028338E" w:rsidRPr="0028338E">
              <w:rPr>
                <w:bCs/>
              </w:rPr>
              <w:t>minimālo mēneša darba algu apmērā</w:t>
            </w:r>
            <w:r w:rsidR="0028338E">
              <w:rPr>
                <w:bCs/>
              </w:rPr>
              <w:t>, kas būtu arī par pamatu valsts kompensācijas aprēķināšanai</w:t>
            </w:r>
            <w:r w:rsidRPr="00250A9A">
              <w:t>.</w:t>
            </w:r>
            <w:r>
              <w:t xml:space="preserve"> </w:t>
            </w:r>
          </w:p>
          <w:p w:rsidR="005012A8" w:rsidRDefault="005012A8" w:rsidP="00250A9A">
            <w:pPr>
              <w:pStyle w:val="naisf"/>
              <w:spacing w:before="0" w:after="0"/>
              <w:ind w:firstLine="720"/>
            </w:pPr>
          </w:p>
          <w:p w:rsidR="007D10E0" w:rsidRPr="00250A9A" w:rsidRDefault="007D10E0" w:rsidP="00250A9A">
            <w:pPr>
              <w:pStyle w:val="naisf"/>
              <w:spacing w:before="0" w:after="0"/>
              <w:ind w:firstLine="720"/>
              <w:rPr>
                <w:bCs/>
              </w:rPr>
            </w:pPr>
            <w:r w:rsidRPr="00250A9A">
              <w:t>Likumprojekt</w:t>
            </w:r>
            <w:r w:rsidR="00BD653E" w:rsidRPr="00250A9A">
              <w:t>a 6.pant</w:t>
            </w:r>
            <w:r w:rsidR="00F80F2A">
              <w:t xml:space="preserve">a otrā daļa </w:t>
            </w:r>
            <w:r w:rsidR="00BD653E" w:rsidRPr="00250A9A">
              <w:t>noteic</w:t>
            </w:r>
            <w:r w:rsidRPr="00250A9A">
              <w:t>, ka valsts kompensācija 100% apmērā no maksimālā valsts kompensācijas apmēra tiks izmaksāta, ja iestājusies personas nāve</w:t>
            </w:r>
            <w:r w:rsidR="00F80F2A">
              <w:t xml:space="preserve"> (atbilstoši </w:t>
            </w:r>
            <w:r w:rsidR="00F80F2A" w:rsidRPr="00250A9A">
              <w:t>Krimināllikuma 7.pant</w:t>
            </w:r>
            <w:r w:rsidR="00F80F2A">
              <w:t>am sevišķi smags noziegums)</w:t>
            </w:r>
            <w:r w:rsidRPr="00250A9A">
              <w:t xml:space="preserve">. Ņemot vērā, ka </w:t>
            </w:r>
            <w:r w:rsidR="001B696E" w:rsidRPr="00250A9A">
              <w:t>smagi miesas bojājumi vai noziedzīgs nodarījums</w:t>
            </w:r>
            <w:r w:rsidR="00F80F2A">
              <w:t>, kas</w:t>
            </w:r>
            <w:r w:rsidR="001B696E" w:rsidRPr="00250A9A">
              <w:t xml:space="preserve"> kvalificēts kā izvarošana vai vardarbīgas dzimumtieksmes apmierināšana pretdabiskā veidā, vai </w:t>
            </w:r>
            <w:r w:rsidR="009D0037" w:rsidRPr="00AE3338">
              <w:t>nepilngadīgā</w:t>
            </w:r>
            <w:r w:rsidR="009D0037">
              <w:t xml:space="preserve"> tikumības vai </w:t>
            </w:r>
            <w:r w:rsidR="001B696E" w:rsidRPr="00250A9A">
              <w:t xml:space="preserve"> </w:t>
            </w:r>
            <w:r w:rsidR="009D0037">
              <w:t>dzimumneaizskaramības aizskārums</w:t>
            </w:r>
            <w:r w:rsidR="001B696E" w:rsidRPr="00250A9A">
              <w:t>, vai</w:t>
            </w:r>
            <w:r w:rsidR="007E3258">
              <w:t>, ja</w:t>
            </w:r>
            <w:r w:rsidR="001B696E" w:rsidRPr="00250A9A">
              <w:t xml:space="preserve"> cietušais cietis no cilvēku tirdzniecības</w:t>
            </w:r>
            <w:r w:rsidR="007E3258">
              <w:t xml:space="preserve">, </w:t>
            </w:r>
            <w:r w:rsidR="001B696E" w:rsidRPr="00250A9A">
              <w:t xml:space="preserve">saskaņā ar Krimināllikuma 7.pantu klasificējami kā smagi </w:t>
            </w:r>
            <w:r w:rsidR="00F80F2A">
              <w:t xml:space="preserve">vai, pastāvot kvalificējošām pazīmēm, sevišķi smagi noziegumi, kā arī tika ņemts vērā, </w:t>
            </w:r>
            <w:r w:rsidR="00D73374">
              <w:t xml:space="preserve">ka </w:t>
            </w:r>
            <w:r w:rsidR="001B696E" w:rsidRPr="00250A9A">
              <w:t xml:space="preserve">tie </w:t>
            </w:r>
            <w:r w:rsidR="00F80F2A">
              <w:t>var tikt</w:t>
            </w:r>
            <w:r w:rsidR="001B696E" w:rsidRPr="00250A9A">
              <w:t xml:space="preserve"> izdarīti attiecībā pret</w:t>
            </w:r>
            <w:r w:rsidR="005929EC" w:rsidRPr="00250A9A">
              <w:t xml:space="preserve"> īpašu cietušo -</w:t>
            </w:r>
            <w:r w:rsidR="001B696E" w:rsidRPr="00250A9A">
              <w:t xml:space="preserve"> </w:t>
            </w:r>
            <w:r w:rsidR="007E3258" w:rsidRPr="00AE3338">
              <w:t>nepilngadīgo</w:t>
            </w:r>
            <w:r w:rsidR="001B696E" w:rsidRPr="00250A9A">
              <w:t>, nepieciešams noteikt valsts kompensācijas izmaks</w:t>
            </w:r>
            <w:r w:rsidR="00B448EE">
              <w:t>āšanu</w:t>
            </w:r>
            <w:r w:rsidR="001B696E" w:rsidRPr="00250A9A">
              <w:t xml:space="preserve"> </w:t>
            </w:r>
            <w:r w:rsidR="00D73374">
              <w:t>šajos gadījumos 70% apmērā no maksimālā</w:t>
            </w:r>
            <w:r w:rsidR="001B696E" w:rsidRPr="00250A9A">
              <w:t xml:space="preserve"> valsts kompensācijas apmēra. Savukārt valsts kompensācija </w:t>
            </w:r>
            <w:r w:rsidR="001B696E" w:rsidRPr="00250A9A">
              <w:rPr>
                <w:bCs/>
              </w:rPr>
              <w:t xml:space="preserve">50 % apmērā </w:t>
            </w:r>
            <w:r w:rsidR="00BD653E" w:rsidRPr="00250A9A">
              <w:t>no maksimālā valsts kompensācijas apmēra</w:t>
            </w:r>
            <w:r w:rsidR="00BD653E" w:rsidRPr="00250A9A">
              <w:rPr>
                <w:bCs/>
              </w:rPr>
              <w:t xml:space="preserve"> </w:t>
            </w:r>
            <w:r w:rsidR="001B696E" w:rsidRPr="00250A9A">
              <w:rPr>
                <w:bCs/>
              </w:rPr>
              <w:t>tiks izmaksāta, ja cietušajam nodarīti vidēja smaguma miesas bojājumi</w:t>
            </w:r>
            <w:r w:rsidR="00BD653E" w:rsidRPr="00250A9A">
              <w:rPr>
                <w:bCs/>
              </w:rPr>
              <w:t xml:space="preserve">, </w:t>
            </w:r>
            <w:r w:rsidR="00BD653E" w:rsidRPr="00250A9A">
              <w:t>cietušais inficēts ar cilvēka imūndeficīta vīrusu, B vai C hepatītu</w:t>
            </w:r>
            <w:r w:rsidR="001B696E" w:rsidRPr="00250A9A">
              <w:rPr>
                <w:bCs/>
              </w:rPr>
              <w:t xml:space="preserve"> vai aizskarta cietušā tikumība u</w:t>
            </w:r>
            <w:r w:rsidR="005929EC" w:rsidRPr="00250A9A">
              <w:rPr>
                <w:bCs/>
              </w:rPr>
              <w:t>n dzimumneaizskaramība</w:t>
            </w:r>
            <w:r w:rsidR="00AB0262">
              <w:rPr>
                <w:bCs/>
              </w:rPr>
              <w:t xml:space="preserve"> (</w:t>
            </w:r>
            <w:r w:rsidR="00AB0262">
              <w:t xml:space="preserve">atbilstoši </w:t>
            </w:r>
            <w:r w:rsidR="00AB0262" w:rsidRPr="00250A9A">
              <w:t>Krimināllikuma 7.pant</w:t>
            </w:r>
            <w:r w:rsidR="00AB0262">
              <w:t>am mazāk smags vai, pastāvot kvalificējošām pazīmēm, smags noziegums)</w:t>
            </w:r>
            <w:r w:rsidR="005929EC" w:rsidRPr="00250A9A">
              <w:rPr>
                <w:bCs/>
              </w:rPr>
              <w:t xml:space="preserve">, izņemot, ja </w:t>
            </w:r>
            <w:r w:rsidR="005929EC" w:rsidRPr="00250A9A">
              <w:t>noziedzīgs nodarījums kvalificēts kā izvarošana vai vardarbīgas dzimumtieksmes apmierināšana pretdabiskā veidā, vai</w:t>
            </w:r>
            <w:r w:rsidR="007E3258">
              <w:t xml:space="preserve">, ja tikumības vai </w:t>
            </w:r>
            <w:r w:rsidR="007E3258" w:rsidRPr="00AE3338">
              <w:t>dzimumneaizskaramības aizskārums bija vērsts pret nepilngadīgo</w:t>
            </w:r>
            <w:r w:rsidR="001B696E" w:rsidRPr="00AE3338">
              <w:rPr>
                <w:bCs/>
              </w:rPr>
              <w:t>.</w:t>
            </w:r>
          </w:p>
          <w:p w:rsidR="00F449AD" w:rsidRPr="00250A9A" w:rsidRDefault="00F449AD" w:rsidP="00250A9A">
            <w:pPr>
              <w:pStyle w:val="naisf"/>
              <w:spacing w:before="0" w:after="0"/>
              <w:ind w:firstLine="720"/>
            </w:pPr>
            <w:r w:rsidRPr="00250A9A">
              <w:t>Tādejādi tiek paredzēt</w:t>
            </w:r>
            <w:r w:rsidR="004F270F">
              <w:t>a</w:t>
            </w:r>
            <w:r w:rsidRPr="00250A9A">
              <w:t xml:space="preserve"> taisnīgāka un atbilstošāka valsts kompensācijas apmēra noteikšana. </w:t>
            </w:r>
          </w:p>
          <w:p w:rsidR="00BD653E" w:rsidRPr="00250A9A" w:rsidRDefault="00BD653E" w:rsidP="00250A9A">
            <w:pPr>
              <w:pStyle w:val="naisf"/>
              <w:spacing w:before="0" w:after="0"/>
              <w:ind w:firstLine="720"/>
              <w:rPr>
                <w:bCs/>
              </w:rPr>
            </w:pPr>
          </w:p>
          <w:p w:rsidR="0004779C" w:rsidRDefault="002B1867" w:rsidP="0004779C">
            <w:pPr>
              <w:pStyle w:val="naisf"/>
            </w:pPr>
            <w:r w:rsidRPr="00250A9A">
              <w:t xml:space="preserve">Lai </w:t>
            </w:r>
            <w:r w:rsidR="003C37BD" w:rsidRPr="00250A9A">
              <w:t>novērstu praksē konstatētās problēmas</w:t>
            </w:r>
            <w:r w:rsidR="0004779C">
              <w:t>, kas saistītas ar valsts kompensācijas apmēra noteikšanas</w:t>
            </w:r>
            <w:r w:rsidR="003C37BD" w:rsidRPr="00250A9A">
              <w:t xml:space="preserve"> </w:t>
            </w:r>
            <w:r w:rsidR="0004779C">
              <w:t xml:space="preserve">nosacījumiem, izstrādāts  </w:t>
            </w:r>
            <w:r w:rsidR="00937A49" w:rsidRPr="00250A9A">
              <w:t>L</w:t>
            </w:r>
            <w:r w:rsidRPr="00250A9A">
              <w:t>ikumprojekt</w:t>
            </w:r>
            <w:r w:rsidR="00653115" w:rsidRPr="00250A9A">
              <w:t>a 7.pants</w:t>
            </w:r>
            <w:r w:rsidR="0004779C">
              <w:t xml:space="preserve">, kurš paredz </w:t>
            </w:r>
            <w:r w:rsidR="009A415B">
              <w:t>šādus jaunus vai precizētus apmēra noteikšanas nosacījumus</w:t>
            </w:r>
            <w:r w:rsidR="0004779C">
              <w:t xml:space="preserve">: </w:t>
            </w:r>
          </w:p>
          <w:p w:rsidR="007E3258" w:rsidRPr="007E3258" w:rsidRDefault="009A415B" w:rsidP="007E3258">
            <w:pPr>
              <w:pStyle w:val="naisf"/>
              <w:spacing w:before="0" w:after="0"/>
              <w:ind w:firstLine="374"/>
              <w:rPr>
                <w:bCs/>
              </w:rPr>
            </w:pPr>
            <w:r>
              <w:rPr>
                <w:bCs/>
              </w:rPr>
              <w:t>1</w:t>
            </w:r>
            <w:r w:rsidR="0004779C" w:rsidRPr="0004779C">
              <w:rPr>
                <w:bCs/>
              </w:rPr>
              <w:t xml:space="preserve">) </w:t>
            </w:r>
            <w:r w:rsidR="007E3258" w:rsidRPr="007E3258">
              <w:rPr>
                <w:bCs/>
              </w:rPr>
              <w:t>Ja cietušais ir saņēmis kompensāciju par nodarīto kaitējumu</w:t>
            </w:r>
            <w:r w:rsidR="00540981">
              <w:rPr>
                <w:bCs/>
              </w:rPr>
              <w:t xml:space="preserve"> no noziedzīga nodarījuma izdarītāja vai viņa vietā citas personas</w:t>
            </w:r>
            <w:r w:rsidR="007E3258" w:rsidRPr="007E3258">
              <w:rPr>
                <w:bCs/>
              </w:rPr>
              <w:t>, valsts kompensācijas apmēru samazina atbilstoši jau saņemtajai kompensācijai.</w:t>
            </w:r>
            <w:r w:rsidR="00AE3338">
              <w:rPr>
                <w:bCs/>
              </w:rPr>
              <w:t xml:space="preserve"> Tātad, piemēram, ja cietušais no noziedzīga nodarījuma izdarītāja ir saņēmis kompensāciju par nodarīto kaitējumu kriminālprocesa ietvaros, attiecīgi izmaksājamo valsts kompensācijas apmēru, pieņemot lēmumu par valsts kompensācijas izmaksāšanu, samazinās.</w:t>
            </w:r>
          </w:p>
          <w:p w:rsidR="00AE3338" w:rsidRDefault="007E3258" w:rsidP="007E3258">
            <w:pPr>
              <w:pStyle w:val="naisf"/>
              <w:spacing w:before="0" w:after="0"/>
              <w:ind w:firstLine="374"/>
              <w:rPr>
                <w:bCs/>
              </w:rPr>
            </w:pPr>
            <w:r w:rsidRPr="007E3258">
              <w:rPr>
                <w:bCs/>
              </w:rPr>
              <w:t xml:space="preserve">2) Ja noziedzīga nodarījuma rezultātā cietušajam vienlaikus iestājušās 7.panta otrās daļas 1., 2. vai 3.punktā minētās sekas, izmaksā vienu valsts kompensāciju atbilstoši noziedzīga nodarījuma smagākajām sekām. </w:t>
            </w:r>
            <w:r w:rsidR="00AE3338">
              <w:rPr>
                <w:bCs/>
              </w:rPr>
              <w:t xml:space="preserve">Minētais nozīmē, ka, piemēram, ja  </w:t>
            </w:r>
            <w:r w:rsidR="00C13443">
              <w:rPr>
                <w:bCs/>
              </w:rPr>
              <w:t xml:space="preserve">viena noziedzīga nodarījuma ietvaros </w:t>
            </w:r>
            <w:r w:rsidR="00AE3338">
              <w:rPr>
                <w:bCs/>
              </w:rPr>
              <w:t>cietušais ir cietis no cilvēku tirdzniecības (</w:t>
            </w:r>
            <w:bookmarkStart w:id="5" w:name="OLE_LINK6"/>
            <w:r w:rsidR="00AE3338">
              <w:rPr>
                <w:bCs/>
              </w:rPr>
              <w:t>valsts kompensācija tiek izmaksāta 70% apmērā</w:t>
            </w:r>
            <w:bookmarkEnd w:id="5"/>
            <w:r w:rsidR="00AE3338">
              <w:rPr>
                <w:bCs/>
              </w:rPr>
              <w:t xml:space="preserve">) un vienlaicīgi cietušajam tika nodarīti vidēja smaguma miesas bojājumi </w:t>
            </w:r>
            <w:r w:rsidR="00C13443">
              <w:rPr>
                <w:bCs/>
              </w:rPr>
              <w:t>(valsts kompensācija tiek izmaksāta 50% apmērā)</w:t>
            </w:r>
            <w:r w:rsidR="00AE3338">
              <w:rPr>
                <w:bCs/>
              </w:rPr>
              <w:t xml:space="preserve">, cietušajam tiks izmaksāta viena valsts kompensācija 70% apmērā no valsts kompensācijas maksimālā apmēra. </w:t>
            </w:r>
          </w:p>
          <w:p w:rsidR="007E3258" w:rsidRPr="007E3258" w:rsidRDefault="007E3258" w:rsidP="007E3258">
            <w:pPr>
              <w:pStyle w:val="naisf"/>
              <w:spacing w:before="0" w:after="0"/>
              <w:ind w:firstLine="374"/>
              <w:rPr>
                <w:bCs/>
              </w:rPr>
            </w:pPr>
            <w:r w:rsidRPr="007E3258">
              <w:rPr>
                <w:bCs/>
              </w:rPr>
              <w:t>Ja noziedzīga nodarījuma rezultātā cietušajam vienlaikus iestājušās 7.panta otrās daļas 1., 2. vai 3.punktā minētās vairākas viena un tā paša smaguma sekas, izmaksā vienu valsts kompensāciju 7.panta noteiktajā apmērā atbilstoši attiecīgajām noziedzīga nodarījuma sekām.</w:t>
            </w:r>
            <w:r w:rsidR="00AE3338">
              <w:rPr>
                <w:bCs/>
              </w:rPr>
              <w:t xml:space="preserve"> Minētais nozīmē, ka, piemēram, ja </w:t>
            </w:r>
            <w:r w:rsidR="00C13443">
              <w:rPr>
                <w:bCs/>
              </w:rPr>
              <w:t xml:space="preserve">viena noziedzīga nodarījuma ietvaros </w:t>
            </w:r>
            <w:r w:rsidR="00AE3338">
              <w:rPr>
                <w:bCs/>
              </w:rPr>
              <w:t xml:space="preserve">cietušais ir cietis no cilvēku tirdzniecības </w:t>
            </w:r>
            <w:r w:rsidR="00C13443">
              <w:rPr>
                <w:bCs/>
              </w:rPr>
              <w:t xml:space="preserve">(valsts kompensācija tiek izmaksāta 70% apmērā) </w:t>
            </w:r>
            <w:r w:rsidR="00AE3338">
              <w:rPr>
                <w:bCs/>
              </w:rPr>
              <w:t>un pret cietušo notikusi vardarbīga dzimumtieksmes apmierināšana pretdabiskā veidā</w:t>
            </w:r>
            <w:r w:rsidR="00C13443">
              <w:rPr>
                <w:bCs/>
              </w:rPr>
              <w:t xml:space="preserve"> (valsts kompensācija tiek izmaksāta 70% apmērā), cietušajam tiks izmaksāta viena valsts kompensācija 70% apmērā no valsts kompensācijas maksimālā apmēra.</w:t>
            </w:r>
          </w:p>
          <w:p w:rsidR="007E3258" w:rsidRPr="007E3258" w:rsidRDefault="007E3258" w:rsidP="007E3258">
            <w:pPr>
              <w:pStyle w:val="naisf"/>
              <w:spacing w:before="0" w:after="0"/>
              <w:ind w:firstLine="374"/>
              <w:rPr>
                <w:bCs/>
              </w:rPr>
            </w:pPr>
            <w:r w:rsidRPr="007E3258">
              <w:rPr>
                <w:bCs/>
              </w:rPr>
              <w:t>3</w:t>
            </w:r>
            <w:r>
              <w:rPr>
                <w:bCs/>
              </w:rPr>
              <w:t xml:space="preserve">) </w:t>
            </w:r>
            <w:r w:rsidRPr="007E3258">
              <w:rPr>
                <w:bCs/>
              </w:rPr>
              <w:t xml:space="preserve">Ja noziedzīga nodarījuma rezultātā iestājusies vairāku personu nāve, cietušajam izmaksā valsts kompensācijas atbilstoši to personu skaitam, kuru nāve, sakarā ar ko persona atzīta par cietušo, ir iestājusies noziedzīga nodarījuma rezultātā. </w:t>
            </w:r>
            <w:r w:rsidR="005C26A3">
              <w:rPr>
                <w:bCs/>
              </w:rPr>
              <w:t>Minētais nozīmē, ka cietušajam izmaksās valsts kompensācijas atbilstoši to personu skaitam, kuru nāves noziedzīga nodarījuma rezultātā ir iestājušās un sakarā ar ko persona ir atzīta par cietušo. Tā piemēram, ja noziedzīga nodarījuma rezultātā ir iestājušās trīs personu nāves, par cietušo atzītai personai izmaksās trīs valsts kompensācijas, savukārt, ja noziedzīga nodarījuma rezultātā ir iestājušās trīs personu nāves un sakarā ar katras šīs personas nāvi procesa virzītājs ir pieņēmis lēmumus par attiecīgi trīs personu atzīšanu par cietušajiem, tad katra</w:t>
            </w:r>
            <w:r w:rsidR="00064DFC">
              <w:rPr>
                <w:bCs/>
              </w:rPr>
              <w:t>m</w:t>
            </w:r>
            <w:r w:rsidR="005C26A3">
              <w:rPr>
                <w:bCs/>
              </w:rPr>
              <w:t xml:space="preserve"> no </w:t>
            </w:r>
            <w:r w:rsidR="00064DFC">
              <w:rPr>
                <w:bCs/>
              </w:rPr>
              <w:t>minētajiem</w:t>
            </w:r>
            <w:r w:rsidR="005C26A3">
              <w:rPr>
                <w:bCs/>
              </w:rPr>
              <w:t xml:space="preserve"> trim </w:t>
            </w:r>
            <w:r w:rsidR="00064DFC">
              <w:rPr>
                <w:bCs/>
              </w:rPr>
              <w:t xml:space="preserve">cietušajiem </w:t>
            </w:r>
            <w:r w:rsidR="005C26A3">
              <w:rPr>
                <w:bCs/>
              </w:rPr>
              <w:t>izmaksās vienu valsts kompensāciju.</w:t>
            </w:r>
          </w:p>
          <w:p w:rsidR="007E3258" w:rsidRPr="007E3258" w:rsidRDefault="007E3258" w:rsidP="007E3258">
            <w:pPr>
              <w:pStyle w:val="naisf"/>
              <w:spacing w:before="0" w:after="0"/>
              <w:ind w:firstLine="374"/>
              <w:rPr>
                <w:bCs/>
              </w:rPr>
            </w:pPr>
            <w:r w:rsidRPr="007E3258">
              <w:rPr>
                <w:bCs/>
              </w:rPr>
              <w:t xml:space="preserve">4) Ja noziedzīga nodarījuma rezultātā iestājusies personas nāve un kriminālprocesā par cietušajiem atzītas vairākas personas, cietušajam izmaksā valsts kompensāciju, sadalot to proporcionāli cietušo skaitam. </w:t>
            </w:r>
            <w:r w:rsidR="00344FD2">
              <w:rPr>
                <w:bCs/>
              </w:rPr>
              <w:t xml:space="preserve">Minētais nozīmē, ka, </w:t>
            </w:r>
            <w:r w:rsidR="001F6EA3">
              <w:rPr>
                <w:bCs/>
              </w:rPr>
              <w:t xml:space="preserve">piemēram, </w:t>
            </w:r>
            <w:r w:rsidR="00344FD2">
              <w:rPr>
                <w:bCs/>
              </w:rPr>
              <w:t xml:space="preserve">ja </w:t>
            </w:r>
            <w:r w:rsidR="00344FD2" w:rsidRPr="007E3258">
              <w:rPr>
                <w:bCs/>
              </w:rPr>
              <w:t>noziedzīga nodarījuma rezultātā iestājusies personas nāve</w:t>
            </w:r>
            <w:r w:rsidR="001F6EA3">
              <w:rPr>
                <w:bCs/>
              </w:rPr>
              <w:t xml:space="preserve"> un par cietušajiem ir atzītas piecas personas, valsts kompensāciju izmaksās cietušajam 1/5 apmērā.</w:t>
            </w:r>
            <w:r w:rsidR="00D54115">
              <w:rPr>
                <w:bCs/>
              </w:rPr>
              <w:t xml:space="preserve"> Šeit ir jāmin, ka praksē var būt gadījumi, kad, izlemjot jautājumu par </w:t>
            </w:r>
            <w:r w:rsidR="00437813">
              <w:rPr>
                <w:bCs/>
              </w:rPr>
              <w:t xml:space="preserve">izmaksājamās </w:t>
            </w:r>
            <w:r w:rsidR="00D54115">
              <w:rPr>
                <w:bCs/>
              </w:rPr>
              <w:t xml:space="preserve">valsts kompensācijas </w:t>
            </w:r>
            <w:r w:rsidR="00437813">
              <w:rPr>
                <w:bCs/>
              </w:rPr>
              <w:t xml:space="preserve">apmēru, JPA būs jāņem vērā gan trešajā, gan šajā punktā noteiktos nosacījumus, piemēram, ja noziedzīga nodarījuma rezultātā ir iestājušās trīs personu nāves un vienlaicīgi par visu trīs personu iestājušos nāvi par cietušajiem ir atzītas divas personas, tad </w:t>
            </w:r>
            <w:r w:rsidR="001F2E39">
              <w:rPr>
                <w:bCs/>
              </w:rPr>
              <w:t xml:space="preserve">katram cietušajam </w:t>
            </w:r>
            <w:r w:rsidR="00437813">
              <w:rPr>
                <w:bCs/>
              </w:rPr>
              <w:t xml:space="preserve">izmaksājamās valsts kompensācijas apmērs būtu aprēķināms šādi: </w:t>
            </w:r>
            <w:r w:rsidR="00437813" w:rsidRPr="00250A9A">
              <w:t>100% no maksimālā valsts kompensācijas apmēra</w:t>
            </w:r>
            <w:r w:rsidR="00437813">
              <w:t xml:space="preserve"> (par personas nāvi) x3 (personu skaits, kuru nāves ir iestājušās) : 2 (cietušo (sakarā ar noziedzīga nodarījuma rezultātā iestājušos personu nāvi) skai</w:t>
            </w:r>
            <w:r w:rsidR="001F2E39">
              <w:t>ts attiecīgajā kriminālprocesā).</w:t>
            </w:r>
            <w:r w:rsidR="00437813">
              <w:t xml:space="preserve"> </w:t>
            </w:r>
          </w:p>
          <w:p w:rsidR="007E3258" w:rsidRPr="007E3258" w:rsidRDefault="007E3258" w:rsidP="007E3258">
            <w:pPr>
              <w:pStyle w:val="naisf"/>
              <w:spacing w:before="0" w:after="0"/>
              <w:ind w:firstLine="374"/>
              <w:rPr>
                <w:bCs/>
              </w:rPr>
            </w:pPr>
            <w:r w:rsidRPr="007E3258">
              <w:rPr>
                <w:bCs/>
              </w:rPr>
              <w:t>5) Ja pēc valsts kompensācijas izmaksāšanas sakarā ar noziedzīga nodarījuma rezultātā iestājušos personas nāvi procesa virzītājs tajā pašā kriminālprocesā par cietušo atzīst citu pe</w:t>
            </w:r>
            <w:r w:rsidR="00F94863">
              <w:rPr>
                <w:bCs/>
              </w:rPr>
              <w:t>rsonu, valsts kompensāciju tai</w:t>
            </w:r>
            <w:r w:rsidRPr="007E3258">
              <w:rPr>
                <w:bCs/>
              </w:rPr>
              <w:t xml:space="preserve"> izmaksā tādā pašā apmērā, kādā tā tika izmaksāta cietušajam vai cietušajiem.</w:t>
            </w:r>
            <w:r w:rsidR="00D5292D">
              <w:rPr>
                <w:bCs/>
              </w:rPr>
              <w:t xml:space="preserve"> Minētā norma ir nepieciešama, lai noregulētu situāciju, ja par cietušo kriminālprocesā atzīst vēl kādu personu, nodrošinot šai personai līdzvērtīgas tiesības uz valsts kompensāciju kā cietušajam vai cietušajiem, kuriem jau būs izmaksāta valsts kompensācija. </w:t>
            </w:r>
            <w:r w:rsidRPr="007E3258">
              <w:rPr>
                <w:bCs/>
              </w:rPr>
              <w:t xml:space="preserve">  </w:t>
            </w:r>
          </w:p>
          <w:p w:rsidR="00B3254A" w:rsidRDefault="007E3258" w:rsidP="00B3254A">
            <w:pPr>
              <w:pStyle w:val="naisf"/>
              <w:spacing w:before="0" w:after="0"/>
              <w:ind w:firstLine="374"/>
              <w:rPr>
                <w:bCs/>
              </w:rPr>
            </w:pPr>
            <w:r w:rsidRPr="007E3258">
              <w:rPr>
                <w:bCs/>
              </w:rPr>
              <w:t xml:space="preserve">6) Ja valsts kompensācija par noziedzīga nodarījuma rezultātā iestājušos personas nāvi izmaksāta vairākiem cietušajiem un šajā likumā noteiktajos gadījumos </w:t>
            </w:r>
            <w:r w:rsidR="00B3254A">
              <w:rPr>
                <w:bCs/>
              </w:rPr>
              <w:t>JPA</w:t>
            </w:r>
            <w:r w:rsidRPr="007E3258">
              <w:rPr>
                <w:bCs/>
              </w:rPr>
              <w:t xml:space="preserve"> ir pieņēmusi lēmumu par izmaksātās valsts kompensācijas piedziņu no cietušā, piedzenamo valsts kompensācijas daļu izmaksā citam cietušajam vai proporcionāli citiem cietušajiem tajā pašā kriminālprocesā.</w:t>
            </w:r>
            <w:r w:rsidR="00B3254A">
              <w:rPr>
                <w:bCs/>
              </w:rPr>
              <w:t xml:space="preserve"> Ši</w:t>
            </w:r>
            <w:r w:rsidR="00B3254A" w:rsidRPr="00B3254A">
              <w:rPr>
                <w:bCs/>
              </w:rPr>
              <w:t xml:space="preserve">s </w:t>
            </w:r>
            <w:r w:rsidR="00B3254A">
              <w:rPr>
                <w:bCs/>
              </w:rPr>
              <w:t>nosacījums</w:t>
            </w:r>
            <w:r w:rsidR="00B3254A" w:rsidRPr="00B3254A">
              <w:rPr>
                <w:bCs/>
              </w:rPr>
              <w:t xml:space="preserve"> nav piemērojams, ja Juridiskās palīdzības administrācija ir pieņēmusi lēmumu par izmaksātās valsts kompensācijas piedziņu no cietušā sakarā ar to, ka cietušais ir saņēmis kompensāciju par nodarīto kaitējumu.</w:t>
            </w:r>
            <w:r w:rsidR="00B3254A">
              <w:rPr>
                <w:bCs/>
              </w:rPr>
              <w:t xml:space="preserve"> Minētais </w:t>
            </w:r>
            <w:r w:rsidR="00C3727D">
              <w:rPr>
                <w:bCs/>
              </w:rPr>
              <w:t xml:space="preserve">ir attiecināms uz gadījumiem, kad sakarā ar personas iestājušos nāvi valsts kompensācija ir izmaksāta proporcionāli vairākiem cietušajiem un </w:t>
            </w:r>
            <w:r w:rsidR="00B3254A">
              <w:rPr>
                <w:bCs/>
              </w:rPr>
              <w:t>nozīmē, ka, ja JPA</w:t>
            </w:r>
            <w:r w:rsidR="00B40E13">
              <w:rPr>
                <w:bCs/>
              </w:rPr>
              <w:t xml:space="preserve"> </w:t>
            </w:r>
            <w:r w:rsidR="00B3254A" w:rsidRPr="007E3258">
              <w:rPr>
                <w:bCs/>
              </w:rPr>
              <w:t>ir pieņēmusi lēmumu par izmaksātās valsts kompensācijas piedziņu no cietušā</w:t>
            </w:r>
            <w:r w:rsidR="00B3254A">
              <w:rPr>
                <w:bCs/>
              </w:rPr>
              <w:t xml:space="preserve"> </w:t>
            </w:r>
            <w:r w:rsidR="00B40E13">
              <w:rPr>
                <w:bCs/>
              </w:rPr>
              <w:t xml:space="preserve">(balstoties uz likumā noteikto kārtību un gadījumu) </w:t>
            </w:r>
            <w:r w:rsidR="00B3254A">
              <w:rPr>
                <w:bCs/>
              </w:rPr>
              <w:t>un minētajam cietušajam nav bijis tiesību saņemt valsts kompensāciju, tad šī piedzenamā daļa būtu izmaksājama attie</w:t>
            </w:r>
            <w:r w:rsidR="006E0244">
              <w:rPr>
                <w:bCs/>
              </w:rPr>
              <w:t>cīgi cietušajam vai cietušajiem.</w:t>
            </w:r>
            <w:r w:rsidR="00B3254A">
              <w:rPr>
                <w:bCs/>
              </w:rPr>
              <w:t xml:space="preserve"> </w:t>
            </w:r>
            <w:r w:rsidR="006E0244">
              <w:rPr>
                <w:bCs/>
              </w:rPr>
              <w:t>S</w:t>
            </w:r>
            <w:r w:rsidR="00B3254A">
              <w:rPr>
                <w:bCs/>
              </w:rPr>
              <w:t xml:space="preserve">avukārt, ja JPA </w:t>
            </w:r>
            <w:r w:rsidR="00B3254A" w:rsidRPr="007E3258">
              <w:rPr>
                <w:bCs/>
              </w:rPr>
              <w:t>ir pieņēmusi lēmumu par izmaksātās valsts kompensācijas piedziņu no cietušā</w:t>
            </w:r>
            <w:r w:rsidR="00B3254A">
              <w:rPr>
                <w:bCs/>
              </w:rPr>
              <w:t xml:space="preserve"> </w:t>
            </w:r>
            <w:r w:rsidR="00B40E13">
              <w:rPr>
                <w:bCs/>
              </w:rPr>
              <w:t xml:space="preserve">(balstoties uz likumā noteikto kārtību un gadījumu) un </w:t>
            </w:r>
            <w:r w:rsidR="00B3254A">
              <w:rPr>
                <w:bCs/>
              </w:rPr>
              <w:t>minētajam cietušajam ir bijis pamats valsts kompensācijas saņemšanai, taču viņš ir saņēmis kompensāciju par nodarīto kaitējumu no noziedzīga nodarījuma izdarītāja, līdz ar to šis cietušajam izmaksājamās valsts kompensācijas apmērs būtu attiecīgi samazināms, tad šajos gadījumos</w:t>
            </w:r>
            <w:r w:rsidR="00704F12">
              <w:rPr>
                <w:bCs/>
              </w:rPr>
              <w:t xml:space="preserve"> </w:t>
            </w:r>
            <w:r w:rsidR="00B3254A">
              <w:rPr>
                <w:bCs/>
              </w:rPr>
              <w:t xml:space="preserve">nav pamata piedzenamās summas izmaksāšanai </w:t>
            </w:r>
            <w:r w:rsidR="00C3727D">
              <w:rPr>
                <w:bCs/>
              </w:rPr>
              <w:t>citam cietušajam vai cietušajiem.</w:t>
            </w:r>
          </w:p>
          <w:p w:rsidR="007E3258" w:rsidRPr="007E3258" w:rsidRDefault="007E3258" w:rsidP="00B3254A">
            <w:pPr>
              <w:pStyle w:val="naisf"/>
              <w:spacing w:before="0" w:after="0"/>
              <w:ind w:firstLine="374"/>
              <w:rPr>
                <w:bCs/>
              </w:rPr>
            </w:pPr>
            <w:r w:rsidRPr="007E3258">
              <w:rPr>
                <w:bCs/>
                <w:iCs/>
              </w:rPr>
              <w:t xml:space="preserve">7) </w:t>
            </w:r>
            <w:r w:rsidRPr="007E3258">
              <w:rPr>
                <w:bCs/>
              </w:rPr>
              <w:t xml:space="preserve">Ja persona atzīta par cietušo kriminālprocesā un tajā pašā kriminālprocesā atzīta par cietušo arī sakarā ar noziedzīga nodarījuma rezultātā iestājušos citas personas nāvi, cietušajam izmaksā valsts kompensācijas gan par cietušajam noziedzīga nodarījuma rezultātā iestājušajām sekām, gan sakarā ar noziedzīga nodarījuma rezultātā iestājušos citas personas nāvi. </w:t>
            </w:r>
            <w:r w:rsidR="00F94863">
              <w:rPr>
                <w:bCs/>
              </w:rPr>
              <w:t>Tā, piemēram, ja viena noziedzīga nodarījuma ietvaros ir iestājusies viena ģimenes locekļa nāve un citam ģimenes loceklim ir nodarīti smagi miesas bojājumi, tad</w:t>
            </w:r>
            <w:r w:rsidR="00C113A6">
              <w:rPr>
                <w:bCs/>
              </w:rPr>
              <w:t>, ja ģimenes loceklis, kam ir nodarīti smagi miesas bojājumi, ir atzīts par cietušo par sev nodarīto kaitējumu un par ģimenes locekļa iestājušos nāvi,</w:t>
            </w:r>
            <w:r w:rsidR="00F94863">
              <w:rPr>
                <w:bCs/>
              </w:rPr>
              <w:t xml:space="preserve"> valsts kompensācijas tiks izmaksātas sakarā ar personas iestājušos nāvi un sakarā ar cietušajam nodarītajiem miesas bojājumiem.  </w:t>
            </w:r>
          </w:p>
          <w:p w:rsidR="007E3258" w:rsidRPr="007E3258" w:rsidRDefault="007E3258" w:rsidP="00F94863">
            <w:pPr>
              <w:pStyle w:val="naisf"/>
              <w:spacing w:before="0" w:after="0"/>
              <w:ind w:firstLine="374"/>
              <w:rPr>
                <w:bCs/>
              </w:rPr>
            </w:pPr>
            <w:r w:rsidRPr="007E3258">
              <w:rPr>
                <w:bCs/>
                <w:iCs/>
              </w:rPr>
              <w:t xml:space="preserve">8) </w:t>
            </w:r>
            <w:r w:rsidRPr="007E3258">
              <w:rPr>
                <w:bCs/>
              </w:rPr>
              <w:t xml:space="preserve">Ja valsts kompensācija izmaksāta un galīgajā nolēmumā konstatēts, ka noziedzīga nodarījuma rezultātā cietušajam ir iestājušās smagākas sekas, </w:t>
            </w:r>
            <w:r w:rsidR="00B328B6">
              <w:rPr>
                <w:bCs/>
              </w:rPr>
              <w:t xml:space="preserve">cietušajam </w:t>
            </w:r>
            <w:r w:rsidRPr="007E3258">
              <w:rPr>
                <w:bCs/>
              </w:rPr>
              <w:t>izmaksā starpību starp izmaksāto valsts kompensāciju un izmaksājamo valsts kompensāciju.</w:t>
            </w:r>
            <w:r w:rsidR="00F94863">
              <w:rPr>
                <w:bCs/>
              </w:rPr>
              <w:t xml:space="preserve"> Tā, piemēram, ja sākotnēji kriminālprocesā tika norādīts kaitējuma raksturs kā vidēja smaguma miesas bojājumi, taču galīgajā tiesas nolēmumā tika konstatēts, ka cietušajam ir iestājušās smagākas sekas – tika nodarīti smagi miesas bojājumi, šajā gadījumā cietušajam tiks izmaksāta starpība, jo par smagu miesas bojājumu nodarīšanu tiek paredzēts izmaksāt 70% no maksimālā valsts kompensācijas apmēra, savukārt par vidēja smaguma miesas bojājumu nodarīšanu – 50%.</w:t>
            </w:r>
          </w:p>
          <w:p w:rsidR="00A54C86" w:rsidRDefault="007E3258" w:rsidP="007E3258">
            <w:pPr>
              <w:pStyle w:val="naisf"/>
              <w:spacing w:before="0" w:after="0"/>
              <w:ind w:firstLine="374"/>
              <w:rPr>
                <w:bCs/>
              </w:rPr>
            </w:pPr>
            <w:r w:rsidRPr="007E3258">
              <w:rPr>
                <w:bCs/>
              </w:rPr>
              <w:t>9) Ja cietušais miris un nav pieprasījis valsts kompensāciju vai valsts kompensāciju ir pieprasījis un nav saņēmis, personai, kura atzīta par cietušo attiecīgajā kriminālprocesā, izmaksā valsts kompensāciju tādā apmērā, kādā tā būtu izmaksājama cietušajam, kas ir miris.</w:t>
            </w:r>
            <w:r w:rsidR="00A54C86">
              <w:rPr>
                <w:bCs/>
              </w:rPr>
              <w:t xml:space="preserve"> </w:t>
            </w:r>
            <w:r w:rsidR="008D63D0">
              <w:rPr>
                <w:bCs/>
              </w:rPr>
              <w:t>Minēto ir nepieciešams noregulēt, nosakot pamatu valsts kompensācijas saņemšanai un tās apmēru personai, kura atbilstoši Kriminālprocesa likuma 95.panta trešajai daļai ir atzīta par cietušo. Tas nozīmē, ka, ja personai</w:t>
            </w:r>
            <w:r w:rsidR="008D63D0">
              <w:t xml:space="preserve"> ir iestājušās VKC noteiktās sekas, izņemot noziedzīga nodarījuma rezultātā iestājušos nāvi, un šī persona ir mirusi no noziedzīga nodarījuma neatkarīgu apstākļu dēļ, valsts kompensāciju </w:t>
            </w:r>
            <w:r w:rsidR="008D63D0" w:rsidRPr="007E3258">
              <w:rPr>
                <w:bCs/>
              </w:rPr>
              <w:t xml:space="preserve">cietušajam </w:t>
            </w:r>
            <w:r w:rsidR="008D63D0">
              <w:rPr>
                <w:bCs/>
              </w:rPr>
              <w:t>(kas atzīts par cietušo atbilstoši Kriminālprocesa likuma 95.panta trešajai</w:t>
            </w:r>
            <w:r w:rsidR="00BF5715">
              <w:rPr>
                <w:bCs/>
              </w:rPr>
              <w:t xml:space="preserve"> daļai</w:t>
            </w:r>
            <w:r w:rsidR="008D63D0">
              <w:rPr>
                <w:bCs/>
              </w:rPr>
              <w:t xml:space="preserve">) </w:t>
            </w:r>
            <w:r w:rsidR="008D63D0" w:rsidRPr="007E3258">
              <w:rPr>
                <w:bCs/>
              </w:rPr>
              <w:t>izmaksā tādā apmērā, kādā tā būtu izmaksājama</w:t>
            </w:r>
            <w:r w:rsidR="008D63D0">
              <w:rPr>
                <w:bCs/>
              </w:rPr>
              <w:t xml:space="preserve"> personai</w:t>
            </w:r>
            <w:r w:rsidR="008D63D0" w:rsidRPr="007E3258">
              <w:rPr>
                <w:bCs/>
              </w:rPr>
              <w:t>, kas ir mir</w:t>
            </w:r>
            <w:r w:rsidR="008D63D0">
              <w:rPr>
                <w:bCs/>
              </w:rPr>
              <w:t>usi</w:t>
            </w:r>
            <w:r w:rsidR="008D63D0" w:rsidRPr="007E3258">
              <w:rPr>
                <w:bCs/>
              </w:rPr>
              <w:t>.</w:t>
            </w:r>
          </w:p>
          <w:p w:rsidR="00EE70AA" w:rsidRPr="00250A9A" w:rsidRDefault="00653115" w:rsidP="00112FF9">
            <w:pPr>
              <w:pStyle w:val="naisf"/>
              <w:spacing w:before="0" w:after="0"/>
            </w:pPr>
            <w:r w:rsidRPr="00250A9A">
              <w:t>Ņemot vērā minēto, L</w:t>
            </w:r>
            <w:r w:rsidR="002B1867" w:rsidRPr="00250A9A">
              <w:t>ikumprojekt</w:t>
            </w:r>
            <w:r w:rsidRPr="00250A9A">
              <w:t xml:space="preserve">a 8.pants paredz </w:t>
            </w:r>
            <w:r w:rsidR="002B1867" w:rsidRPr="00250A9A">
              <w:t>papildināt</w:t>
            </w:r>
            <w:r w:rsidRPr="00250A9A">
              <w:t xml:space="preserve"> </w:t>
            </w:r>
            <w:r w:rsidR="002B1867" w:rsidRPr="00250A9A">
              <w:t xml:space="preserve"> procesa virzītāja izziņā norādāmās informācijas apjom</w:t>
            </w:r>
            <w:r w:rsidRPr="00250A9A">
              <w:t>u</w:t>
            </w:r>
            <w:r w:rsidR="002B1867" w:rsidRPr="00250A9A">
              <w:t xml:space="preserve">, papildinot to ar ziņām par cietušo kopskaitu kriminālprocesā, lai JPA, izmaksājot valsts kompensāciju, varētu </w:t>
            </w:r>
            <w:r w:rsidR="00734BCD">
              <w:t>attiecīgi</w:t>
            </w:r>
            <w:r w:rsidR="002B1867" w:rsidRPr="00250A9A">
              <w:t xml:space="preserve"> </w:t>
            </w:r>
            <w:r w:rsidR="006A6163">
              <w:t xml:space="preserve">proporcionāli </w:t>
            </w:r>
            <w:r w:rsidR="002B1867" w:rsidRPr="00250A9A">
              <w:t xml:space="preserve">sadalīt izmaksājamo kompensācijas summu visiem </w:t>
            </w:r>
            <w:r w:rsidR="00734BCD" w:rsidRPr="00250A9A">
              <w:t xml:space="preserve">cietušajiem </w:t>
            </w:r>
            <w:r w:rsidR="00084FE7" w:rsidRPr="00250A9A">
              <w:t>kriminālprocesā</w:t>
            </w:r>
            <w:r w:rsidR="00112FF9">
              <w:t>.</w:t>
            </w:r>
            <w:r w:rsidR="00734BCD">
              <w:t xml:space="preserve"> VKC 8.panta otrajā daļā ir veikti arī citi redakcion</w:t>
            </w:r>
            <w:r w:rsidR="00112FF9">
              <w:t>āla rakstura labojumi</w:t>
            </w:r>
            <w:r w:rsidR="00035511">
              <w:t>, piemēram</w:t>
            </w:r>
            <w:r w:rsidR="00CB09C3">
              <w:t>:</w:t>
            </w:r>
            <w:r w:rsidR="00112FF9">
              <w:t xml:space="preserve"> </w:t>
            </w:r>
            <w:r w:rsidR="00CB09C3">
              <w:t>precizēts procesa virzītāja izziņā norādāmās informācijas</w:t>
            </w:r>
            <w:r w:rsidR="00035511">
              <w:t xml:space="preserve"> apjoms par kaitējuma raksturu.  </w:t>
            </w:r>
          </w:p>
          <w:p w:rsidR="00EE70AA" w:rsidRDefault="00EE70AA" w:rsidP="00250A9A">
            <w:pPr>
              <w:pStyle w:val="naisf"/>
              <w:spacing w:before="0" w:after="0"/>
              <w:ind w:firstLine="720"/>
            </w:pPr>
          </w:p>
          <w:p w:rsidR="00E45145" w:rsidRDefault="00E45145" w:rsidP="00250A9A">
            <w:pPr>
              <w:pStyle w:val="naisf"/>
              <w:spacing w:before="0" w:after="0"/>
              <w:ind w:firstLine="720"/>
            </w:pPr>
            <w:r w:rsidRPr="00BF5715">
              <w:t>Likumprojekta 9.pantā paredzēts</w:t>
            </w:r>
            <w:r w:rsidR="00BF5715" w:rsidRPr="00BF5715">
              <w:t xml:space="preserve"> precizēt</w:t>
            </w:r>
            <w:r>
              <w:t xml:space="preserve"> </w:t>
            </w:r>
            <w:r w:rsidR="00BF5715">
              <w:t xml:space="preserve">termiņu, kurā personai ir tiesības pieprasīt valsts kompensāciju, proti, tiek papildināts, ka valsts kompensāciju var pieprasīt gada laikā arī skaitot no dienas, kad persona ir uzzinājusi par faktiem, kas viņai dod tiesības to darīt, tādējādi nodrošinot cietušajam iespēju vērsies JPA (piemēram, ja sākotnēji kriminālprocesā tika konstatētas sekas, kas nav par pamatu valsts kompensācijas saņemšanai, taču vēlāk gūti pierādījumi par smagāku seku iestāšanos).    </w:t>
            </w:r>
          </w:p>
          <w:p w:rsidR="00E45145" w:rsidRPr="00250A9A" w:rsidRDefault="00E45145" w:rsidP="00250A9A">
            <w:pPr>
              <w:pStyle w:val="naisf"/>
              <w:spacing w:before="0" w:after="0"/>
              <w:ind w:firstLine="720"/>
            </w:pPr>
          </w:p>
          <w:p w:rsidR="00470C55" w:rsidRPr="00250A9A" w:rsidRDefault="00EE70AA" w:rsidP="00250A9A">
            <w:pPr>
              <w:pStyle w:val="naisf"/>
              <w:spacing w:before="0" w:after="0"/>
              <w:ind w:firstLine="720"/>
            </w:pPr>
            <w:r w:rsidRPr="00250A9A">
              <w:t xml:space="preserve">Likumprojekta </w:t>
            </w:r>
            <w:r w:rsidR="00E45145">
              <w:t>10</w:t>
            </w:r>
            <w:r w:rsidRPr="00250A9A">
              <w:t xml:space="preserve">.pantā paredzēts </w:t>
            </w:r>
            <w:r w:rsidR="00CB09C3">
              <w:t>izteikt</w:t>
            </w:r>
            <w:r w:rsidRPr="00250A9A">
              <w:t xml:space="preserve"> </w:t>
            </w:r>
            <w:r w:rsidR="00470C55" w:rsidRPr="00250A9A">
              <w:t>VKC 10.panta sest</w:t>
            </w:r>
            <w:r w:rsidRPr="00250A9A">
              <w:t>o</w:t>
            </w:r>
            <w:r w:rsidR="00470C55" w:rsidRPr="00250A9A">
              <w:t xml:space="preserve"> daļ</w:t>
            </w:r>
            <w:r w:rsidRPr="00250A9A">
              <w:t>u</w:t>
            </w:r>
            <w:r w:rsidR="00C62A00">
              <w:t xml:space="preserve"> jaunā redakcijā. Šobrīd VKC 10.panta sestā daļa </w:t>
            </w:r>
            <w:r w:rsidRPr="00250A9A">
              <w:t>paredz</w:t>
            </w:r>
            <w:r w:rsidR="00470C55" w:rsidRPr="00250A9A">
              <w:t>, ka atkārtots valsts kompensācijas pieprasījums par to pašu noziedzīgu nodarījumu, par kuru atteikts izmaksāt valsts kompensāciju, ir pieļaujams, ja notikušas izmaiņas iepriekš iesniegtajā informācijā, saskaņā ar kuru pieņemts lēmums par atteikumu izmaksāt valsts kompensāciju.</w:t>
            </w:r>
            <w:r w:rsidR="00C62A00">
              <w:t xml:space="preserve"> Šī panta redakcija pieļauj tiesības atkārtoti vērsties tikai, ja ir notikušās izmaiņas un iepriekš cietušais ir saņēmis atteikumu izmaksāt valsts kompensāciju.</w:t>
            </w:r>
            <w:r w:rsidR="00470C55" w:rsidRPr="00250A9A">
              <w:t xml:space="preserve"> No VKC viennozīmīgi neizriet, ka</w:t>
            </w:r>
            <w:r w:rsidR="006A6163">
              <w:t xml:space="preserve">, piemēram, </w:t>
            </w:r>
            <w:r w:rsidR="00470C55" w:rsidRPr="00250A9A">
              <w:t>gadījumā, kad cietušais ir pieteicis un tam ir izmaksāta valsts kompensācija pirms stājies spēkā galīgais nolēmums kriminālprocesā, bet galīgajā nolēmumā konstatēts, ka iestājušās smagākas sekas</w:t>
            </w:r>
            <w:r w:rsidR="00C62A00">
              <w:t xml:space="preserve">, </w:t>
            </w:r>
            <w:r w:rsidR="00470C55" w:rsidRPr="00250A9A">
              <w:t xml:space="preserve">cietušajam saskaņā ar </w:t>
            </w:r>
            <w:r w:rsidR="00C62A00">
              <w:t>VKC būtu</w:t>
            </w:r>
            <w:r w:rsidR="00470C55" w:rsidRPr="00250A9A">
              <w:t xml:space="preserve"> tiesības </w:t>
            </w:r>
            <w:r w:rsidR="00C62A00">
              <w:t xml:space="preserve">atkārtoti vērsties JPA un </w:t>
            </w:r>
            <w:r w:rsidR="00470C55" w:rsidRPr="00250A9A">
              <w:t>saņemt starpību starp izmaksāto un izmaksājamo summu. Ņemot vērā minēto</w:t>
            </w:r>
            <w:r w:rsidR="00C62A00">
              <w:t xml:space="preserve"> un atbilstoši Likumprojekta 7.pantam</w:t>
            </w:r>
            <w:r w:rsidR="00470C55" w:rsidRPr="00250A9A">
              <w:t>, cietušajam būtu jānodrošina</w:t>
            </w:r>
            <w:r w:rsidR="007F4D06">
              <w:t>, attiecīgi grozot VKC 10.panta sesto daļu,</w:t>
            </w:r>
            <w:r w:rsidR="00470C55" w:rsidRPr="00250A9A">
              <w:t xml:space="preserve"> tiesības vērsties atkārtoti JPA ar lūgumu izmaksāt starpību starp izmaksāto un izmaksājamo summu, ja mainījusies noziedzīga nodarījuma kvalifikācija.</w:t>
            </w:r>
          </w:p>
          <w:p w:rsidR="00A758F6" w:rsidRPr="00250A9A" w:rsidRDefault="00A758F6" w:rsidP="00250A9A">
            <w:pPr>
              <w:pStyle w:val="naisf"/>
              <w:spacing w:before="0" w:after="0"/>
              <w:ind w:firstLine="720"/>
            </w:pPr>
          </w:p>
          <w:p w:rsidR="00593FED" w:rsidRPr="00250A9A" w:rsidRDefault="00A758F6" w:rsidP="00250A9A">
            <w:pPr>
              <w:pStyle w:val="naisf"/>
              <w:spacing w:before="0" w:after="0"/>
              <w:ind w:firstLine="720"/>
            </w:pPr>
            <w:r w:rsidRPr="00250A9A">
              <w:t xml:space="preserve">VKC 17.panta </w:t>
            </w:r>
            <w:r w:rsidR="005F1A68" w:rsidRPr="00250A9A">
              <w:t>trešās daļas 1.punkts notei</w:t>
            </w:r>
            <w:r w:rsidR="00EE70AA" w:rsidRPr="00250A9A">
              <w:t>c</w:t>
            </w:r>
            <w:r w:rsidR="005F1A68" w:rsidRPr="00250A9A">
              <w:t>, ka JPA</w:t>
            </w:r>
            <w:r w:rsidRPr="00250A9A">
              <w:t xml:space="preserve"> septiņu dienu laikā no pieprasījuma saņemšanas dienas sniedz cietušajam, bet, ja pieprasījums saņemts no citas Eiropas Savienības dalībvalsts kompetentās iestādes, — arī tai informāciju</w:t>
            </w:r>
            <w:r w:rsidR="005F1A68" w:rsidRPr="00250A9A">
              <w:t xml:space="preserve"> par </w:t>
            </w:r>
            <w:r w:rsidRPr="00250A9A">
              <w:t>valsts kompensācijas pieprasījuma saņemšanas apstiprinājumu</w:t>
            </w:r>
            <w:r w:rsidR="005F1A68" w:rsidRPr="00250A9A">
              <w:t xml:space="preserve">. Ņemot vērā to, ka </w:t>
            </w:r>
            <w:r w:rsidR="005A2193" w:rsidRPr="00250A9A">
              <w:t xml:space="preserve">praksē </w:t>
            </w:r>
            <w:r w:rsidR="00084FE7" w:rsidRPr="00250A9A">
              <w:t>varētu būt gadījumi, kad</w:t>
            </w:r>
            <w:r w:rsidR="005F1A68" w:rsidRPr="00250A9A">
              <w:t xml:space="preserve"> valsts kompensācijas pieprasījums </w:t>
            </w:r>
            <w:r w:rsidR="00084FE7" w:rsidRPr="00250A9A">
              <w:t>ne</w:t>
            </w:r>
            <w:r w:rsidR="005F1A68" w:rsidRPr="00250A9A">
              <w:t xml:space="preserve">tiek </w:t>
            </w:r>
            <w:r w:rsidR="005A2193" w:rsidRPr="00250A9A">
              <w:t>pie</w:t>
            </w:r>
            <w:r w:rsidR="005F1A68" w:rsidRPr="00250A9A">
              <w:t>ņemts</w:t>
            </w:r>
            <w:r w:rsidR="005A2193" w:rsidRPr="00250A9A">
              <w:t>,</w:t>
            </w:r>
            <w:r w:rsidR="0091492B">
              <w:t xml:space="preserve"> </w:t>
            </w:r>
            <w:r w:rsidR="005A2193" w:rsidRPr="00250A9A">
              <w:t>piem</w:t>
            </w:r>
            <w:r w:rsidR="00BD1010">
              <w:t>ēram</w:t>
            </w:r>
            <w:r w:rsidR="005A2193" w:rsidRPr="00250A9A">
              <w:t>, nepareizi aizpildīts u</w:t>
            </w:r>
            <w:r w:rsidR="00D1471D">
              <w:t xml:space="preserve">n </w:t>
            </w:r>
            <w:r w:rsidR="005A2193" w:rsidRPr="00250A9A">
              <w:t>tml.</w:t>
            </w:r>
            <w:r w:rsidR="005F1A68" w:rsidRPr="00250A9A">
              <w:t>, lai</w:t>
            </w:r>
            <w:r w:rsidRPr="00250A9A">
              <w:t xml:space="preserve"> nodrošinātu informācijas sniegšanu par cietušā pie</w:t>
            </w:r>
            <w:r w:rsidR="005929EC" w:rsidRPr="00250A9A">
              <w:t>prasījuma</w:t>
            </w:r>
            <w:r w:rsidRPr="00250A9A">
              <w:t xml:space="preserve"> </w:t>
            </w:r>
            <w:r w:rsidR="0091492B" w:rsidRPr="00250A9A">
              <w:t>valsts kompensācijas piešķiršanai un izmaks</w:t>
            </w:r>
            <w:r w:rsidR="00B448EE">
              <w:t>āšan</w:t>
            </w:r>
            <w:r w:rsidR="0091492B" w:rsidRPr="00250A9A">
              <w:t xml:space="preserve">ai </w:t>
            </w:r>
            <w:r w:rsidR="00084FE7" w:rsidRPr="00250A9A">
              <w:t>ne</w:t>
            </w:r>
            <w:r w:rsidR="005A2193" w:rsidRPr="00250A9A">
              <w:t>pie</w:t>
            </w:r>
            <w:r w:rsidR="00084FE7" w:rsidRPr="00250A9A">
              <w:t>ņemšanu</w:t>
            </w:r>
            <w:r w:rsidRPr="00250A9A">
              <w:t xml:space="preserve">, </w:t>
            </w:r>
            <w:r w:rsidR="00EE70AA" w:rsidRPr="00250A9A">
              <w:t>Likumprojekta 1</w:t>
            </w:r>
            <w:r w:rsidR="00442E8D">
              <w:t>2</w:t>
            </w:r>
            <w:r w:rsidR="00EE70AA" w:rsidRPr="00250A9A">
              <w:t>.pantā paredzēts, ka</w:t>
            </w:r>
            <w:r w:rsidRPr="00250A9A">
              <w:t xml:space="preserve"> arī </w:t>
            </w:r>
            <w:r w:rsidR="005A2193" w:rsidRPr="00250A9A">
              <w:t xml:space="preserve">valsts </w:t>
            </w:r>
            <w:r w:rsidRPr="00250A9A">
              <w:t xml:space="preserve">kompensācijas pieprasījuma </w:t>
            </w:r>
            <w:r w:rsidR="0091492B">
              <w:t xml:space="preserve">pieņemšanas </w:t>
            </w:r>
            <w:r w:rsidR="005A2193" w:rsidRPr="00250A9A">
              <w:t xml:space="preserve">atteikuma </w:t>
            </w:r>
            <w:r w:rsidRPr="00250A9A">
              <w:t>gadījumā personai ir tiesības saņemt informāciju par atteikuma iemesliem.</w:t>
            </w:r>
          </w:p>
          <w:p w:rsidR="00593FED" w:rsidRPr="00250A9A" w:rsidRDefault="00593FED" w:rsidP="00250A9A">
            <w:pPr>
              <w:pStyle w:val="naisf"/>
              <w:spacing w:before="0" w:after="0"/>
              <w:ind w:firstLine="0"/>
            </w:pPr>
          </w:p>
          <w:p w:rsidR="001616D3" w:rsidRDefault="001616D3" w:rsidP="00250A9A">
            <w:pPr>
              <w:pStyle w:val="naisf"/>
              <w:spacing w:before="0" w:after="0"/>
              <w:ind w:firstLine="720"/>
              <w:rPr>
                <w:bCs/>
              </w:rPr>
            </w:pPr>
            <w:r w:rsidRPr="00480F30">
              <w:rPr>
                <w:bCs/>
              </w:rPr>
              <w:t xml:space="preserve">Likumprojektā paredzēts VKC iekļaut jaunu pārejas noteikumu punktu, kas paredz, ka valsts kompensācijas pieprasījumus, kurus </w:t>
            </w:r>
            <w:r w:rsidR="00AF5DFF" w:rsidRPr="00480F30">
              <w:rPr>
                <w:bCs/>
              </w:rPr>
              <w:t>JPA</w:t>
            </w:r>
            <w:r w:rsidRPr="00480F30">
              <w:rPr>
                <w:bCs/>
              </w:rPr>
              <w:t xml:space="preserve"> saņēmusi līdz 2012.gada 31.decembrim, tā izskata un valsts kompensāciju piešķir atbilstoši normatīvajiem aktiem, kas bija spēkā līdz 2012.gada 31.decembrim.</w:t>
            </w:r>
          </w:p>
          <w:p w:rsidR="001616D3" w:rsidRDefault="001616D3" w:rsidP="00250A9A">
            <w:pPr>
              <w:pStyle w:val="naisf"/>
              <w:spacing w:before="0" w:after="0"/>
              <w:ind w:firstLine="720"/>
              <w:rPr>
                <w:bCs/>
              </w:rPr>
            </w:pPr>
          </w:p>
          <w:p w:rsidR="00FC7CAD" w:rsidRPr="00250A9A" w:rsidRDefault="002B1867" w:rsidP="00250A9A">
            <w:pPr>
              <w:pStyle w:val="naisf"/>
              <w:spacing w:before="0" w:after="0"/>
              <w:ind w:firstLine="720"/>
              <w:rPr>
                <w:bCs/>
              </w:rPr>
            </w:pPr>
            <w:r w:rsidRPr="00250A9A">
              <w:rPr>
                <w:bCs/>
              </w:rPr>
              <w:t xml:space="preserve">Grozījumu VKC </w:t>
            </w:r>
            <w:r w:rsidR="003E1977">
              <w:rPr>
                <w:bCs/>
              </w:rPr>
              <w:t>spēkā stāšanās termiņš ir 2013.</w:t>
            </w:r>
            <w:r w:rsidRPr="00250A9A">
              <w:rPr>
                <w:bCs/>
              </w:rPr>
              <w:t>gada 1.janvāris.</w:t>
            </w:r>
          </w:p>
        </w:tc>
      </w:tr>
      <w:tr w:rsidR="00846547" w:rsidRPr="00250A9A" w:rsidTr="001C49C0">
        <w:trPr>
          <w:trHeight w:val="476"/>
          <w:tblCellSpacing w:w="0" w:type="dxa"/>
        </w:trPr>
        <w:tc>
          <w:tcPr>
            <w:tcW w:w="310" w:type="dxa"/>
            <w:tcBorders>
              <w:top w:val="outset" w:sz="6" w:space="0" w:color="auto"/>
              <w:left w:val="outset" w:sz="6" w:space="0" w:color="auto"/>
              <w:bottom w:val="outset" w:sz="6" w:space="0" w:color="auto"/>
              <w:right w:val="outset" w:sz="6" w:space="0" w:color="auto"/>
            </w:tcBorders>
          </w:tcPr>
          <w:p w:rsidR="00846547" w:rsidRPr="00250A9A" w:rsidRDefault="00846547" w:rsidP="00250A9A">
            <w:pPr>
              <w:pStyle w:val="naiskr"/>
              <w:spacing w:before="0" w:after="0"/>
              <w:jc w:val="both"/>
            </w:pPr>
            <w:r w:rsidRPr="00250A9A">
              <w:lastRenderedPageBreak/>
              <w:t> 5.</w:t>
            </w:r>
          </w:p>
        </w:tc>
        <w:tc>
          <w:tcPr>
            <w:tcW w:w="2257" w:type="dxa"/>
            <w:tcBorders>
              <w:top w:val="outset" w:sz="6" w:space="0" w:color="auto"/>
              <w:left w:val="outset" w:sz="6" w:space="0" w:color="auto"/>
              <w:bottom w:val="outset" w:sz="6" w:space="0" w:color="auto"/>
              <w:right w:val="outset" w:sz="6" w:space="0" w:color="auto"/>
            </w:tcBorders>
          </w:tcPr>
          <w:p w:rsidR="00846547" w:rsidRPr="00250A9A" w:rsidRDefault="00846547" w:rsidP="00250A9A">
            <w:pPr>
              <w:pStyle w:val="naiskr"/>
              <w:spacing w:before="0" w:after="0"/>
              <w:jc w:val="both"/>
            </w:pPr>
            <w:r w:rsidRPr="00250A9A">
              <w:t> Projekta izstrādē iesaistītās institūcijas</w:t>
            </w:r>
          </w:p>
        </w:tc>
        <w:tc>
          <w:tcPr>
            <w:tcW w:w="6647" w:type="dxa"/>
            <w:tcBorders>
              <w:top w:val="outset" w:sz="6" w:space="0" w:color="auto"/>
              <w:left w:val="outset" w:sz="6" w:space="0" w:color="auto"/>
              <w:bottom w:val="outset" w:sz="6" w:space="0" w:color="auto"/>
              <w:right w:val="outset" w:sz="6" w:space="0" w:color="auto"/>
            </w:tcBorders>
          </w:tcPr>
          <w:p w:rsidR="00846547" w:rsidRPr="00250A9A" w:rsidRDefault="00045B70" w:rsidP="005E45B0">
            <w:pPr>
              <w:pStyle w:val="naiskr"/>
              <w:spacing w:before="0" w:after="0"/>
              <w:ind w:firstLine="720"/>
              <w:jc w:val="both"/>
            </w:pPr>
            <w:r w:rsidRPr="00250A9A">
              <w:t>Tieslietu ministrija</w:t>
            </w:r>
            <w:r w:rsidR="008963EA" w:rsidRPr="00250A9A">
              <w:t>, JPA, Tieslietu ministrijas pastāvīgā darba grupa Kriminālpro</w:t>
            </w:r>
            <w:r w:rsidR="00A72942" w:rsidRPr="00250A9A">
              <w:t>cesa likuma grozījumu izstrādei, Tieslietu ministrijas darba grupa, lai nodrošinātu direktīvas 2011/36/ES ieviešanu nacionālajos normatīvajos aktos.</w:t>
            </w:r>
            <w:r w:rsidR="0072772B">
              <w:t xml:space="preserve"> Likumprojekta izstrādei tika rīkotas </w:t>
            </w:r>
            <w:r w:rsidR="00480F30">
              <w:t xml:space="preserve">arī </w:t>
            </w:r>
            <w:r w:rsidR="0072772B">
              <w:t>vairākas ekspertu sanāksmes.</w:t>
            </w:r>
          </w:p>
        </w:tc>
      </w:tr>
      <w:tr w:rsidR="00846547" w:rsidRPr="00250A9A" w:rsidTr="001C49C0">
        <w:trPr>
          <w:trHeight w:val="2673"/>
          <w:tblCellSpacing w:w="0" w:type="dxa"/>
        </w:trPr>
        <w:tc>
          <w:tcPr>
            <w:tcW w:w="310" w:type="dxa"/>
            <w:tcBorders>
              <w:top w:val="outset" w:sz="6" w:space="0" w:color="auto"/>
              <w:left w:val="outset" w:sz="6" w:space="0" w:color="auto"/>
              <w:bottom w:val="outset" w:sz="6" w:space="0" w:color="auto"/>
              <w:right w:val="outset" w:sz="6" w:space="0" w:color="auto"/>
            </w:tcBorders>
          </w:tcPr>
          <w:p w:rsidR="00846547" w:rsidRPr="00250A9A" w:rsidRDefault="00846547" w:rsidP="00250A9A">
            <w:pPr>
              <w:pStyle w:val="naiskr"/>
              <w:spacing w:before="0" w:after="0"/>
              <w:jc w:val="both"/>
            </w:pPr>
            <w:r w:rsidRPr="00250A9A">
              <w:t> 6.</w:t>
            </w:r>
          </w:p>
        </w:tc>
        <w:tc>
          <w:tcPr>
            <w:tcW w:w="2257" w:type="dxa"/>
            <w:tcBorders>
              <w:top w:val="outset" w:sz="6" w:space="0" w:color="auto"/>
              <w:left w:val="outset" w:sz="6" w:space="0" w:color="auto"/>
              <w:bottom w:val="outset" w:sz="6" w:space="0" w:color="auto"/>
              <w:right w:val="outset" w:sz="6" w:space="0" w:color="auto"/>
            </w:tcBorders>
          </w:tcPr>
          <w:p w:rsidR="00846547" w:rsidRPr="00250A9A" w:rsidRDefault="00846547" w:rsidP="00250A9A">
            <w:pPr>
              <w:pStyle w:val="naiskr"/>
              <w:spacing w:before="0" w:after="0"/>
              <w:jc w:val="both"/>
            </w:pPr>
            <w:r w:rsidRPr="00250A9A">
              <w:t> Iemesli, kādēļ netika nodrošināta sabiedrības līdzdalība</w:t>
            </w:r>
          </w:p>
        </w:tc>
        <w:tc>
          <w:tcPr>
            <w:tcW w:w="6647" w:type="dxa"/>
            <w:tcBorders>
              <w:top w:val="outset" w:sz="6" w:space="0" w:color="auto"/>
              <w:left w:val="outset" w:sz="6" w:space="0" w:color="auto"/>
              <w:bottom w:val="outset" w:sz="6" w:space="0" w:color="auto"/>
              <w:right w:val="outset" w:sz="6" w:space="0" w:color="auto"/>
            </w:tcBorders>
          </w:tcPr>
          <w:p w:rsidR="00846547" w:rsidRPr="00250A9A" w:rsidRDefault="00FB650C" w:rsidP="00250A9A">
            <w:pPr>
              <w:pStyle w:val="naiskr"/>
              <w:spacing w:before="0" w:after="0"/>
              <w:ind w:firstLine="720"/>
              <w:jc w:val="both"/>
              <w:rPr>
                <w:bCs/>
              </w:rPr>
            </w:pPr>
            <w:r w:rsidRPr="00250A9A">
              <w:t xml:space="preserve">Attiecībā uz </w:t>
            </w:r>
            <w:r w:rsidR="008963EA" w:rsidRPr="00250A9A">
              <w:t>Likump</w:t>
            </w:r>
            <w:r w:rsidRPr="00250A9A">
              <w:t xml:space="preserve">rojekta regulējumu par </w:t>
            </w:r>
            <w:r w:rsidR="008963EA" w:rsidRPr="00250A9A">
              <w:t>valsts kompensācijas apmēra noteikšanu un izmaks</w:t>
            </w:r>
            <w:r w:rsidR="00B448EE">
              <w:t>āšan</w:t>
            </w:r>
            <w:r w:rsidR="008963EA" w:rsidRPr="00250A9A">
              <w:t>u</w:t>
            </w:r>
            <w:r w:rsidRPr="00250A9A">
              <w:t xml:space="preserve"> s</w:t>
            </w:r>
            <w:r w:rsidR="00BF724F" w:rsidRPr="00250A9A">
              <w:t>abiedrība</w:t>
            </w:r>
            <w:r w:rsidR="008E0D9E" w:rsidRPr="00250A9A">
              <w:t xml:space="preserve"> netika iesaistīta </w:t>
            </w:r>
            <w:r w:rsidRPr="00250A9A">
              <w:t>tā</w:t>
            </w:r>
            <w:r w:rsidR="00BF724F" w:rsidRPr="00250A9A">
              <w:t xml:space="preserve"> izstrādē</w:t>
            </w:r>
            <w:r w:rsidR="008E0D9E" w:rsidRPr="00250A9A">
              <w:t>, ņemot vērā to</w:t>
            </w:r>
            <w:r w:rsidR="008963EA" w:rsidRPr="00250A9A">
              <w:t>, ka Likump</w:t>
            </w:r>
            <w:r w:rsidR="003B1954" w:rsidRPr="00250A9A">
              <w:t xml:space="preserve">rojekts paredz palielināt pašreiz, t.i., 2012. gadā, </w:t>
            </w:r>
            <w:r w:rsidR="008963EA" w:rsidRPr="00250A9A">
              <w:t xml:space="preserve">izmaksājamās valsts kompensācijas apmēru un </w:t>
            </w:r>
            <w:r w:rsidR="00184DF2" w:rsidRPr="00250A9A">
              <w:t xml:space="preserve">noteikt taisnīgākus valsts kompensācijas </w:t>
            </w:r>
            <w:r w:rsidR="008963EA" w:rsidRPr="00250A9A">
              <w:t>izmaks</w:t>
            </w:r>
            <w:r w:rsidR="00B448EE">
              <w:t>āšan</w:t>
            </w:r>
            <w:r w:rsidR="008963EA" w:rsidRPr="00250A9A">
              <w:t>as nosacījumus</w:t>
            </w:r>
            <w:r w:rsidR="0095746A" w:rsidRPr="00250A9A">
              <w:rPr>
                <w:bCs/>
              </w:rPr>
              <w:t xml:space="preserve">. </w:t>
            </w:r>
          </w:p>
          <w:p w:rsidR="006401B4" w:rsidRPr="00250A9A" w:rsidRDefault="00FB650C" w:rsidP="00152505">
            <w:pPr>
              <w:pStyle w:val="naiskr"/>
              <w:spacing w:before="0" w:after="0"/>
              <w:ind w:firstLine="720"/>
              <w:jc w:val="both"/>
            </w:pPr>
            <w:r w:rsidRPr="00250A9A">
              <w:rPr>
                <w:bCs/>
              </w:rPr>
              <w:t xml:space="preserve">Savukārt </w:t>
            </w:r>
            <w:r w:rsidR="00152505">
              <w:rPr>
                <w:bCs/>
              </w:rPr>
              <w:t>sakarā</w:t>
            </w:r>
            <w:r w:rsidRPr="00250A9A">
              <w:rPr>
                <w:bCs/>
              </w:rPr>
              <w:t xml:space="preserve"> ar </w:t>
            </w:r>
            <w:r w:rsidR="00E670BC" w:rsidRPr="00250A9A">
              <w:t>D</w:t>
            </w:r>
            <w:r w:rsidR="00227189" w:rsidRPr="00250A9A">
              <w:t xml:space="preserve">irektīvas 2011/36/ES </w:t>
            </w:r>
            <w:r w:rsidR="00227189" w:rsidRPr="00250A9A">
              <w:rPr>
                <w:bCs/>
              </w:rPr>
              <w:t>ieviešanu jāmin, ka</w:t>
            </w:r>
            <w:r w:rsidRPr="00250A9A">
              <w:rPr>
                <w:bCs/>
              </w:rPr>
              <w:t xml:space="preserve"> tās ieviešana </w:t>
            </w:r>
            <w:r w:rsidR="00152505">
              <w:rPr>
                <w:bCs/>
              </w:rPr>
              <w:t>izriet no Latvijas kā Eiropas Savienības dalībvalsts saistībām</w:t>
            </w:r>
            <w:r w:rsidRPr="00250A9A">
              <w:rPr>
                <w:bCs/>
              </w:rPr>
              <w:t xml:space="preserve">, lai </w:t>
            </w:r>
            <w:r w:rsidR="00227189" w:rsidRPr="00250A9A">
              <w:rPr>
                <w:bCs/>
              </w:rPr>
              <w:t>nodrošinātu Eiropas Savienības normatīvā akta ieviešanu nacionāl</w:t>
            </w:r>
            <w:r w:rsidR="00184DF2" w:rsidRPr="00250A9A">
              <w:rPr>
                <w:bCs/>
              </w:rPr>
              <w:t>o</w:t>
            </w:r>
            <w:r w:rsidR="00227189" w:rsidRPr="00250A9A">
              <w:rPr>
                <w:bCs/>
              </w:rPr>
              <w:t xml:space="preserve"> normatīvo aktu regulējumā.</w:t>
            </w:r>
            <w:r w:rsidRPr="00250A9A">
              <w:rPr>
                <w:bCs/>
              </w:rPr>
              <w:t xml:space="preserve"> </w:t>
            </w:r>
          </w:p>
        </w:tc>
      </w:tr>
      <w:tr w:rsidR="00846547" w:rsidRPr="00250A9A" w:rsidTr="001C49C0">
        <w:trPr>
          <w:tblCellSpacing w:w="0" w:type="dxa"/>
        </w:trPr>
        <w:tc>
          <w:tcPr>
            <w:tcW w:w="310" w:type="dxa"/>
            <w:tcBorders>
              <w:top w:val="outset" w:sz="6" w:space="0" w:color="auto"/>
              <w:left w:val="outset" w:sz="6" w:space="0" w:color="auto"/>
              <w:bottom w:val="outset" w:sz="6" w:space="0" w:color="auto"/>
              <w:right w:val="outset" w:sz="6" w:space="0" w:color="auto"/>
            </w:tcBorders>
          </w:tcPr>
          <w:p w:rsidR="00846547" w:rsidRPr="00250A9A" w:rsidRDefault="00846547" w:rsidP="00250A9A">
            <w:pPr>
              <w:pStyle w:val="naiskr"/>
              <w:spacing w:before="0" w:after="0"/>
              <w:jc w:val="both"/>
            </w:pPr>
            <w:r w:rsidRPr="00250A9A">
              <w:t> 7.</w:t>
            </w:r>
          </w:p>
        </w:tc>
        <w:tc>
          <w:tcPr>
            <w:tcW w:w="2257" w:type="dxa"/>
            <w:tcBorders>
              <w:top w:val="outset" w:sz="6" w:space="0" w:color="auto"/>
              <w:left w:val="outset" w:sz="6" w:space="0" w:color="auto"/>
              <w:bottom w:val="outset" w:sz="6" w:space="0" w:color="auto"/>
              <w:right w:val="outset" w:sz="6" w:space="0" w:color="auto"/>
            </w:tcBorders>
          </w:tcPr>
          <w:p w:rsidR="00846547" w:rsidRPr="00250A9A" w:rsidRDefault="00846547" w:rsidP="00250A9A">
            <w:pPr>
              <w:pStyle w:val="naiskr"/>
              <w:spacing w:before="0" w:after="0"/>
              <w:jc w:val="both"/>
            </w:pPr>
            <w:r w:rsidRPr="00250A9A">
              <w:t> Cita informācija</w:t>
            </w:r>
          </w:p>
        </w:tc>
        <w:tc>
          <w:tcPr>
            <w:tcW w:w="6647" w:type="dxa"/>
            <w:tcBorders>
              <w:top w:val="outset" w:sz="6" w:space="0" w:color="auto"/>
              <w:left w:val="outset" w:sz="6" w:space="0" w:color="auto"/>
              <w:bottom w:val="outset" w:sz="6" w:space="0" w:color="auto"/>
              <w:right w:val="outset" w:sz="6" w:space="0" w:color="auto"/>
            </w:tcBorders>
          </w:tcPr>
          <w:p w:rsidR="00846547" w:rsidRPr="00250A9A" w:rsidRDefault="00846547" w:rsidP="00250A9A">
            <w:pPr>
              <w:pStyle w:val="naiskr"/>
              <w:spacing w:before="0" w:after="0"/>
              <w:jc w:val="both"/>
            </w:pPr>
            <w:r w:rsidRPr="00250A9A">
              <w:t> Nav</w:t>
            </w:r>
            <w:r w:rsidR="00E40728" w:rsidRPr="00250A9A">
              <w:t>.</w:t>
            </w:r>
          </w:p>
        </w:tc>
      </w:tr>
    </w:tbl>
    <w:p w:rsidR="00717984" w:rsidRPr="00250A9A" w:rsidRDefault="00717984" w:rsidP="00250A9A">
      <w:pPr>
        <w:pStyle w:val="naisf"/>
        <w:spacing w:before="0" w:after="0"/>
        <w:ind w:firstLine="0"/>
      </w:pPr>
    </w:p>
    <w:tbl>
      <w:tblPr>
        <w:tblpPr w:leftFromText="180" w:rightFromText="180" w:vertAnchor="text" w:horzAnchor="margin" w:tblpXSpec="center" w:tblpY="149"/>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31"/>
        <w:gridCol w:w="2693"/>
        <w:gridCol w:w="6118"/>
      </w:tblGrid>
      <w:tr w:rsidR="00717984" w:rsidRPr="00250A9A" w:rsidTr="00484FAF">
        <w:tc>
          <w:tcPr>
            <w:tcW w:w="9242" w:type="dxa"/>
            <w:gridSpan w:val="3"/>
            <w:vAlign w:val="center"/>
          </w:tcPr>
          <w:p w:rsidR="00717984" w:rsidRPr="00250A9A" w:rsidRDefault="00717984" w:rsidP="00250A9A">
            <w:pPr>
              <w:pStyle w:val="naisf"/>
              <w:spacing w:before="0" w:after="0"/>
              <w:ind w:firstLine="0"/>
              <w:rPr>
                <w:b/>
                <w:bCs/>
              </w:rPr>
            </w:pPr>
            <w:r w:rsidRPr="00250A9A">
              <w:rPr>
                <w:b/>
                <w:bCs/>
              </w:rPr>
              <w:t>II. Tiesību akta projekta ietekme uz sabiedrību</w:t>
            </w:r>
          </w:p>
        </w:tc>
      </w:tr>
      <w:tr w:rsidR="00717984" w:rsidRPr="00250A9A" w:rsidTr="00484FAF">
        <w:trPr>
          <w:trHeight w:val="467"/>
        </w:trPr>
        <w:tc>
          <w:tcPr>
            <w:tcW w:w="431" w:type="dxa"/>
          </w:tcPr>
          <w:p w:rsidR="00717984" w:rsidRPr="00250A9A" w:rsidRDefault="00E31239" w:rsidP="00250A9A">
            <w:pPr>
              <w:pStyle w:val="naisf"/>
              <w:spacing w:before="0" w:after="0"/>
              <w:ind w:firstLine="0"/>
            </w:pPr>
            <w:r w:rsidRPr="00250A9A">
              <w:t xml:space="preserve"> </w:t>
            </w:r>
            <w:r w:rsidR="00717984" w:rsidRPr="00250A9A">
              <w:t>1.</w:t>
            </w:r>
          </w:p>
        </w:tc>
        <w:tc>
          <w:tcPr>
            <w:tcW w:w="2693" w:type="dxa"/>
          </w:tcPr>
          <w:p w:rsidR="00717984" w:rsidRPr="00250A9A" w:rsidRDefault="00717984" w:rsidP="00250A9A">
            <w:pPr>
              <w:pStyle w:val="naisf"/>
              <w:spacing w:before="0" w:after="0"/>
              <w:ind w:firstLine="0"/>
            </w:pPr>
            <w:r w:rsidRPr="00250A9A">
              <w:t>Sabiedrības mērķgrupa</w:t>
            </w:r>
          </w:p>
        </w:tc>
        <w:tc>
          <w:tcPr>
            <w:tcW w:w="6118" w:type="dxa"/>
          </w:tcPr>
          <w:p w:rsidR="00697D0C" w:rsidRPr="00250A9A" w:rsidRDefault="00184DF2" w:rsidP="00250A9A">
            <w:pPr>
              <w:pStyle w:val="naisf"/>
              <w:spacing w:before="0" w:after="0"/>
              <w:ind w:firstLine="720"/>
              <w:rPr>
                <w:iCs/>
              </w:rPr>
            </w:pPr>
            <w:r w:rsidRPr="00250A9A">
              <w:rPr>
                <w:iCs/>
              </w:rPr>
              <w:t>Likump</w:t>
            </w:r>
            <w:r w:rsidR="00BC7EB5" w:rsidRPr="00250A9A">
              <w:rPr>
                <w:iCs/>
              </w:rPr>
              <w:t>rojektā ietvertais regulējums attiecas uz personām, kur</w:t>
            </w:r>
            <w:r w:rsidR="00496037" w:rsidRPr="00250A9A">
              <w:rPr>
                <w:iCs/>
              </w:rPr>
              <w:t>as K</w:t>
            </w:r>
            <w:r w:rsidR="00697D0C" w:rsidRPr="00250A9A">
              <w:rPr>
                <w:iCs/>
              </w:rPr>
              <w:t>riminālprocesa likumā noteiktā kārtībā atzītas par cietušajiem</w:t>
            </w:r>
            <w:r w:rsidR="00CD6FA7">
              <w:rPr>
                <w:iCs/>
              </w:rPr>
              <w:t xml:space="preserve"> un kurām saskaņā ar VKC ir tiesības uz valsts kompensāciju</w:t>
            </w:r>
            <w:r w:rsidR="00217C7B" w:rsidRPr="00250A9A">
              <w:rPr>
                <w:iCs/>
              </w:rPr>
              <w:t xml:space="preserve">. </w:t>
            </w:r>
          </w:p>
          <w:p w:rsidR="00217C7B" w:rsidRPr="00250A9A" w:rsidRDefault="00217C7B" w:rsidP="00CD6FA7">
            <w:pPr>
              <w:pStyle w:val="naisf"/>
              <w:spacing w:before="0" w:after="0"/>
              <w:ind w:firstLine="720"/>
              <w:rPr>
                <w:iCs/>
              </w:rPr>
            </w:pPr>
            <w:r w:rsidRPr="00250A9A">
              <w:rPr>
                <w:iCs/>
              </w:rPr>
              <w:t>JPA 2009.gadā 595 gadījumos, 2010.gadā 376 gadījumos, 2011.gadā 406 gadījumos ir izmaksājusi valsts kompensāciju cietušajiem.</w:t>
            </w:r>
            <w:r w:rsidR="00CD6FA7">
              <w:rPr>
                <w:iCs/>
              </w:rPr>
              <w:t xml:space="preserve"> </w:t>
            </w:r>
            <w:r w:rsidRPr="00250A9A">
              <w:rPr>
                <w:iCs/>
              </w:rPr>
              <w:t>2009.gadā valsts kompensācijā</w:t>
            </w:r>
            <w:r w:rsidR="00CD6FA7">
              <w:rPr>
                <w:iCs/>
              </w:rPr>
              <w:t>m</w:t>
            </w:r>
            <w:r w:rsidRPr="00250A9A">
              <w:rPr>
                <w:iCs/>
              </w:rPr>
              <w:t xml:space="preserve"> izmaksāti 352</w:t>
            </w:r>
            <w:r w:rsidR="005F569F">
              <w:rPr>
                <w:iCs/>
              </w:rPr>
              <w:t> </w:t>
            </w:r>
            <w:r w:rsidRPr="00250A9A">
              <w:rPr>
                <w:iCs/>
              </w:rPr>
              <w:t>505</w:t>
            </w:r>
            <w:r w:rsidR="005F569F">
              <w:rPr>
                <w:iCs/>
              </w:rPr>
              <w:t xml:space="preserve"> </w:t>
            </w:r>
            <w:r w:rsidRPr="00250A9A">
              <w:rPr>
                <w:iCs/>
              </w:rPr>
              <w:t>L</w:t>
            </w:r>
            <w:r w:rsidR="005F569F">
              <w:rPr>
                <w:iCs/>
              </w:rPr>
              <w:t>VL</w:t>
            </w:r>
            <w:r w:rsidRPr="00250A9A">
              <w:rPr>
                <w:iCs/>
              </w:rPr>
              <w:t xml:space="preserve">, 2010.gadā </w:t>
            </w:r>
            <w:r w:rsidR="00CD6FA7">
              <w:rPr>
                <w:iCs/>
              </w:rPr>
              <w:t>–</w:t>
            </w:r>
            <w:r w:rsidRPr="00250A9A">
              <w:rPr>
                <w:iCs/>
              </w:rPr>
              <w:t xml:space="preserve"> 200</w:t>
            </w:r>
            <w:r w:rsidR="00CD6FA7">
              <w:rPr>
                <w:iCs/>
              </w:rPr>
              <w:t> </w:t>
            </w:r>
            <w:r w:rsidRPr="00250A9A">
              <w:rPr>
                <w:iCs/>
              </w:rPr>
              <w:t>000 L</w:t>
            </w:r>
            <w:r w:rsidR="005F569F">
              <w:rPr>
                <w:iCs/>
              </w:rPr>
              <w:t>VL</w:t>
            </w:r>
            <w:r w:rsidRPr="00250A9A">
              <w:rPr>
                <w:iCs/>
              </w:rPr>
              <w:t xml:space="preserve">, 2011.gadā </w:t>
            </w:r>
            <w:r w:rsidR="00CD6FA7">
              <w:rPr>
                <w:iCs/>
              </w:rPr>
              <w:t xml:space="preserve">– </w:t>
            </w:r>
            <w:r w:rsidRPr="00250A9A">
              <w:rPr>
                <w:bCs/>
                <w:iCs/>
              </w:rPr>
              <w:t>170</w:t>
            </w:r>
            <w:r w:rsidR="00CD6FA7">
              <w:rPr>
                <w:bCs/>
                <w:iCs/>
              </w:rPr>
              <w:t xml:space="preserve"> </w:t>
            </w:r>
            <w:r w:rsidRPr="00250A9A">
              <w:rPr>
                <w:bCs/>
                <w:iCs/>
              </w:rPr>
              <w:t>000 L</w:t>
            </w:r>
            <w:r w:rsidR="005F569F">
              <w:rPr>
                <w:bCs/>
                <w:iCs/>
              </w:rPr>
              <w:t>VL</w:t>
            </w:r>
            <w:r w:rsidRPr="00250A9A">
              <w:rPr>
                <w:bCs/>
                <w:iCs/>
              </w:rPr>
              <w:t>.</w:t>
            </w:r>
          </w:p>
          <w:p w:rsidR="002A4619" w:rsidRDefault="002A4619" w:rsidP="00CD6FA7">
            <w:pPr>
              <w:pStyle w:val="naisf"/>
              <w:spacing w:before="0" w:after="0"/>
              <w:ind w:firstLine="720"/>
              <w:rPr>
                <w:iCs/>
              </w:rPr>
            </w:pPr>
            <w:r w:rsidRPr="00250A9A">
              <w:rPr>
                <w:iCs/>
              </w:rPr>
              <w:t>Likumprojektā ietvertais regulējums par izmaksājamo valsts kompensācijas apmēru attiecas uz noziedzīga nodarījuma izdarītāju</w:t>
            </w:r>
            <w:r>
              <w:rPr>
                <w:iCs/>
              </w:rPr>
              <w:t xml:space="preserve">, jo saskaņā ar VKC </w:t>
            </w:r>
            <w:r>
              <w:t>3.</w:t>
            </w:r>
            <w:r w:rsidRPr="00910028">
              <w:rPr>
                <w:vertAlign w:val="superscript"/>
              </w:rPr>
              <w:t>1</w:t>
            </w:r>
            <w:r w:rsidRPr="00250A9A">
              <w:t>pant</w:t>
            </w:r>
            <w:r>
              <w:t>u tam ir pienākums atmaksāt valsts budžetā izmaksāt</w:t>
            </w:r>
            <w:r w:rsidR="00F528F0">
              <w:t>o</w:t>
            </w:r>
            <w:r>
              <w:t xml:space="preserve"> valsts kompensāciju</w:t>
            </w:r>
            <w:r w:rsidRPr="00250A9A">
              <w:rPr>
                <w:iCs/>
              </w:rPr>
              <w:t>.</w:t>
            </w:r>
            <w:r>
              <w:rPr>
                <w:iCs/>
              </w:rPr>
              <w:t xml:space="preserve"> </w:t>
            </w:r>
          </w:p>
          <w:p w:rsidR="002A4619" w:rsidRDefault="005A2193" w:rsidP="00CD6FA7">
            <w:pPr>
              <w:pStyle w:val="naisf"/>
              <w:spacing w:before="0" w:after="0"/>
              <w:ind w:firstLine="720"/>
            </w:pPr>
            <w:r w:rsidRPr="00250A9A">
              <w:rPr>
                <w:iCs/>
              </w:rPr>
              <w:t>Precīzu šo sabiedrības mērķgrupas skaitlisko lielumu nav iespējams prognozēt, jo nav precīzi iespējams paredzēt noziedzīgu nodarījumu skaita dinamiku</w:t>
            </w:r>
            <w:r w:rsidR="00CD6FA7">
              <w:rPr>
                <w:iCs/>
              </w:rPr>
              <w:t>, kāds kaitējums noziedzīgu nodarījumu rezultātā iestāsies, vai noziedzīga nodarījuma izdarītājs atlīdzinās cietušajam nodarīto kaitējumu</w:t>
            </w:r>
            <w:r w:rsidRPr="00250A9A">
              <w:rPr>
                <w:iCs/>
              </w:rPr>
              <w:t xml:space="preserve"> un to, cik personas no cietušajiem, kam ir tiesības saņemt valsts kompensāciju, iesniegs </w:t>
            </w:r>
            <w:r w:rsidR="00CD6FA7">
              <w:rPr>
                <w:iCs/>
              </w:rPr>
              <w:t>pi</w:t>
            </w:r>
            <w:r w:rsidR="002A4619">
              <w:rPr>
                <w:iCs/>
              </w:rPr>
              <w:t>e</w:t>
            </w:r>
            <w:r w:rsidR="00CD6FA7">
              <w:rPr>
                <w:iCs/>
              </w:rPr>
              <w:t>pras</w:t>
            </w:r>
            <w:r w:rsidR="00F1085C">
              <w:rPr>
                <w:iCs/>
              </w:rPr>
              <w:t>ījumu</w:t>
            </w:r>
            <w:r w:rsidR="001F067C">
              <w:rPr>
                <w:iCs/>
              </w:rPr>
              <w:t>s</w:t>
            </w:r>
            <w:r w:rsidRPr="00250A9A">
              <w:rPr>
                <w:iCs/>
              </w:rPr>
              <w:t xml:space="preserve"> JPA valsts kompensācijas saņemšanai.</w:t>
            </w:r>
          </w:p>
          <w:p w:rsidR="00D31FAB" w:rsidRPr="00250A9A" w:rsidRDefault="00D31FAB" w:rsidP="00CD6FA7">
            <w:pPr>
              <w:pStyle w:val="naisf"/>
              <w:spacing w:before="0" w:after="0"/>
              <w:ind w:firstLine="720"/>
              <w:rPr>
                <w:iCs/>
              </w:rPr>
            </w:pPr>
          </w:p>
        </w:tc>
      </w:tr>
      <w:tr w:rsidR="00717984" w:rsidRPr="00250A9A" w:rsidTr="00484FAF">
        <w:trPr>
          <w:trHeight w:val="523"/>
        </w:trPr>
        <w:tc>
          <w:tcPr>
            <w:tcW w:w="431" w:type="dxa"/>
          </w:tcPr>
          <w:p w:rsidR="00717984" w:rsidRPr="00250A9A" w:rsidRDefault="00E31239" w:rsidP="00250A9A">
            <w:pPr>
              <w:pStyle w:val="naisf"/>
              <w:spacing w:before="0" w:after="0"/>
              <w:ind w:firstLine="0"/>
            </w:pPr>
            <w:r w:rsidRPr="00250A9A">
              <w:t xml:space="preserve"> </w:t>
            </w:r>
            <w:r w:rsidR="00717984" w:rsidRPr="00250A9A">
              <w:t>2.</w:t>
            </w:r>
          </w:p>
        </w:tc>
        <w:tc>
          <w:tcPr>
            <w:tcW w:w="2693" w:type="dxa"/>
          </w:tcPr>
          <w:p w:rsidR="00717984" w:rsidRPr="00250A9A" w:rsidRDefault="00717984" w:rsidP="00250A9A">
            <w:pPr>
              <w:pStyle w:val="naisf"/>
              <w:spacing w:before="0" w:after="0"/>
              <w:ind w:firstLine="0"/>
            </w:pPr>
            <w:r w:rsidRPr="00250A9A">
              <w:t>Citas sabiedrības grupas (bez mērķgrupas), kuras tiesiskais regulējums arī ietekmē vai varētu ietekmēt</w:t>
            </w:r>
          </w:p>
        </w:tc>
        <w:tc>
          <w:tcPr>
            <w:tcW w:w="6118" w:type="dxa"/>
          </w:tcPr>
          <w:p w:rsidR="00040651" w:rsidRPr="00250A9A" w:rsidRDefault="00040651" w:rsidP="00250A9A">
            <w:pPr>
              <w:pStyle w:val="naisf"/>
              <w:spacing w:before="0" w:after="0"/>
              <w:ind w:firstLine="720"/>
            </w:pPr>
          </w:p>
        </w:tc>
      </w:tr>
      <w:tr w:rsidR="00717984" w:rsidRPr="00250A9A" w:rsidTr="00484FAF">
        <w:trPr>
          <w:trHeight w:val="517"/>
        </w:trPr>
        <w:tc>
          <w:tcPr>
            <w:tcW w:w="431" w:type="dxa"/>
          </w:tcPr>
          <w:p w:rsidR="00717984" w:rsidRPr="00250A9A" w:rsidRDefault="00E31239" w:rsidP="00250A9A">
            <w:pPr>
              <w:pStyle w:val="naisf"/>
              <w:spacing w:before="0" w:after="0"/>
              <w:ind w:firstLine="0"/>
            </w:pPr>
            <w:r w:rsidRPr="00250A9A">
              <w:t xml:space="preserve"> </w:t>
            </w:r>
            <w:r w:rsidR="00717984" w:rsidRPr="00250A9A">
              <w:t>3.</w:t>
            </w:r>
          </w:p>
        </w:tc>
        <w:tc>
          <w:tcPr>
            <w:tcW w:w="2693" w:type="dxa"/>
          </w:tcPr>
          <w:p w:rsidR="005910AB" w:rsidRPr="00250A9A" w:rsidRDefault="00717984" w:rsidP="00250A9A">
            <w:pPr>
              <w:pStyle w:val="naisf"/>
              <w:spacing w:before="0" w:after="0"/>
              <w:ind w:firstLine="0"/>
            </w:pPr>
            <w:r w:rsidRPr="00250A9A">
              <w:t xml:space="preserve">Tiesiskā regulējuma </w:t>
            </w:r>
          </w:p>
          <w:p w:rsidR="00717984" w:rsidRPr="00250A9A" w:rsidRDefault="00717984" w:rsidP="00250A9A">
            <w:pPr>
              <w:pStyle w:val="naisf"/>
              <w:spacing w:before="0" w:after="0"/>
              <w:ind w:firstLine="0"/>
            </w:pPr>
            <w:r w:rsidRPr="00250A9A">
              <w:t>finansiālā ietekme</w:t>
            </w:r>
          </w:p>
        </w:tc>
        <w:tc>
          <w:tcPr>
            <w:tcW w:w="6118" w:type="dxa"/>
          </w:tcPr>
          <w:p w:rsidR="005323D2" w:rsidRDefault="005323D2" w:rsidP="00250A9A">
            <w:pPr>
              <w:pStyle w:val="naisf"/>
              <w:spacing w:before="0" w:after="0"/>
              <w:ind w:firstLine="720"/>
              <w:rPr>
                <w:iCs/>
              </w:rPr>
            </w:pPr>
            <w:r>
              <w:rPr>
                <w:iCs/>
              </w:rPr>
              <w:t>Likumprojektā paredzētajam regulējumam ir finansiālā ietekme,</w:t>
            </w:r>
            <w:r w:rsidR="00A8155A">
              <w:rPr>
                <w:iCs/>
              </w:rPr>
              <w:t xml:space="preserve"> proti,</w:t>
            </w:r>
            <w:r>
              <w:rPr>
                <w:iCs/>
              </w:rPr>
              <w:t xml:space="preserve"> tiek </w:t>
            </w:r>
            <w:r w:rsidR="00A8155A">
              <w:rPr>
                <w:iCs/>
              </w:rPr>
              <w:t xml:space="preserve">palielināts maksimālais valsts kompensācijas apmērs, </w:t>
            </w:r>
            <w:r>
              <w:rPr>
                <w:iCs/>
              </w:rPr>
              <w:t xml:space="preserve">precizēts </w:t>
            </w:r>
            <w:r w:rsidRPr="00250A9A">
              <w:t>izmaksājamās valsts kompensācijas apmēr</w:t>
            </w:r>
            <w:r>
              <w:t xml:space="preserve">s </w:t>
            </w:r>
            <w:r w:rsidR="00A8155A">
              <w:t xml:space="preserve">atkarībā no sekām, kas ir iestājušās noziedzīga nodarījuma rezultātā, </w:t>
            </w:r>
            <w:r>
              <w:t xml:space="preserve">paredzēti jauni valsts kompensācijas </w:t>
            </w:r>
            <w:r w:rsidR="00A8155A">
              <w:t>izmaksas</w:t>
            </w:r>
            <w:r>
              <w:t xml:space="preserve"> gadījumi, kā arī n</w:t>
            </w:r>
            <w:r w:rsidRPr="00250A9A">
              <w:t>oteikt</w:t>
            </w:r>
            <w:r>
              <w:t>i</w:t>
            </w:r>
            <w:r w:rsidRPr="00250A9A">
              <w:t xml:space="preserve"> taisnīgāk</w:t>
            </w:r>
            <w:r>
              <w:t>i</w:t>
            </w:r>
            <w:r w:rsidRPr="00250A9A">
              <w:t xml:space="preserve"> valsts kompensācijas </w:t>
            </w:r>
            <w:r w:rsidR="00A8155A">
              <w:t>apmēra noteikšanas</w:t>
            </w:r>
            <w:r w:rsidRPr="00250A9A">
              <w:t xml:space="preserve"> nosacījum</w:t>
            </w:r>
            <w:r>
              <w:t>i</w:t>
            </w:r>
            <w:r w:rsidRPr="00250A9A">
              <w:rPr>
                <w:bCs/>
              </w:rPr>
              <w:t>.</w:t>
            </w:r>
          </w:p>
          <w:p w:rsidR="00FC7CAD" w:rsidRPr="00250A9A" w:rsidRDefault="000D14A7" w:rsidP="00250A9A">
            <w:pPr>
              <w:pStyle w:val="naisf"/>
              <w:spacing w:before="0" w:after="0"/>
              <w:ind w:firstLine="720"/>
              <w:rPr>
                <w:iCs/>
              </w:rPr>
            </w:pPr>
            <w:r w:rsidRPr="00250A9A">
              <w:rPr>
                <w:iCs/>
              </w:rPr>
              <w:t xml:space="preserve">Saskaņā ar </w:t>
            </w:r>
            <w:r w:rsidR="00040651" w:rsidRPr="00250A9A">
              <w:rPr>
                <w:iCs/>
              </w:rPr>
              <w:t>Likump</w:t>
            </w:r>
            <w:r w:rsidRPr="00250A9A">
              <w:rPr>
                <w:iCs/>
              </w:rPr>
              <w:t xml:space="preserve">rojektā ietverto regulējumu </w:t>
            </w:r>
            <w:r w:rsidR="005910AB" w:rsidRPr="00250A9A">
              <w:rPr>
                <w:iCs/>
              </w:rPr>
              <w:t xml:space="preserve">par </w:t>
            </w:r>
            <w:r w:rsidR="00040651" w:rsidRPr="00250A9A">
              <w:rPr>
                <w:iCs/>
              </w:rPr>
              <w:t>valsts kompensācijas</w:t>
            </w:r>
            <w:r w:rsidR="005910AB" w:rsidRPr="00250A9A">
              <w:rPr>
                <w:iCs/>
              </w:rPr>
              <w:t xml:space="preserve"> apmēru</w:t>
            </w:r>
            <w:r w:rsidRPr="00250A9A">
              <w:rPr>
                <w:iCs/>
              </w:rPr>
              <w:t xml:space="preserve">, </w:t>
            </w:r>
            <w:r w:rsidR="006A4C1F" w:rsidRPr="00250A9A">
              <w:rPr>
                <w:iCs/>
              </w:rPr>
              <w:t xml:space="preserve">2013.gadā </w:t>
            </w:r>
            <w:r w:rsidRPr="00250A9A">
              <w:rPr>
                <w:iCs/>
              </w:rPr>
              <w:t xml:space="preserve">salīdzinājumā ar 2012.gadu, </w:t>
            </w:r>
            <w:r w:rsidR="00B565CB" w:rsidRPr="00250A9A">
              <w:rPr>
                <w:iCs/>
              </w:rPr>
              <w:t xml:space="preserve">izmaksājamās valsts kompensācijas apmērs tiks palielināts, proti, pašreiz maksimālās valsts kompensācijas apmēra – </w:t>
            </w:r>
            <w:r w:rsidR="00315983" w:rsidRPr="00250A9A">
              <w:rPr>
                <w:iCs/>
              </w:rPr>
              <w:t>trīs</w:t>
            </w:r>
            <w:r w:rsidR="00B565CB" w:rsidRPr="00250A9A">
              <w:rPr>
                <w:iCs/>
              </w:rPr>
              <w:t xml:space="preserve"> minimāl</w:t>
            </w:r>
            <w:r w:rsidR="00315983" w:rsidRPr="00250A9A">
              <w:rPr>
                <w:iCs/>
              </w:rPr>
              <w:t>o</w:t>
            </w:r>
            <w:r w:rsidR="00B565CB" w:rsidRPr="00250A9A">
              <w:rPr>
                <w:iCs/>
              </w:rPr>
              <w:t xml:space="preserve"> mēneša</w:t>
            </w:r>
            <w:r w:rsidR="006F5CCE">
              <w:rPr>
                <w:iCs/>
              </w:rPr>
              <w:t xml:space="preserve"> darba a</w:t>
            </w:r>
            <w:r w:rsidR="00B565CB" w:rsidRPr="00250A9A">
              <w:rPr>
                <w:iCs/>
              </w:rPr>
              <w:t>lg</w:t>
            </w:r>
            <w:r w:rsidR="00315983" w:rsidRPr="00250A9A">
              <w:rPr>
                <w:iCs/>
              </w:rPr>
              <w:t>u</w:t>
            </w:r>
            <w:r w:rsidR="00B565CB" w:rsidRPr="00250A9A">
              <w:rPr>
                <w:iCs/>
              </w:rPr>
              <w:t xml:space="preserve"> vietā tiks </w:t>
            </w:r>
            <w:r w:rsidR="00076F1F">
              <w:rPr>
                <w:iCs/>
              </w:rPr>
              <w:t>noteiktas</w:t>
            </w:r>
            <w:r w:rsidR="00B565CB" w:rsidRPr="00250A9A">
              <w:rPr>
                <w:iCs/>
              </w:rPr>
              <w:t xml:space="preserve"> </w:t>
            </w:r>
            <w:r w:rsidR="00990F32" w:rsidRPr="00250A9A">
              <w:rPr>
                <w:iCs/>
              </w:rPr>
              <w:t>četras</w:t>
            </w:r>
            <w:r w:rsidR="00B565CB" w:rsidRPr="00250A9A">
              <w:rPr>
                <w:iCs/>
              </w:rPr>
              <w:t xml:space="preserve"> minimālās mēneša</w:t>
            </w:r>
            <w:r w:rsidR="00076F1F">
              <w:rPr>
                <w:iCs/>
              </w:rPr>
              <w:t xml:space="preserve"> darba a</w:t>
            </w:r>
            <w:r w:rsidR="00B565CB" w:rsidRPr="00250A9A">
              <w:rPr>
                <w:iCs/>
              </w:rPr>
              <w:t>lgas</w:t>
            </w:r>
            <w:r w:rsidR="006A4C1F">
              <w:rPr>
                <w:iCs/>
              </w:rPr>
              <w:t>, savukārt 2014.gad</w:t>
            </w:r>
            <w:r w:rsidR="004258B6">
              <w:rPr>
                <w:iCs/>
              </w:rPr>
              <w:t xml:space="preserve">ā un turpmākajos gados – piecas </w:t>
            </w:r>
            <w:r w:rsidR="006A4C1F" w:rsidRPr="00250A9A">
              <w:rPr>
                <w:iCs/>
              </w:rPr>
              <w:t>minimālās mēneša</w:t>
            </w:r>
            <w:r w:rsidR="006A4C1F">
              <w:rPr>
                <w:iCs/>
              </w:rPr>
              <w:t xml:space="preserve"> darba a</w:t>
            </w:r>
            <w:r w:rsidR="006A4C1F" w:rsidRPr="00250A9A">
              <w:rPr>
                <w:iCs/>
              </w:rPr>
              <w:t>lgas</w:t>
            </w:r>
            <w:r w:rsidR="00315983" w:rsidRPr="00250A9A">
              <w:rPr>
                <w:iCs/>
              </w:rPr>
              <w:t>.</w:t>
            </w:r>
            <w:r w:rsidR="005910AB" w:rsidRPr="00250A9A">
              <w:rPr>
                <w:iCs/>
              </w:rPr>
              <w:t xml:space="preserve"> </w:t>
            </w:r>
          </w:p>
          <w:p w:rsidR="005F569F" w:rsidRDefault="001D362E" w:rsidP="005F569F">
            <w:pPr>
              <w:pStyle w:val="naisf"/>
              <w:spacing w:before="0" w:after="0"/>
              <w:ind w:firstLine="720"/>
              <w:rPr>
                <w:iCs/>
              </w:rPr>
            </w:pPr>
            <w:r w:rsidRPr="00250A9A">
              <w:rPr>
                <w:iCs/>
              </w:rPr>
              <w:t xml:space="preserve">Pašreiz </w:t>
            </w:r>
            <w:r w:rsidR="005F569F">
              <w:rPr>
                <w:iCs/>
              </w:rPr>
              <w:t>(atbilstoši minimālās m</w:t>
            </w:r>
            <w:r w:rsidR="006A4C1F">
              <w:rPr>
                <w:iCs/>
              </w:rPr>
              <w:t xml:space="preserve">ēneša darba </w:t>
            </w:r>
            <w:r w:rsidR="005F569F">
              <w:rPr>
                <w:iCs/>
              </w:rPr>
              <w:t>a</w:t>
            </w:r>
            <w:r w:rsidR="006A4C1F">
              <w:rPr>
                <w:iCs/>
              </w:rPr>
              <w:t>l</w:t>
            </w:r>
            <w:r w:rsidR="005F569F">
              <w:rPr>
                <w:iCs/>
              </w:rPr>
              <w:t xml:space="preserve">gas apmēram 200 LVL) </w:t>
            </w:r>
            <w:r w:rsidRPr="00250A9A">
              <w:rPr>
                <w:iCs/>
              </w:rPr>
              <w:t>izmaksājamās valsts kompensācijas apmērs ir</w:t>
            </w:r>
            <w:r w:rsidR="00D04E12" w:rsidRPr="00250A9A">
              <w:rPr>
                <w:iCs/>
              </w:rPr>
              <w:t xml:space="preserve"> noteikts </w:t>
            </w:r>
            <w:r w:rsidR="00D04E12" w:rsidRPr="00250A9A">
              <w:rPr>
                <w:b/>
                <w:iCs/>
              </w:rPr>
              <w:t>600 LVL</w:t>
            </w:r>
            <w:r w:rsidR="00D04E12" w:rsidRPr="00250A9A">
              <w:rPr>
                <w:iCs/>
              </w:rPr>
              <w:t xml:space="preserve"> apmērā, ja iestājusies personas nāve; </w:t>
            </w:r>
            <w:r w:rsidR="00D04E12" w:rsidRPr="00250A9A">
              <w:rPr>
                <w:b/>
                <w:iCs/>
              </w:rPr>
              <w:t>420 LVL</w:t>
            </w:r>
            <w:r w:rsidR="00D04E12" w:rsidRPr="00250A9A">
              <w:rPr>
                <w:iCs/>
              </w:rPr>
              <w:t xml:space="preserve"> apmērā, ja cietušajam nodarīti smagi miesas bojājumi vai aizskarta cietušā dzimumneaizskaramība, vai cietušais inficēts ar cilvēka imūndeficīta vīrusu, B vai C hepatītu; </w:t>
            </w:r>
            <w:r w:rsidR="00D04E12" w:rsidRPr="00250A9A">
              <w:rPr>
                <w:b/>
                <w:iCs/>
              </w:rPr>
              <w:t>300 LVL</w:t>
            </w:r>
            <w:r w:rsidR="00D04E12" w:rsidRPr="00250A9A">
              <w:rPr>
                <w:iCs/>
              </w:rPr>
              <w:t xml:space="preserve"> apmērā, ja cietušajam nodarīti vidēja smaguma miesas bojājumi.</w:t>
            </w:r>
            <w:r w:rsidR="005F569F">
              <w:rPr>
                <w:iCs/>
              </w:rPr>
              <w:t xml:space="preserve"> </w:t>
            </w:r>
          </w:p>
          <w:p w:rsidR="005F569F" w:rsidRDefault="005F569F" w:rsidP="005F569F">
            <w:pPr>
              <w:pStyle w:val="naisf"/>
              <w:spacing w:before="0" w:after="0"/>
              <w:ind w:firstLine="720"/>
            </w:pPr>
            <w:r w:rsidRPr="00250A9A">
              <w:t xml:space="preserve">Saskaņā ar Likumprojektā paredzēto, ja valsts kompensācijas apmēra pamatā </w:t>
            </w:r>
            <w:r>
              <w:t xml:space="preserve">(no 2013.gada 1.janvāra līdz 2013.gada 31.decembrim) </w:t>
            </w:r>
            <w:r w:rsidRPr="00250A9A">
              <w:t xml:space="preserve">ir </w:t>
            </w:r>
            <w:r>
              <w:t xml:space="preserve">četras </w:t>
            </w:r>
            <w:r w:rsidRPr="00250A9A">
              <w:t>minimālās mēneša darba algas, valsts kompensācijas apmērs, ja iestājusies personas nāve</w:t>
            </w:r>
            <w:r w:rsidRPr="00250A9A">
              <w:rPr>
                <w:b/>
              </w:rPr>
              <w:t xml:space="preserve"> </w:t>
            </w:r>
            <w:r w:rsidRPr="00250A9A">
              <w:t>būtu</w:t>
            </w:r>
            <w:r>
              <w:rPr>
                <w:b/>
              </w:rPr>
              <w:t xml:space="preserve"> 8</w:t>
            </w:r>
            <w:r w:rsidRPr="00250A9A">
              <w:rPr>
                <w:b/>
              </w:rPr>
              <w:t>00 LVL</w:t>
            </w:r>
            <w:r w:rsidRPr="00250A9A">
              <w:t xml:space="preserve">; ja cietušajam nodarīti smagi miesas bojājumi vai noziedzīgs nodarījums kvalificēts kā izvarošana vai vardarbīgas dzimumtieksmes apmierināšana pretdabiskā veidā, vai mazgadīgā pavešana netiklībā, vai cietušais cietis no cilvēku tirdzniecības - </w:t>
            </w:r>
            <w:r w:rsidRPr="005F569F">
              <w:rPr>
                <w:b/>
              </w:rPr>
              <w:t>560</w:t>
            </w:r>
            <w:r w:rsidRPr="00250A9A">
              <w:rPr>
                <w:b/>
              </w:rPr>
              <w:t xml:space="preserve"> LVL</w:t>
            </w:r>
            <w:r w:rsidRPr="00250A9A">
              <w:t xml:space="preserve">; </w:t>
            </w:r>
            <w:r w:rsidRPr="00250A9A">
              <w:rPr>
                <w:bCs/>
                <w:lang w:eastAsia="en-US"/>
              </w:rPr>
              <w:t xml:space="preserve">ja </w:t>
            </w:r>
            <w:r w:rsidRPr="00250A9A">
              <w:rPr>
                <w:bCs/>
              </w:rPr>
              <w:t xml:space="preserve">cietušajam nodarīti vidēja smaguma miesas bojājumi vai aizskarta cietušā tikumība un dzimumneaizskaramība, izņemot, ja </w:t>
            </w:r>
            <w:r w:rsidRPr="00250A9A">
              <w:t>noziedzīgs nodarījums kvalificēts kā izvarošana vai vardarbīgas dzimumtieksmes apmierināšana pretdabiskā veidā, vai mazgadīgā pavešana netiklībā, vai cietušais inficēts ar cilvēka imūndeficīta vīrusu, B vai C hepatītu</w:t>
            </w:r>
            <w:r w:rsidRPr="00250A9A">
              <w:rPr>
                <w:bCs/>
              </w:rPr>
              <w:t xml:space="preserve"> – </w:t>
            </w:r>
            <w:r>
              <w:rPr>
                <w:b/>
                <w:bCs/>
              </w:rPr>
              <w:t>4</w:t>
            </w:r>
            <w:r w:rsidRPr="00250A9A">
              <w:rPr>
                <w:b/>
                <w:bCs/>
              </w:rPr>
              <w:t>00 LVL.</w:t>
            </w:r>
          </w:p>
          <w:p w:rsidR="005F569F" w:rsidRPr="00250A9A" w:rsidRDefault="005F569F" w:rsidP="005F569F">
            <w:pPr>
              <w:pStyle w:val="naisf"/>
              <w:spacing w:before="0" w:after="0"/>
              <w:ind w:firstLine="720"/>
              <w:rPr>
                <w:iCs/>
              </w:rPr>
            </w:pPr>
            <w:r w:rsidRPr="00250A9A">
              <w:t xml:space="preserve">Saskaņā ar Likumprojektā paredzēto, ja valsts kompensācijas apmēra pamatā </w:t>
            </w:r>
            <w:r>
              <w:t>(no 2014.gada 1.janvāra) piecas</w:t>
            </w:r>
            <w:r w:rsidRPr="00250A9A">
              <w:t xml:space="preserve"> minimālās mēneša darba algas, valsts kompensācijas apmērs, ja iestājusies personas nāve</w:t>
            </w:r>
            <w:r w:rsidRPr="00250A9A">
              <w:rPr>
                <w:b/>
              </w:rPr>
              <w:t xml:space="preserve"> </w:t>
            </w:r>
            <w:r w:rsidRPr="00250A9A">
              <w:t>būtu</w:t>
            </w:r>
            <w:r w:rsidRPr="00250A9A">
              <w:rPr>
                <w:b/>
              </w:rPr>
              <w:t xml:space="preserve"> 1000 LVL</w:t>
            </w:r>
            <w:r w:rsidRPr="00250A9A">
              <w:t xml:space="preserve">; ja cietušajam nodarīti smagi miesas bojājumi vai noziedzīgs nodarījums kvalificēts kā izvarošana vai vardarbīgas dzimumtieksmes apmierināšana pretdabiskā veidā, vai mazgadīgā pavešana netiklībā, vai cietušais cietis no cilvēku tirdzniecības - </w:t>
            </w:r>
            <w:r w:rsidRPr="00250A9A">
              <w:rPr>
                <w:b/>
              </w:rPr>
              <w:t>700 LVL</w:t>
            </w:r>
            <w:r w:rsidRPr="00250A9A">
              <w:t xml:space="preserve">; </w:t>
            </w:r>
            <w:r w:rsidRPr="00250A9A">
              <w:rPr>
                <w:bCs/>
                <w:lang w:eastAsia="en-US"/>
              </w:rPr>
              <w:t xml:space="preserve">ja </w:t>
            </w:r>
            <w:r w:rsidRPr="00250A9A">
              <w:rPr>
                <w:bCs/>
              </w:rPr>
              <w:t xml:space="preserve">cietušajam nodarīti vidēja smaguma miesas bojājumi vai aizskarta cietušā tikumība un dzimumneaizskaramība, izņemot, ja </w:t>
            </w:r>
            <w:r w:rsidRPr="00250A9A">
              <w:t xml:space="preserve"> noziedzīgs nodarījums kvalificēts kā izvarošana vai vardarbīgas dzimumtieksmes apmierināšana pretdabiskā veidā, vai mazgadīgā pavešana netiklībā, vai cietušais inficēts ar cilvēka imūndeficīta vīrusu, B vai C hepatītu</w:t>
            </w:r>
            <w:r w:rsidRPr="00250A9A">
              <w:rPr>
                <w:bCs/>
              </w:rPr>
              <w:t xml:space="preserve"> – </w:t>
            </w:r>
            <w:r w:rsidRPr="00250A9A">
              <w:rPr>
                <w:b/>
                <w:bCs/>
              </w:rPr>
              <w:t>500 LVL.</w:t>
            </w:r>
          </w:p>
          <w:p w:rsidR="00D04E12" w:rsidRPr="00250A9A" w:rsidRDefault="004D50EA" w:rsidP="00250A9A">
            <w:pPr>
              <w:pStyle w:val="naisf"/>
              <w:spacing w:before="0" w:after="0"/>
              <w:ind w:firstLine="720"/>
              <w:rPr>
                <w:iCs/>
              </w:rPr>
            </w:pPr>
            <w:r w:rsidRPr="00250A9A">
              <w:rPr>
                <w:iCs/>
              </w:rPr>
              <w:t xml:space="preserve">2011.gadā valsts kompensācijās cietušajiem izmaksāti </w:t>
            </w:r>
            <w:r w:rsidRPr="00250A9A">
              <w:rPr>
                <w:b/>
                <w:bCs/>
                <w:iCs/>
              </w:rPr>
              <w:t>170</w:t>
            </w:r>
            <w:r w:rsidR="005F569F">
              <w:rPr>
                <w:b/>
                <w:bCs/>
                <w:iCs/>
              </w:rPr>
              <w:t xml:space="preserve"> </w:t>
            </w:r>
            <w:r w:rsidRPr="00250A9A">
              <w:rPr>
                <w:b/>
                <w:bCs/>
                <w:iCs/>
              </w:rPr>
              <w:t>000 LVL</w:t>
            </w:r>
            <w:r w:rsidR="00907EAB" w:rsidRPr="00250A9A">
              <w:rPr>
                <w:b/>
                <w:bCs/>
                <w:iCs/>
              </w:rPr>
              <w:t xml:space="preserve">, </w:t>
            </w:r>
            <w:r w:rsidR="00907EAB" w:rsidRPr="00250A9A">
              <w:t xml:space="preserve"> </w:t>
            </w:r>
            <w:r w:rsidR="00907EAB" w:rsidRPr="00250A9A">
              <w:rPr>
                <w:bCs/>
                <w:iCs/>
              </w:rPr>
              <w:t xml:space="preserve">t.sk., par personas nāvi izmaksāti </w:t>
            </w:r>
            <w:r w:rsidR="00907EAB" w:rsidRPr="00250A9A">
              <w:rPr>
                <w:b/>
                <w:bCs/>
                <w:iCs/>
              </w:rPr>
              <w:t>53</w:t>
            </w:r>
            <w:r w:rsidR="005F569F">
              <w:rPr>
                <w:b/>
                <w:bCs/>
                <w:iCs/>
              </w:rPr>
              <w:t xml:space="preserve"> </w:t>
            </w:r>
            <w:r w:rsidR="00907EAB" w:rsidRPr="00250A9A">
              <w:rPr>
                <w:b/>
                <w:bCs/>
                <w:iCs/>
              </w:rPr>
              <w:t xml:space="preserve">160 LVL, </w:t>
            </w:r>
            <w:r w:rsidR="00907EAB" w:rsidRPr="00250A9A">
              <w:rPr>
                <w:bCs/>
                <w:iCs/>
              </w:rPr>
              <w:t xml:space="preserve">dzimumneaizskaramības aizskārumu </w:t>
            </w:r>
            <w:r w:rsidR="00907EAB" w:rsidRPr="00250A9A">
              <w:rPr>
                <w:b/>
                <w:bCs/>
                <w:iCs/>
              </w:rPr>
              <w:t>– 30</w:t>
            </w:r>
            <w:r w:rsidR="005F569F">
              <w:rPr>
                <w:b/>
                <w:bCs/>
                <w:iCs/>
              </w:rPr>
              <w:t xml:space="preserve"> </w:t>
            </w:r>
            <w:r w:rsidR="00907EAB" w:rsidRPr="00250A9A">
              <w:rPr>
                <w:b/>
                <w:bCs/>
                <w:iCs/>
              </w:rPr>
              <w:t xml:space="preserve">980 LVL, </w:t>
            </w:r>
            <w:r w:rsidR="00907EAB" w:rsidRPr="00250A9A">
              <w:rPr>
                <w:bCs/>
                <w:iCs/>
              </w:rPr>
              <w:t>smagiem miesas bojājumiem</w:t>
            </w:r>
            <w:r w:rsidR="00907EAB" w:rsidRPr="00250A9A">
              <w:rPr>
                <w:b/>
                <w:bCs/>
                <w:iCs/>
              </w:rPr>
              <w:t xml:space="preserve"> </w:t>
            </w:r>
            <w:r w:rsidR="005F569F">
              <w:rPr>
                <w:b/>
                <w:bCs/>
                <w:iCs/>
              </w:rPr>
              <w:t>–</w:t>
            </w:r>
            <w:r w:rsidR="00907EAB" w:rsidRPr="00250A9A">
              <w:rPr>
                <w:b/>
                <w:bCs/>
                <w:iCs/>
              </w:rPr>
              <w:t xml:space="preserve"> 39</w:t>
            </w:r>
            <w:r w:rsidR="005F569F">
              <w:rPr>
                <w:b/>
                <w:bCs/>
                <w:iCs/>
              </w:rPr>
              <w:t xml:space="preserve"> </w:t>
            </w:r>
            <w:r w:rsidR="00907EAB" w:rsidRPr="00250A9A">
              <w:rPr>
                <w:b/>
                <w:bCs/>
                <w:iCs/>
              </w:rPr>
              <w:t xml:space="preserve">554,19 LVL, </w:t>
            </w:r>
            <w:r w:rsidR="00907EAB" w:rsidRPr="00250A9A">
              <w:rPr>
                <w:bCs/>
                <w:iCs/>
              </w:rPr>
              <w:t xml:space="preserve">bet vidēja smaguma miesas bojājumiem </w:t>
            </w:r>
            <w:r w:rsidR="005F569F">
              <w:rPr>
                <w:bCs/>
                <w:iCs/>
              </w:rPr>
              <w:t>–</w:t>
            </w:r>
            <w:r w:rsidR="00907EAB" w:rsidRPr="00250A9A">
              <w:rPr>
                <w:b/>
                <w:bCs/>
                <w:iCs/>
              </w:rPr>
              <w:t xml:space="preserve"> 46</w:t>
            </w:r>
            <w:r w:rsidR="005F569F">
              <w:rPr>
                <w:b/>
                <w:bCs/>
                <w:iCs/>
              </w:rPr>
              <w:t xml:space="preserve"> </w:t>
            </w:r>
            <w:r w:rsidR="00907EAB" w:rsidRPr="00250A9A">
              <w:rPr>
                <w:b/>
                <w:bCs/>
                <w:iCs/>
              </w:rPr>
              <w:t>305,81 LVL.</w:t>
            </w:r>
          </w:p>
          <w:p w:rsidR="00990F32" w:rsidRPr="00250A9A" w:rsidRDefault="006C078A" w:rsidP="00250A9A">
            <w:pPr>
              <w:pStyle w:val="naisf"/>
              <w:spacing w:before="0" w:after="0"/>
              <w:ind w:firstLine="720"/>
            </w:pPr>
            <w:r w:rsidRPr="00250A9A">
              <w:t xml:space="preserve">Šādā gadījumā, ja par pamatu aprēķiniem tiek ņemta vērā </w:t>
            </w:r>
            <w:r w:rsidRPr="00FF6EDB">
              <w:t>2009.gada, 2010.gada un 2011.gada statistika</w:t>
            </w:r>
            <w:r w:rsidR="00527C01" w:rsidRPr="00FF6EDB">
              <w:t xml:space="preserve"> (statistikas dinamika ir atšķirīga, līdz ar to vidējo rādītāju iegūt ir samērā sarežģīti)</w:t>
            </w:r>
            <w:r w:rsidRPr="00250A9A">
              <w:t xml:space="preserve"> un </w:t>
            </w:r>
            <w:r w:rsidR="00990F32" w:rsidRPr="00250A9A">
              <w:t xml:space="preserve">valsts kompensācijas </w:t>
            </w:r>
            <w:r w:rsidRPr="00250A9A">
              <w:t xml:space="preserve">pieteikumu skaits atbilstoši attiecīgajām </w:t>
            </w:r>
            <w:r w:rsidR="00990F32" w:rsidRPr="00250A9A">
              <w:t xml:space="preserve">noziedzīga nodarījuma rezultātā iestājušajām </w:t>
            </w:r>
            <w:r w:rsidRPr="00250A9A">
              <w:t xml:space="preserve">sekām, kā arī </w:t>
            </w:r>
            <w:r w:rsidR="00990F32" w:rsidRPr="00250A9A">
              <w:t>izmaks</w:t>
            </w:r>
            <w:r w:rsidR="00B448EE">
              <w:t>āšan</w:t>
            </w:r>
            <w:r w:rsidR="00990F32" w:rsidRPr="00250A9A">
              <w:t>as nosacījumu</w:t>
            </w:r>
            <w:r w:rsidRPr="00250A9A">
              <w:t xml:space="preserve"> paplašināšana attiecībā uz cilvēku tirdzniecības upuriem, papildus </w:t>
            </w:r>
            <w:r w:rsidR="00700B70">
              <w:t>2013.gadā piešķirtajie</w:t>
            </w:r>
            <w:r w:rsidR="00990F32" w:rsidRPr="00250A9A">
              <w:t xml:space="preserve">m </w:t>
            </w:r>
            <w:r w:rsidR="00700B70" w:rsidRPr="00250A9A">
              <w:t xml:space="preserve">valsts </w:t>
            </w:r>
            <w:r w:rsidR="00990F32" w:rsidRPr="00250A9A">
              <w:t>budžeta</w:t>
            </w:r>
            <w:r w:rsidR="00700B70">
              <w:t xml:space="preserve"> līdzekļiem</w:t>
            </w:r>
            <w:r w:rsidR="00990F32" w:rsidRPr="00250A9A">
              <w:t xml:space="preserve"> </w:t>
            </w:r>
            <w:r w:rsidR="00700B70">
              <w:t xml:space="preserve">valsts </w:t>
            </w:r>
            <w:r w:rsidR="00990F32" w:rsidRPr="00250A9A">
              <w:t>kompensāciju izmaks</w:t>
            </w:r>
            <w:r w:rsidR="00B448EE">
              <w:t>āšan</w:t>
            </w:r>
            <w:r w:rsidR="00990F32" w:rsidRPr="00250A9A">
              <w:t>ai 170 000 LVL būtu nepieciešami 150 000 LVL</w:t>
            </w:r>
            <w:r w:rsidR="00A54C9E" w:rsidRPr="00250A9A">
              <w:t xml:space="preserve"> (kopā: 320 000 LVL</w:t>
            </w:r>
            <w:r w:rsidR="00700B70">
              <w:t>)</w:t>
            </w:r>
            <w:r w:rsidR="00990F32" w:rsidRPr="00250A9A">
              <w:t>, 2014.gadā papildus – 140 000 LVL</w:t>
            </w:r>
            <w:r w:rsidR="00A54C9E" w:rsidRPr="00250A9A">
              <w:t xml:space="preserve"> (kopā: 46</w:t>
            </w:r>
            <w:r w:rsidR="005A2193" w:rsidRPr="00250A9A">
              <w:t>0</w:t>
            </w:r>
            <w:r w:rsidR="00A54C9E" w:rsidRPr="00250A9A">
              <w:t> 000 LVL)</w:t>
            </w:r>
            <w:r w:rsidR="00700B70">
              <w:t>, 2015.gadā netiek prognozēts valsts kompensāciju pieprasījumu skaita pieaugums, līdz ar to netiek plānoti papildus valsts budžeta līdzekļi</w:t>
            </w:r>
            <w:r w:rsidR="00990F32" w:rsidRPr="00250A9A">
              <w:t>.</w:t>
            </w:r>
            <w:r w:rsidR="00700B70">
              <w:t xml:space="preserve"> </w:t>
            </w:r>
          </w:p>
          <w:p w:rsidR="001D362E" w:rsidRPr="00250A9A" w:rsidRDefault="006C078A" w:rsidP="00700B70">
            <w:pPr>
              <w:pStyle w:val="naisf"/>
              <w:spacing w:before="0" w:after="0"/>
              <w:ind w:firstLine="720"/>
              <w:rPr>
                <w:iCs/>
              </w:rPr>
            </w:pPr>
            <w:r w:rsidRPr="00250A9A">
              <w:t xml:space="preserve"> J</w:t>
            </w:r>
            <w:r w:rsidR="00990F32" w:rsidRPr="00250A9A">
              <w:t xml:space="preserve">āatzīmē, ka aprēķina pamatā </w:t>
            </w:r>
            <w:r w:rsidR="00A54C9E" w:rsidRPr="00250A9A">
              <w:t>nav</w:t>
            </w:r>
            <w:r w:rsidR="00990F32" w:rsidRPr="00250A9A">
              <w:t xml:space="preserve"> ņemts vērā</w:t>
            </w:r>
            <w:r w:rsidR="00A54C9E" w:rsidRPr="00250A9A">
              <w:t xml:space="preserve"> iespējamais minimālās mēneša</w:t>
            </w:r>
            <w:r w:rsidR="006F5CCE">
              <w:t xml:space="preserve"> darba a</w:t>
            </w:r>
            <w:r w:rsidR="00A54C9E" w:rsidRPr="00250A9A">
              <w:t>lgas pieaugums. Kā arī nav precīzi</w:t>
            </w:r>
            <w:r w:rsidR="00990F32" w:rsidRPr="00250A9A">
              <w:t xml:space="preserve"> prognozējams</w:t>
            </w:r>
            <w:r w:rsidRPr="00250A9A">
              <w:t xml:space="preserve"> noziedzīgu nodarījumu </w:t>
            </w:r>
            <w:r w:rsidR="00A54C9E" w:rsidRPr="00250A9A">
              <w:t xml:space="preserve">skaita </w:t>
            </w:r>
            <w:r w:rsidRPr="00250A9A">
              <w:t xml:space="preserve">pieaugums, kā arī nav iespējams precīzi prognozēt, cik pieteikumu tiks iesniegti atbilstoši attiecīgām </w:t>
            </w:r>
            <w:r w:rsidR="00990F32" w:rsidRPr="00250A9A">
              <w:t xml:space="preserve">noziedzīga nodarījuma </w:t>
            </w:r>
            <w:r w:rsidRPr="00250A9A">
              <w:t>sekām</w:t>
            </w:r>
            <w:r w:rsidR="00700B70">
              <w:t xml:space="preserve"> (kas arī nav prognozējami) un cik gadījumos no</w:t>
            </w:r>
            <w:r w:rsidR="007746D4">
              <w:t xml:space="preserve">ziedzīga nodarījuma izdarītājs </w:t>
            </w:r>
            <w:r w:rsidR="00700B70">
              <w:t>cietušajam pats segs radušos kaitējumu</w:t>
            </w:r>
            <w:r w:rsidRPr="00250A9A">
              <w:t>.</w:t>
            </w:r>
          </w:p>
        </w:tc>
      </w:tr>
      <w:tr w:rsidR="00717984" w:rsidRPr="00250A9A" w:rsidTr="00484FAF">
        <w:trPr>
          <w:trHeight w:val="517"/>
        </w:trPr>
        <w:tc>
          <w:tcPr>
            <w:tcW w:w="431" w:type="dxa"/>
          </w:tcPr>
          <w:p w:rsidR="00717984" w:rsidRPr="00250A9A" w:rsidRDefault="00E31239" w:rsidP="00250A9A">
            <w:pPr>
              <w:pStyle w:val="naisf"/>
              <w:spacing w:before="0" w:after="0"/>
              <w:ind w:firstLine="0"/>
            </w:pPr>
            <w:r w:rsidRPr="00250A9A">
              <w:t xml:space="preserve"> </w:t>
            </w:r>
            <w:r w:rsidR="00717984" w:rsidRPr="00250A9A">
              <w:t>4.</w:t>
            </w:r>
          </w:p>
        </w:tc>
        <w:tc>
          <w:tcPr>
            <w:tcW w:w="2693" w:type="dxa"/>
          </w:tcPr>
          <w:p w:rsidR="005910AB" w:rsidRPr="00250A9A" w:rsidRDefault="00717984" w:rsidP="00250A9A">
            <w:pPr>
              <w:pStyle w:val="naisf"/>
              <w:spacing w:before="0" w:after="0"/>
              <w:ind w:firstLine="0"/>
            </w:pPr>
            <w:r w:rsidRPr="00250A9A">
              <w:t xml:space="preserve">Tiesiskā regulējuma </w:t>
            </w:r>
          </w:p>
          <w:p w:rsidR="00717984" w:rsidRPr="00250A9A" w:rsidRDefault="00717984" w:rsidP="00250A9A">
            <w:pPr>
              <w:pStyle w:val="naisf"/>
              <w:spacing w:before="0" w:after="0"/>
              <w:ind w:firstLine="0"/>
            </w:pPr>
            <w:r w:rsidRPr="00250A9A">
              <w:t>nefinansiālā ietekme</w:t>
            </w:r>
          </w:p>
        </w:tc>
        <w:tc>
          <w:tcPr>
            <w:tcW w:w="6118" w:type="dxa"/>
          </w:tcPr>
          <w:p w:rsidR="00717984" w:rsidRPr="00250A9A" w:rsidRDefault="001C2175" w:rsidP="00B470DF">
            <w:pPr>
              <w:pStyle w:val="naisf"/>
              <w:spacing w:before="0" w:after="0"/>
              <w:ind w:firstLine="562"/>
            </w:pPr>
            <w:r>
              <w:t xml:space="preserve">Ar Likumprojektu tiek paplašinātas personu tiesības uz valsts kompensāciju (paplašināti saņemšanas gadījumi) un noteikta taisnīgāka valsts kompensācijas aprēķināšana un piešķiršana.  </w:t>
            </w:r>
          </w:p>
        </w:tc>
      </w:tr>
      <w:tr w:rsidR="00717984" w:rsidRPr="00250A9A" w:rsidTr="00484FAF">
        <w:trPr>
          <w:trHeight w:val="531"/>
        </w:trPr>
        <w:tc>
          <w:tcPr>
            <w:tcW w:w="431" w:type="dxa"/>
          </w:tcPr>
          <w:p w:rsidR="00717984" w:rsidRPr="00250A9A" w:rsidRDefault="00E31239" w:rsidP="00250A9A">
            <w:pPr>
              <w:pStyle w:val="naisf"/>
              <w:spacing w:before="0" w:after="0"/>
              <w:ind w:firstLine="0"/>
            </w:pPr>
            <w:r w:rsidRPr="00250A9A">
              <w:t xml:space="preserve"> </w:t>
            </w:r>
            <w:r w:rsidR="00717984" w:rsidRPr="00250A9A">
              <w:t>5.</w:t>
            </w:r>
          </w:p>
        </w:tc>
        <w:tc>
          <w:tcPr>
            <w:tcW w:w="2693" w:type="dxa"/>
          </w:tcPr>
          <w:p w:rsidR="00717984" w:rsidRPr="00250A9A" w:rsidRDefault="00717984" w:rsidP="00250A9A">
            <w:pPr>
              <w:pStyle w:val="naisf"/>
              <w:spacing w:before="0" w:after="0"/>
              <w:ind w:firstLine="0"/>
            </w:pPr>
            <w:r w:rsidRPr="00250A9A">
              <w:t>Administratīvās procedūras raksturojums</w:t>
            </w:r>
          </w:p>
        </w:tc>
        <w:tc>
          <w:tcPr>
            <w:tcW w:w="6118" w:type="dxa"/>
          </w:tcPr>
          <w:p w:rsidR="00717984" w:rsidRPr="00250A9A" w:rsidRDefault="001466E5" w:rsidP="00250A9A">
            <w:pPr>
              <w:pStyle w:val="naisf"/>
              <w:spacing w:before="0" w:after="0"/>
              <w:ind w:firstLine="0"/>
            </w:pPr>
            <w:r w:rsidRPr="00250A9A">
              <w:t>Nav</w:t>
            </w:r>
            <w:r w:rsidR="00AD0FF7" w:rsidRPr="00250A9A">
              <w:t xml:space="preserve"> </w:t>
            </w:r>
          </w:p>
        </w:tc>
      </w:tr>
      <w:tr w:rsidR="00717984" w:rsidRPr="00250A9A" w:rsidTr="00484FAF">
        <w:trPr>
          <w:trHeight w:val="357"/>
        </w:trPr>
        <w:tc>
          <w:tcPr>
            <w:tcW w:w="431" w:type="dxa"/>
          </w:tcPr>
          <w:p w:rsidR="00717984" w:rsidRPr="00250A9A" w:rsidRDefault="00E31239" w:rsidP="00250A9A">
            <w:pPr>
              <w:pStyle w:val="naisf"/>
              <w:spacing w:before="0" w:after="0"/>
              <w:ind w:firstLine="0"/>
            </w:pPr>
            <w:r w:rsidRPr="00250A9A">
              <w:t xml:space="preserve"> </w:t>
            </w:r>
            <w:r w:rsidR="00717984" w:rsidRPr="00250A9A">
              <w:t>6.</w:t>
            </w:r>
          </w:p>
        </w:tc>
        <w:tc>
          <w:tcPr>
            <w:tcW w:w="2693" w:type="dxa"/>
          </w:tcPr>
          <w:p w:rsidR="00717984" w:rsidRPr="00250A9A" w:rsidRDefault="00717984" w:rsidP="00250A9A">
            <w:pPr>
              <w:pStyle w:val="naisf"/>
              <w:spacing w:before="0" w:after="0"/>
              <w:ind w:firstLine="0"/>
            </w:pPr>
            <w:r w:rsidRPr="00250A9A">
              <w:t>Administratīvo izmaksu monetārs novērtējums</w:t>
            </w:r>
          </w:p>
        </w:tc>
        <w:tc>
          <w:tcPr>
            <w:tcW w:w="6118" w:type="dxa"/>
          </w:tcPr>
          <w:p w:rsidR="00717984" w:rsidRPr="00250A9A" w:rsidRDefault="001466E5" w:rsidP="00250A9A">
            <w:pPr>
              <w:pStyle w:val="naisf"/>
              <w:spacing w:before="0" w:after="0"/>
              <w:ind w:firstLine="0"/>
            </w:pPr>
            <w:r w:rsidRPr="00250A9A">
              <w:t>Nav</w:t>
            </w:r>
            <w:r w:rsidR="00AD0FF7" w:rsidRPr="00250A9A">
              <w:t xml:space="preserve"> </w:t>
            </w:r>
          </w:p>
        </w:tc>
      </w:tr>
      <w:tr w:rsidR="00717984" w:rsidRPr="00250A9A" w:rsidTr="00484FAF">
        <w:tc>
          <w:tcPr>
            <w:tcW w:w="431" w:type="dxa"/>
          </w:tcPr>
          <w:p w:rsidR="00717984" w:rsidRPr="00250A9A" w:rsidRDefault="00E31239" w:rsidP="00250A9A">
            <w:pPr>
              <w:pStyle w:val="naisf"/>
              <w:spacing w:before="0" w:after="0"/>
              <w:ind w:firstLine="0"/>
            </w:pPr>
            <w:r w:rsidRPr="00250A9A">
              <w:t xml:space="preserve"> </w:t>
            </w:r>
            <w:r w:rsidR="00717984" w:rsidRPr="00250A9A">
              <w:t>7.</w:t>
            </w:r>
          </w:p>
        </w:tc>
        <w:tc>
          <w:tcPr>
            <w:tcW w:w="2693" w:type="dxa"/>
          </w:tcPr>
          <w:p w:rsidR="00717984" w:rsidRPr="00250A9A" w:rsidRDefault="00717984" w:rsidP="00250A9A">
            <w:pPr>
              <w:pStyle w:val="naisf"/>
              <w:spacing w:before="0" w:after="0"/>
              <w:ind w:firstLine="0"/>
            </w:pPr>
            <w:r w:rsidRPr="00250A9A">
              <w:t>Cita informācija</w:t>
            </w:r>
          </w:p>
        </w:tc>
        <w:tc>
          <w:tcPr>
            <w:tcW w:w="6118" w:type="dxa"/>
          </w:tcPr>
          <w:p w:rsidR="00D31FAB" w:rsidRPr="00250A9A" w:rsidRDefault="0008547F" w:rsidP="00250A9A">
            <w:pPr>
              <w:pStyle w:val="naisf"/>
              <w:spacing w:before="0" w:after="0"/>
              <w:ind w:firstLine="0"/>
            </w:pPr>
            <w:r w:rsidRPr="00250A9A">
              <w:t xml:space="preserve">Nav </w:t>
            </w:r>
          </w:p>
        </w:tc>
      </w:tr>
    </w:tbl>
    <w:p w:rsidR="00D61A88" w:rsidRPr="00250A9A" w:rsidRDefault="00D61A88" w:rsidP="00250A9A">
      <w:pPr>
        <w:pStyle w:val="naisf"/>
        <w:spacing w:before="0" w:after="0"/>
        <w:ind w:firstLine="0"/>
      </w:pPr>
    </w:p>
    <w:tbl>
      <w:tblPr>
        <w:tblW w:w="8950" w:type="dxa"/>
        <w:jc w:val="cente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0"/>
        <w:gridCol w:w="1433"/>
        <w:gridCol w:w="1458"/>
        <w:gridCol w:w="1534"/>
        <w:gridCol w:w="1544"/>
        <w:gridCol w:w="1570"/>
      </w:tblGrid>
      <w:tr w:rsidR="00D61A88" w:rsidRPr="00250A9A" w:rsidTr="008C5969">
        <w:trPr>
          <w:trHeight w:val="652"/>
          <w:jc w:val="center"/>
        </w:trPr>
        <w:tc>
          <w:tcPr>
            <w:tcW w:w="8950" w:type="dxa"/>
            <w:gridSpan w:val="6"/>
          </w:tcPr>
          <w:p w:rsidR="00D61A88" w:rsidRPr="00250A9A" w:rsidRDefault="00D61A88" w:rsidP="00250A9A">
            <w:pPr>
              <w:pStyle w:val="naisf"/>
              <w:spacing w:before="0" w:after="0"/>
              <w:ind w:firstLine="0"/>
              <w:rPr>
                <w:b/>
                <w:bCs/>
                <w:i/>
              </w:rPr>
            </w:pPr>
            <w:r w:rsidRPr="00250A9A">
              <w:rPr>
                <w:b/>
                <w:bCs/>
              </w:rPr>
              <w:br w:type="page"/>
              <w:t>III. Tiesību akta projekta ietekme uz valsts budžetu un pašvaldību budžetiem</w:t>
            </w:r>
            <w:r w:rsidR="00FC7CAD" w:rsidRPr="00250A9A">
              <w:rPr>
                <w:b/>
                <w:bCs/>
              </w:rPr>
              <w:t xml:space="preserve"> </w:t>
            </w:r>
          </w:p>
        </w:tc>
      </w:tr>
      <w:tr w:rsidR="00D61A88" w:rsidRPr="00250A9A" w:rsidTr="008C5969">
        <w:trPr>
          <w:jc w:val="center"/>
        </w:trPr>
        <w:tc>
          <w:tcPr>
            <w:tcW w:w="2310" w:type="dxa"/>
            <w:vMerge w:val="restart"/>
            <w:vAlign w:val="center"/>
          </w:tcPr>
          <w:p w:rsidR="00D61A88" w:rsidRPr="00250A9A" w:rsidRDefault="00D61A88" w:rsidP="00250A9A">
            <w:pPr>
              <w:pStyle w:val="naisf"/>
              <w:spacing w:before="0" w:after="0"/>
              <w:ind w:firstLine="0"/>
              <w:rPr>
                <w:b/>
              </w:rPr>
            </w:pPr>
            <w:r w:rsidRPr="00250A9A">
              <w:rPr>
                <w:b/>
              </w:rPr>
              <w:t>Rādītāji</w:t>
            </w:r>
          </w:p>
        </w:tc>
        <w:tc>
          <w:tcPr>
            <w:tcW w:w="2563" w:type="dxa"/>
            <w:gridSpan w:val="2"/>
            <w:vMerge w:val="restart"/>
            <w:vAlign w:val="center"/>
          </w:tcPr>
          <w:p w:rsidR="00D61A88" w:rsidRPr="00250A9A" w:rsidRDefault="00D61A88" w:rsidP="00D26B45">
            <w:pPr>
              <w:pStyle w:val="naisf"/>
              <w:spacing w:before="0" w:after="0"/>
              <w:ind w:firstLine="0"/>
              <w:jc w:val="center"/>
              <w:rPr>
                <w:b/>
              </w:rPr>
            </w:pPr>
            <w:r w:rsidRPr="00250A9A">
              <w:rPr>
                <w:b/>
              </w:rPr>
              <w:t>201</w:t>
            </w:r>
            <w:r w:rsidR="001466E5" w:rsidRPr="00250A9A">
              <w:rPr>
                <w:b/>
              </w:rPr>
              <w:t>2</w:t>
            </w:r>
          </w:p>
        </w:tc>
        <w:tc>
          <w:tcPr>
            <w:tcW w:w="4077" w:type="dxa"/>
            <w:gridSpan w:val="3"/>
            <w:vAlign w:val="center"/>
          </w:tcPr>
          <w:p w:rsidR="00D61A88" w:rsidRPr="00250A9A" w:rsidRDefault="00D61A88" w:rsidP="00250A9A">
            <w:pPr>
              <w:pStyle w:val="naisf"/>
              <w:spacing w:before="0" w:after="0"/>
              <w:ind w:firstLine="0"/>
              <w:rPr>
                <w:b/>
                <w:i/>
              </w:rPr>
            </w:pPr>
            <w:r w:rsidRPr="00250A9A">
              <w:t>Turpmākie trīs gadi (tūkst</w:t>
            </w:r>
            <w:smartTag w:uri="schemas-tilde-lv/tildestengine" w:element="currency2">
              <w:smartTagPr>
                <w:attr w:name="currency_id" w:val="48"/>
                <w:attr w:name="currency_key" w:val="LVL"/>
                <w:attr w:name="currency_value" w:val="."/>
                <w:attr w:name="currency_text" w:val="latu"/>
              </w:smartTagPr>
              <w:r w:rsidRPr="00250A9A">
                <w:t>. latu</w:t>
              </w:r>
            </w:smartTag>
            <w:r w:rsidRPr="00250A9A">
              <w:t>)</w:t>
            </w:r>
          </w:p>
        </w:tc>
      </w:tr>
      <w:tr w:rsidR="00ED7745" w:rsidRPr="00250A9A" w:rsidTr="008C5969">
        <w:trPr>
          <w:jc w:val="center"/>
        </w:trPr>
        <w:tc>
          <w:tcPr>
            <w:tcW w:w="2310" w:type="dxa"/>
            <w:vMerge/>
            <w:vAlign w:val="center"/>
          </w:tcPr>
          <w:p w:rsidR="00D61A88" w:rsidRPr="00250A9A" w:rsidRDefault="00D61A88" w:rsidP="00250A9A">
            <w:pPr>
              <w:pStyle w:val="naisf"/>
              <w:spacing w:before="0" w:after="0"/>
              <w:ind w:firstLine="0"/>
              <w:rPr>
                <w:b/>
                <w:i/>
              </w:rPr>
            </w:pPr>
          </w:p>
        </w:tc>
        <w:tc>
          <w:tcPr>
            <w:tcW w:w="2563" w:type="dxa"/>
            <w:gridSpan w:val="2"/>
            <w:vMerge/>
            <w:vAlign w:val="center"/>
          </w:tcPr>
          <w:p w:rsidR="00D61A88" w:rsidRPr="00250A9A" w:rsidRDefault="00D61A88" w:rsidP="00250A9A">
            <w:pPr>
              <w:pStyle w:val="naisf"/>
              <w:spacing w:before="0" w:after="0"/>
              <w:ind w:firstLine="0"/>
              <w:rPr>
                <w:b/>
                <w:i/>
              </w:rPr>
            </w:pPr>
          </w:p>
        </w:tc>
        <w:tc>
          <w:tcPr>
            <w:tcW w:w="1333" w:type="dxa"/>
            <w:vAlign w:val="center"/>
          </w:tcPr>
          <w:p w:rsidR="00D61A88" w:rsidRPr="00250A9A" w:rsidRDefault="00D61A88" w:rsidP="00D26B45">
            <w:pPr>
              <w:pStyle w:val="naisf"/>
              <w:spacing w:before="0" w:after="0"/>
              <w:ind w:firstLine="0"/>
              <w:jc w:val="center"/>
              <w:rPr>
                <w:b/>
                <w:i/>
              </w:rPr>
            </w:pPr>
            <w:r w:rsidRPr="00250A9A">
              <w:rPr>
                <w:b/>
                <w:bCs/>
              </w:rPr>
              <w:t>201</w:t>
            </w:r>
            <w:r w:rsidR="001466E5" w:rsidRPr="00250A9A">
              <w:rPr>
                <w:b/>
                <w:bCs/>
              </w:rPr>
              <w:t>3</w:t>
            </w:r>
          </w:p>
        </w:tc>
        <w:tc>
          <w:tcPr>
            <w:tcW w:w="1351" w:type="dxa"/>
            <w:vAlign w:val="center"/>
          </w:tcPr>
          <w:p w:rsidR="00D61A88" w:rsidRPr="00250A9A" w:rsidRDefault="00D61A88" w:rsidP="00D26B45">
            <w:pPr>
              <w:pStyle w:val="naisf"/>
              <w:spacing w:before="0" w:after="0"/>
              <w:ind w:firstLine="0"/>
              <w:jc w:val="center"/>
              <w:rPr>
                <w:b/>
                <w:i/>
              </w:rPr>
            </w:pPr>
            <w:r w:rsidRPr="00250A9A">
              <w:rPr>
                <w:b/>
                <w:bCs/>
              </w:rPr>
              <w:t>201</w:t>
            </w:r>
            <w:r w:rsidR="001466E5" w:rsidRPr="00250A9A">
              <w:rPr>
                <w:b/>
                <w:bCs/>
              </w:rPr>
              <w:t>4</w:t>
            </w:r>
          </w:p>
        </w:tc>
        <w:tc>
          <w:tcPr>
            <w:tcW w:w="1393" w:type="dxa"/>
            <w:vAlign w:val="center"/>
          </w:tcPr>
          <w:p w:rsidR="00D61A88" w:rsidRPr="00250A9A" w:rsidRDefault="00D61A88" w:rsidP="00D26B45">
            <w:pPr>
              <w:pStyle w:val="naisf"/>
              <w:spacing w:before="0" w:after="0"/>
              <w:ind w:firstLine="0"/>
              <w:jc w:val="center"/>
              <w:rPr>
                <w:b/>
                <w:i/>
              </w:rPr>
            </w:pPr>
            <w:r w:rsidRPr="00250A9A">
              <w:rPr>
                <w:b/>
                <w:bCs/>
              </w:rPr>
              <w:t>201</w:t>
            </w:r>
            <w:r w:rsidR="001466E5" w:rsidRPr="00250A9A">
              <w:rPr>
                <w:b/>
                <w:bCs/>
              </w:rPr>
              <w:t>5</w:t>
            </w:r>
          </w:p>
        </w:tc>
      </w:tr>
      <w:tr w:rsidR="008314D2" w:rsidRPr="00250A9A" w:rsidTr="008C5969">
        <w:trPr>
          <w:jc w:val="center"/>
        </w:trPr>
        <w:tc>
          <w:tcPr>
            <w:tcW w:w="2310" w:type="dxa"/>
            <w:vMerge/>
            <w:vAlign w:val="center"/>
          </w:tcPr>
          <w:p w:rsidR="00D61A88" w:rsidRPr="00250A9A" w:rsidRDefault="00D61A88" w:rsidP="00250A9A">
            <w:pPr>
              <w:pStyle w:val="naisf"/>
              <w:spacing w:before="0" w:after="0"/>
              <w:ind w:firstLine="0"/>
              <w:rPr>
                <w:b/>
                <w:i/>
              </w:rPr>
            </w:pPr>
          </w:p>
        </w:tc>
        <w:tc>
          <w:tcPr>
            <w:tcW w:w="1284" w:type="dxa"/>
            <w:vAlign w:val="center"/>
          </w:tcPr>
          <w:p w:rsidR="00D61A88" w:rsidRPr="00250A9A" w:rsidRDefault="00D61A88" w:rsidP="00250A9A">
            <w:pPr>
              <w:pStyle w:val="naisf"/>
              <w:spacing w:before="0" w:after="0"/>
              <w:ind w:firstLine="0"/>
              <w:rPr>
                <w:b/>
                <w:i/>
              </w:rPr>
            </w:pPr>
            <w:r w:rsidRPr="00250A9A">
              <w:t>Saskaņā ar valsts budžetu kārtējam gadam</w:t>
            </w:r>
          </w:p>
        </w:tc>
        <w:tc>
          <w:tcPr>
            <w:tcW w:w="1279" w:type="dxa"/>
            <w:vAlign w:val="center"/>
          </w:tcPr>
          <w:p w:rsidR="00D61A88" w:rsidRPr="00250A9A" w:rsidRDefault="00D61A88" w:rsidP="00250A9A">
            <w:pPr>
              <w:pStyle w:val="naisf"/>
              <w:spacing w:before="0" w:after="0"/>
              <w:ind w:firstLine="0"/>
              <w:rPr>
                <w:b/>
                <w:i/>
              </w:rPr>
            </w:pPr>
            <w:r w:rsidRPr="00250A9A">
              <w:t>Izmaiņas kārtējā gadā, salīdzinot ar budžetu kārtējam gadam</w:t>
            </w:r>
          </w:p>
        </w:tc>
        <w:tc>
          <w:tcPr>
            <w:tcW w:w="1333" w:type="dxa"/>
            <w:vAlign w:val="center"/>
          </w:tcPr>
          <w:p w:rsidR="00D61A88" w:rsidRPr="00250A9A" w:rsidRDefault="00D61A88" w:rsidP="00250A9A">
            <w:pPr>
              <w:pStyle w:val="naisf"/>
              <w:spacing w:before="0" w:after="0"/>
              <w:ind w:firstLine="0"/>
              <w:rPr>
                <w:b/>
                <w:i/>
              </w:rPr>
            </w:pPr>
            <w:r w:rsidRPr="00250A9A">
              <w:t xml:space="preserve">Izmaiņas, salīdzinot ar kārtējo </w:t>
            </w:r>
            <w:r w:rsidR="004333D6">
              <w:t>2012.</w:t>
            </w:r>
            <w:r w:rsidRPr="00250A9A">
              <w:t>gadu</w:t>
            </w:r>
          </w:p>
        </w:tc>
        <w:tc>
          <w:tcPr>
            <w:tcW w:w="1351" w:type="dxa"/>
            <w:vAlign w:val="center"/>
          </w:tcPr>
          <w:p w:rsidR="00D61A88" w:rsidRPr="00250A9A" w:rsidRDefault="00D61A88" w:rsidP="004333D6">
            <w:pPr>
              <w:pStyle w:val="naisf"/>
              <w:spacing w:before="0" w:after="0"/>
              <w:ind w:firstLine="0"/>
              <w:rPr>
                <w:b/>
                <w:i/>
              </w:rPr>
            </w:pPr>
            <w:r w:rsidRPr="00250A9A">
              <w:t>Izmaiņas, salīdzinot ar kārtējo</w:t>
            </w:r>
            <w:r w:rsidR="004333D6">
              <w:t xml:space="preserve"> 2012.</w:t>
            </w:r>
            <w:r w:rsidRPr="00250A9A">
              <w:t>gadu</w:t>
            </w:r>
          </w:p>
        </w:tc>
        <w:tc>
          <w:tcPr>
            <w:tcW w:w="1393" w:type="dxa"/>
            <w:vAlign w:val="center"/>
          </w:tcPr>
          <w:p w:rsidR="00D61A88" w:rsidRPr="00250A9A" w:rsidRDefault="00D61A88" w:rsidP="00250A9A">
            <w:pPr>
              <w:pStyle w:val="naisf"/>
              <w:spacing w:before="0" w:after="0"/>
              <w:ind w:firstLine="0"/>
              <w:rPr>
                <w:b/>
                <w:i/>
              </w:rPr>
            </w:pPr>
            <w:r w:rsidRPr="00250A9A">
              <w:t xml:space="preserve">Izmaiņas, salīdzinot ar kārtējo </w:t>
            </w:r>
            <w:r w:rsidR="004333D6">
              <w:t>2012.</w:t>
            </w:r>
            <w:r w:rsidRPr="00250A9A">
              <w:t>gadu</w:t>
            </w:r>
          </w:p>
        </w:tc>
      </w:tr>
      <w:tr w:rsidR="008314D2" w:rsidRPr="00250A9A" w:rsidTr="008C5969">
        <w:trPr>
          <w:jc w:val="center"/>
        </w:trPr>
        <w:tc>
          <w:tcPr>
            <w:tcW w:w="2310" w:type="dxa"/>
            <w:vAlign w:val="center"/>
          </w:tcPr>
          <w:p w:rsidR="00D61A88" w:rsidRPr="00250A9A" w:rsidRDefault="00D61A88" w:rsidP="00250A9A">
            <w:pPr>
              <w:pStyle w:val="naisf"/>
              <w:spacing w:before="0" w:after="0"/>
              <w:ind w:firstLine="0"/>
              <w:rPr>
                <w:bCs/>
              </w:rPr>
            </w:pPr>
            <w:r w:rsidRPr="00250A9A">
              <w:rPr>
                <w:bCs/>
              </w:rPr>
              <w:t>1</w:t>
            </w:r>
          </w:p>
        </w:tc>
        <w:tc>
          <w:tcPr>
            <w:tcW w:w="1284" w:type="dxa"/>
            <w:vAlign w:val="center"/>
          </w:tcPr>
          <w:p w:rsidR="00D61A88" w:rsidRPr="00250A9A" w:rsidRDefault="00D61A88" w:rsidP="00D26B45">
            <w:pPr>
              <w:pStyle w:val="naisf"/>
              <w:spacing w:before="0" w:after="0"/>
              <w:ind w:firstLine="0"/>
              <w:jc w:val="center"/>
              <w:rPr>
                <w:bCs/>
              </w:rPr>
            </w:pPr>
            <w:r w:rsidRPr="00250A9A">
              <w:rPr>
                <w:bCs/>
              </w:rPr>
              <w:t>2</w:t>
            </w:r>
          </w:p>
        </w:tc>
        <w:tc>
          <w:tcPr>
            <w:tcW w:w="1279" w:type="dxa"/>
            <w:vAlign w:val="center"/>
          </w:tcPr>
          <w:p w:rsidR="00D61A88" w:rsidRPr="00250A9A" w:rsidRDefault="00D61A88" w:rsidP="00D26B45">
            <w:pPr>
              <w:pStyle w:val="naisf"/>
              <w:spacing w:before="0" w:after="0"/>
              <w:ind w:firstLine="0"/>
              <w:jc w:val="center"/>
              <w:rPr>
                <w:bCs/>
              </w:rPr>
            </w:pPr>
            <w:r w:rsidRPr="00250A9A">
              <w:rPr>
                <w:bCs/>
              </w:rPr>
              <w:t>3</w:t>
            </w:r>
          </w:p>
        </w:tc>
        <w:tc>
          <w:tcPr>
            <w:tcW w:w="1333" w:type="dxa"/>
            <w:vAlign w:val="center"/>
          </w:tcPr>
          <w:p w:rsidR="00D61A88" w:rsidRPr="00250A9A" w:rsidRDefault="00D61A88" w:rsidP="00D26B45">
            <w:pPr>
              <w:pStyle w:val="naisf"/>
              <w:spacing w:before="0" w:after="0"/>
              <w:ind w:firstLine="0"/>
              <w:jc w:val="center"/>
              <w:rPr>
                <w:bCs/>
              </w:rPr>
            </w:pPr>
            <w:r w:rsidRPr="00250A9A">
              <w:rPr>
                <w:bCs/>
              </w:rPr>
              <w:t>4</w:t>
            </w:r>
          </w:p>
        </w:tc>
        <w:tc>
          <w:tcPr>
            <w:tcW w:w="1351" w:type="dxa"/>
            <w:vAlign w:val="center"/>
          </w:tcPr>
          <w:p w:rsidR="00D61A88" w:rsidRPr="00250A9A" w:rsidRDefault="00D61A88" w:rsidP="00D26B45">
            <w:pPr>
              <w:pStyle w:val="naisf"/>
              <w:spacing w:before="0" w:after="0"/>
              <w:ind w:firstLine="0"/>
              <w:jc w:val="center"/>
              <w:rPr>
                <w:bCs/>
              </w:rPr>
            </w:pPr>
            <w:r w:rsidRPr="00250A9A">
              <w:rPr>
                <w:bCs/>
              </w:rPr>
              <w:t>5</w:t>
            </w:r>
          </w:p>
        </w:tc>
        <w:tc>
          <w:tcPr>
            <w:tcW w:w="1393" w:type="dxa"/>
            <w:vAlign w:val="center"/>
          </w:tcPr>
          <w:p w:rsidR="00D61A88" w:rsidRPr="00250A9A" w:rsidRDefault="00D61A88" w:rsidP="00D26B45">
            <w:pPr>
              <w:pStyle w:val="naisf"/>
              <w:spacing w:before="0" w:after="0"/>
              <w:ind w:firstLine="0"/>
              <w:jc w:val="center"/>
              <w:rPr>
                <w:bCs/>
              </w:rPr>
            </w:pPr>
            <w:r w:rsidRPr="00250A9A">
              <w:rPr>
                <w:bCs/>
              </w:rPr>
              <w:t>6</w:t>
            </w:r>
          </w:p>
        </w:tc>
      </w:tr>
      <w:tr w:rsidR="008314D2" w:rsidRPr="00250A9A" w:rsidTr="008C5969">
        <w:trPr>
          <w:jc w:val="center"/>
        </w:trPr>
        <w:tc>
          <w:tcPr>
            <w:tcW w:w="2310" w:type="dxa"/>
          </w:tcPr>
          <w:p w:rsidR="00D61A88" w:rsidRPr="00250A9A" w:rsidRDefault="00D61A88" w:rsidP="00250A9A">
            <w:pPr>
              <w:pStyle w:val="naisf"/>
              <w:spacing w:before="0" w:after="0"/>
              <w:ind w:firstLine="0"/>
              <w:rPr>
                <w:i/>
              </w:rPr>
            </w:pPr>
            <w:r w:rsidRPr="00250A9A">
              <w:t>1. Budžeta ieņēmumi:</w:t>
            </w:r>
          </w:p>
        </w:tc>
        <w:tc>
          <w:tcPr>
            <w:tcW w:w="1284" w:type="dxa"/>
          </w:tcPr>
          <w:p w:rsidR="00D61A88" w:rsidRPr="00250A9A" w:rsidRDefault="004333D6" w:rsidP="00D26B45">
            <w:pPr>
              <w:pStyle w:val="naisf"/>
              <w:spacing w:before="0" w:after="0"/>
              <w:ind w:firstLine="0"/>
              <w:jc w:val="center"/>
            </w:pPr>
            <w:r>
              <w:t>170,0</w:t>
            </w:r>
          </w:p>
        </w:tc>
        <w:tc>
          <w:tcPr>
            <w:tcW w:w="1279" w:type="dxa"/>
          </w:tcPr>
          <w:p w:rsidR="00D61A88" w:rsidRPr="00250A9A" w:rsidRDefault="004333D6" w:rsidP="00D26B45">
            <w:pPr>
              <w:pStyle w:val="naisf"/>
              <w:spacing w:before="0" w:after="0"/>
              <w:ind w:firstLine="0"/>
              <w:jc w:val="center"/>
            </w:pPr>
            <w:r>
              <w:t>0</w:t>
            </w:r>
          </w:p>
        </w:tc>
        <w:tc>
          <w:tcPr>
            <w:tcW w:w="1333" w:type="dxa"/>
          </w:tcPr>
          <w:p w:rsidR="00D61A88" w:rsidRPr="00250A9A" w:rsidRDefault="004333D6" w:rsidP="00D26B45">
            <w:pPr>
              <w:pStyle w:val="naisf"/>
              <w:spacing w:before="0" w:after="0"/>
              <w:ind w:firstLine="0"/>
              <w:jc w:val="center"/>
            </w:pPr>
            <w:r>
              <w:t>0</w:t>
            </w:r>
          </w:p>
        </w:tc>
        <w:tc>
          <w:tcPr>
            <w:tcW w:w="1351" w:type="dxa"/>
          </w:tcPr>
          <w:p w:rsidR="00D61A88" w:rsidRPr="00250A9A" w:rsidRDefault="004333D6" w:rsidP="00D26B45">
            <w:pPr>
              <w:pStyle w:val="naisf"/>
              <w:spacing w:before="0" w:after="0"/>
              <w:ind w:firstLine="0"/>
              <w:jc w:val="center"/>
            </w:pPr>
            <w:r>
              <w:t>0</w:t>
            </w:r>
          </w:p>
        </w:tc>
        <w:tc>
          <w:tcPr>
            <w:tcW w:w="1393" w:type="dxa"/>
          </w:tcPr>
          <w:p w:rsidR="00D61A88" w:rsidRPr="00250A9A" w:rsidRDefault="004333D6" w:rsidP="00D26B45">
            <w:pPr>
              <w:pStyle w:val="naisf"/>
              <w:spacing w:before="0" w:after="0"/>
              <w:ind w:firstLine="0"/>
              <w:jc w:val="center"/>
            </w:pPr>
            <w:r>
              <w:t>0</w:t>
            </w:r>
          </w:p>
        </w:tc>
      </w:tr>
      <w:tr w:rsidR="008314D2" w:rsidRPr="00250A9A" w:rsidTr="008C5969">
        <w:trPr>
          <w:jc w:val="center"/>
        </w:trPr>
        <w:tc>
          <w:tcPr>
            <w:tcW w:w="2310" w:type="dxa"/>
          </w:tcPr>
          <w:p w:rsidR="00D61A88" w:rsidRPr="00250A9A" w:rsidRDefault="00D61A88" w:rsidP="00250A9A">
            <w:pPr>
              <w:pStyle w:val="naisf"/>
              <w:spacing w:before="0" w:after="0"/>
              <w:ind w:firstLine="0"/>
              <w:rPr>
                <w:i/>
              </w:rPr>
            </w:pPr>
            <w:r w:rsidRPr="00250A9A">
              <w:t>1.1. valsts pamatbudžets, tai skaitā ieņēmumi no maksas pakalpojumiem un citi pašu ieņēmumi</w:t>
            </w:r>
          </w:p>
        </w:tc>
        <w:tc>
          <w:tcPr>
            <w:tcW w:w="1284" w:type="dxa"/>
          </w:tcPr>
          <w:p w:rsidR="00D61A88" w:rsidRPr="00250A9A" w:rsidRDefault="004333D6" w:rsidP="00D26B45">
            <w:pPr>
              <w:pStyle w:val="naisf"/>
              <w:spacing w:before="0" w:after="0"/>
              <w:ind w:firstLine="0"/>
              <w:jc w:val="center"/>
            </w:pPr>
            <w:r>
              <w:t>170</w:t>
            </w:r>
          </w:p>
        </w:tc>
        <w:tc>
          <w:tcPr>
            <w:tcW w:w="1279" w:type="dxa"/>
          </w:tcPr>
          <w:p w:rsidR="00D61A88" w:rsidRPr="00250A9A" w:rsidRDefault="004333D6" w:rsidP="00D26B45">
            <w:pPr>
              <w:pStyle w:val="naisf"/>
              <w:spacing w:before="0" w:after="0"/>
              <w:ind w:firstLine="0"/>
              <w:jc w:val="center"/>
            </w:pPr>
            <w:r>
              <w:t>0</w:t>
            </w:r>
          </w:p>
        </w:tc>
        <w:tc>
          <w:tcPr>
            <w:tcW w:w="1333" w:type="dxa"/>
          </w:tcPr>
          <w:p w:rsidR="00D61A88" w:rsidRPr="00250A9A" w:rsidRDefault="004333D6" w:rsidP="00D26B45">
            <w:pPr>
              <w:pStyle w:val="naisf"/>
              <w:spacing w:before="0" w:after="0"/>
              <w:ind w:firstLine="0"/>
              <w:jc w:val="center"/>
            </w:pPr>
            <w:r>
              <w:t>0</w:t>
            </w:r>
          </w:p>
        </w:tc>
        <w:tc>
          <w:tcPr>
            <w:tcW w:w="1351" w:type="dxa"/>
          </w:tcPr>
          <w:p w:rsidR="00D61A88" w:rsidRPr="00250A9A" w:rsidRDefault="004333D6" w:rsidP="00D26B45">
            <w:pPr>
              <w:pStyle w:val="naisf"/>
              <w:spacing w:before="0" w:after="0"/>
              <w:ind w:firstLine="0"/>
              <w:jc w:val="center"/>
            </w:pPr>
            <w:r>
              <w:t>0</w:t>
            </w:r>
          </w:p>
        </w:tc>
        <w:tc>
          <w:tcPr>
            <w:tcW w:w="1393" w:type="dxa"/>
          </w:tcPr>
          <w:p w:rsidR="00D61A88" w:rsidRPr="00250A9A" w:rsidRDefault="004333D6" w:rsidP="00D26B45">
            <w:pPr>
              <w:pStyle w:val="naisf"/>
              <w:spacing w:before="0" w:after="0"/>
              <w:ind w:firstLine="0"/>
              <w:jc w:val="center"/>
            </w:pPr>
            <w:r>
              <w:t>0</w:t>
            </w:r>
          </w:p>
        </w:tc>
      </w:tr>
      <w:tr w:rsidR="008314D2" w:rsidRPr="00250A9A" w:rsidTr="008C5969">
        <w:trPr>
          <w:jc w:val="center"/>
        </w:trPr>
        <w:tc>
          <w:tcPr>
            <w:tcW w:w="2310" w:type="dxa"/>
          </w:tcPr>
          <w:p w:rsidR="00D61A88" w:rsidRPr="00250A9A" w:rsidRDefault="00D61A88" w:rsidP="00250A9A">
            <w:pPr>
              <w:pStyle w:val="naisf"/>
              <w:spacing w:before="0" w:after="0"/>
              <w:ind w:firstLine="0"/>
              <w:rPr>
                <w:i/>
              </w:rPr>
            </w:pPr>
            <w:r w:rsidRPr="00250A9A">
              <w:t>1.2. valsts speciālais budžets</w:t>
            </w:r>
          </w:p>
        </w:tc>
        <w:tc>
          <w:tcPr>
            <w:tcW w:w="1284" w:type="dxa"/>
          </w:tcPr>
          <w:p w:rsidR="00D61A88" w:rsidRPr="00250A9A" w:rsidRDefault="00D61A88" w:rsidP="00250A9A">
            <w:pPr>
              <w:pStyle w:val="naisf"/>
              <w:spacing w:before="0" w:after="0"/>
              <w:ind w:firstLine="0"/>
            </w:pPr>
          </w:p>
        </w:tc>
        <w:tc>
          <w:tcPr>
            <w:tcW w:w="1279" w:type="dxa"/>
          </w:tcPr>
          <w:p w:rsidR="00D61A88" w:rsidRPr="00250A9A" w:rsidRDefault="00D61A88" w:rsidP="00250A9A">
            <w:pPr>
              <w:pStyle w:val="naisf"/>
              <w:spacing w:before="0" w:after="0"/>
              <w:ind w:firstLine="0"/>
            </w:pPr>
          </w:p>
        </w:tc>
        <w:tc>
          <w:tcPr>
            <w:tcW w:w="1333" w:type="dxa"/>
          </w:tcPr>
          <w:p w:rsidR="00D61A88" w:rsidRPr="00250A9A" w:rsidRDefault="00D61A88" w:rsidP="00250A9A">
            <w:pPr>
              <w:pStyle w:val="naisf"/>
              <w:spacing w:before="0" w:after="0"/>
              <w:ind w:firstLine="0"/>
              <w:rPr>
                <w:b/>
                <w:i/>
              </w:rPr>
            </w:pPr>
          </w:p>
        </w:tc>
        <w:tc>
          <w:tcPr>
            <w:tcW w:w="1351" w:type="dxa"/>
          </w:tcPr>
          <w:p w:rsidR="00D61A88" w:rsidRPr="00250A9A" w:rsidRDefault="00D61A88" w:rsidP="00250A9A">
            <w:pPr>
              <w:pStyle w:val="naisf"/>
              <w:spacing w:before="0" w:after="0"/>
              <w:ind w:firstLine="0"/>
              <w:rPr>
                <w:b/>
                <w:i/>
              </w:rPr>
            </w:pPr>
          </w:p>
        </w:tc>
        <w:tc>
          <w:tcPr>
            <w:tcW w:w="1393" w:type="dxa"/>
          </w:tcPr>
          <w:p w:rsidR="00D61A88" w:rsidRPr="00250A9A" w:rsidRDefault="00D61A88" w:rsidP="00250A9A">
            <w:pPr>
              <w:pStyle w:val="naisf"/>
              <w:spacing w:before="0" w:after="0"/>
              <w:ind w:firstLine="0"/>
              <w:rPr>
                <w:b/>
                <w:i/>
              </w:rPr>
            </w:pPr>
          </w:p>
        </w:tc>
      </w:tr>
      <w:tr w:rsidR="008314D2" w:rsidRPr="00250A9A" w:rsidTr="008C5969">
        <w:trPr>
          <w:jc w:val="center"/>
        </w:trPr>
        <w:tc>
          <w:tcPr>
            <w:tcW w:w="2310" w:type="dxa"/>
          </w:tcPr>
          <w:p w:rsidR="00D61A88" w:rsidRPr="00250A9A" w:rsidRDefault="00D61A88" w:rsidP="00250A9A">
            <w:pPr>
              <w:pStyle w:val="naisf"/>
              <w:spacing w:before="0" w:after="0"/>
              <w:ind w:firstLine="0"/>
              <w:rPr>
                <w:i/>
              </w:rPr>
            </w:pPr>
            <w:r w:rsidRPr="00250A9A">
              <w:t>1.3. pašvaldību budžets</w:t>
            </w:r>
          </w:p>
        </w:tc>
        <w:tc>
          <w:tcPr>
            <w:tcW w:w="1284" w:type="dxa"/>
          </w:tcPr>
          <w:p w:rsidR="00D61A88" w:rsidRPr="00250A9A" w:rsidRDefault="00D61A88" w:rsidP="00250A9A">
            <w:pPr>
              <w:pStyle w:val="naisf"/>
              <w:spacing w:before="0" w:after="0"/>
              <w:ind w:firstLine="0"/>
            </w:pPr>
          </w:p>
        </w:tc>
        <w:tc>
          <w:tcPr>
            <w:tcW w:w="1279" w:type="dxa"/>
          </w:tcPr>
          <w:p w:rsidR="00D61A88" w:rsidRPr="00250A9A" w:rsidRDefault="00D61A88" w:rsidP="00250A9A">
            <w:pPr>
              <w:pStyle w:val="naisf"/>
              <w:spacing w:before="0" w:after="0"/>
              <w:ind w:firstLine="0"/>
            </w:pPr>
          </w:p>
        </w:tc>
        <w:tc>
          <w:tcPr>
            <w:tcW w:w="1333" w:type="dxa"/>
          </w:tcPr>
          <w:p w:rsidR="00D61A88" w:rsidRPr="00250A9A" w:rsidRDefault="00D61A88" w:rsidP="00250A9A">
            <w:pPr>
              <w:pStyle w:val="naisf"/>
              <w:spacing w:before="0" w:after="0"/>
              <w:ind w:firstLine="0"/>
              <w:rPr>
                <w:b/>
                <w:i/>
              </w:rPr>
            </w:pPr>
          </w:p>
        </w:tc>
        <w:tc>
          <w:tcPr>
            <w:tcW w:w="1351" w:type="dxa"/>
          </w:tcPr>
          <w:p w:rsidR="00D61A88" w:rsidRPr="00250A9A" w:rsidRDefault="00D61A88" w:rsidP="00250A9A">
            <w:pPr>
              <w:pStyle w:val="naisf"/>
              <w:spacing w:before="0" w:after="0"/>
              <w:ind w:firstLine="0"/>
              <w:rPr>
                <w:b/>
                <w:i/>
              </w:rPr>
            </w:pPr>
          </w:p>
        </w:tc>
        <w:tc>
          <w:tcPr>
            <w:tcW w:w="1393" w:type="dxa"/>
          </w:tcPr>
          <w:p w:rsidR="00D61A88" w:rsidRPr="00250A9A" w:rsidRDefault="00D61A88" w:rsidP="00250A9A">
            <w:pPr>
              <w:pStyle w:val="naisf"/>
              <w:spacing w:before="0" w:after="0"/>
              <w:ind w:firstLine="0"/>
              <w:rPr>
                <w:b/>
                <w:i/>
              </w:rPr>
            </w:pPr>
          </w:p>
        </w:tc>
      </w:tr>
      <w:tr w:rsidR="008314D2" w:rsidRPr="00250A9A" w:rsidTr="008C5969">
        <w:trPr>
          <w:jc w:val="center"/>
        </w:trPr>
        <w:tc>
          <w:tcPr>
            <w:tcW w:w="2310" w:type="dxa"/>
          </w:tcPr>
          <w:p w:rsidR="00B95C3C" w:rsidRPr="00250A9A" w:rsidRDefault="00B95C3C" w:rsidP="00250A9A">
            <w:pPr>
              <w:pStyle w:val="naisf"/>
              <w:spacing w:before="0" w:after="0"/>
              <w:ind w:firstLine="0"/>
            </w:pPr>
            <w:r w:rsidRPr="00250A9A">
              <w:t>2. Budžeta izdevumi:</w:t>
            </w:r>
          </w:p>
        </w:tc>
        <w:tc>
          <w:tcPr>
            <w:tcW w:w="1284" w:type="dxa"/>
          </w:tcPr>
          <w:p w:rsidR="00B95C3C" w:rsidRPr="00250A9A" w:rsidRDefault="004333D6" w:rsidP="00D26B45">
            <w:pPr>
              <w:pStyle w:val="naisf"/>
              <w:spacing w:before="0" w:after="0"/>
              <w:ind w:firstLine="0"/>
              <w:jc w:val="center"/>
            </w:pPr>
            <w:r>
              <w:t>170,0</w:t>
            </w:r>
          </w:p>
        </w:tc>
        <w:tc>
          <w:tcPr>
            <w:tcW w:w="1279" w:type="dxa"/>
          </w:tcPr>
          <w:p w:rsidR="00B95C3C" w:rsidRPr="00250A9A" w:rsidRDefault="004333D6" w:rsidP="00D26B45">
            <w:pPr>
              <w:jc w:val="center"/>
            </w:pPr>
            <w:r>
              <w:t>0</w:t>
            </w:r>
          </w:p>
        </w:tc>
        <w:tc>
          <w:tcPr>
            <w:tcW w:w="1333" w:type="dxa"/>
          </w:tcPr>
          <w:p w:rsidR="00B95C3C" w:rsidRPr="00250A9A" w:rsidRDefault="00EC1EDB" w:rsidP="00EC1EDB">
            <w:pPr>
              <w:jc w:val="center"/>
            </w:pPr>
            <w:r>
              <w:t>173</w:t>
            </w:r>
            <w:r w:rsidR="004333D6">
              <w:t>,</w:t>
            </w:r>
            <w:r>
              <w:t>1</w:t>
            </w:r>
          </w:p>
        </w:tc>
        <w:tc>
          <w:tcPr>
            <w:tcW w:w="1351" w:type="dxa"/>
          </w:tcPr>
          <w:p w:rsidR="00B95C3C" w:rsidRPr="00250A9A" w:rsidRDefault="004333D6" w:rsidP="00D26B45">
            <w:pPr>
              <w:jc w:val="center"/>
            </w:pPr>
            <w:r>
              <w:t>290,0</w:t>
            </w:r>
          </w:p>
        </w:tc>
        <w:tc>
          <w:tcPr>
            <w:tcW w:w="1393" w:type="dxa"/>
          </w:tcPr>
          <w:p w:rsidR="00B95C3C" w:rsidRPr="00250A9A" w:rsidRDefault="004333D6" w:rsidP="00D26B45">
            <w:pPr>
              <w:jc w:val="center"/>
            </w:pPr>
            <w:r>
              <w:t>290,0</w:t>
            </w:r>
          </w:p>
        </w:tc>
      </w:tr>
      <w:tr w:rsidR="008314D2" w:rsidRPr="00250A9A" w:rsidTr="008C5969">
        <w:trPr>
          <w:jc w:val="center"/>
        </w:trPr>
        <w:tc>
          <w:tcPr>
            <w:tcW w:w="2310" w:type="dxa"/>
          </w:tcPr>
          <w:p w:rsidR="00B95C3C" w:rsidRPr="00250A9A" w:rsidRDefault="00B95C3C" w:rsidP="00250A9A">
            <w:pPr>
              <w:pStyle w:val="naisf"/>
              <w:spacing w:before="0" w:after="0"/>
              <w:ind w:firstLine="0"/>
            </w:pPr>
            <w:r w:rsidRPr="00250A9A">
              <w:t>2.1. valsts pamatbudžets</w:t>
            </w:r>
          </w:p>
        </w:tc>
        <w:tc>
          <w:tcPr>
            <w:tcW w:w="1284" w:type="dxa"/>
          </w:tcPr>
          <w:p w:rsidR="00B95C3C" w:rsidRPr="00250A9A" w:rsidRDefault="004333D6" w:rsidP="00D26B45">
            <w:pPr>
              <w:pStyle w:val="naisf"/>
              <w:spacing w:before="0" w:after="0"/>
              <w:ind w:firstLine="0"/>
              <w:jc w:val="center"/>
            </w:pPr>
            <w:r>
              <w:t>170,0</w:t>
            </w:r>
          </w:p>
        </w:tc>
        <w:tc>
          <w:tcPr>
            <w:tcW w:w="1279" w:type="dxa"/>
          </w:tcPr>
          <w:p w:rsidR="00B95C3C" w:rsidRPr="00250A9A" w:rsidRDefault="004333D6" w:rsidP="00D26B45">
            <w:pPr>
              <w:jc w:val="center"/>
            </w:pPr>
            <w:r>
              <w:t>0</w:t>
            </w:r>
          </w:p>
        </w:tc>
        <w:tc>
          <w:tcPr>
            <w:tcW w:w="1333" w:type="dxa"/>
          </w:tcPr>
          <w:p w:rsidR="00B95C3C" w:rsidRPr="00250A9A" w:rsidRDefault="004333D6" w:rsidP="00EC1EDB">
            <w:pPr>
              <w:jc w:val="center"/>
            </w:pPr>
            <w:r>
              <w:t>1</w:t>
            </w:r>
            <w:r w:rsidR="00EC1EDB">
              <w:t>73</w:t>
            </w:r>
            <w:r>
              <w:t>,</w:t>
            </w:r>
            <w:r w:rsidR="00EC1EDB">
              <w:t>1</w:t>
            </w:r>
          </w:p>
        </w:tc>
        <w:tc>
          <w:tcPr>
            <w:tcW w:w="1351" w:type="dxa"/>
          </w:tcPr>
          <w:p w:rsidR="00B95C3C" w:rsidRPr="00250A9A" w:rsidRDefault="004333D6" w:rsidP="00D26B45">
            <w:pPr>
              <w:jc w:val="center"/>
            </w:pPr>
            <w:r>
              <w:t>290,0</w:t>
            </w:r>
          </w:p>
        </w:tc>
        <w:tc>
          <w:tcPr>
            <w:tcW w:w="1393" w:type="dxa"/>
          </w:tcPr>
          <w:p w:rsidR="00B95C3C" w:rsidRPr="00250A9A" w:rsidRDefault="004333D6" w:rsidP="00D26B45">
            <w:pPr>
              <w:jc w:val="center"/>
            </w:pPr>
            <w:r>
              <w:t>290,0</w:t>
            </w:r>
          </w:p>
        </w:tc>
      </w:tr>
      <w:tr w:rsidR="008314D2" w:rsidRPr="00250A9A" w:rsidTr="008C5969">
        <w:trPr>
          <w:jc w:val="center"/>
        </w:trPr>
        <w:tc>
          <w:tcPr>
            <w:tcW w:w="2310" w:type="dxa"/>
          </w:tcPr>
          <w:p w:rsidR="00D61A88" w:rsidRPr="00250A9A" w:rsidRDefault="00D61A88" w:rsidP="00250A9A">
            <w:pPr>
              <w:pStyle w:val="naisf"/>
              <w:spacing w:before="0" w:after="0"/>
              <w:ind w:firstLine="0"/>
            </w:pPr>
            <w:r w:rsidRPr="00250A9A">
              <w:t>2.2. valsts speciālais budžets</w:t>
            </w:r>
          </w:p>
        </w:tc>
        <w:tc>
          <w:tcPr>
            <w:tcW w:w="1284" w:type="dxa"/>
          </w:tcPr>
          <w:p w:rsidR="00D61A88" w:rsidRPr="00250A9A" w:rsidRDefault="00D61A88" w:rsidP="00250A9A">
            <w:pPr>
              <w:pStyle w:val="naisf"/>
              <w:spacing w:before="0" w:after="0"/>
              <w:ind w:firstLine="0"/>
            </w:pPr>
          </w:p>
        </w:tc>
        <w:tc>
          <w:tcPr>
            <w:tcW w:w="1279" w:type="dxa"/>
          </w:tcPr>
          <w:p w:rsidR="00D61A88" w:rsidRPr="00250A9A" w:rsidRDefault="00D61A88" w:rsidP="00250A9A">
            <w:pPr>
              <w:pStyle w:val="naisf"/>
              <w:spacing w:before="0" w:after="0"/>
              <w:ind w:firstLine="0"/>
            </w:pPr>
          </w:p>
        </w:tc>
        <w:tc>
          <w:tcPr>
            <w:tcW w:w="1333" w:type="dxa"/>
          </w:tcPr>
          <w:p w:rsidR="00D61A88" w:rsidRPr="00250A9A" w:rsidRDefault="00D61A88" w:rsidP="00250A9A">
            <w:pPr>
              <w:pStyle w:val="naisf"/>
              <w:spacing w:before="0" w:after="0"/>
              <w:ind w:firstLine="0"/>
            </w:pPr>
          </w:p>
        </w:tc>
        <w:tc>
          <w:tcPr>
            <w:tcW w:w="1351" w:type="dxa"/>
          </w:tcPr>
          <w:p w:rsidR="00D61A88" w:rsidRPr="00250A9A" w:rsidRDefault="00D61A88" w:rsidP="00250A9A">
            <w:pPr>
              <w:pStyle w:val="naisf"/>
              <w:spacing w:before="0" w:after="0"/>
              <w:ind w:firstLine="0"/>
              <w:rPr>
                <w:b/>
                <w:i/>
              </w:rPr>
            </w:pPr>
          </w:p>
        </w:tc>
        <w:tc>
          <w:tcPr>
            <w:tcW w:w="1393" w:type="dxa"/>
          </w:tcPr>
          <w:p w:rsidR="00D61A88" w:rsidRPr="00250A9A" w:rsidRDefault="00D61A88" w:rsidP="00250A9A">
            <w:pPr>
              <w:pStyle w:val="naisf"/>
              <w:spacing w:before="0" w:after="0"/>
              <w:ind w:firstLine="0"/>
              <w:rPr>
                <w:b/>
                <w:i/>
              </w:rPr>
            </w:pPr>
          </w:p>
        </w:tc>
      </w:tr>
      <w:tr w:rsidR="008314D2" w:rsidRPr="00250A9A" w:rsidTr="008C5969">
        <w:trPr>
          <w:jc w:val="center"/>
        </w:trPr>
        <w:tc>
          <w:tcPr>
            <w:tcW w:w="2310" w:type="dxa"/>
          </w:tcPr>
          <w:p w:rsidR="00D61A88" w:rsidRPr="00250A9A" w:rsidRDefault="00D61A88" w:rsidP="00250A9A">
            <w:pPr>
              <w:pStyle w:val="naisf"/>
              <w:spacing w:before="0" w:after="0"/>
              <w:ind w:firstLine="0"/>
            </w:pPr>
            <w:r w:rsidRPr="00250A9A">
              <w:t xml:space="preserve">2.3. pašvaldību budžets </w:t>
            </w:r>
          </w:p>
        </w:tc>
        <w:tc>
          <w:tcPr>
            <w:tcW w:w="1284" w:type="dxa"/>
          </w:tcPr>
          <w:p w:rsidR="00D61A88" w:rsidRPr="00250A9A" w:rsidRDefault="00D61A88" w:rsidP="00250A9A">
            <w:pPr>
              <w:pStyle w:val="naisf"/>
              <w:spacing w:before="0" w:after="0"/>
              <w:ind w:firstLine="0"/>
            </w:pPr>
          </w:p>
        </w:tc>
        <w:tc>
          <w:tcPr>
            <w:tcW w:w="1279" w:type="dxa"/>
          </w:tcPr>
          <w:p w:rsidR="00D61A88" w:rsidRPr="00250A9A" w:rsidRDefault="00D61A88" w:rsidP="00250A9A">
            <w:pPr>
              <w:pStyle w:val="naisf"/>
              <w:spacing w:before="0" w:after="0"/>
              <w:ind w:firstLine="0"/>
            </w:pPr>
          </w:p>
        </w:tc>
        <w:tc>
          <w:tcPr>
            <w:tcW w:w="1333" w:type="dxa"/>
          </w:tcPr>
          <w:p w:rsidR="00D61A88" w:rsidRPr="00250A9A" w:rsidRDefault="00D61A88" w:rsidP="00250A9A">
            <w:pPr>
              <w:pStyle w:val="naisf"/>
              <w:spacing w:before="0" w:after="0"/>
              <w:ind w:firstLine="0"/>
            </w:pPr>
          </w:p>
        </w:tc>
        <w:tc>
          <w:tcPr>
            <w:tcW w:w="1351" w:type="dxa"/>
          </w:tcPr>
          <w:p w:rsidR="00D61A88" w:rsidRPr="00250A9A" w:rsidRDefault="00D61A88" w:rsidP="00250A9A">
            <w:pPr>
              <w:pStyle w:val="naisf"/>
              <w:spacing w:before="0" w:after="0"/>
              <w:ind w:firstLine="0"/>
              <w:rPr>
                <w:b/>
                <w:i/>
              </w:rPr>
            </w:pPr>
          </w:p>
        </w:tc>
        <w:tc>
          <w:tcPr>
            <w:tcW w:w="1393" w:type="dxa"/>
          </w:tcPr>
          <w:p w:rsidR="00D61A88" w:rsidRPr="00250A9A" w:rsidRDefault="00D61A88" w:rsidP="00250A9A">
            <w:pPr>
              <w:pStyle w:val="naisf"/>
              <w:spacing w:before="0" w:after="0"/>
              <w:ind w:firstLine="0"/>
              <w:rPr>
                <w:b/>
                <w:i/>
              </w:rPr>
            </w:pPr>
          </w:p>
        </w:tc>
      </w:tr>
      <w:tr w:rsidR="008314D2" w:rsidRPr="00250A9A" w:rsidTr="00D26B45">
        <w:trPr>
          <w:jc w:val="center"/>
        </w:trPr>
        <w:tc>
          <w:tcPr>
            <w:tcW w:w="2310" w:type="dxa"/>
          </w:tcPr>
          <w:p w:rsidR="00B95C3C" w:rsidRPr="00250A9A" w:rsidRDefault="00B95C3C" w:rsidP="00250A9A">
            <w:pPr>
              <w:pStyle w:val="naisf"/>
              <w:spacing w:before="0" w:after="0"/>
              <w:ind w:firstLine="0"/>
            </w:pPr>
            <w:r w:rsidRPr="00250A9A">
              <w:t>3. Finansiālā ietekme:</w:t>
            </w:r>
          </w:p>
        </w:tc>
        <w:tc>
          <w:tcPr>
            <w:tcW w:w="1284" w:type="dxa"/>
            <w:shd w:val="clear" w:color="auto" w:fill="auto"/>
          </w:tcPr>
          <w:p w:rsidR="00B95C3C" w:rsidRPr="00250A9A" w:rsidRDefault="004333D6" w:rsidP="00D26B45">
            <w:pPr>
              <w:pStyle w:val="naisf"/>
              <w:spacing w:before="0" w:after="0"/>
              <w:ind w:firstLine="0"/>
              <w:jc w:val="center"/>
            </w:pPr>
            <w:r>
              <w:t>0</w:t>
            </w:r>
          </w:p>
        </w:tc>
        <w:tc>
          <w:tcPr>
            <w:tcW w:w="1279" w:type="dxa"/>
          </w:tcPr>
          <w:p w:rsidR="00B95C3C" w:rsidRPr="00250A9A" w:rsidRDefault="004333D6" w:rsidP="00D26B45">
            <w:pPr>
              <w:jc w:val="center"/>
            </w:pPr>
            <w:r>
              <w:t>0</w:t>
            </w:r>
          </w:p>
        </w:tc>
        <w:tc>
          <w:tcPr>
            <w:tcW w:w="1333" w:type="dxa"/>
          </w:tcPr>
          <w:p w:rsidR="00B95C3C" w:rsidRPr="00250A9A" w:rsidRDefault="004333D6" w:rsidP="00EC1EDB">
            <w:pPr>
              <w:jc w:val="center"/>
            </w:pPr>
            <w:r>
              <w:t>-</w:t>
            </w:r>
            <w:r w:rsidR="00EC1EDB">
              <w:t>173</w:t>
            </w:r>
            <w:r>
              <w:t>,</w:t>
            </w:r>
            <w:r w:rsidR="00EC1EDB">
              <w:t>1</w:t>
            </w:r>
          </w:p>
        </w:tc>
        <w:tc>
          <w:tcPr>
            <w:tcW w:w="1351" w:type="dxa"/>
          </w:tcPr>
          <w:p w:rsidR="00B95C3C" w:rsidRPr="00250A9A" w:rsidRDefault="004333D6" w:rsidP="00D26B45">
            <w:pPr>
              <w:jc w:val="center"/>
            </w:pPr>
            <w:r>
              <w:t>-290,0</w:t>
            </w:r>
          </w:p>
        </w:tc>
        <w:tc>
          <w:tcPr>
            <w:tcW w:w="1393" w:type="dxa"/>
          </w:tcPr>
          <w:p w:rsidR="00B95C3C" w:rsidRPr="00250A9A" w:rsidRDefault="004333D6" w:rsidP="00D26B45">
            <w:pPr>
              <w:jc w:val="center"/>
            </w:pPr>
            <w:r>
              <w:t>-290,0</w:t>
            </w:r>
          </w:p>
        </w:tc>
      </w:tr>
      <w:tr w:rsidR="008314D2" w:rsidRPr="00250A9A" w:rsidTr="00D26B45">
        <w:trPr>
          <w:jc w:val="center"/>
        </w:trPr>
        <w:tc>
          <w:tcPr>
            <w:tcW w:w="2310" w:type="dxa"/>
          </w:tcPr>
          <w:p w:rsidR="00B95C3C" w:rsidRPr="00250A9A" w:rsidRDefault="00B95C3C" w:rsidP="00250A9A">
            <w:pPr>
              <w:pStyle w:val="naisf"/>
              <w:spacing w:before="0" w:after="0"/>
              <w:ind w:firstLine="0"/>
            </w:pPr>
            <w:r w:rsidRPr="00250A9A">
              <w:t>3.1. valsts pamatbudžets</w:t>
            </w:r>
          </w:p>
        </w:tc>
        <w:tc>
          <w:tcPr>
            <w:tcW w:w="1284" w:type="dxa"/>
            <w:shd w:val="clear" w:color="auto" w:fill="auto"/>
          </w:tcPr>
          <w:p w:rsidR="00B95C3C" w:rsidRPr="00250A9A" w:rsidRDefault="004333D6" w:rsidP="00D26B45">
            <w:pPr>
              <w:pStyle w:val="naisf"/>
              <w:spacing w:before="0" w:after="0"/>
              <w:ind w:firstLine="0"/>
              <w:jc w:val="center"/>
            </w:pPr>
            <w:r>
              <w:t>0</w:t>
            </w:r>
          </w:p>
        </w:tc>
        <w:tc>
          <w:tcPr>
            <w:tcW w:w="1279" w:type="dxa"/>
          </w:tcPr>
          <w:p w:rsidR="00B95C3C" w:rsidRPr="00250A9A" w:rsidRDefault="004333D6" w:rsidP="00D26B45">
            <w:pPr>
              <w:jc w:val="center"/>
            </w:pPr>
            <w:r>
              <w:t>0</w:t>
            </w:r>
          </w:p>
        </w:tc>
        <w:tc>
          <w:tcPr>
            <w:tcW w:w="1333" w:type="dxa"/>
          </w:tcPr>
          <w:p w:rsidR="00B95C3C" w:rsidRPr="00250A9A" w:rsidRDefault="004333D6" w:rsidP="00EC1EDB">
            <w:pPr>
              <w:jc w:val="center"/>
            </w:pPr>
            <w:r>
              <w:t>-1</w:t>
            </w:r>
            <w:r w:rsidR="00EC1EDB">
              <w:t>73</w:t>
            </w:r>
            <w:r>
              <w:t>,</w:t>
            </w:r>
            <w:r w:rsidR="00EC1EDB">
              <w:t>1</w:t>
            </w:r>
          </w:p>
        </w:tc>
        <w:tc>
          <w:tcPr>
            <w:tcW w:w="1351" w:type="dxa"/>
          </w:tcPr>
          <w:p w:rsidR="00B95C3C" w:rsidRPr="00250A9A" w:rsidRDefault="004333D6" w:rsidP="00D26B45">
            <w:pPr>
              <w:jc w:val="center"/>
            </w:pPr>
            <w:r>
              <w:t>-290,0</w:t>
            </w:r>
          </w:p>
        </w:tc>
        <w:tc>
          <w:tcPr>
            <w:tcW w:w="1393" w:type="dxa"/>
          </w:tcPr>
          <w:p w:rsidR="00B95C3C" w:rsidRPr="00250A9A" w:rsidRDefault="004333D6" w:rsidP="00D26B45">
            <w:pPr>
              <w:jc w:val="center"/>
            </w:pPr>
            <w:r>
              <w:t>-290,0</w:t>
            </w:r>
          </w:p>
        </w:tc>
      </w:tr>
      <w:tr w:rsidR="008314D2" w:rsidRPr="00250A9A" w:rsidTr="008C5969">
        <w:trPr>
          <w:jc w:val="center"/>
        </w:trPr>
        <w:tc>
          <w:tcPr>
            <w:tcW w:w="2310" w:type="dxa"/>
          </w:tcPr>
          <w:p w:rsidR="00D61A88" w:rsidRPr="00250A9A" w:rsidRDefault="00D61A88" w:rsidP="00250A9A">
            <w:pPr>
              <w:pStyle w:val="naisf"/>
              <w:spacing w:before="0" w:after="0"/>
              <w:ind w:firstLine="0"/>
            </w:pPr>
            <w:r w:rsidRPr="00250A9A">
              <w:t>3.2. speciālais budžets</w:t>
            </w:r>
          </w:p>
        </w:tc>
        <w:tc>
          <w:tcPr>
            <w:tcW w:w="1284" w:type="dxa"/>
            <w:shd w:val="clear" w:color="auto" w:fill="auto"/>
          </w:tcPr>
          <w:p w:rsidR="00D61A88" w:rsidRPr="00250A9A" w:rsidRDefault="00D61A88" w:rsidP="00250A9A">
            <w:pPr>
              <w:pStyle w:val="naisf"/>
              <w:spacing w:before="0" w:after="0"/>
              <w:ind w:firstLine="0"/>
              <w:rPr>
                <w:b/>
                <w:i/>
              </w:rPr>
            </w:pPr>
          </w:p>
        </w:tc>
        <w:tc>
          <w:tcPr>
            <w:tcW w:w="1279" w:type="dxa"/>
          </w:tcPr>
          <w:p w:rsidR="00D61A88" w:rsidRPr="00250A9A" w:rsidRDefault="00D61A88" w:rsidP="00250A9A">
            <w:pPr>
              <w:pStyle w:val="naisf"/>
              <w:spacing w:before="0" w:after="0"/>
              <w:ind w:firstLine="0"/>
              <w:rPr>
                <w:b/>
                <w:i/>
              </w:rPr>
            </w:pPr>
          </w:p>
        </w:tc>
        <w:tc>
          <w:tcPr>
            <w:tcW w:w="1333" w:type="dxa"/>
          </w:tcPr>
          <w:p w:rsidR="00D61A88" w:rsidRPr="00250A9A" w:rsidRDefault="00D61A88" w:rsidP="00250A9A">
            <w:pPr>
              <w:pStyle w:val="naisf"/>
              <w:spacing w:before="0" w:after="0"/>
              <w:ind w:firstLine="0"/>
              <w:rPr>
                <w:b/>
                <w:i/>
              </w:rPr>
            </w:pPr>
          </w:p>
        </w:tc>
        <w:tc>
          <w:tcPr>
            <w:tcW w:w="1351" w:type="dxa"/>
          </w:tcPr>
          <w:p w:rsidR="00D61A88" w:rsidRPr="00250A9A" w:rsidRDefault="00D61A88" w:rsidP="00250A9A">
            <w:pPr>
              <w:pStyle w:val="naisf"/>
              <w:spacing w:before="0" w:after="0"/>
              <w:ind w:firstLine="0"/>
              <w:rPr>
                <w:b/>
                <w:i/>
              </w:rPr>
            </w:pPr>
          </w:p>
        </w:tc>
        <w:tc>
          <w:tcPr>
            <w:tcW w:w="1393" w:type="dxa"/>
          </w:tcPr>
          <w:p w:rsidR="00D61A88" w:rsidRPr="00250A9A" w:rsidRDefault="00D61A88" w:rsidP="00250A9A">
            <w:pPr>
              <w:pStyle w:val="naisf"/>
              <w:spacing w:before="0" w:after="0"/>
              <w:ind w:firstLine="0"/>
              <w:rPr>
                <w:b/>
                <w:i/>
              </w:rPr>
            </w:pPr>
          </w:p>
        </w:tc>
      </w:tr>
      <w:tr w:rsidR="008314D2" w:rsidRPr="00250A9A" w:rsidTr="008C5969">
        <w:trPr>
          <w:jc w:val="center"/>
        </w:trPr>
        <w:tc>
          <w:tcPr>
            <w:tcW w:w="2310" w:type="dxa"/>
          </w:tcPr>
          <w:p w:rsidR="00D61A88" w:rsidRPr="00250A9A" w:rsidRDefault="00D61A88" w:rsidP="00250A9A">
            <w:pPr>
              <w:pStyle w:val="naisf"/>
              <w:spacing w:before="0" w:after="0"/>
              <w:ind w:firstLine="0"/>
            </w:pPr>
            <w:r w:rsidRPr="00250A9A">
              <w:t xml:space="preserve">3.3. pašvaldību budžets </w:t>
            </w:r>
          </w:p>
        </w:tc>
        <w:tc>
          <w:tcPr>
            <w:tcW w:w="1284" w:type="dxa"/>
            <w:shd w:val="clear" w:color="auto" w:fill="auto"/>
          </w:tcPr>
          <w:p w:rsidR="00D61A88" w:rsidRPr="00250A9A" w:rsidRDefault="00D61A88" w:rsidP="00250A9A">
            <w:pPr>
              <w:pStyle w:val="naisf"/>
              <w:spacing w:before="0" w:after="0"/>
              <w:ind w:firstLine="0"/>
              <w:rPr>
                <w:i/>
              </w:rPr>
            </w:pPr>
          </w:p>
        </w:tc>
        <w:tc>
          <w:tcPr>
            <w:tcW w:w="1279" w:type="dxa"/>
          </w:tcPr>
          <w:p w:rsidR="00D61A88" w:rsidRPr="00250A9A" w:rsidRDefault="00D61A88" w:rsidP="00250A9A">
            <w:pPr>
              <w:pStyle w:val="naisf"/>
              <w:spacing w:before="0" w:after="0"/>
              <w:ind w:firstLine="0"/>
            </w:pPr>
          </w:p>
        </w:tc>
        <w:tc>
          <w:tcPr>
            <w:tcW w:w="1333" w:type="dxa"/>
          </w:tcPr>
          <w:p w:rsidR="00D61A88" w:rsidRPr="00250A9A" w:rsidRDefault="00D61A88" w:rsidP="00250A9A">
            <w:pPr>
              <w:pStyle w:val="naisf"/>
              <w:spacing w:before="0" w:after="0"/>
              <w:ind w:firstLine="0"/>
            </w:pPr>
          </w:p>
        </w:tc>
        <w:tc>
          <w:tcPr>
            <w:tcW w:w="1351" w:type="dxa"/>
          </w:tcPr>
          <w:p w:rsidR="00D61A88" w:rsidRPr="00250A9A" w:rsidRDefault="00D61A88" w:rsidP="00250A9A">
            <w:pPr>
              <w:pStyle w:val="naisf"/>
              <w:spacing w:before="0" w:after="0"/>
              <w:ind w:firstLine="0"/>
            </w:pPr>
          </w:p>
        </w:tc>
        <w:tc>
          <w:tcPr>
            <w:tcW w:w="1393" w:type="dxa"/>
          </w:tcPr>
          <w:p w:rsidR="00D61A88" w:rsidRPr="00250A9A" w:rsidRDefault="00D61A88" w:rsidP="00250A9A">
            <w:pPr>
              <w:pStyle w:val="naisf"/>
              <w:spacing w:before="0" w:after="0"/>
              <w:ind w:firstLine="0"/>
            </w:pPr>
          </w:p>
        </w:tc>
      </w:tr>
      <w:tr w:rsidR="008314D2" w:rsidRPr="00250A9A" w:rsidTr="008C5969">
        <w:trPr>
          <w:jc w:val="center"/>
        </w:trPr>
        <w:tc>
          <w:tcPr>
            <w:tcW w:w="2310" w:type="dxa"/>
            <w:vMerge w:val="restart"/>
          </w:tcPr>
          <w:p w:rsidR="00B95C3C" w:rsidRPr="00250A9A" w:rsidRDefault="00B95C3C" w:rsidP="00250A9A">
            <w:pPr>
              <w:pStyle w:val="naisf"/>
              <w:spacing w:before="0" w:after="0"/>
              <w:ind w:firstLine="0"/>
            </w:pPr>
            <w:r w:rsidRPr="00250A9A">
              <w:t>4. Finanšu līdzekļi papildu izde</w:t>
            </w:r>
            <w:r w:rsidRPr="00250A9A">
              <w:softHyphen/>
              <w:t xml:space="preserve">vumu finansēšanai </w:t>
            </w:r>
          </w:p>
        </w:tc>
        <w:tc>
          <w:tcPr>
            <w:tcW w:w="1284" w:type="dxa"/>
            <w:vMerge w:val="restart"/>
          </w:tcPr>
          <w:p w:rsidR="00B95C3C" w:rsidRPr="00D26B45" w:rsidRDefault="004333D6" w:rsidP="00D26B45">
            <w:pPr>
              <w:pStyle w:val="naisf"/>
              <w:spacing w:before="0" w:after="0"/>
              <w:ind w:firstLine="0"/>
              <w:jc w:val="center"/>
            </w:pPr>
            <w:r w:rsidRPr="00D26B45">
              <w:t>X</w:t>
            </w:r>
          </w:p>
        </w:tc>
        <w:tc>
          <w:tcPr>
            <w:tcW w:w="1279" w:type="dxa"/>
          </w:tcPr>
          <w:p w:rsidR="00B95C3C" w:rsidRPr="00D26B45" w:rsidRDefault="004333D6" w:rsidP="00D26B45">
            <w:pPr>
              <w:jc w:val="center"/>
            </w:pPr>
            <w:r w:rsidRPr="00D26B45">
              <w:t>0</w:t>
            </w:r>
          </w:p>
        </w:tc>
        <w:tc>
          <w:tcPr>
            <w:tcW w:w="1333" w:type="dxa"/>
          </w:tcPr>
          <w:p w:rsidR="00B95C3C" w:rsidRPr="00D26B45" w:rsidRDefault="004333D6" w:rsidP="00D26B45">
            <w:pPr>
              <w:jc w:val="center"/>
            </w:pPr>
            <w:r w:rsidRPr="00D26B45">
              <w:t>0</w:t>
            </w:r>
          </w:p>
        </w:tc>
        <w:tc>
          <w:tcPr>
            <w:tcW w:w="1351" w:type="dxa"/>
          </w:tcPr>
          <w:p w:rsidR="00B95C3C" w:rsidRPr="00D26B45" w:rsidRDefault="004333D6" w:rsidP="00D26B45">
            <w:pPr>
              <w:jc w:val="center"/>
            </w:pPr>
            <w:r w:rsidRPr="00D26B45">
              <w:t>0</w:t>
            </w:r>
          </w:p>
        </w:tc>
        <w:tc>
          <w:tcPr>
            <w:tcW w:w="1393" w:type="dxa"/>
          </w:tcPr>
          <w:p w:rsidR="00B95C3C" w:rsidRPr="00D26B45" w:rsidRDefault="004333D6" w:rsidP="00D26B45">
            <w:pPr>
              <w:jc w:val="center"/>
            </w:pPr>
            <w:r w:rsidRPr="00D26B45">
              <w:t>0</w:t>
            </w:r>
          </w:p>
        </w:tc>
      </w:tr>
      <w:tr w:rsidR="008314D2" w:rsidRPr="00250A9A" w:rsidTr="008C5969">
        <w:trPr>
          <w:jc w:val="center"/>
        </w:trPr>
        <w:tc>
          <w:tcPr>
            <w:tcW w:w="2310" w:type="dxa"/>
            <w:vMerge/>
          </w:tcPr>
          <w:p w:rsidR="00D61A88" w:rsidRPr="00250A9A" w:rsidRDefault="00D61A88" w:rsidP="00250A9A">
            <w:pPr>
              <w:pStyle w:val="naisf"/>
              <w:spacing w:before="0" w:after="0"/>
              <w:ind w:firstLine="0"/>
            </w:pPr>
          </w:p>
        </w:tc>
        <w:tc>
          <w:tcPr>
            <w:tcW w:w="1284" w:type="dxa"/>
            <w:vMerge/>
          </w:tcPr>
          <w:p w:rsidR="00D61A88" w:rsidRPr="00D26B45" w:rsidRDefault="00D61A88" w:rsidP="00D26B45">
            <w:pPr>
              <w:pStyle w:val="naisf"/>
              <w:spacing w:before="0" w:after="0"/>
              <w:ind w:firstLine="0"/>
              <w:jc w:val="center"/>
            </w:pPr>
          </w:p>
        </w:tc>
        <w:tc>
          <w:tcPr>
            <w:tcW w:w="1279" w:type="dxa"/>
          </w:tcPr>
          <w:p w:rsidR="00D61A88" w:rsidRPr="00D26B45" w:rsidRDefault="00D61A88" w:rsidP="00D26B45">
            <w:pPr>
              <w:pStyle w:val="naisf"/>
              <w:spacing w:before="0" w:after="0"/>
              <w:ind w:firstLine="0"/>
              <w:jc w:val="center"/>
            </w:pPr>
          </w:p>
        </w:tc>
        <w:tc>
          <w:tcPr>
            <w:tcW w:w="1333" w:type="dxa"/>
          </w:tcPr>
          <w:p w:rsidR="00D61A88" w:rsidRPr="00D26B45" w:rsidRDefault="00D61A88" w:rsidP="00D26B45">
            <w:pPr>
              <w:pStyle w:val="naisf"/>
              <w:spacing w:before="0" w:after="0"/>
              <w:ind w:firstLine="0"/>
              <w:jc w:val="center"/>
            </w:pPr>
          </w:p>
        </w:tc>
        <w:tc>
          <w:tcPr>
            <w:tcW w:w="1351" w:type="dxa"/>
          </w:tcPr>
          <w:p w:rsidR="00D61A88" w:rsidRPr="00D26B45" w:rsidRDefault="00D61A88" w:rsidP="00D26B45">
            <w:pPr>
              <w:pStyle w:val="naisf"/>
              <w:spacing w:before="0" w:after="0"/>
              <w:ind w:firstLine="0"/>
              <w:jc w:val="center"/>
            </w:pPr>
          </w:p>
        </w:tc>
        <w:tc>
          <w:tcPr>
            <w:tcW w:w="1393" w:type="dxa"/>
          </w:tcPr>
          <w:p w:rsidR="00D61A88" w:rsidRPr="00D26B45" w:rsidRDefault="00D61A88" w:rsidP="00D26B45">
            <w:pPr>
              <w:pStyle w:val="naisf"/>
              <w:spacing w:before="0" w:after="0"/>
              <w:ind w:firstLine="0"/>
              <w:jc w:val="center"/>
            </w:pPr>
          </w:p>
        </w:tc>
      </w:tr>
      <w:tr w:rsidR="008314D2" w:rsidRPr="00250A9A" w:rsidTr="008C5969">
        <w:trPr>
          <w:jc w:val="center"/>
        </w:trPr>
        <w:tc>
          <w:tcPr>
            <w:tcW w:w="2310" w:type="dxa"/>
            <w:vMerge/>
          </w:tcPr>
          <w:p w:rsidR="00D61A88" w:rsidRPr="00250A9A" w:rsidRDefault="00D61A88" w:rsidP="00250A9A">
            <w:pPr>
              <w:pStyle w:val="naisf"/>
              <w:spacing w:before="0" w:after="0"/>
              <w:ind w:firstLine="0"/>
            </w:pPr>
          </w:p>
        </w:tc>
        <w:tc>
          <w:tcPr>
            <w:tcW w:w="1284" w:type="dxa"/>
            <w:vMerge/>
          </w:tcPr>
          <w:p w:rsidR="00D61A88" w:rsidRPr="00D26B45" w:rsidRDefault="00D61A88" w:rsidP="00D26B45">
            <w:pPr>
              <w:pStyle w:val="naisf"/>
              <w:spacing w:before="0" w:after="0"/>
              <w:ind w:firstLine="0"/>
              <w:jc w:val="center"/>
            </w:pPr>
          </w:p>
        </w:tc>
        <w:tc>
          <w:tcPr>
            <w:tcW w:w="1279" w:type="dxa"/>
          </w:tcPr>
          <w:p w:rsidR="00D61A88" w:rsidRPr="00D26B45" w:rsidRDefault="00D61A88" w:rsidP="00D26B45">
            <w:pPr>
              <w:pStyle w:val="naisf"/>
              <w:spacing w:before="0" w:after="0"/>
              <w:ind w:firstLine="0"/>
              <w:jc w:val="center"/>
            </w:pPr>
          </w:p>
        </w:tc>
        <w:tc>
          <w:tcPr>
            <w:tcW w:w="1333" w:type="dxa"/>
          </w:tcPr>
          <w:p w:rsidR="00D61A88" w:rsidRPr="00D26B45" w:rsidRDefault="00D61A88" w:rsidP="00D26B45">
            <w:pPr>
              <w:pStyle w:val="naisf"/>
              <w:spacing w:before="0" w:after="0"/>
              <w:ind w:firstLine="0"/>
              <w:jc w:val="center"/>
            </w:pPr>
          </w:p>
        </w:tc>
        <w:tc>
          <w:tcPr>
            <w:tcW w:w="1351" w:type="dxa"/>
          </w:tcPr>
          <w:p w:rsidR="00D61A88" w:rsidRPr="00D26B45" w:rsidRDefault="00D61A88" w:rsidP="00D26B45">
            <w:pPr>
              <w:pStyle w:val="naisf"/>
              <w:spacing w:before="0" w:after="0"/>
              <w:ind w:firstLine="0"/>
              <w:jc w:val="center"/>
            </w:pPr>
          </w:p>
        </w:tc>
        <w:tc>
          <w:tcPr>
            <w:tcW w:w="1393" w:type="dxa"/>
          </w:tcPr>
          <w:p w:rsidR="00D61A88" w:rsidRPr="00D26B45" w:rsidRDefault="00D61A88" w:rsidP="00D26B45">
            <w:pPr>
              <w:pStyle w:val="naisf"/>
              <w:spacing w:before="0" w:after="0"/>
              <w:ind w:firstLine="0"/>
              <w:jc w:val="center"/>
            </w:pPr>
          </w:p>
        </w:tc>
      </w:tr>
      <w:tr w:rsidR="008314D2" w:rsidRPr="00250A9A" w:rsidTr="008C5969">
        <w:trPr>
          <w:jc w:val="center"/>
        </w:trPr>
        <w:tc>
          <w:tcPr>
            <w:tcW w:w="2310" w:type="dxa"/>
          </w:tcPr>
          <w:p w:rsidR="00B95C3C" w:rsidRPr="00250A9A" w:rsidRDefault="007A7270" w:rsidP="00250A9A">
            <w:pPr>
              <w:pStyle w:val="naisf"/>
              <w:spacing w:before="0" w:after="0"/>
              <w:ind w:firstLine="0"/>
            </w:pPr>
            <w:r w:rsidRPr="00250A9A">
              <w:t>5.</w:t>
            </w:r>
            <w:r w:rsidR="00B95C3C" w:rsidRPr="00250A9A">
              <w:t>Precizēta finansiālā ietekme:</w:t>
            </w:r>
          </w:p>
        </w:tc>
        <w:tc>
          <w:tcPr>
            <w:tcW w:w="1284" w:type="dxa"/>
            <w:vMerge w:val="restart"/>
          </w:tcPr>
          <w:p w:rsidR="00B95C3C" w:rsidRPr="00D26B45" w:rsidRDefault="004333D6" w:rsidP="00D26B45">
            <w:pPr>
              <w:pStyle w:val="naisf"/>
              <w:spacing w:before="0" w:after="0"/>
              <w:ind w:firstLine="0"/>
              <w:jc w:val="center"/>
            </w:pPr>
            <w:r w:rsidRPr="00D26B45">
              <w:t>X</w:t>
            </w:r>
          </w:p>
        </w:tc>
        <w:tc>
          <w:tcPr>
            <w:tcW w:w="1279" w:type="dxa"/>
          </w:tcPr>
          <w:p w:rsidR="00B95C3C" w:rsidRPr="00D26B45" w:rsidRDefault="004333D6" w:rsidP="00D26B45">
            <w:pPr>
              <w:pStyle w:val="naisf"/>
              <w:spacing w:before="0" w:after="0"/>
              <w:ind w:firstLine="0"/>
              <w:jc w:val="center"/>
            </w:pPr>
            <w:r w:rsidRPr="00D26B45">
              <w:t>0</w:t>
            </w:r>
          </w:p>
        </w:tc>
        <w:tc>
          <w:tcPr>
            <w:tcW w:w="1333" w:type="dxa"/>
          </w:tcPr>
          <w:p w:rsidR="00B95C3C" w:rsidRPr="00D26B45" w:rsidRDefault="004333D6" w:rsidP="00EC1EDB">
            <w:pPr>
              <w:jc w:val="center"/>
            </w:pPr>
            <w:r w:rsidRPr="00D26B45">
              <w:t>-</w:t>
            </w:r>
            <w:r w:rsidR="00EC1EDB">
              <w:t>173</w:t>
            </w:r>
            <w:r w:rsidRPr="00D26B45">
              <w:t>,</w:t>
            </w:r>
            <w:r w:rsidR="00EC1EDB">
              <w:t>1</w:t>
            </w:r>
          </w:p>
        </w:tc>
        <w:tc>
          <w:tcPr>
            <w:tcW w:w="1351" w:type="dxa"/>
          </w:tcPr>
          <w:p w:rsidR="00B95C3C" w:rsidRPr="00D26B45" w:rsidRDefault="004333D6" w:rsidP="00D26B45">
            <w:pPr>
              <w:jc w:val="center"/>
            </w:pPr>
            <w:r w:rsidRPr="00D26B45">
              <w:t>-290,0</w:t>
            </w:r>
          </w:p>
        </w:tc>
        <w:tc>
          <w:tcPr>
            <w:tcW w:w="1393" w:type="dxa"/>
          </w:tcPr>
          <w:p w:rsidR="00B95C3C" w:rsidRPr="00D26B45" w:rsidRDefault="004333D6" w:rsidP="00D26B45">
            <w:pPr>
              <w:jc w:val="center"/>
            </w:pPr>
            <w:r w:rsidRPr="00D26B45">
              <w:t>-290,0</w:t>
            </w:r>
          </w:p>
        </w:tc>
      </w:tr>
      <w:tr w:rsidR="008314D2" w:rsidRPr="00250A9A" w:rsidTr="00C235A6">
        <w:trPr>
          <w:jc w:val="center"/>
        </w:trPr>
        <w:tc>
          <w:tcPr>
            <w:tcW w:w="2310" w:type="dxa"/>
            <w:tcBorders>
              <w:bottom w:val="single" w:sz="4" w:space="0" w:color="auto"/>
            </w:tcBorders>
          </w:tcPr>
          <w:p w:rsidR="00B95C3C" w:rsidRPr="00250A9A" w:rsidRDefault="007A7270" w:rsidP="00250A9A">
            <w:pPr>
              <w:pStyle w:val="naisf"/>
              <w:spacing w:before="0" w:after="0"/>
              <w:ind w:firstLine="0"/>
            </w:pPr>
            <w:r w:rsidRPr="00250A9A">
              <w:t>5.1.</w:t>
            </w:r>
            <w:r w:rsidR="00B95C3C" w:rsidRPr="00250A9A">
              <w:t>valsts pamatbudžets</w:t>
            </w:r>
          </w:p>
        </w:tc>
        <w:tc>
          <w:tcPr>
            <w:tcW w:w="1284" w:type="dxa"/>
            <w:vMerge/>
            <w:tcBorders>
              <w:bottom w:val="single" w:sz="4" w:space="0" w:color="auto"/>
            </w:tcBorders>
            <w:vAlign w:val="center"/>
          </w:tcPr>
          <w:p w:rsidR="00B95C3C" w:rsidRPr="00D26B45" w:rsidRDefault="00B95C3C" w:rsidP="00D26B45">
            <w:pPr>
              <w:pStyle w:val="naisf"/>
              <w:spacing w:before="0" w:after="0"/>
              <w:ind w:firstLine="0"/>
              <w:jc w:val="center"/>
            </w:pPr>
          </w:p>
        </w:tc>
        <w:tc>
          <w:tcPr>
            <w:tcW w:w="1279" w:type="dxa"/>
            <w:tcBorders>
              <w:bottom w:val="single" w:sz="4" w:space="0" w:color="auto"/>
            </w:tcBorders>
          </w:tcPr>
          <w:p w:rsidR="00B95C3C" w:rsidRPr="00D26B45" w:rsidRDefault="004333D6" w:rsidP="00D26B45">
            <w:pPr>
              <w:pStyle w:val="naisf"/>
              <w:spacing w:before="0" w:after="0"/>
              <w:ind w:firstLine="0"/>
              <w:jc w:val="center"/>
            </w:pPr>
            <w:r w:rsidRPr="00D26B45">
              <w:t>0</w:t>
            </w:r>
          </w:p>
        </w:tc>
        <w:tc>
          <w:tcPr>
            <w:tcW w:w="1333" w:type="dxa"/>
          </w:tcPr>
          <w:p w:rsidR="00B95C3C" w:rsidRPr="00D26B45" w:rsidRDefault="004333D6" w:rsidP="00EC1EDB">
            <w:pPr>
              <w:jc w:val="center"/>
            </w:pPr>
            <w:r w:rsidRPr="00D26B45">
              <w:t>-1</w:t>
            </w:r>
            <w:r w:rsidR="00EC1EDB">
              <w:t>73</w:t>
            </w:r>
            <w:r w:rsidRPr="00D26B45">
              <w:t>,</w:t>
            </w:r>
            <w:r w:rsidR="00EC1EDB">
              <w:t>1</w:t>
            </w:r>
          </w:p>
        </w:tc>
        <w:tc>
          <w:tcPr>
            <w:tcW w:w="1351" w:type="dxa"/>
          </w:tcPr>
          <w:p w:rsidR="00B95C3C" w:rsidRPr="00D26B45" w:rsidRDefault="004333D6" w:rsidP="00D26B45">
            <w:pPr>
              <w:jc w:val="center"/>
            </w:pPr>
            <w:r w:rsidRPr="00D26B45">
              <w:t>-290,0</w:t>
            </w:r>
          </w:p>
        </w:tc>
        <w:tc>
          <w:tcPr>
            <w:tcW w:w="1393" w:type="dxa"/>
          </w:tcPr>
          <w:p w:rsidR="00B95C3C" w:rsidRPr="00D26B45" w:rsidRDefault="004333D6" w:rsidP="00D26B45">
            <w:pPr>
              <w:jc w:val="center"/>
            </w:pPr>
            <w:r w:rsidRPr="00D26B45">
              <w:t>-290,0</w:t>
            </w:r>
          </w:p>
        </w:tc>
      </w:tr>
      <w:tr w:rsidR="008314D2" w:rsidRPr="00250A9A" w:rsidTr="00C235A6">
        <w:trPr>
          <w:jc w:val="center"/>
        </w:trPr>
        <w:tc>
          <w:tcPr>
            <w:tcW w:w="2310" w:type="dxa"/>
            <w:tcBorders>
              <w:top w:val="single" w:sz="4" w:space="0" w:color="auto"/>
              <w:left w:val="single" w:sz="4" w:space="0" w:color="auto"/>
              <w:bottom w:val="single" w:sz="4" w:space="0" w:color="auto"/>
              <w:right w:val="single" w:sz="4" w:space="0" w:color="auto"/>
            </w:tcBorders>
          </w:tcPr>
          <w:p w:rsidR="00D61A88" w:rsidRPr="00250A9A" w:rsidRDefault="007A7270" w:rsidP="00250A9A">
            <w:pPr>
              <w:pStyle w:val="naisf"/>
              <w:spacing w:before="0" w:after="0"/>
              <w:ind w:firstLine="0"/>
            </w:pPr>
            <w:r w:rsidRPr="00250A9A">
              <w:t>5.2.</w:t>
            </w:r>
            <w:r w:rsidR="00D61A88" w:rsidRPr="00250A9A">
              <w:t>speciālais budžets</w:t>
            </w:r>
          </w:p>
        </w:tc>
        <w:tc>
          <w:tcPr>
            <w:tcW w:w="1284" w:type="dxa"/>
            <w:vMerge/>
            <w:tcBorders>
              <w:top w:val="single" w:sz="4" w:space="0" w:color="auto"/>
              <w:left w:val="single" w:sz="4" w:space="0" w:color="auto"/>
              <w:bottom w:val="single" w:sz="4" w:space="0" w:color="auto"/>
              <w:right w:val="single" w:sz="4" w:space="0" w:color="auto"/>
            </w:tcBorders>
            <w:vAlign w:val="center"/>
          </w:tcPr>
          <w:p w:rsidR="00D61A88" w:rsidRPr="00250A9A" w:rsidRDefault="00D61A88" w:rsidP="00250A9A">
            <w:pPr>
              <w:pStyle w:val="naisf"/>
              <w:spacing w:before="0" w:after="0"/>
              <w:ind w:firstLine="0"/>
              <w:rPr>
                <w:i/>
              </w:rPr>
            </w:pPr>
          </w:p>
        </w:tc>
        <w:tc>
          <w:tcPr>
            <w:tcW w:w="1279" w:type="dxa"/>
            <w:tcBorders>
              <w:top w:val="single" w:sz="4" w:space="0" w:color="auto"/>
              <w:left w:val="single" w:sz="4" w:space="0" w:color="auto"/>
              <w:bottom w:val="single" w:sz="4" w:space="0" w:color="auto"/>
              <w:right w:val="single" w:sz="4" w:space="0" w:color="auto"/>
            </w:tcBorders>
          </w:tcPr>
          <w:p w:rsidR="00D61A88" w:rsidRPr="00250A9A" w:rsidRDefault="00D61A88" w:rsidP="00250A9A">
            <w:pPr>
              <w:pStyle w:val="naisf"/>
              <w:spacing w:before="0" w:after="0"/>
              <w:ind w:firstLine="0"/>
            </w:pPr>
          </w:p>
        </w:tc>
        <w:tc>
          <w:tcPr>
            <w:tcW w:w="1333" w:type="dxa"/>
            <w:tcBorders>
              <w:left w:val="single" w:sz="4" w:space="0" w:color="auto"/>
            </w:tcBorders>
          </w:tcPr>
          <w:p w:rsidR="00D61A88" w:rsidRPr="00250A9A" w:rsidRDefault="00D61A88" w:rsidP="00250A9A">
            <w:pPr>
              <w:pStyle w:val="naisf"/>
              <w:spacing w:before="0" w:after="0"/>
              <w:ind w:firstLine="0"/>
            </w:pPr>
          </w:p>
        </w:tc>
        <w:tc>
          <w:tcPr>
            <w:tcW w:w="1351" w:type="dxa"/>
          </w:tcPr>
          <w:p w:rsidR="00D61A88" w:rsidRPr="00250A9A" w:rsidRDefault="00D61A88" w:rsidP="00250A9A">
            <w:pPr>
              <w:pStyle w:val="naisf"/>
              <w:spacing w:before="0" w:after="0"/>
              <w:ind w:firstLine="0"/>
            </w:pPr>
          </w:p>
        </w:tc>
        <w:tc>
          <w:tcPr>
            <w:tcW w:w="1393" w:type="dxa"/>
          </w:tcPr>
          <w:p w:rsidR="00D61A88" w:rsidRPr="00250A9A" w:rsidRDefault="00D61A88" w:rsidP="00250A9A">
            <w:pPr>
              <w:pStyle w:val="naisf"/>
              <w:spacing w:before="0" w:after="0"/>
              <w:ind w:firstLine="0"/>
            </w:pPr>
          </w:p>
        </w:tc>
      </w:tr>
      <w:tr w:rsidR="008314D2" w:rsidRPr="00250A9A" w:rsidTr="00C235A6">
        <w:trPr>
          <w:jc w:val="center"/>
        </w:trPr>
        <w:tc>
          <w:tcPr>
            <w:tcW w:w="2310" w:type="dxa"/>
            <w:tcBorders>
              <w:top w:val="single" w:sz="4" w:space="0" w:color="auto"/>
              <w:left w:val="single" w:sz="4" w:space="0" w:color="auto"/>
              <w:bottom w:val="single" w:sz="4" w:space="0" w:color="auto"/>
              <w:right w:val="single" w:sz="4" w:space="0" w:color="auto"/>
            </w:tcBorders>
          </w:tcPr>
          <w:p w:rsidR="00D61A88" w:rsidRPr="00250A9A" w:rsidRDefault="007A7270" w:rsidP="00250A9A">
            <w:pPr>
              <w:pStyle w:val="naisf"/>
              <w:spacing w:before="0" w:after="0"/>
              <w:ind w:firstLine="0"/>
            </w:pPr>
            <w:r w:rsidRPr="00250A9A">
              <w:t>5.3.</w:t>
            </w:r>
            <w:r w:rsidR="00D61A88" w:rsidRPr="00250A9A">
              <w:t xml:space="preserve">pašvaldību budžets </w:t>
            </w:r>
          </w:p>
        </w:tc>
        <w:tc>
          <w:tcPr>
            <w:tcW w:w="1284" w:type="dxa"/>
            <w:vMerge/>
            <w:tcBorders>
              <w:top w:val="single" w:sz="4" w:space="0" w:color="auto"/>
              <w:left w:val="single" w:sz="4" w:space="0" w:color="auto"/>
              <w:bottom w:val="single" w:sz="4" w:space="0" w:color="auto"/>
              <w:right w:val="single" w:sz="4" w:space="0" w:color="auto"/>
            </w:tcBorders>
            <w:vAlign w:val="center"/>
          </w:tcPr>
          <w:p w:rsidR="00D61A88" w:rsidRPr="00250A9A" w:rsidRDefault="00D61A88" w:rsidP="00250A9A">
            <w:pPr>
              <w:pStyle w:val="naisf"/>
              <w:spacing w:before="0" w:after="0"/>
              <w:ind w:firstLine="0"/>
              <w:rPr>
                <w:i/>
              </w:rPr>
            </w:pPr>
          </w:p>
        </w:tc>
        <w:tc>
          <w:tcPr>
            <w:tcW w:w="1279" w:type="dxa"/>
            <w:tcBorders>
              <w:top w:val="single" w:sz="4" w:space="0" w:color="auto"/>
              <w:left w:val="single" w:sz="4" w:space="0" w:color="auto"/>
              <w:bottom w:val="single" w:sz="4" w:space="0" w:color="auto"/>
              <w:right w:val="single" w:sz="4" w:space="0" w:color="auto"/>
            </w:tcBorders>
          </w:tcPr>
          <w:p w:rsidR="00D61A88" w:rsidRPr="00250A9A" w:rsidRDefault="00D61A88" w:rsidP="00250A9A">
            <w:pPr>
              <w:pStyle w:val="naisf"/>
              <w:spacing w:before="0" w:after="0"/>
              <w:ind w:firstLine="0"/>
            </w:pPr>
          </w:p>
        </w:tc>
        <w:tc>
          <w:tcPr>
            <w:tcW w:w="1333" w:type="dxa"/>
            <w:tcBorders>
              <w:left w:val="single" w:sz="4" w:space="0" w:color="auto"/>
            </w:tcBorders>
          </w:tcPr>
          <w:p w:rsidR="00D61A88" w:rsidRPr="00250A9A" w:rsidRDefault="00D61A88" w:rsidP="00250A9A">
            <w:pPr>
              <w:pStyle w:val="naisf"/>
              <w:spacing w:before="0" w:after="0"/>
              <w:ind w:firstLine="0"/>
            </w:pPr>
          </w:p>
        </w:tc>
        <w:tc>
          <w:tcPr>
            <w:tcW w:w="1351" w:type="dxa"/>
          </w:tcPr>
          <w:p w:rsidR="00D61A88" w:rsidRPr="00250A9A" w:rsidRDefault="00D61A88" w:rsidP="00250A9A">
            <w:pPr>
              <w:pStyle w:val="naisf"/>
              <w:spacing w:before="0" w:after="0"/>
              <w:ind w:firstLine="0"/>
            </w:pPr>
          </w:p>
        </w:tc>
        <w:tc>
          <w:tcPr>
            <w:tcW w:w="1393" w:type="dxa"/>
          </w:tcPr>
          <w:p w:rsidR="00D61A88" w:rsidRPr="00250A9A" w:rsidRDefault="00D61A88" w:rsidP="00250A9A">
            <w:pPr>
              <w:pStyle w:val="naisf"/>
              <w:spacing w:before="0" w:after="0"/>
              <w:ind w:firstLine="0"/>
            </w:pPr>
          </w:p>
        </w:tc>
      </w:tr>
      <w:tr w:rsidR="00D61A88" w:rsidRPr="00250A9A" w:rsidTr="008C5969">
        <w:trPr>
          <w:trHeight w:val="2608"/>
          <w:jc w:val="center"/>
        </w:trPr>
        <w:tc>
          <w:tcPr>
            <w:tcW w:w="2310" w:type="dxa"/>
          </w:tcPr>
          <w:p w:rsidR="00D61A88" w:rsidRPr="00250A9A" w:rsidRDefault="00D61A88" w:rsidP="00250A9A">
            <w:pPr>
              <w:pStyle w:val="naisf"/>
              <w:spacing w:before="0" w:after="0"/>
              <w:ind w:firstLine="0"/>
            </w:pPr>
            <w:r w:rsidRPr="00250A9A">
              <w:t>6. Detalizēts ieņēmumu un izdevu</w:t>
            </w:r>
            <w:r w:rsidRPr="00250A9A">
              <w:softHyphen/>
              <w:t>mu aprēķins (ja nepieciešams, detalizētu ieņēmumu un izdevumu aprēķinu var pievienot anotācijas pielikumā):</w:t>
            </w:r>
          </w:p>
        </w:tc>
        <w:tc>
          <w:tcPr>
            <w:tcW w:w="6640" w:type="dxa"/>
            <w:gridSpan w:val="5"/>
            <w:vMerge w:val="restart"/>
          </w:tcPr>
          <w:p w:rsidR="005323D2" w:rsidRDefault="005323D2" w:rsidP="00250A9A">
            <w:pPr>
              <w:pStyle w:val="naisf"/>
              <w:spacing w:before="0" w:after="0"/>
              <w:ind w:firstLine="720"/>
              <w:rPr>
                <w:b/>
              </w:rPr>
            </w:pPr>
            <w:r>
              <w:rPr>
                <w:iCs/>
              </w:rPr>
              <w:t xml:space="preserve">Likumprojektā paredzētajam regulējumam ir ietekme uz valsts budžetu, </w:t>
            </w:r>
            <w:r w:rsidR="00C50B28">
              <w:rPr>
                <w:iCs/>
              </w:rPr>
              <w:t xml:space="preserve">proti, </w:t>
            </w:r>
            <w:r>
              <w:rPr>
                <w:iCs/>
              </w:rPr>
              <w:t xml:space="preserve">tiek </w:t>
            </w:r>
            <w:r w:rsidR="00C50B28">
              <w:rPr>
                <w:iCs/>
              </w:rPr>
              <w:t xml:space="preserve">palielināts maksimālais valsts kompensācijas apmērs, </w:t>
            </w:r>
            <w:r>
              <w:rPr>
                <w:iCs/>
              </w:rPr>
              <w:t xml:space="preserve">precizēts </w:t>
            </w:r>
            <w:r w:rsidRPr="00250A9A">
              <w:t>izmaksājamās valsts kompensācijas apmēr</w:t>
            </w:r>
            <w:r>
              <w:t xml:space="preserve">s </w:t>
            </w:r>
            <w:r w:rsidR="00C50B28">
              <w:t xml:space="preserve">atkarībā no sekām, kas ir iestājušās noziedzīga nodarījuma rezultātā, </w:t>
            </w:r>
            <w:r>
              <w:t>paredzēti jauni valsts kompensācijas aizmaksas gadījumi (atbilstoši ir veikti aprēķini par ietekmi uz valsts budžetu (sk. zemāk), kā arī n</w:t>
            </w:r>
            <w:r w:rsidRPr="00250A9A">
              <w:t>oteikt</w:t>
            </w:r>
            <w:r>
              <w:t>i</w:t>
            </w:r>
            <w:r w:rsidRPr="00250A9A">
              <w:t xml:space="preserve"> taisnīgāk</w:t>
            </w:r>
            <w:r>
              <w:t>i</w:t>
            </w:r>
            <w:r w:rsidRPr="00250A9A">
              <w:t xml:space="preserve"> valsts kompensācijas </w:t>
            </w:r>
            <w:r w:rsidR="00C50B28">
              <w:t xml:space="preserve">apmēra noteikšanas </w:t>
            </w:r>
            <w:r w:rsidRPr="00250A9A">
              <w:t>nosacījum</w:t>
            </w:r>
            <w:r>
              <w:t>i (ņemot vērā to, ka šādi statistikas dati netiek apkopoti un nav iespējams prognozēt šādu nosacījumu iestāšanos, nav iespējams veikt aprēķinus par attiecīgā regulējuma ietekmi uz valsts budžetu)</w:t>
            </w:r>
            <w:r w:rsidRPr="00250A9A">
              <w:rPr>
                <w:bCs/>
              </w:rPr>
              <w:t>.</w:t>
            </w:r>
          </w:p>
          <w:p w:rsidR="00D61A88" w:rsidRPr="00250A9A" w:rsidRDefault="00D61A88" w:rsidP="00250A9A">
            <w:pPr>
              <w:pStyle w:val="naisf"/>
              <w:spacing w:before="0" w:after="0"/>
              <w:ind w:firstLine="720"/>
            </w:pPr>
            <w:r w:rsidRPr="00250A9A">
              <w:rPr>
                <w:b/>
              </w:rPr>
              <w:t>2012. gads:</w:t>
            </w:r>
            <w:r w:rsidRPr="00250A9A">
              <w:t xml:space="preserve"> </w:t>
            </w:r>
          </w:p>
          <w:p w:rsidR="00B95C3C" w:rsidRPr="00250A9A" w:rsidRDefault="00D61A88" w:rsidP="00250A9A">
            <w:pPr>
              <w:pStyle w:val="naisf"/>
              <w:spacing w:before="0" w:after="0"/>
              <w:ind w:firstLine="720"/>
            </w:pPr>
            <w:r w:rsidRPr="00250A9A">
              <w:t xml:space="preserve">Saskaņā ar likumu „Par valsts budžetu 2012.gadam” </w:t>
            </w:r>
            <w:r w:rsidR="00B95C3C" w:rsidRPr="00250A9A">
              <w:t>valsts kompensāciju</w:t>
            </w:r>
            <w:r w:rsidRPr="00250A9A">
              <w:t xml:space="preserve"> izmaks</w:t>
            </w:r>
            <w:r w:rsidR="00B448EE">
              <w:t>āšanai</w:t>
            </w:r>
            <w:r w:rsidRPr="00250A9A">
              <w:t xml:space="preserve"> paredzēti </w:t>
            </w:r>
            <w:r w:rsidR="00A54C9E" w:rsidRPr="00250A9A">
              <w:rPr>
                <w:b/>
              </w:rPr>
              <w:t>170 000</w:t>
            </w:r>
            <w:r w:rsidR="00A54C9E" w:rsidRPr="00250A9A">
              <w:t xml:space="preserve"> LVL</w:t>
            </w:r>
            <w:r w:rsidRPr="00250A9A">
              <w:t xml:space="preserve">. </w:t>
            </w:r>
          </w:p>
          <w:p w:rsidR="000D10C8" w:rsidRPr="00250A9A" w:rsidRDefault="000D10C8" w:rsidP="00817637">
            <w:pPr>
              <w:pStyle w:val="naisf"/>
              <w:spacing w:before="0" w:after="0"/>
              <w:ind w:firstLine="0"/>
            </w:pPr>
          </w:p>
          <w:p w:rsidR="00D61A88" w:rsidRPr="00250A9A" w:rsidRDefault="000D10C8" w:rsidP="00250A9A">
            <w:pPr>
              <w:pStyle w:val="naisf"/>
              <w:spacing w:before="0" w:after="0"/>
              <w:ind w:firstLine="720"/>
            </w:pPr>
            <w:r w:rsidRPr="00250A9A">
              <w:rPr>
                <w:b/>
              </w:rPr>
              <w:t>2013.gads:</w:t>
            </w:r>
          </w:p>
          <w:p w:rsidR="009708B2" w:rsidRPr="00250A9A" w:rsidRDefault="00C235A6" w:rsidP="00250A9A">
            <w:pPr>
              <w:pStyle w:val="naisf"/>
              <w:spacing w:before="0" w:after="0"/>
              <w:ind w:firstLine="720"/>
              <w:rPr>
                <w:b/>
              </w:rPr>
            </w:pPr>
            <w:r>
              <w:rPr>
                <w:bCs/>
              </w:rPr>
              <w:t>J</w:t>
            </w:r>
            <w:r w:rsidR="00BC2CF6" w:rsidRPr="00250A9A">
              <w:rPr>
                <w:bCs/>
              </w:rPr>
              <w:t>a par pamatu aprēķiniem tiek ņemta vērā 2009.gada, 2010.gada un 2011.gada statistika par apmierināto valsts kompensācijas pieteikumu skaitu atbilstoši attiecīgajām noziedzīgu nodarījumu sekām, kā arī valsts kompensācijas izmaks</w:t>
            </w:r>
            <w:r w:rsidR="00B448EE">
              <w:rPr>
                <w:bCs/>
              </w:rPr>
              <w:t>āšan</w:t>
            </w:r>
            <w:r w:rsidR="00BC2CF6" w:rsidRPr="00250A9A">
              <w:rPr>
                <w:bCs/>
              </w:rPr>
              <w:t xml:space="preserve">as gadījumu paplašināšana attiecībā uz cilvēku tirdzniecībā cietušajiem (2009.gadā </w:t>
            </w:r>
            <w:r w:rsidR="00BC2CF6" w:rsidRPr="00250A9A">
              <w:t>–</w:t>
            </w:r>
            <w:r w:rsidR="00BC2CF6" w:rsidRPr="00250A9A">
              <w:rPr>
                <w:bCs/>
              </w:rPr>
              <w:t xml:space="preserve"> 22 gadījumi, 2010.gadā </w:t>
            </w:r>
            <w:r w:rsidR="00BC2CF6" w:rsidRPr="00250A9A">
              <w:t>–</w:t>
            </w:r>
            <w:r w:rsidR="00BC2CF6" w:rsidRPr="00250A9A">
              <w:rPr>
                <w:bCs/>
              </w:rPr>
              <w:t xml:space="preserve"> 1gadījums</w:t>
            </w:r>
            <w:r w:rsidR="00BC2CF6" w:rsidRPr="00250A9A">
              <w:rPr>
                <w:bCs/>
                <w:vertAlign w:val="superscript"/>
              </w:rPr>
              <w:footnoteReference w:id="4"/>
            </w:r>
            <w:r w:rsidR="00BC2CF6" w:rsidRPr="00250A9A">
              <w:rPr>
                <w:bCs/>
              </w:rPr>
              <w:t>), valsts kompensāciju izmaks</w:t>
            </w:r>
            <w:r w:rsidR="00B448EE">
              <w:rPr>
                <w:bCs/>
              </w:rPr>
              <w:t>āšan</w:t>
            </w:r>
            <w:r w:rsidR="00BC2CF6" w:rsidRPr="00250A9A">
              <w:rPr>
                <w:bCs/>
              </w:rPr>
              <w:t>ai</w:t>
            </w:r>
            <w:r w:rsidR="00A54C9E" w:rsidRPr="00250A9A">
              <w:rPr>
                <w:bCs/>
              </w:rPr>
              <w:t xml:space="preserve"> pie maksimālā kompensācijas apmēra </w:t>
            </w:r>
            <w:r>
              <w:rPr>
                <w:bCs/>
              </w:rPr>
              <w:t>četru</w:t>
            </w:r>
            <w:r w:rsidR="00A54C9E" w:rsidRPr="00250A9A">
              <w:rPr>
                <w:bCs/>
              </w:rPr>
              <w:t xml:space="preserve"> minimālo mēneša</w:t>
            </w:r>
            <w:r w:rsidR="006F5CCE">
              <w:rPr>
                <w:bCs/>
              </w:rPr>
              <w:t xml:space="preserve"> darba a</w:t>
            </w:r>
            <w:r w:rsidR="00A54C9E" w:rsidRPr="00250A9A">
              <w:rPr>
                <w:bCs/>
              </w:rPr>
              <w:t>lgu apmērā</w:t>
            </w:r>
            <w:r w:rsidR="00BC2CF6" w:rsidRPr="00250A9A">
              <w:rPr>
                <w:bCs/>
              </w:rPr>
              <w:t xml:space="preserve"> ir nepieciešami </w:t>
            </w:r>
            <w:r>
              <w:rPr>
                <w:bCs/>
              </w:rPr>
              <w:t xml:space="preserve">kopā </w:t>
            </w:r>
            <w:r w:rsidR="00A54C9E" w:rsidRPr="00250A9A">
              <w:rPr>
                <w:b/>
                <w:bCs/>
              </w:rPr>
              <w:t>320 000</w:t>
            </w:r>
            <w:r w:rsidR="00BC2CF6" w:rsidRPr="00250A9A">
              <w:rPr>
                <w:b/>
                <w:bCs/>
              </w:rPr>
              <w:t xml:space="preserve"> LVL</w:t>
            </w:r>
            <w:r w:rsidR="009708B2" w:rsidRPr="00D509AE">
              <w:t>.</w:t>
            </w:r>
            <w:r w:rsidR="00817637">
              <w:t xml:space="preserve"> P</w:t>
            </w:r>
            <w:r w:rsidR="00817637" w:rsidRPr="00817637">
              <w:t xml:space="preserve">apildus tam 2013.gada pirmajā ceturksnī plānots izmaksāt </w:t>
            </w:r>
            <w:r w:rsidR="00817637">
              <w:t xml:space="preserve">valsts </w:t>
            </w:r>
            <w:r w:rsidR="00817637" w:rsidRPr="00817637">
              <w:t xml:space="preserve">kompensācijas </w:t>
            </w:r>
            <w:r w:rsidR="00817637">
              <w:t>atbilstoši pieprasījumiem</w:t>
            </w:r>
            <w:r w:rsidR="00817637" w:rsidRPr="00817637">
              <w:t xml:space="preserve">, kas </w:t>
            </w:r>
            <w:r w:rsidR="00817637">
              <w:t>iesniegti</w:t>
            </w:r>
            <w:r w:rsidR="00817637" w:rsidRPr="00817637">
              <w:t xml:space="preserve"> 2012.gada nogalē un par kuriem ir pieņemts lēmums, bet līdz gada beigām nav veikta izmaksa. Šo </w:t>
            </w:r>
            <w:r w:rsidR="00817637">
              <w:t xml:space="preserve">valsts </w:t>
            </w:r>
            <w:r w:rsidR="00817637" w:rsidRPr="00817637">
              <w:t xml:space="preserve">kompensāciju </w:t>
            </w:r>
            <w:r w:rsidR="005A4AE5">
              <w:t xml:space="preserve">izmaksu </w:t>
            </w:r>
            <w:r w:rsidR="00817637" w:rsidRPr="00817637">
              <w:t xml:space="preserve">kopējais apmērs plānots </w:t>
            </w:r>
            <w:r w:rsidR="00817637" w:rsidRPr="00817637">
              <w:rPr>
                <w:b/>
              </w:rPr>
              <w:t>23 088 LVL</w:t>
            </w:r>
            <w:r w:rsidR="00817637" w:rsidRPr="00817637">
              <w:t xml:space="preserve"> apmērā</w:t>
            </w:r>
            <w:r w:rsidR="002734BB">
              <w:t>. Ņemot vērā minēto,</w:t>
            </w:r>
            <w:r w:rsidR="00817637" w:rsidRPr="00817637">
              <w:t xml:space="preserve"> papildus 2013.gadā valsts kompensāciju izmaksai ir nepieciešami </w:t>
            </w:r>
            <w:r w:rsidR="00817637" w:rsidRPr="00817637">
              <w:rPr>
                <w:b/>
              </w:rPr>
              <w:t>173 088 LVL.</w:t>
            </w:r>
          </w:p>
          <w:p w:rsidR="009708B2" w:rsidRPr="00250A9A" w:rsidRDefault="009708B2" w:rsidP="00250A9A">
            <w:pPr>
              <w:pStyle w:val="naisf"/>
              <w:spacing w:before="0" w:after="0"/>
              <w:ind w:firstLine="720"/>
            </w:pPr>
          </w:p>
          <w:p w:rsidR="00C235A6" w:rsidRDefault="00D61A88" w:rsidP="00C235A6">
            <w:pPr>
              <w:pStyle w:val="naisf"/>
              <w:spacing w:before="0" w:after="0"/>
              <w:ind w:firstLine="720"/>
              <w:rPr>
                <w:b/>
              </w:rPr>
            </w:pPr>
            <w:r w:rsidRPr="00250A9A">
              <w:rPr>
                <w:b/>
              </w:rPr>
              <w:t>201</w:t>
            </w:r>
            <w:r w:rsidR="009708B2" w:rsidRPr="00250A9A">
              <w:rPr>
                <w:b/>
              </w:rPr>
              <w:t>4</w:t>
            </w:r>
            <w:r w:rsidRPr="00250A9A">
              <w:rPr>
                <w:b/>
              </w:rPr>
              <w:t xml:space="preserve">. gads: </w:t>
            </w:r>
          </w:p>
          <w:p w:rsidR="009708B2" w:rsidRDefault="00C235A6" w:rsidP="00C235A6">
            <w:pPr>
              <w:pStyle w:val="naisf"/>
              <w:spacing w:before="0" w:after="0"/>
              <w:ind w:firstLine="720"/>
            </w:pPr>
            <w:r w:rsidRPr="00C235A6">
              <w:t xml:space="preserve">Ja par </w:t>
            </w:r>
            <w:r>
              <w:t xml:space="preserve">pamatu tiek ņemta vērā aprēķinātā 2013.gada statistika, prognozējot 15% gadījumu skaita pieaugumu, </w:t>
            </w:r>
            <w:r w:rsidR="00D509AE" w:rsidRPr="00250A9A">
              <w:rPr>
                <w:bCs/>
              </w:rPr>
              <w:t>valsts kompensāciju izmaks</w:t>
            </w:r>
            <w:r w:rsidR="00B448EE">
              <w:rPr>
                <w:bCs/>
              </w:rPr>
              <w:t>āšan</w:t>
            </w:r>
            <w:r w:rsidR="00D509AE" w:rsidRPr="00250A9A">
              <w:rPr>
                <w:bCs/>
              </w:rPr>
              <w:t xml:space="preserve">ai pie maksimālā kompensācijas apmēra </w:t>
            </w:r>
            <w:r w:rsidR="00D509AE">
              <w:rPr>
                <w:bCs/>
              </w:rPr>
              <w:t>piecu</w:t>
            </w:r>
            <w:r w:rsidR="00D509AE" w:rsidRPr="00250A9A">
              <w:rPr>
                <w:bCs/>
              </w:rPr>
              <w:t xml:space="preserve"> minimālo mēneša</w:t>
            </w:r>
            <w:r w:rsidR="00D509AE">
              <w:rPr>
                <w:bCs/>
              </w:rPr>
              <w:t xml:space="preserve"> darba a</w:t>
            </w:r>
            <w:r w:rsidR="00D509AE" w:rsidRPr="00250A9A">
              <w:rPr>
                <w:bCs/>
              </w:rPr>
              <w:t xml:space="preserve">lgu apmērā ir nepieciešami </w:t>
            </w:r>
            <w:r w:rsidR="00D509AE">
              <w:rPr>
                <w:bCs/>
              </w:rPr>
              <w:t xml:space="preserve">kopā </w:t>
            </w:r>
            <w:r w:rsidR="00D509AE" w:rsidRPr="00D509AE">
              <w:rPr>
                <w:b/>
                <w:bCs/>
              </w:rPr>
              <w:t>460</w:t>
            </w:r>
            <w:r w:rsidR="00D509AE" w:rsidRPr="00250A9A">
              <w:rPr>
                <w:b/>
                <w:bCs/>
              </w:rPr>
              <w:t xml:space="preserve"> 000 LVL</w:t>
            </w:r>
            <w:r w:rsidR="00D509AE" w:rsidRPr="00D509AE">
              <w:rPr>
                <w:bCs/>
              </w:rPr>
              <w:t>,</w:t>
            </w:r>
            <w:r w:rsidR="00D509AE">
              <w:rPr>
                <w:b/>
                <w:bCs/>
              </w:rPr>
              <w:t xml:space="preserve"> </w:t>
            </w:r>
            <w:r w:rsidR="00D509AE" w:rsidRPr="00C235A6">
              <w:rPr>
                <w:bCs/>
              </w:rPr>
              <w:t>tātad</w:t>
            </w:r>
            <w:r w:rsidR="00D509AE">
              <w:rPr>
                <w:b/>
                <w:bCs/>
              </w:rPr>
              <w:t xml:space="preserve"> </w:t>
            </w:r>
            <w:r w:rsidR="00D509AE" w:rsidRPr="00250A9A">
              <w:t>papildus 201</w:t>
            </w:r>
            <w:r w:rsidR="00D509AE">
              <w:t>4</w:t>
            </w:r>
            <w:r w:rsidR="00D509AE" w:rsidRPr="00250A9A">
              <w:t xml:space="preserve">.gadā </w:t>
            </w:r>
            <w:r w:rsidR="00E325EA">
              <w:t xml:space="preserve">attiecībā pret 2013.gadu </w:t>
            </w:r>
            <w:r w:rsidR="00D509AE" w:rsidRPr="00250A9A">
              <w:t>valsts kompensāciju izmaks</w:t>
            </w:r>
            <w:r w:rsidR="00B448EE">
              <w:t>āšan</w:t>
            </w:r>
            <w:r w:rsidR="00D509AE" w:rsidRPr="00250A9A">
              <w:t xml:space="preserve">ai ir nepieciešami </w:t>
            </w:r>
            <w:r w:rsidR="00D509AE">
              <w:rPr>
                <w:b/>
              </w:rPr>
              <w:t>140</w:t>
            </w:r>
            <w:r w:rsidR="00D509AE" w:rsidRPr="00250A9A">
              <w:rPr>
                <w:b/>
              </w:rPr>
              <w:t> 000 LVL</w:t>
            </w:r>
            <w:r w:rsidR="00E325EA">
              <w:rPr>
                <w:b/>
              </w:rPr>
              <w:t xml:space="preserve">, </w:t>
            </w:r>
            <w:r w:rsidR="00E325EA" w:rsidRPr="00E325EA">
              <w:t>attiecībā pret 2012.gadu – papildus nepieciešami</w:t>
            </w:r>
            <w:r w:rsidR="00E325EA">
              <w:rPr>
                <w:b/>
              </w:rPr>
              <w:t xml:space="preserve"> 290 000 LVL</w:t>
            </w:r>
            <w:r w:rsidR="00D509AE" w:rsidRPr="00D509AE">
              <w:t>.</w:t>
            </w:r>
          </w:p>
          <w:p w:rsidR="00B76C17" w:rsidRDefault="00B76C17" w:rsidP="00B76C17">
            <w:pPr>
              <w:pStyle w:val="naisf"/>
              <w:spacing w:before="0" w:after="0"/>
              <w:ind w:firstLine="563"/>
            </w:pPr>
          </w:p>
          <w:tbl>
            <w:tblPr>
              <w:tblW w:w="7397" w:type="dxa"/>
              <w:tblLook w:val="04A0"/>
            </w:tblPr>
            <w:tblGrid>
              <w:gridCol w:w="2133"/>
              <w:gridCol w:w="1060"/>
              <w:gridCol w:w="1774"/>
              <w:gridCol w:w="1173"/>
              <w:gridCol w:w="1173"/>
            </w:tblGrid>
            <w:tr w:rsidR="008314D2" w:rsidRPr="00490546" w:rsidTr="00ED7745">
              <w:trPr>
                <w:trHeight w:val="229"/>
              </w:trPr>
              <w:tc>
                <w:tcPr>
                  <w:tcW w:w="2176"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8F0598" w:rsidRDefault="008F0598" w:rsidP="008F0598">
                  <w:pPr>
                    <w:jc w:val="center"/>
                    <w:rPr>
                      <w:b/>
                      <w:color w:val="000000"/>
                      <w:sz w:val="22"/>
                      <w:szCs w:val="22"/>
                    </w:rPr>
                  </w:pPr>
                  <w:r w:rsidRPr="00DF28AD">
                    <w:rPr>
                      <w:b/>
                      <w:color w:val="000000"/>
                      <w:sz w:val="22"/>
                      <w:szCs w:val="22"/>
                    </w:rPr>
                    <w:t>Valsts kompensācijas izmaksas gadījumi</w:t>
                  </w:r>
                </w:p>
              </w:tc>
              <w:tc>
                <w:tcPr>
                  <w:tcW w:w="1062" w:type="dxa"/>
                  <w:tcBorders>
                    <w:top w:val="single" w:sz="4" w:space="0" w:color="auto"/>
                    <w:left w:val="nil"/>
                    <w:bottom w:val="single" w:sz="4" w:space="0" w:color="auto"/>
                    <w:right w:val="single" w:sz="4" w:space="0" w:color="auto"/>
                  </w:tcBorders>
                  <w:shd w:val="clear" w:color="000000" w:fill="D7E4BC"/>
                  <w:vAlign w:val="center"/>
                </w:tcPr>
                <w:p w:rsidR="008F0598" w:rsidRDefault="008F0598" w:rsidP="008314D2">
                  <w:pPr>
                    <w:ind w:left="-115"/>
                    <w:jc w:val="center"/>
                    <w:rPr>
                      <w:b/>
                      <w:color w:val="000000"/>
                      <w:sz w:val="22"/>
                      <w:szCs w:val="22"/>
                    </w:rPr>
                  </w:pPr>
                  <w:r>
                    <w:rPr>
                      <w:b/>
                      <w:color w:val="000000"/>
                      <w:sz w:val="22"/>
                      <w:szCs w:val="22"/>
                    </w:rPr>
                    <w:t xml:space="preserve">% no </w:t>
                  </w:r>
                  <w:r w:rsidR="008314D2">
                    <w:rPr>
                      <w:b/>
                      <w:color w:val="000000"/>
                      <w:sz w:val="22"/>
                      <w:szCs w:val="22"/>
                    </w:rPr>
                    <w:t>minim</w:t>
                  </w:r>
                  <w:r>
                    <w:rPr>
                      <w:b/>
                      <w:vanish/>
                      <w:color w:val="000000"/>
                      <w:sz w:val="22"/>
                      <w:szCs w:val="22"/>
                    </w:rPr>
                    <w:t xml:space="preserve"> no mimpmākajos gados – piecas sts kompoens\acijas </w:t>
                  </w:r>
                  <w:r>
                    <w:rPr>
                      <w:b/>
                      <w:vanish/>
                      <w:color w:val="000000"/>
                      <w:sz w:val="22"/>
                      <w:szCs w:val="22"/>
                    </w:rPr>
                    <w:pgNum/>
                  </w:r>
                  <w:r>
                    <w:rPr>
                      <w:b/>
                      <w:vanish/>
                      <w:color w:val="000000"/>
                      <w:sz w:val="22"/>
                      <w:szCs w:val="22"/>
                    </w:rPr>
                    <w:pgNum/>
                  </w:r>
                  <w:r>
                    <w:rPr>
                      <w:b/>
                      <w:vanish/>
                      <w:color w:val="000000"/>
                      <w:sz w:val="22"/>
                      <w:szCs w:val="22"/>
                    </w:rPr>
                    <w:pgNum/>
                  </w:r>
                  <w:r>
                    <w:rPr>
                      <w:b/>
                      <w:vanish/>
                      <w:color w:val="000000"/>
                      <w:sz w:val="22"/>
                      <w:szCs w:val="22"/>
                    </w:rPr>
                    <w:pgNum/>
                  </w:r>
                  <w:r>
                    <w:rPr>
                      <w:b/>
                      <w:vanish/>
                      <w:color w:val="000000"/>
                      <w:sz w:val="22"/>
                      <w:szCs w:val="22"/>
                    </w:rPr>
                    <w:pgNum/>
                  </w:r>
                  <w:r>
                    <w:rPr>
                      <w:b/>
                      <w:vanish/>
                      <w:color w:val="000000"/>
                      <w:sz w:val="22"/>
                      <w:szCs w:val="22"/>
                    </w:rPr>
                    <w:pgNum/>
                  </w:r>
                  <w:r>
                    <w:rPr>
                      <w:b/>
                      <w:vanish/>
                      <w:color w:val="000000"/>
                      <w:sz w:val="22"/>
                      <w:szCs w:val="22"/>
                    </w:rPr>
                    <w:pgNum/>
                  </w:r>
                  <w:r>
                    <w:rPr>
                      <w:b/>
                      <w:vanish/>
                      <w:color w:val="000000"/>
                      <w:sz w:val="22"/>
                      <w:szCs w:val="22"/>
                    </w:rPr>
                    <w:pgNum/>
                  </w:r>
                  <w:r>
                    <w:rPr>
                      <w:b/>
                      <w:vanish/>
                      <w:color w:val="000000"/>
                      <w:sz w:val="22"/>
                      <w:szCs w:val="22"/>
                    </w:rPr>
                    <w:pgNum/>
                  </w:r>
                  <w:r>
                    <w:rPr>
                      <w:b/>
                      <w:vanish/>
                      <w:color w:val="000000"/>
                      <w:sz w:val="22"/>
                      <w:szCs w:val="22"/>
                    </w:rPr>
                    <w:pgNum/>
                  </w:r>
                  <w:r>
                    <w:rPr>
                      <w:b/>
                      <w:vanish/>
                      <w:color w:val="000000"/>
                      <w:sz w:val="22"/>
                      <w:szCs w:val="22"/>
                    </w:rPr>
                    <w:pgNum/>
                  </w:r>
                  <w:r>
                    <w:rPr>
                      <w:b/>
                      <w:vanish/>
                      <w:color w:val="000000"/>
                      <w:sz w:val="22"/>
                      <w:szCs w:val="22"/>
                    </w:rPr>
                    <w:pgNum/>
                  </w:r>
                  <w:r>
                    <w:rPr>
                      <w:b/>
                      <w:vanish/>
                      <w:color w:val="000000"/>
                      <w:sz w:val="22"/>
                      <w:szCs w:val="22"/>
                    </w:rPr>
                    <w:pgNum/>
                  </w:r>
                  <w:r>
                    <w:rPr>
                      <w:b/>
                      <w:vanish/>
                      <w:color w:val="000000"/>
                      <w:sz w:val="22"/>
                      <w:szCs w:val="22"/>
                    </w:rPr>
                    <w:pgNum/>
                  </w:r>
                  <w:r>
                    <w:rPr>
                      <w:b/>
                      <w:vanish/>
                      <w:color w:val="000000"/>
                      <w:sz w:val="22"/>
                      <w:szCs w:val="22"/>
                    </w:rPr>
                    <w:pgNum/>
                  </w:r>
                  <w:r>
                    <w:rPr>
                      <w:b/>
                      <w:vanish/>
                      <w:color w:val="000000"/>
                      <w:sz w:val="22"/>
                      <w:szCs w:val="22"/>
                    </w:rPr>
                    <w:pgNum/>
                  </w:r>
                  <w:r>
                    <w:rPr>
                      <w:b/>
                      <w:vanish/>
                      <w:color w:val="000000"/>
                      <w:sz w:val="22"/>
                      <w:szCs w:val="22"/>
                    </w:rPr>
                    <w:pgNum/>
                  </w:r>
                  <w:r>
                    <w:rPr>
                      <w:b/>
                      <w:vanish/>
                      <w:color w:val="000000"/>
                      <w:sz w:val="22"/>
                      <w:szCs w:val="22"/>
                    </w:rPr>
                    <w:pgNum/>
                  </w:r>
                  <w:r>
                    <w:rPr>
                      <w:b/>
                      <w:vanish/>
                      <w:color w:val="000000"/>
                      <w:sz w:val="22"/>
                      <w:szCs w:val="22"/>
                    </w:rPr>
                    <w:pgNum/>
                  </w:r>
                  <w:r>
                    <w:rPr>
                      <w:b/>
                      <w:vanish/>
                      <w:color w:val="000000"/>
                      <w:sz w:val="22"/>
                      <w:szCs w:val="22"/>
                    </w:rPr>
                    <w:pgNum/>
                  </w:r>
                  <w:r>
                    <w:rPr>
                      <w:b/>
                      <w:vanish/>
                      <w:color w:val="000000"/>
                      <w:sz w:val="22"/>
                      <w:szCs w:val="22"/>
                    </w:rPr>
                    <w:pgNum/>
                  </w:r>
                  <w:r>
                    <w:rPr>
                      <w:b/>
                      <w:vanish/>
                      <w:color w:val="000000"/>
                      <w:sz w:val="22"/>
                      <w:szCs w:val="22"/>
                    </w:rPr>
                    <w:pgNum/>
                  </w:r>
                  <w:r>
                    <w:rPr>
                      <w:b/>
                      <w:vanish/>
                      <w:color w:val="000000"/>
                      <w:sz w:val="22"/>
                      <w:szCs w:val="22"/>
                    </w:rPr>
                    <w:pgNum/>
                  </w:r>
                  <w:r>
                    <w:rPr>
                      <w:b/>
                      <w:vanish/>
                      <w:color w:val="000000"/>
                      <w:sz w:val="22"/>
                      <w:szCs w:val="22"/>
                    </w:rPr>
                    <w:pgNum/>
                  </w:r>
                  <w:r>
                    <w:rPr>
                      <w:b/>
                      <w:vanish/>
                      <w:color w:val="000000"/>
                      <w:sz w:val="22"/>
                      <w:szCs w:val="22"/>
                    </w:rPr>
                    <w:pgNum/>
                  </w:r>
                  <w:r>
                    <w:rPr>
                      <w:b/>
                      <w:vanish/>
                      <w:color w:val="000000"/>
                      <w:sz w:val="22"/>
                      <w:szCs w:val="22"/>
                    </w:rPr>
                    <w:pgNum/>
                  </w:r>
                  <w:r>
                    <w:rPr>
                      <w:b/>
                      <w:vanish/>
                      <w:color w:val="000000"/>
                      <w:sz w:val="22"/>
                      <w:szCs w:val="22"/>
                    </w:rPr>
                    <w:pgNum/>
                  </w:r>
                  <w:r>
                    <w:rPr>
                      <w:b/>
                      <w:vanish/>
                      <w:color w:val="000000"/>
                      <w:sz w:val="22"/>
                      <w:szCs w:val="22"/>
                    </w:rPr>
                    <w:pgNum/>
                  </w:r>
                  <w:r>
                    <w:rPr>
                      <w:b/>
                      <w:vanish/>
                      <w:color w:val="000000"/>
                      <w:sz w:val="22"/>
                      <w:szCs w:val="22"/>
                    </w:rPr>
                    <w:pgNum/>
                  </w:r>
                  <w:r>
                    <w:rPr>
                      <w:b/>
                      <w:vanish/>
                      <w:color w:val="000000"/>
                      <w:sz w:val="22"/>
                      <w:szCs w:val="22"/>
                    </w:rPr>
                    <w:pgNum/>
                  </w:r>
                  <w:r>
                    <w:rPr>
                      <w:b/>
                      <w:vanish/>
                      <w:color w:val="000000"/>
                      <w:sz w:val="22"/>
                      <w:szCs w:val="22"/>
                    </w:rPr>
                    <w:pgNum/>
                  </w:r>
                  <w:r>
                    <w:rPr>
                      <w:b/>
                      <w:vanish/>
                      <w:color w:val="000000"/>
                      <w:sz w:val="22"/>
                      <w:szCs w:val="22"/>
                    </w:rPr>
                    <w:pgNum/>
                  </w:r>
                  <w:r>
                    <w:rPr>
                      <w:b/>
                      <w:vanish/>
                      <w:color w:val="000000"/>
                      <w:sz w:val="22"/>
                      <w:szCs w:val="22"/>
                    </w:rPr>
                    <w:pgNum/>
                  </w:r>
                  <w:r>
                    <w:rPr>
                      <w:b/>
                      <w:vanish/>
                      <w:color w:val="000000"/>
                      <w:sz w:val="22"/>
                      <w:szCs w:val="22"/>
                    </w:rPr>
                    <w:pgNum/>
                  </w:r>
                  <w:r>
                    <w:rPr>
                      <w:b/>
                      <w:vanish/>
                      <w:color w:val="000000"/>
                      <w:sz w:val="22"/>
                      <w:szCs w:val="22"/>
                    </w:rPr>
                    <w:pgNum/>
                  </w:r>
                  <w:r>
                    <w:rPr>
                      <w:b/>
                      <w:vanish/>
                      <w:color w:val="000000"/>
                      <w:sz w:val="22"/>
                      <w:szCs w:val="22"/>
                    </w:rPr>
                    <w:pgNum/>
                  </w:r>
                  <w:r>
                    <w:rPr>
                      <w:b/>
                      <w:vanish/>
                      <w:color w:val="000000"/>
                      <w:sz w:val="22"/>
                      <w:szCs w:val="22"/>
                    </w:rPr>
                    <w:pgNum/>
                  </w:r>
                  <w:r>
                    <w:rPr>
                      <w:b/>
                      <w:vanish/>
                      <w:color w:val="000000"/>
                      <w:sz w:val="22"/>
                      <w:szCs w:val="22"/>
                    </w:rPr>
                    <w:pgNum/>
                  </w:r>
                  <w:r>
                    <w:rPr>
                      <w:b/>
                      <w:vanish/>
                      <w:color w:val="000000"/>
                      <w:sz w:val="22"/>
                      <w:szCs w:val="22"/>
                    </w:rPr>
                    <w:pgNum/>
                  </w:r>
                  <w:r>
                    <w:rPr>
                      <w:b/>
                      <w:vanish/>
                      <w:color w:val="000000"/>
                      <w:sz w:val="22"/>
                      <w:szCs w:val="22"/>
                    </w:rPr>
                    <w:pgNum/>
                  </w:r>
                  <w:r>
                    <w:rPr>
                      <w:b/>
                      <w:vanish/>
                      <w:color w:val="000000"/>
                      <w:sz w:val="22"/>
                      <w:szCs w:val="22"/>
                    </w:rPr>
                    <w:pgNum/>
                  </w:r>
                  <w:r>
                    <w:rPr>
                      <w:b/>
                      <w:vanish/>
                      <w:color w:val="000000"/>
                      <w:sz w:val="22"/>
                      <w:szCs w:val="22"/>
                    </w:rPr>
                    <w:pgNum/>
                  </w:r>
                  <w:r>
                    <w:rPr>
                      <w:b/>
                      <w:vanish/>
                      <w:color w:val="000000"/>
                      <w:sz w:val="22"/>
                      <w:szCs w:val="22"/>
                    </w:rPr>
                    <w:pgNum/>
                  </w:r>
                  <w:r>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color w:val="000000"/>
                      <w:sz w:val="22"/>
                      <w:szCs w:val="22"/>
                    </w:rPr>
                    <w:t xml:space="preserve">ālās mēneša </w:t>
                  </w:r>
                  <w:r w:rsidRPr="00DF28AD">
                    <w:rPr>
                      <w:b/>
                      <w:color w:val="000000"/>
                      <w:sz w:val="22"/>
                      <w:szCs w:val="22"/>
                    </w:rPr>
                    <w:t>algas</w:t>
                  </w:r>
                </w:p>
              </w:tc>
              <w:tc>
                <w:tcPr>
                  <w:tcW w:w="1809"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8F0598" w:rsidRPr="00983898" w:rsidRDefault="008F0598" w:rsidP="008F0598">
                  <w:pPr>
                    <w:jc w:val="center"/>
                    <w:rPr>
                      <w:b/>
                      <w:color w:val="000000"/>
                      <w:sz w:val="22"/>
                      <w:szCs w:val="22"/>
                    </w:rPr>
                  </w:pPr>
                  <w:r w:rsidRPr="00DF28AD">
                    <w:rPr>
                      <w:b/>
                      <w:color w:val="000000"/>
                      <w:sz w:val="22"/>
                      <w:szCs w:val="22"/>
                    </w:rPr>
                    <w:t>Valsts kompensācijas izmaksas gadījumu skaits</w:t>
                  </w:r>
                </w:p>
              </w:tc>
              <w:tc>
                <w:tcPr>
                  <w:tcW w:w="1175" w:type="dxa"/>
                  <w:tcBorders>
                    <w:top w:val="single" w:sz="4" w:space="0" w:color="auto"/>
                    <w:left w:val="nil"/>
                    <w:bottom w:val="single" w:sz="4" w:space="0" w:color="auto"/>
                    <w:right w:val="single" w:sz="4" w:space="0" w:color="auto"/>
                  </w:tcBorders>
                  <w:shd w:val="clear" w:color="000000" w:fill="D7E4BC"/>
                  <w:noWrap/>
                  <w:vAlign w:val="center"/>
                  <w:hideMark/>
                </w:tcPr>
                <w:p w:rsidR="008F0598" w:rsidRPr="00983898" w:rsidRDefault="008F0598" w:rsidP="008F0598">
                  <w:pPr>
                    <w:jc w:val="center"/>
                    <w:rPr>
                      <w:b/>
                      <w:color w:val="000000"/>
                      <w:sz w:val="22"/>
                      <w:szCs w:val="22"/>
                    </w:rPr>
                  </w:pPr>
                  <w:r w:rsidRPr="00DF28AD">
                    <w:rPr>
                      <w:b/>
                      <w:color w:val="000000"/>
                      <w:sz w:val="22"/>
                      <w:szCs w:val="22"/>
                    </w:rPr>
                    <w:t>2013</w:t>
                  </w:r>
                  <w:r>
                    <w:rPr>
                      <w:b/>
                      <w:color w:val="000000"/>
                      <w:sz w:val="22"/>
                      <w:szCs w:val="22"/>
                    </w:rPr>
                    <w:t>.</w:t>
                  </w:r>
                  <w:r w:rsidRPr="00DF28AD">
                    <w:rPr>
                      <w:b/>
                      <w:color w:val="000000"/>
                      <w:sz w:val="22"/>
                      <w:szCs w:val="22"/>
                    </w:rPr>
                    <w:t xml:space="preserve"> gadā</w:t>
                  </w:r>
                </w:p>
                <w:p w:rsidR="008F0598" w:rsidRPr="00983898" w:rsidRDefault="008F0598" w:rsidP="008314D2">
                  <w:pPr>
                    <w:jc w:val="center"/>
                    <w:rPr>
                      <w:b/>
                      <w:color w:val="000000"/>
                      <w:sz w:val="22"/>
                      <w:szCs w:val="22"/>
                    </w:rPr>
                  </w:pPr>
                  <w:r w:rsidRPr="00DF28AD">
                    <w:rPr>
                      <w:b/>
                      <w:color w:val="000000"/>
                      <w:sz w:val="22"/>
                      <w:szCs w:val="22"/>
                    </w:rPr>
                    <w:t>4</w:t>
                  </w:r>
                  <w:r w:rsidR="008314D2">
                    <w:rPr>
                      <w:b/>
                      <w:color w:val="000000"/>
                      <w:sz w:val="22"/>
                      <w:szCs w:val="22"/>
                    </w:rPr>
                    <w:t xml:space="preserve"> minim</w:t>
                  </w:r>
                  <w:r w:rsidR="008314D2">
                    <w:rPr>
                      <w:b/>
                      <w:vanish/>
                      <w:color w:val="000000"/>
                      <w:sz w:val="22"/>
                      <w:szCs w:val="22"/>
                    </w:rPr>
                    <w:t xml:space="preserve"> no mimpmākajos gados – piecas sts kompoens\acijas </w:t>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color w:val="000000"/>
                      <w:sz w:val="22"/>
                      <w:szCs w:val="22"/>
                    </w:rPr>
                    <w:t xml:space="preserve">ālās mēneša </w:t>
                  </w:r>
                  <w:r w:rsidR="008314D2" w:rsidRPr="00DF28AD">
                    <w:rPr>
                      <w:b/>
                      <w:color w:val="000000"/>
                      <w:sz w:val="22"/>
                      <w:szCs w:val="22"/>
                    </w:rPr>
                    <w:t>algas</w:t>
                  </w:r>
                  <w:r w:rsidRPr="00DF28AD">
                    <w:rPr>
                      <w:b/>
                      <w:color w:val="000000"/>
                      <w:sz w:val="22"/>
                      <w:szCs w:val="22"/>
                    </w:rPr>
                    <w:t xml:space="preserve"> </w:t>
                  </w:r>
                </w:p>
              </w:tc>
              <w:tc>
                <w:tcPr>
                  <w:tcW w:w="1175" w:type="dxa"/>
                  <w:tcBorders>
                    <w:top w:val="single" w:sz="4" w:space="0" w:color="auto"/>
                    <w:left w:val="nil"/>
                    <w:bottom w:val="single" w:sz="4" w:space="0" w:color="auto"/>
                    <w:right w:val="single" w:sz="4" w:space="0" w:color="auto"/>
                  </w:tcBorders>
                  <w:shd w:val="clear" w:color="000000" w:fill="D7E4BC"/>
                  <w:noWrap/>
                  <w:vAlign w:val="center"/>
                  <w:hideMark/>
                </w:tcPr>
                <w:p w:rsidR="008F0598" w:rsidRPr="00983898" w:rsidRDefault="008F0598" w:rsidP="008F0598">
                  <w:pPr>
                    <w:jc w:val="center"/>
                    <w:rPr>
                      <w:b/>
                      <w:color w:val="000000"/>
                      <w:sz w:val="22"/>
                      <w:szCs w:val="22"/>
                    </w:rPr>
                  </w:pPr>
                  <w:r w:rsidRPr="00DF28AD">
                    <w:rPr>
                      <w:b/>
                      <w:color w:val="000000"/>
                      <w:sz w:val="22"/>
                      <w:szCs w:val="22"/>
                    </w:rPr>
                    <w:t>2014</w:t>
                  </w:r>
                  <w:r>
                    <w:rPr>
                      <w:b/>
                      <w:color w:val="000000"/>
                      <w:sz w:val="22"/>
                      <w:szCs w:val="22"/>
                    </w:rPr>
                    <w:t>.</w:t>
                  </w:r>
                  <w:r w:rsidRPr="00DF28AD">
                    <w:rPr>
                      <w:b/>
                      <w:color w:val="000000"/>
                      <w:sz w:val="22"/>
                      <w:szCs w:val="22"/>
                    </w:rPr>
                    <w:t xml:space="preserve"> gadā</w:t>
                  </w:r>
                </w:p>
                <w:p w:rsidR="008F0598" w:rsidRPr="00983898" w:rsidRDefault="008F0598" w:rsidP="008F0598">
                  <w:pPr>
                    <w:jc w:val="center"/>
                    <w:rPr>
                      <w:b/>
                      <w:color w:val="000000"/>
                      <w:sz w:val="22"/>
                      <w:szCs w:val="22"/>
                    </w:rPr>
                  </w:pPr>
                  <w:r w:rsidRPr="00DF28AD">
                    <w:rPr>
                      <w:b/>
                      <w:color w:val="000000"/>
                      <w:sz w:val="22"/>
                      <w:szCs w:val="22"/>
                    </w:rPr>
                    <w:t xml:space="preserve">5 </w:t>
                  </w:r>
                  <w:r w:rsidR="008314D2">
                    <w:rPr>
                      <w:b/>
                      <w:color w:val="000000"/>
                      <w:sz w:val="22"/>
                      <w:szCs w:val="22"/>
                    </w:rPr>
                    <w:t>minim</w:t>
                  </w:r>
                  <w:r w:rsidR="008314D2">
                    <w:rPr>
                      <w:b/>
                      <w:vanish/>
                      <w:color w:val="000000"/>
                      <w:sz w:val="22"/>
                      <w:szCs w:val="22"/>
                    </w:rPr>
                    <w:t xml:space="preserve"> no mimpmākajos gados – piecas sts kompoens\acijas </w:t>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vanish/>
                      <w:color w:val="000000"/>
                      <w:sz w:val="22"/>
                      <w:szCs w:val="22"/>
                    </w:rPr>
                    <w:pgNum/>
                  </w:r>
                  <w:r w:rsidR="008314D2">
                    <w:rPr>
                      <w:b/>
                      <w:color w:val="000000"/>
                      <w:sz w:val="22"/>
                      <w:szCs w:val="22"/>
                    </w:rPr>
                    <w:t xml:space="preserve">ālās mēneša </w:t>
                  </w:r>
                  <w:r w:rsidR="008314D2" w:rsidRPr="00DF28AD">
                    <w:rPr>
                      <w:b/>
                      <w:color w:val="000000"/>
                      <w:sz w:val="22"/>
                      <w:szCs w:val="22"/>
                    </w:rPr>
                    <w:t>algas</w:t>
                  </w:r>
                </w:p>
                <w:p w:rsidR="008F0598" w:rsidRPr="00983898" w:rsidRDefault="008F0598" w:rsidP="008F0598">
                  <w:pPr>
                    <w:jc w:val="center"/>
                    <w:rPr>
                      <w:b/>
                      <w:color w:val="000000"/>
                      <w:sz w:val="22"/>
                      <w:szCs w:val="22"/>
                    </w:rPr>
                  </w:pPr>
                  <w:r w:rsidRPr="00DF28AD">
                    <w:rPr>
                      <w:b/>
                      <w:color w:val="000000"/>
                      <w:sz w:val="22"/>
                      <w:szCs w:val="22"/>
                    </w:rPr>
                    <w:t>(+ 15%)</w:t>
                  </w:r>
                </w:p>
              </w:tc>
            </w:tr>
            <w:tr w:rsidR="008314D2" w:rsidRPr="00490546" w:rsidTr="00ED7745">
              <w:trPr>
                <w:trHeight w:val="342"/>
              </w:trPr>
              <w:tc>
                <w:tcPr>
                  <w:tcW w:w="2176" w:type="dxa"/>
                  <w:tcBorders>
                    <w:top w:val="nil"/>
                    <w:left w:val="single" w:sz="4" w:space="0" w:color="auto"/>
                    <w:bottom w:val="single" w:sz="4" w:space="0" w:color="auto"/>
                    <w:right w:val="single" w:sz="4" w:space="0" w:color="auto"/>
                  </w:tcBorders>
                  <w:shd w:val="clear" w:color="000000" w:fill="D7E4BC"/>
                  <w:noWrap/>
                  <w:hideMark/>
                </w:tcPr>
                <w:p w:rsidR="008F0598" w:rsidRDefault="008F0598" w:rsidP="00ED7745">
                  <w:pPr>
                    <w:rPr>
                      <w:color w:val="000000"/>
                      <w:sz w:val="20"/>
                      <w:szCs w:val="20"/>
                    </w:rPr>
                  </w:pPr>
                  <w:r w:rsidRPr="00DF28AD">
                    <w:rPr>
                      <w:color w:val="000000"/>
                      <w:sz w:val="20"/>
                      <w:szCs w:val="20"/>
                    </w:rPr>
                    <w:t>Personas nāve</w:t>
                  </w:r>
                </w:p>
              </w:tc>
              <w:tc>
                <w:tcPr>
                  <w:tcW w:w="1062" w:type="dxa"/>
                  <w:tcBorders>
                    <w:top w:val="nil"/>
                    <w:left w:val="nil"/>
                    <w:bottom w:val="single" w:sz="4" w:space="0" w:color="auto"/>
                    <w:right w:val="single" w:sz="4" w:space="0" w:color="auto"/>
                  </w:tcBorders>
                  <w:shd w:val="clear" w:color="000000" w:fill="D7E4BC"/>
                </w:tcPr>
                <w:p w:rsidR="008F0598" w:rsidRDefault="008F0598" w:rsidP="008F0598">
                  <w:pPr>
                    <w:jc w:val="center"/>
                    <w:rPr>
                      <w:color w:val="000000"/>
                      <w:sz w:val="20"/>
                      <w:szCs w:val="20"/>
                    </w:rPr>
                  </w:pPr>
                  <w:r>
                    <w:rPr>
                      <w:color w:val="000000"/>
                      <w:sz w:val="20"/>
                      <w:szCs w:val="20"/>
                    </w:rPr>
                    <w:t>100%</w:t>
                  </w:r>
                </w:p>
              </w:tc>
              <w:tc>
                <w:tcPr>
                  <w:tcW w:w="1809" w:type="dxa"/>
                  <w:tcBorders>
                    <w:top w:val="nil"/>
                    <w:left w:val="single" w:sz="4" w:space="0" w:color="auto"/>
                    <w:bottom w:val="single" w:sz="4" w:space="0" w:color="auto"/>
                    <w:right w:val="single" w:sz="4" w:space="0" w:color="auto"/>
                  </w:tcBorders>
                  <w:shd w:val="clear" w:color="000000" w:fill="D7E4BC"/>
                  <w:noWrap/>
                  <w:hideMark/>
                </w:tcPr>
                <w:p w:rsidR="008F0598" w:rsidRDefault="008F0598" w:rsidP="008F0598">
                  <w:pPr>
                    <w:jc w:val="center"/>
                    <w:rPr>
                      <w:color w:val="000000"/>
                      <w:sz w:val="20"/>
                      <w:szCs w:val="20"/>
                    </w:rPr>
                  </w:pPr>
                  <w:r w:rsidRPr="00DF28AD">
                    <w:rPr>
                      <w:color w:val="000000"/>
                      <w:sz w:val="20"/>
                      <w:szCs w:val="20"/>
                    </w:rPr>
                    <w:t>155</w:t>
                  </w:r>
                </w:p>
              </w:tc>
              <w:tc>
                <w:tcPr>
                  <w:tcW w:w="1175" w:type="dxa"/>
                  <w:tcBorders>
                    <w:top w:val="nil"/>
                    <w:left w:val="nil"/>
                    <w:bottom w:val="single" w:sz="4" w:space="0" w:color="auto"/>
                    <w:right w:val="single" w:sz="4" w:space="0" w:color="auto"/>
                  </w:tcBorders>
                  <w:shd w:val="clear" w:color="000000" w:fill="D7E4BC"/>
                  <w:noWrap/>
                  <w:hideMark/>
                </w:tcPr>
                <w:p w:rsidR="008F0598" w:rsidRDefault="008F0598" w:rsidP="008F0598">
                  <w:pPr>
                    <w:jc w:val="center"/>
                    <w:rPr>
                      <w:color w:val="000000"/>
                      <w:sz w:val="20"/>
                      <w:szCs w:val="20"/>
                    </w:rPr>
                  </w:pPr>
                  <w:r w:rsidRPr="00DF28AD">
                    <w:rPr>
                      <w:color w:val="000000"/>
                      <w:sz w:val="20"/>
                      <w:szCs w:val="20"/>
                    </w:rPr>
                    <w:t>124000</w:t>
                  </w:r>
                </w:p>
              </w:tc>
              <w:tc>
                <w:tcPr>
                  <w:tcW w:w="1175" w:type="dxa"/>
                  <w:tcBorders>
                    <w:top w:val="nil"/>
                    <w:left w:val="nil"/>
                    <w:bottom w:val="single" w:sz="4" w:space="0" w:color="auto"/>
                    <w:right w:val="single" w:sz="4" w:space="0" w:color="auto"/>
                  </w:tcBorders>
                  <w:shd w:val="clear" w:color="000000" w:fill="D7E4BC"/>
                  <w:noWrap/>
                  <w:hideMark/>
                </w:tcPr>
                <w:p w:rsidR="008F0598" w:rsidRDefault="008F0598" w:rsidP="008F0598">
                  <w:pPr>
                    <w:jc w:val="center"/>
                    <w:rPr>
                      <w:color w:val="000000"/>
                      <w:sz w:val="20"/>
                      <w:szCs w:val="20"/>
                    </w:rPr>
                  </w:pPr>
                  <w:r w:rsidRPr="00DF28AD">
                    <w:rPr>
                      <w:color w:val="000000"/>
                      <w:sz w:val="20"/>
                      <w:szCs w:val="20"/>
                    </w:rPr>
                    <w:t>178250</w:t>
                  </w:r>
                </w:p>
              </w:tc>
            </w:tr>
            <w:tr w:rsidR="008314D2" w:rsidRPr="00490546" w:rsidTr="00ED7745">
              <w:trPr>
                <w:trHeight w:val="229"/>
              </w:trPr>
              <w:tc>
                <w:tcPr>
                  <w:tcW w:w="2176" w:type="dxa"/>
                  <w:tcBorders>
                    <w:top w:val="nil"/>
                    <w:left w:val="single" w:sz="4" w:space="0" w:color="auto"/>
                    <w:bottom w:val="single" w:sz="4" w:space="0" w:color="auto"/>
                    <w:right w:val="single" w:sz="4" w:space="0" w:color="auto"/>
                  </w:tcBorders>
                  <w:shd w:val="clear" w:color="000000" w:fill="D7E4BC"/>
                  <w:noWrap/>
                  <w:vAlign w:val="bottom"/>
                  <w:hideMark/>
                </w:tcPr>
                <w:p w:rsidR="008F0598" w:rsidRPr="00490546" w:rsidRDefault="008F0598" w:rsidP="008F0598">
                  <w:pPr>
                    <w:rPr>
                      <w:color w:val="000000"/>
                      <w:sz w:val="20"/>
                      <w:szCs w:val="20"/>
                    </w:rPr>
                  </w:pPr>
                  <w:r w:rsidRPr="00DF28AD">
                    <w:rPr>
                      <w:color w:val="000000"/>
                      <w:sz w:val="20"/>
                      <w:szCs w:val="20"/>
                    </w:rPr>
                    <w:t xml:space="preserve">Aizskarta personas </w:t>
                  </w:r>
                  <w:r>
                    <w:rPr>
                      <w:color w:val="000000"/>
                      <w:sz w:val="20"/>
                      <w:szCs w:val="20"/>
                    </w:rPr>
                    <w:t xml:space="preserve">tikumība vai </w:t>
                  </w:r>
                  <w:r w:rsidRPr="00DF28AD">
                    <w:rPr>
                      <w:color w:val="000000"/>
                      <w:sz w:val="20"/>
                      <w:szCs w:val="20"/>
                    </w:rPr>
                    <w:t>dzimumneaizskaramība</w:t>
                  </w:r>
                </w:p>
              </w:tc>
              <w:tc>
                <w:tcPr>
                  <w:tcW w:w="1062" w:type="dxa"/>
                  <w:tcBorders>
                    <w:top w:val="nil"/>
                    <w:left w:val="nil"/>
                    <w:bottom w:val="single" w:sz="4" w:space="0" w:color="auto"/>
                    <w:right w:val="single" w:sz="4" w:space="0" w:color="auto"/>
                  </w:tcBorders>
                  <w:shd w:val="clear" w:color="000000" w:fill="D7E4BC"/>
                </w:tcPr>
                <w:p w:rsidR="008F0598" w:rsidRDefault="008F0598" w:rsidP="008F0598">
                  <w:pPr>
                    <w:jc w:val="center"/>
                    <w:rPr>
                      <w:color w:val="000000"/>
                      <w:sz w:val="20"/>
                      <w:szCs w:val="20"/>
                    </w:rPr>
                  </w:pPr>
                  <w:r>
                    <w:rPr>
                      <w:color w:val="000000"/>
                      <w:sz w:val="20"/>
                      <w:szCs w:val="20"/>
                    </w:rPr>
                    <w:t>70%</w:t>
                  </w:r>
                </w:p>
              </w:tc>
              <w:tc>
                <w:tcPr>
                  <w:tcW w:w="1809" w:type="dxa"/>
                  <w:tcBorders>
                    <w:top w:val="nil"/>
                    <w:left w:val="single" w:sz="4" w:space="0" w:color="auto"/>
                    <w:bottom w:val="single" w:sz="4" w:space="0" w:color="auto"/>
                    <w:right w:val="single" w:sz="4" w:space="0" w:color="auto"/>
                  </w:tcBorders>
                  <w:shd w:val="clear" w:color="000000" w:fill="D7E4BC"/>
                  <w:noWrap/>
                  <w:vAlign w:val="bottom"/>
                  <w:hideMark/>
                </w:tcPr>
                <w:p w:rsidR="008F0598" w:rsidRDefault="008F0598" w:rsidP="008F0598">
                  <w:pPr>
                    <w:jc w:val="center"/>
                    <w:rPr>
                      <w:color w:val="000000"/>
                      <w:sz w:val="20"/>
                      <w:szCs w:val="20"/>
                    </w:rPr>
                  </w:pPr>
                  <w:r w:rsidRPr="00DF28AD">
                    <w:rPr>
                      <w:color w:val="000000"/>
                      <w:sz w:val="20"/>
                      <w:szCs w:val="20"/>
                    </w:rPr>
                    <w:t>100</w:t>
                  </w:r>
                </w:p>
              </w:tc>
              <w:tc>
                <w:tcPr>
                  <w:tcW w:w="1175" w:type="dxa"/>
                  <w:tcBorders>
                    <w:top w:val="nil"/>
                    <w:left w:val="nil"/>
                    <w:bottom w:val="single" w:sz="4" w:space="0" w:color="auto"/>
                    <w:right w:val="single" w:sz="4" w:space="0" w:color="auto"/>
                  </w:tcBorders>
                  <w:shd w:val="clear" w:color="000000" w:fill="D7E4BC"/>
                  <w:noWrap/>
                  <w:vAlign w:val="bottom"/>
                  <w:hideMark/>
                </w:tcPr>
                <w:p w:rsidR="008F0598" w:rsidRDefault="008F0598" w:rsidP="008F0598">
                  <w:pPr>
                    <w:jc w:val="center"/>
                    <w:rPr>
                      <w:color w:val="000000"/>
                      <w:sz w:val="20"/>
                      <w:szCs w:val="20"/>
                    </w:rPr>
                  </w:pPr>
                  <w:r w:rsidRPr="00DF28AD">
                    <w:rPr>
                      <w:color w:val="000000"/>
                      <w:sz w:val="20"/>
                      <w:szCs w:val="20"/>
                    </w:rPr>
                    <w:t>56000</w:t>
                  </w:r>
                </w:p>
              </w:tc>
              <w:tc>
                <w:tcPr>
                  <w:tcW w:w="1175" w:type="dxa"/>
                  <w:tcBorders>
                    <w:top w:val="nil"/>
                    <w:left w:val="nil"/>
                    <w:bottom w:val="single" w:sz="4" w:space="0" w:color="auto"/>
                    <w:right w:val="single" w:sz="4" w:space="0" w:color="auto"/>
                  </w:tcBorders>
                  <w:shd w:val="clear" w:color="000000" w:fill="D7E4BC"/>
                  <w:noWrap/>
                  <w:vAlign w:val="bottom"/>
                  <w:hideMark/>
                </w:tcPr>
                <w:p w:rsidR="008F0598" w:rsidRDefault="008F0598" w:rsidP="008F0598">
                  <w:pPr>
                    <w:jc w:val="center"/>
                    <w:rPr>
                      <w:color w:val="000000"/>
                      <w:sz w:val="20"/>
                      <w:szCs w:val="20"/>
                    </w:rPr>
                  </w:pPr>
                  <w:r w:rsidRPr="00DF28AD">
                    <w:rPr>
                      <w:color w:val="000000"/>
                      <w:sz w:val="20"/>
                      <w:szCs w:val="20"/>
                    </w:rPr>
                    <w:t>80500</w:t>
                  </w:r>
                </w:p>
              </w:tc>
            </w:tr>
            <w:tr w:rsidR="008314D2" w:rsidRPr="00490546" w:rsidTr="00ED7745">
              <w:trPr>
                <w:trHeight w:val="229"/>
              </w:trPr>
              <w:tc>
                <w:tcPr>
                  <w:tcW w:w="2176" w:type="dxa"/>
                  <w:tcBorders>
                    <w:top w:val="nil"/>
                    <w:left w:val="single" w:sz="4" w:space="0" w:color="auto"/>
                    <w:bottom w:val="single" w:sz="4" w:space="0" w:color="auto"/>
                    <w:right w:val="single" w:sz="4" w:space="0" w:color="auto"/>
                  </w:tcBorders>
                  <w:shd w:val="clear" w:color="000000" w:fill="D7E4BC"/>
                  <w:noWrap/>
                  <w:vAlign w:val="bottom"/>
                  <w:hideMark/>
                </w:tcPr>
                <w:p w:rsidR="008F0598" w:rsidRPr="00490546" w:rsidRDefault="008F0598" w:rsidP="008F0598">
                  <w:pPr>
                    <w:rPr>
                      <w:color w:val="000000"/>
                      <w:sz w:val="20"/>
                      <w:szCs w:val="20"/>
                    </w:rPr>
                  </w:pPr>
                  <w:r w:rsidRPr="00DF28AD">
                    <w:rPr>
                      <w:color w:val="000000"/>
                      <w:sz w:val="20"/>
                      <w:szCs w:val="20"/>
                    </w:rPr>
                    <w:t>Smagi miesas bojājumi</w:t>
                  </w:r>
                </w:p>
              </w:tc>
              <w:tc>
                <w:tcPr>
                  <w:tcW w:w="1062" w:type="dxa"/>
                  <w:tcBorders>
                    <w:top w:val="nil"/>
                    <w:left w:val="nil"/>
                    <w:bottom w:val="single" w:sz="4" w:space="0" w:color="auto"/>
                    <w:right w:val="single" w:sz="4" w:space="0" w:color="auto"/>
                  </w:tcBorders>
                  <w:shd w:val="clear" w:color="000000" w:fill="D7E4BC"/>
                </w:tcPr>
                <w:p w:rsidR="008F0598" w:rsidRDefault="008F0598" w:rsidP="008F0598">
                  <w:pPr>
                    <w:jc w:val="center"/>
                    <w:rPr>
                      <w:color w:val="000000"/>
                      <w:sz w:val="20"/>
                      <w:szCs w:val="20"/>
                    </w:rPr>
                  </w:pPr>
                  <w:r>
                    <w:rPr>
                      <w:color w:val="000000"/>
                      <w:sz w:val="20"/>
                      <w:szCs w:val="20"/>
                    </w:rPr>
                    <w:t>70%</w:t>
                  </w:r>
                </w:p>
              </w:tc>
              <w:tc>
                <w:tcPr>
                  <w:tcW w:w="1809" w:type="dxa"/>
                  <w:tcBorders>
                    <w:top w:val="nil"/>
                    <w:left w:val="single" w:sz="4" w:space="0" w:color="auto"/>
                    <w:bottom w:val="single" w:sz="4" w:space="0" w:color="auto"/>
                    <w:right w:val="single" w:sz="4" w:space="0" w:color="auto"/>
                  </w:tcBorders>
                  <w:shd w:val="clear" w:color="000000" w:fill="D7E4BC"/>
                  <w:noWrap/>
                  <w:vAlign w:val="bottom"/>
                  <w:hideMark/>
                </w:tcPr>
                <w:p w:rsidR="008F0598" w:rsidRDefault="008F0598" w:rsidP="008F0598">
                  <w:pPr>
                    <w:jc w:val="center"/>
                    <w:rPr>
                      <w:color w:val="000000"/>
                      <w:sz w:val="20"/>
                      <w:szCs w:val="20"/>
                    </w:rPr>
                  </w:pPr>
                  <w:r w:rsidRPr="00DF28AD">
                    <w:rPr>
                      <w:color w:val="000000"/>
                      <w:sz w:val="20"/>
                      <w:szCs w:val="20"/>
                    </w:rPr>
                    <w:t>100</w:t>
                  </w:r>
                </w:p>
              </w:tc>
              <w:tc>
                <w:tcPr>
                  <w:tcW w:w="1175" w:type="dxa"/>
                  <w:tcBorders>
                    <w:top w:val="nil"/>
                    <w:left w:val="nil"/>
                    <w:bottom w:val="single" w:sz="4" w:space="0" w:color="auto"/>
                    <w:right w:val="single" w:sz="4" w:space="0" w:color="auto"/>
                  </w:tcBorders>
                  <w:shd w:val="clear" w:color="000000" w:fill="D7E4BC"/>
                  <w:noWrap/>
                  <w:vAlign w:val="bottom"/>
                  <w:hideMark/>
                </w:tcPr>
                <w:p w:rsidR="008F0598" w:rsidRDefault="008F0598" w:rsidP="008F0598">
                  <w:pPr>
                    <w:jc w:val="center"/>
                    <w:rPr>
                      <w:color w:val="000000"/>
                      <w:sz w:val="20"/>
                      <w:szCs w:val="20"/>
                    </w:rPr>
                  </w:pPr>
                  <w:r w:rsidRPr="00DF28AD">
                    <w:rPr>
                      <w:color w:val="000000"/>
                      <w:sz w:val="20"/>
                      <w:szCs w:val="20"/>
                    </w:rPr>
                    <w:t>56000</w:t>
                  </w:r>
                </w:p>
              </w:tc>
              <w:tc>
                <w:tcPr>
                  <w:tcW w:w="1175" w:type="dxa"/>
                  <w:tcBorders>
                    <w:top w:val="nil"/>
                    <w:left w:val="nil"/>
                    <w:bottom w:val="single" w:sz="4" w:space="0" w:color="auto"/>
                    <w:right w:val="single" w:sz="4" w:space="0" w:color="auto"/>
                  </w:tcBorders>
                  <w:shd w:val="clear" w:color="000000" w:fill="D7E4BC"/>
                  <w:noWrap/>
                  <w:vAlign w:val="bottom"/>
                  <w:hideMark/>
                </w:tcPr>
                <w:p w:rsidR="008F0598" w:rsidRDefault="008F0598" w:rsidP="008F0598">
                  <w:pPr>
                    <w:jc w:val="center"/>
                    <w:rPr>
                      <w:color w:val="000000"/>
                      <w:sz w:val="20"/>
                      <w:szCs w:val="20"/>
                    </w:rPr>
                  </w:pPr>
                  <w:r w:rsidRPr="00DF28AD">
                    <w:rPr>
                      <w:color w:val="000000"/>
                      <w:sz w:val="20"/>
                      <w:szCs w:val="20"/>
                    </w:rPr>
                    <w:t>80500</w:t>
                  </w:r>
                </w:p>
              </w:tc>
            </w:tr>
            <w:tr w:rsidR="008314D2" w:rsidRPr="00490546" w:rsidTr="00ED7745">
              <w:trPr>
                <w:trHeight w:val="229"/>
              </w:trPr>
              <w:tc>
                <w:tcPr>
                  <w:tcW w:w="2176" w:type="dxa"/>
                  <w:tcBorders>
                    <w:top w:val="nil"/>
                    <w:left w:val="single" w:sz="4" w:space="0" w:color="auto"/>
                    <w:bottom w:val="single" w:sz="4" w:space="0" w:color="auto"/>
                    <w:right w:val="single" w:sz="4" w:space="0" w:color="auto"/>
                  </w:tcBorders>
                  <w:shd w:val="clear" w:color="000000" w:fill="D7E4BC"/>
                  <w:noWrap/>
                  <w:vAlign w:val="bottom"/>
                  <w:hideMark/>
                </w:tcPr>
                <w:p w:rsidR="008F0598" w:rsidRPr="00490546" w:rsidRDefault="008F0598" w:rsidP="008F0598">
                  <w:pPr>
                    <w:rPr>
                      <w:color w:val="000000"/>
                      <w:sz w:val="20"/>
                      <w:szCs w:val="20"/>
                    </w:rPr>
                  </w:pPr>
                  <w:r w:rsidRPr="00DF28AD">
                    <w:rPr>
                      <w:color w:val="000000"/>
                      <w:sz w:val="20"/>
                      <w:szCs w:val="20"/>
                    </w:rPr>
                    <w:t>Vidēja smaguma miesas bojājumi</w:t>
                  </w:r>
                </w:p>
              </w:tc>
              <w:tc>
                <w:tcPr>
                  <w:tcW w:w="1062" w:type="dxa"/>
                  <w:tcBorders>
                    <w:top w:val="nil"/>
                    <w:left w:val="nil"/>
                    <w:bottom w:val="single" w:sz="4" w:space="0" w:color="auto"/>
                    <w:right w:val="single" w:sz="4" w:space="0" w:color="auto"/>
                  </w:tcBorders>
                  <w:shd w:val="clear" w:color="000000" w:fill="D7E4BC"/>
                </w:tcPr>
                <w:p w:rsidR="008F0598" w:rsidRDefault="008F0598" w:rsidP="008F0598">
                  <w:pPr>
                    <w:jc w:val="center"/>
                    <w:rPr>
                      <w:color w:val="000000"/>
                      <w:sz w:val="20"/>
                      <w:szCs w:val="20"/>
                    </w:rPr>
                  </w:pPr>
                  <w:r>
                    <w:rPr>
                      <w:color w:val="000000"/>
                      <w:sz w:val="20"/>
                      <w:szCs w:val="20"/>
                    </w:rPr>
                    <w:t>50%</w:t>
                  </w:r>
                </w:p>
              </w:tc>
              <w:tc>
                <w:tcPr>
                  <w:tcW w:w="1809" w:type="dxa"/>
                  <w:tcBorders>
                    <w:top w:val="nil"/>
                    <w:left w:val="single" w:sz="4" w:space="0" w:color="auto"/>
                    <w:bottom w:val="single" w:sz="4" w:space="0" w:color="auto"/>
                    <w:right w:val="single" w:sz="4" w:space="0" w:color="auto"/>
                  </w:tcBorders>
                  <w:shd w:val="clear" w:color="000000" w:fill="D7E4BC"/>
                  <w:noWrap/>
                  <w:vAlign w:val="bottom"/>
                  <w:hideMark/>
                </w:tcPr>
                <w:p w:rsidR="008F0598" w:rsidRDefault="008F0598" w:rsidP="008F0598">
                  <w:pPr>
                    <w:jc w:val="center"/>
                    <w:rPr>
                      <w:color w:val="000000"/>
                      <w:sz w:val="20"/>
                      <w:szCs w:val="20"/>
                    </w:rPr>
                  </w:pPr>
                  <w:r w:rsidRPr="00DF28AD">
                    <w:rPr>
                      <w:color w:val="000000"/>
                      <w:sz w:val="20"/>
                      <w:szCs w:val="20"/>
                    </w:rPr>
                    <w:t>174</w:t>
                  </w:r>
                </w:p>
              </w:tc>
              <w:tc>
                <w:tcPr>
                  <w:tcW w:w="1175" w:type="dxa"/>
                  <w:tcBorders>
                    <w:top w:val="nil"/>
                    <w:left w:val="nil"/>
                    <w:bottom w:val="single" w:sz="4" w:space="0" w:color="auto"/>
                    <w:right w:val="single" w:sz="4" w:space="0" w:color="auto"/>
                  </w:tcBorders>
                  <w:shd w:val="clear" w:color="000000" w:fill="D7E4BC"/>
                  <w:noWrap/>
                  <w:vAlign w:val="bottom"/>
                  <w:hideMark/>
                </w:tcPr>
                <w:p w:rsidR="008F0598" w:rsidRDefault="008F0598" w:rsidP="008F0598">
                  <w:pPr>
                    <w:jc w:val="center"/>
                    <w:rPr>
                      <w:color w:val="000000"/>
                      <w:sz w:val="20"/>
                      <w:szCs w:val="20"/>
                    </w:rPr>
                  </w:pPr>
                  <w:r w:rsidRPr="00DF28AD">
                    <w:rPr>
                      <w:color w:val="000000"/>
                      <w:sz w:val="20"/>
                      <w:szCs w:val="20"/>
                    </w:rPr>
                    <w:t>69600</w:t>
                  </w:r>
                </w:p>
              </w:tc>
              <w:tc>
                <w:tcPr>
                  <w:tcW w:w="1175" w:type="dxa"/>
                  <w:tcBorders>
                    <w:top w:val="nil"/>
                    <w:left w:val="nil"/>
                    <w:bottom w:val="single" w:sz="4" w:space="0" w:color="auto"/>
                    <w:right w:val="single" w:sz="4" w:space="0" w:color="auto"/>
                  </w:tcBorders>
                  <w:shd w:val="clear" w:color="000000" w:fill="D7E4BC"/>
                  <w:noWrap/>
                  <w:vAlign w:val="bottom"/>
                  <w:hideMark/>
                </w:tcPr>
                <w:p w:rsidR="008F0598" w:rsidRDefault="008F0598" w:rsidP="008F0598">
                  <w:pPr>
                    <w:jc w:val="center"/>
                    <w:rPr>
                      <w:color w:val="000000"/>
                      <w:sz w:val="20"/>
                      <w:szCs w:val="20"/>
                    </w:rPr>
                  </w:pPr>
                  <w:r w:rsidRPr="00DF28AD">
                    <w:rPr>
                      <w:color w:val="000000"/>
                      <w:sz w:val="20"/>
                      <w:szCs w:val="20"/>
                    </w:rPr>
                    <w:t>100050</w:t>
                  </w:r>
                </w:p>
              </w:tc>
            </w:tr>
            <w:tr w:rsidR="008314D2" w:rsidRPr="00490546" w:rsidTr="00ED7745">
              <w:trPr>
                <w:trHeight w:val="229"/>
              </w:trPr>
              <w:tc>
                <w:tcPr>
                  <w:tcW w:w="2176" w:type="dxa"/>
                  <w:tcBorders>
                    <w:top w:val="nil"/>
                    <w:left w:val="single" w:sz="4" w:space="0" w:color="auto"/>
                    <w:bottom w:val="single" w:sz="4" w:space="0" w:color="auto"/>
                    <w:right w:val="single" w:sz="4" w:space="0" w:color="auto"/>
                  </w:tcBorders>
                  <w:shd w:val="clear" w:color="000000" w:fill="D7E4BC"/>
                  <w:noWrap/>
                  <w:vAlign w:val="bottom"/>
                  <w:hideMark/>
                </w:tcPr>
                <w:p w:rsidR="008F0598" w:rsidRPr="00490546" w:rsidRDefault="008F0598" w:rsidP="008F0598">
                  <w:pPr>
                    <w:rPr>
                      <w:color w:val="000000"/>
                      <w:sz w:val="20"/>
                      <w:szCs w:val="20"/>
                    </w:rPr>
                  </w:pPr>
                  <w:r w:rsidRPr="00DF28AD">
                    <w:rPr>
                      <w:color w:val="000000"/>
                      <w:sz w:val="20"/>
                      <w:szCs w:val="20"/>
                    </w:rPr>
                    <w:t>HIV/B,C hepatīts</w:t>
                  </w:r>
                </w:p>
              </w:tc>
              <w:tc>
                <w:tcPr>
                  <w:tcW w:w="1062" w:type="dxa"/>
                  <w:tcBorders>
                    <w:top w:val="nil"/>
                    <w:left w:val="nil"/>
                    <w:bottom w:val="single" w:sz="4" w:space="0" w:color="auto"/>
                    <w:right w:val="single" w:sz="4" w:space="0" w:color="auto"/>
                  </w:tcBorders>
                  <w:shd w:val="clear" w:color="000000" w:fill="D7E4BC"/>
                </w:tcPr>
                <w:p w:rsidR="008F0598" w:rsidRDefault="008F0598" w:rsidP="008F0598">
                  <w:pPr>
                    <w:jc w:val="center"/>
                    <w:rPr>
                      <w:color w:val="000000"/>
                      <w:sz w:val="20"/>
                      <w:szCs w:val="20"/>
                    </w:rPr>
                  </w:pPr>
                  <w:r>
                    <w:rPr>
                      <w:color w:val="000000"/>
                      <w:sz w:val="20"/>
                      <w:szCs w:val="20"/>
                    </w:rPr>
                    <w:t>50%</w:t>
                  </w:r>
                </w:p>
              </w:tc>
              <w:tc>
                <w:tcPr>
                  <w:tcW w:w="1809" w:type="dxa"/>
                  <w:tcBorders>
                    <w:top w:val="nil"/>
                    <w:left w:val="single" w:sz="4" w:space="0" w:color="auto"/>
                    <w:bottom w:val="single" w:sz="4" w:space="0" w:color="auto"/>
                    <w:right w:val="single" w:sz="4" w:space="0" w:color="auto"/>
                  </w:tcBorders>
                  <w:shd w:val="clear" w:color="000000" w:fill="D7E4BC"/>
                  <w:noWrap/>
                  <w:vAlign w:val="bottom"/>
                  <w:hideMark/>
                </w:tcPr>
                <w:p w:rsidR="008F0598" w:rsidRDefault="008F0598" w:rsidP="008F0598">
                  <w:pPr>
                    <w:jc w:val="center"/>
                    <w:rPr>
                      <w:color w:val="000000"/>
                      <w:sz w:val="20"/>
                      <w:szCs w:val="20"/>
                    </w:rPr>
                  </w:pPr>
                  <w:r w:rsidRPr="00DF28AD">
                    <w:rPr>
                      <w:color w:val="000000"/>
                      <w:sz w:val="20"/>
                      <w:szCs w:val="20"/>
                    </w:rPr>
                    <w:t>1</w:t>
                  </w:r>
                </w:p>
              </w:tc>
              <w:tc>
                <w:tcPr>
                  <w:tcW w:w="1175" w:type="dxa"/>
                  <w:tcBorders>
                    <w:top w:val="nil"/>
                    <w:left w:val="nil"/>
                    <w:bottom w:val="single" w:sz="4" w:space="0" w:color="auto"/>
                    <w:right w:val="single" w:sz="4" w:space="0" w:color="auto"/>
                  </w:tcBorders>
                  <w:shd w:val="clear" w:color="000000" w:fill="D7E4BC"/>
                  <w:noWrap/>
                  <w:vAlign w:val="bottom"/>
                  <w:hideMark/>
                </w:tcPr>
                <w:p w:rsidR="008F0598" w:rsidRDefault="008F0598" w:rsidP="008F0598">
                  <w:pPr>
                    <w:jc w:val="center"/>
                    <w:rPr>
                      <w:color w:val="000000"/>
                      <w:sz w:val="20"/>
                      <w:szCs w:val="20"/>
                    </w:rPr>
                  </w:pPr>
                  <w:r w:rsidRPr="00DF28AD">
                    <w:rPr>
                      <w:color w:val="000000"/>
                      <w:sz w:val="20"/>
                      <w:szCs w:val="20"/>
                    </w:rPr>
                    <w:t>400</w:t>
                  </w:r>
                </w:p>
              </w:tc>
              <w:tc>
                <w:tcPr>
                  <w:tcW w:w="1175" w:type="dxa"/>
                  <w:tcBorders>
                    <w:top w:val="nil"/>
                    <w:left w:val="nil"/>
                    <w:bottom w:val="single" w:sz="4" w:space="0" w:color="auto"/>
                    <w:right w:val="single" w:sz="4" w:space="0" w:color="auto"/>
                  </w:tcBorders>
                  <w:shd w:val="clear" w:color="000000" w:fill="D7E4BC"/>
                  <w:noWrap/>
                  <w:vAlign w:val="bottom"/>
                  <w:hideMark/>
                </w:tcPr>
                <w:p w:rsidR="008F0598" w:rsidRDefault="008F0598" w:rsidP="008F0598">
                  <w:pPr>
                    <w:jc w:val="center"/>
                    <w:rPr>
                      <w:color w:val="000000"/>
                      <w:sz w:val="20"/>
                      <w:szCs w:val="20"/>
                    </w:rPr>
                  </w:pPr>
                  <w:r w:rsidRPr="00DF28AD">
                    <w:rPr>
                      <w:color w:val="000000"/>
                      <w:sz w:val="20"/>
                      <w:szCs w:val="20"/>
                    </w:rPr>
                    <w:t>575</w:t>
                  </w:r>
                </w:p>
              </w:tc>
            </w:tr>
            <w:tr w:rsidR="008314D2" w:rsidRPr="00490546" w:rsidTr="00ED7745">
              <w:trPr>
                <w:trHeight w:val="229"/>
              </w:trPr>
              <w:tc>
                <w:tcPr>
                  <w:tcW w:w="2176" w:type="dxa"/>
                  <w:tcBorders>
                    <w:top w:val="nil"/>
                    <w:left w:val="single" w:sz="4" w:space="0" w:color="auto"/>
                    <w:bottom w:val="single" w:sz="4" w:space="0" w:color="auto"/>
                    <w:right w:val="single" w:sz="4" w:space="0" w:color="auto"/>
                  </w:tcBorders>
                  <w:shd w:val="clear" w:color="000000" w:fill="D7E4BC"/>
                  <w:noWrap/>
                  <w:vAlign w:val="bottom"/>
                  <w:hideMark/>
                </w:tcPr>
                <w:p w:rsidR="008F0598" w:rsidRPr="00490546" w:rsidRDefault="008F0598" w:rsidP="008F0598">
                  <w:pPr>
                    <w:rPr>
                      <w:color w:val="000000"/>
                      <w:sz w:val="20"/>
                      <w:szCs w:val="20"/>
                    </w:rPr>
                  </w:pPr>
                  <w:r w:rsidRPr="00DF28AD">
                    <w:rPr>
                      <w:color w:val="000000"/>
                      <w:sz w:val="20"/>
                      <w:szCs w:val="20"/>
                    </w:rPr>
                    <w:t>Cilvēku tirdzniecība</w:t>
                  </w:r>
                </w:p>
              </w:tc>
              <w:tc>
                <w:tcPr>
                  <w:tcW w:w="1062" w:type="dxa"/>
                  <w:tcBorders>
                    <w:top w:val="nil"/>
                    <w:left w:val="nil"/>
                    <w:bottom w:val="single" w:sz="4" w:space="0" w:color="auto"/>
                    <w:right w:val="single" w:sz="4" w:space="0" w:color="auto"/>
                  </w:tcBorders>
                  <w:shd w:val="clear" w:color="000000" w:fill="D7E4BC"/>
                </w:tcPr>
                <w:p w:rsidR="008F0598" w:rsidRDefault="008F0598" w:rsidP="008F0598">
                  <w:pPr>
                    <w:jc w:val="center"/>
                    <w:rPr>
                      <w:color w:val="000000"/>
                      <w:sz w:val="20"/>
                      <w:szCs w:val="20"/>
                    </w:rPr>
                  </w:pPr>
                  <w:r>
                    <w:rPr>
                      <w:color w:val="000000"/>
                      <w:sz w:val="20"/>
                      <w:szCs w:val="20"/>
                    </w:rPr>
                    <w:t>70%</w:t>
                  </w:r>
                </w:p>
              </w:tc>
              <w:tc>
                <w:tcPr>
                  <w:tcW w:w="1809" w:type="dxa"/>
                  <w:tcBorders>
                    <w:top w:val="nil"/>
                    <w:left w:val="single" w:sz="4" w:space="0" w:color="auto"/>
                    <w:bottom w:val="single" w:sz="4" w:space="0" w:color="auto"/>
                    <w:right w:val="single" w:sz="4" w:space="0" w:color="auto"/>
                  </w:tcBorders>
                  <w:shd w:val="clear" w:color="000000" w:fill="D7E4BC"/>
                  <w:noWrap/>
                  <w:vAlign w:val="bottom"/>
                  <w:hideMark/>
                </w:tcPr>
                <w:p w:rsidR="008F0598" w:rsidRDefault="008F0598" w:rsidP="008F0598">
                  <w:pPr>
                    <w:jc w:val="center"/>
                    <w:rPr>
                      <w:color w:val="000000"/>
                      <w:sz w:val="20"/>
                      <w:szCs w:val="20"/>
                    </w:rPr>
                  </w:pPr>
                  <w:r w:rsidRPr="00DF28AD">
                    <w:rPr>
                      <w:color w:val="000000"/>
                      <w:sz w:val="20"/>
                      <w:szCs w:val="20"/>
                    </w:rPr>
                    <w:t>25</w:t>
                  </w:r>
                </w:p>
              </w:tc>
              <w:tc>
                <w:tcPr>
                  <w:tcW w:w="1175" w:type="dxa"/>
                  <w:tcBorders>
                    <w:top w:val="nil"/>
                    <w:left w:val="nil"/>
                    <w:bottom w:val="single" w:sz="4" w:space="0" w:color="auto"/>
                    <w:right w:val="single" w:sz="4" w:space="0" w:color="auto"/>
                  </w:tcBorders>
                  <w:shd w:val="clear" w:color="000000" w:fill="D7E4BC"/>
                  <w:noWrap/>
                  <w:vAlign w:val="bottom"/>
                  <w:hideMark/>
                </w:tcPr>
                <w:p w:rsidR="008F0598" w:rsidRDefault="008F0598" w:rsidP="008F0598">
                  <w:pPr>
                    <w:jc w:val="center"/>
                    <w:rPr>
                      <w:color w:val="000000"/>
                      <w:sz w:val="20"/>
                      <w:szCs w:val="20"/>
                    </w:rPr>
                  </w:pPr>
                  <w:r w:rsidRPr="00DF28AD">
                    <w:rPr>
                      <w:color w:val="000000"/>
                      <w:sz w:val="20"/>
                      <w:szCs w:val="20"/>
                    </w:rPr>
                    <w:t>14000</w:t>
                  </w:r>
                </w:p>
              </w:tc>
              <w:tc>
                <w:tcPr>
                  <w:tcW w:w="1175" w:type="dxa"/>
                  <w:tcBorders>
                    <w:top w:val="nil"/>
                    <w:left w:val="nil"/>
                    <w:bottom w:val="single" w:sz="4" w:space="0" w:color="auto"/>
                    <w:right w:val="single" w:sz="4" w:space="0" w:color="auto"/>
                  </w:tcBorders>
                  <w:shd w:val="clear" w:color="000000" w:fill="D7E4BC"/>
                  <w:noWrap/>
                  <w:vAlign w:val="bottom"/>
                  <w:hideMark/>
                </w:tcPr>
                <w:p w:rsidR="008F0598" w:rsidRDefault="008F0598" w:rsidP="008F0598">
                  <w:pPr>
                    <w:jc w:val="center"/>
                    <w:rPr>
                      <w:color w:val="000000"/>
                      <w:sz w:val="20"/>
                      <w:szCs w:val="20"/>
                    </w:rPr>
                  </w:pPr>
                  <w:r w:rsidRPr="00DF28AD">
                    <w:rPr>
                      <w:color w:val="000000"/>
                      <w:sz w:val="20"/>
                      <w:szCs w:val="20"/>
                    </w:rPr>
                    <w:t>20125</w:t>
                  </w:r>
                </w:p>
              </w:tc>
            </w:tr>
            <w:tr w:rsidR="008314D2" w:rsidRPr="00490546" w:rsidTr="00ED7745">
              <w:trPr>
                <w:trHeight w:val="229"/>
              </w:trPr>
              <w:tc>
                <w:tcPr>
                  <w:tcW w:w="2176" w:type="dxa"/>
                  <w:tcBorders>
                    <w:top w:val="nil"/>
                    <w:left w:val="single" w:sz="4" w:space="0" w:color="auto"/>
                    <w:bottom w:val="single" w:sz="4" w:space="0" w:color="auto"/>
                    <w:right w:val="single" w:sz="4" w:space="0" w:color="auto"/>
                  </w:tcBorders>
                  <w:shd w:val="clear" w:color="000000" w:fill="D7E4BC"/>
                  <w:noWrap/>
                  <w:vAlign w:val="bottom"/>
                  <w:hideMark/>
                </w:tcPr>
                <w:p w:rsidR="008F0598" w:rsidRPr="00490546" w:rsidRDefault="008F0598" w:rsidP="008F0598">
                  <w:pPr>
                    <w:jc w:val="right"/>
                    <w:rPr>
                      <w:b/>
                      <w:color w:val="000000"/>
                      <w:sz w:val="20"/>
                      <w:szCs w:val="20"/>
                    </w:rPr>
                  </w:pPr>
                  <w:r w:rsidRPr="00DF28AD">
                    <w:rPr>
                      <w:b/>
                      <w:color w:val="000000"/>
                      <w:sz w:val="20"/>
                      <w:szCs w:val="20"/>
                    </w:rPr>
                    <w:t> KOPĀ:</w:t>
                  </w:r>
                </w:p>
              </w:tc>
              <w:tc>
                <w:tcPr>
                  <w:tcW w:w="1062" w:type="dxa"/>
                  <w:tcBorders>
                    <w:top w:val="nil"/>
                    <w:left w:val="nil"/>
                    <w:bottom w:val="single" w:sz="4" w:space="0" w:color="auto"/>
                    <w:right w:val="single" w:sz="4" w:space="0" w:color="auto"/>
                  </w:tcBorders>
                  <w:shd w:val="clear" w:color="000000" w:fill="D7E4BC"/>
                </w:tcPr>
                <w:p w:rsidR="008F0598" w:rsidRPr="00490546" w:rsidRDefault="008F0598" w:rsidP="008F0598">
                  <w:pPr>
                    <w:rPr>
                      <w:b/>
                      <w:color w:val="000000"/>
                      <w:sz w:val="20"/>
                      <w:szCs w:val="20"/>
                    </w:rPr>
                  </w:pPr>
                </w:p>
              </w:tc>
              <w:tc>
                <w:tcPr>
                  <w:tcW w:w="1809" w:type="dxa"/>
                  <w:tcBorders>
                    <w:top w:val="nil"/>
                    <w:left w:val="single" w:sz="4" w:space="0" w:color="auto"/>
                    <w:bottom w:val="single" w:sz="4" w:space="0" w:color="auto"/>
                    <w:right w:val="single" w:sz="4" w:space="0" w:color="auto"/>
                  </w:tcBorders>
                  <w:shd w:val="clear" w:color="000000" w:fill="D7E4BC"/>
                  <w:noWrap/>
                  <w:vAlign w:val="bottom"/>
                  <w:hideMark/>
                </w:tcPr>
                <w:p w:rsidR="008F0598" w:rsidRDefault="008F0598" w:rsidP="008F0598">
                  <w:pPr>
                    <w:jc w:val="center"/>
                    <w:rPr>
                      <w:b/>
                      <w:color w:val="000000"/>
                      <w:sz w:val="20"/>
                      <w:szCs w:val="20"/>
                    </w:rPr>
                  </w:pPr>
                </w:p>
              </w:tc>
              <w:tc>
                <w:tcPr>
                  <w:tcW w:w="1175" w:type="dxa"/>
                  <w:tcBorders>
                    <w:top w:val="nil"/>
                    <w:left w:val="nil"/>
                    <w:bottom w:val="single" w:sz="4" w:space="0" w:color="auto"/>
                    <w:right w:val="single" w:sz="4" w:space="0" w:color="auto"/>
                  </w:tcBorders>
                  <w:shd w:val="clear" w:color="000000" w:fill="D7E4BC"/>
                  <w:noWrap/>
                  <w:vAlign w:val="bottom"/>
                  <w:hideMark/>
                </w:tcPr>
                <w:p w:rsidR="008F0598" w:rsidRDefault="008F0598" w:rsidP="008F0598">
                  <w:pPr>
                    <w:jc w:val="center"/>
                    <w:rPr>
                      <w:b/>
                      <w:color w:val="FF0000"/>
                      <w:sz w:val="20"/>
                      <w:szCs w:val="20"/>
                    </w:rPr>
                  </w:pPr>
                  <w:r w:rsidRPr="00DF28AD">
                    <w:rPr>
                      <w:b/>
                      <w:color w:val="FF0000"/>
                      <w:sz w:val="20"/>
                      <w:szCs w:val="20"/>
                    </w:rPr>
                    <w:t>320000</w:t>
                  </w:r>
                </w:p>
              </w:tc>
              <w:tc>
                <w:tcPr>
                  <w:tcW w:w="1175" w:type="dxa"/>
                  <w:tcBorders>
                    <w:top w:val="nil"/>
                    <w:left w:val="nil"/>
                    <w:bottom w:val="single" w:sz="4" w:space="0" w:color="auto"/>
                    <w:right w:val="single" w:sz="4" w:space="0" w:color="auto"/>
                  </w:tcBorders>
                  <w:shd w:val="clear" w:color="000000" w:fill="D7E4BC"/>
                  <w:noWrap/>
                  <w:vAlign w:val="bottom"/>
                  <w:hideMark/>
                </w:tcPr>
                <w:p w:rsidR="008F0598" w:rsidRDefault="008F0598" w:rsidP="008F0598">
                  <w:pPr>
                    <w:jc w:val="center"/>
                    <w:rPr>
                      <w:b/>
                      <w:color w:val="FF0000"/>
                      <w:sz w:val="20"/>
                      <w:szCs w:val="20"/>
                    </w:rPr>
                  </w:pPr>
                  <w:r w:rsidRPr="00DF28AD">
                    <w:rPr>
                      <w:b/>
                      <w:color w:val="FF0000"/>
                      <w:sz w:val="20"/>
                      <w:szCs w:val="20"/>
                    </w:rPr>
                    <w:t>460000</w:t>
                  </w:r>
                </w:p>
              </w:tc>
            </w:tr>
            <w:tr w:rsidR="008314D2" w:rsidRPr="00490546" w:rsidTr="00ED7745">
              <w:trPr>
                <w:trHeight w:val="229"/>
              </w:trPr>
              <w:tc>
                <w:tcPr>
                  <w:tcW w:w="2176" w:type="dxa"/>
                  <w:tcBorders>
                    <w:top w:val="nil"/>
                    <w:left w:val="single" w:sz="4" w:space="0" w:color="auto"/>
                    <w:bottom w:val="single" w:sz="4" w:space="0" w:color="auto"/>
                    <w:right w:val="single" w:sz="4" w:space="0" w:color="auto"/>
                  </w:tcBorders>
                  <w:shd w:val="clear" w:color="000000" w:fill="D7E4BC"/>
                  <w:noWrap/>
                  <w:vAlign w:val="bottom"/>
                  <w:hideMark/>
                </w:tcPr>
                <w:p w:rsidR="008F0598" w:rsidRPr="00490546" w:rsidRDefault="008F0598" w:rsidP="008F0598">
                  <w:pPr>
                    <w:rPr>
                      <w:color w:val="000000"/>
                      <w:sz w:val="20"/>
                      <w:szCs w:val="20"/>
                    </w:rPr>
                  </w:pPr>
                  <w:r w:rsidRPr="00DF28AD">
                    <w:rPr>
                      <w:color w:val="000000"/>
                      <w:sz w:val="20"/>
                      <w:szCs w:val="20"/>
                    </w:rPr>
                    <w:t> </w:t>
                  </w:r>
                </w:p>
              </w:tc>
              <w:tc>
                <w:tcPr>
                  <w:tcW w:w="1062" w:type="dxa"/>
                  <w:tcBorders>
                    <w:top w:val="nil"/>
                    <w:left w:val="nil"/>
                    <w:bottom w:val="single" w:sz="4" w:space="0" w:color="auto"/>
                    <w:right w:val="single" w:sz="4" w:space="0" w:color="auto"/>
                  </w:tcBorders>
                  <w:shd w:val="clear" w:color="000000" w:fill="D7E4BC"/>
                </w:tcPr>
                <w:p w:rsidR="008F0598" w:rsidRPr="00490546" w:rsidRDefault="008F0598" w:rsidP="008F0598">
                  <w:pPr>
                    <w:jc w:val="right"/>
                    <w:rPr>
                      <w:b/>
                      <w:color w:val="000000"/>
                      <w:sz w:val="20"/>
                      <w:szCs w:val="20"/>
                    </w:rPr>
                  </w:pPr>
                </w:p>
              </w:tc>
              <w:tc>
                <w:tcPr>
                  <w:tcW w:w="1809" w:type="dxa"/>
                  <w:tcBorders>
                    <w:top w:val="nil"/>
                    <w:left w:val="single" w:sz="4" w:space="0" w:color="auto"/>
                    <w:bottom w:val="single" w:sz="4" w:space="0" w:color="auto"/>
                    <w:right w:val="single" w:sz="4" w:space="0" w:color="auto"/>
                  </w:tcBorders>
                  <w:shd w:val="clear" w:color="000000" w:fill="D7E4BC"/>
                  <w:noWrap/>
                  <w:vAlign w:val="bottom"/>
                  <w:hideMark/>
                </w:tcPr>
                <w:p w:rsidR="008F0598" w:rsidRDefault="008F0598" w:rsidP="008F0598">
                  <w:pPr>
                    <w:jc w:val="center"/>
                    <w:rPr>
                      <w:b/>
                      <w:color w:val="000000"/>
                      <w:sz w:val="20"/>
                      <w:szCs w:val="20"/>
                    </w:rPr>
                  </w:pPr>
                  <w:r w:rsidRPr="00DF28AD">
                    <w:rPr>
                      <w:b/>
                      <w:color w:val="000000"/>
                      <w:sz w:val="20"/>
                      <w:szCs w:val="20"/>
                    </w:rPr>
                    <w:t>170000</w:t>
                  </w:r>
                </w:p>
              </w:tc>
              <w:tc>
                <w:tcPr>
                  <w:tcW w:w="1175" w:type="dxa"/>
                  <w:tcBorders>
                    <w:top w:val="nil"/>
                    <w:left w:val="nil"/>
                    <w:bottom w:val="single" w:sz="4" w:space="0" w:color="auto"/>
                    <w:right w:val="single" w:sz="4" w:space="0" w:color="auto"/>
                  </w:tcBorders>
                  <w:shd w:val="clear" w:color="000000" w:fill="D7E4BC"/>
                  <w:noWrap/>
                  <w:vAlign w:val="bottom"/>
                  <w:hideMark/>
                </w:tcPr>
                <w:p w:rsidR="008F0598" w:rsidRDefault="008F0598" w:rsidP="008F0598">
                  <w:pPr>
                    <w:jc w:val="center"/>
                    <w:rPr>
                      <w:color w:val="538ED5"/>
                      <w:sz w:val="20"/>
                      <w:szCs w:val="20"/>
                    </w:rPr>
                  </w:pPr>
                  <w:r w:rsidRPr="00DF28AD">
                    <w:rPr>
                      <w:color w:val="538ED5"/>
                      <w:sz w:val="20"/>
                      <w:szCs w:val="20"/>
                    </w:rPr>
                    <w:t>+150 000</w:t>
                  </w:r>
                </w:p>
              </w:tc>
              <w:tc>
                <w:tcPr>
                  <w:tcW w:w="1175" w:type="dxa"/>
                  <w:tcBorders>
                    <w:top w:val="nil"/>
                    <w:left w:val="nil"/>
                    <w:bottom w:val="single" w:sz="4" w:space="0" w:color="auto"/>
                    <w:right w:val="single" w:sz="4" w:space="0" w:color="auto"/>
                  </w:tcBorders>
                  <w:shd w:val="clear" w:color="000000" w:fill="D7E4BC"/>
                  <w:noWrap/>
                  <w:vAlign w:val="bottom"/>
                  <w:hideMark/>
                </w:tcPr>
                <w:p w:rsidR="008F0598" w:rsidRDefault="008F0598" w:rsidP="008F0598">
                  <w:pPr>
                    <w:jc w:val="center"/>
                    <w:rPr>
                      <w:color w:val="538ED5"/>
                      <w:sz w:val="20"/>
                      <w:szCs w:val="20"/>
                    </w:rPr>
                  </w:pPr>
                  <w:r w:rsidRPr="00DF28AD">
                    <w:rPr>
                      <w:color w:val="538ED5"/>
                      <w:sz w:val="20"/>
                      <w:szCs w:val="20"/>
                    </w:rPr>
                    <w:t>+140000</w:t>
                  </w:r>
                </w:p>
              </w:tc>
            </w:tr>
          </w:tbl>
          <w:p w:rsidR="00B76C17" w:rsidRDefault="00B76C17" w:rsidP="00250A9A">
            <w:pPr>
              <w:pStyle w:val="naisf"/>
              <w:spacing w:before="0" w:after="0"/>
              <w:ind w:firstLine="720"/>
              <w:rPr>
                <w:b/>
              </w:rPr>
            </w:pPr>
          </w:p>
          <w:p w:rsidR="00D61A88" w:rsidRPr="00D509AE" w:rsidRDefault="00D509AE" w:rsidP="00250A9A">
            <w:pPr>
              <w:pStyle w:val="naisf"/>
              <w:spacing w:before="0" w:after="0"/>
              <w:ind w:firstLine="720"/>
              <w:rPr>
                <w:b/>
              </w:rPr>
            </w:pPr>
            <w:r w:rsidRPr="00D509AE">
              <w:rPr>
                <w:b/>
              </w:rPr>
              <w:t>2015. gads:</w:t>
            </w:r>
          </w:p>
          <w:p w:rsidR="00D509AE" w:rsidRDefault="00D509AE" w:rsidP="00250A9A">
            <w:pPr>
              <w:pStyle w:val="naisf"/>
              <w:spacing w:before="0" w:after="0"/>
              <w:ind w:firstLine="720"/>
              <w:rPr>
                <w:b/>
                <w:bCs/>
              </w:rPr>
            </w:pPr>
            <w:r>
              <w:t>Šobrīd 2015.gadam netiek prognozēts valsts kompensācijas izmaks</w:t>
            </w:r>
            <w:r w:rsidR="00E84D8D">
              <w:t>āšan</w:t>
            </w:r>
            <w:r>
              <w:t xml:space="preserve">as gadījumu pieaugums, līdz ar </w:t>
            </w:r>
            <w:r w:rsidR="007746D4">
              <w:t xml:space="preserve">to </w:t>
            </w:r>
            <w:r>
              <w:t xml:space="preserve">2015.gadam nepieciešamo valsts budžeta līdzekļu apmērs ir </w:t>
            </w:r>
            <w:r w:rsidRPr="00D509AE">
              <w:rPr>
                <w:b/>
                <w:bCs/>
              </w:rPr>
              <w:t>460</w:t>
            </w:r>
            <w:r w:rsidRPr="00250A9A">
              <w:rPr>
                <w:b/>
                <w:bCs/>
              </w:rPr>
              <w:t xml:space="preserve"> 000 LVL</w:t>
            </w:r>
            <w:r w:rsidR="00E325EA" w:rsidRPr="00E325EA">
              <w:rPr>
                <w:bCs/>
              </w:rPr>
              <w:t>,</w:t>
            </w:r>
            <w:r w:rsidR="00E325EA">
              <w:rPr>
                <w:b/>
                <w:bCs/>
              </w:rPr>
              <w:t xml:space="preserve"> </w:t>
            </w:r>
            <w:r w:rsidR="00E325EA" w:rsidRPr="00C235A6">
              <w:rPr>
                <w:bCs/>
              </w:rPr>
              <w:t>tātad</w:t>
            </w:r>
            <w:r w:rsidR="00E325EA">
              <w:rPr>
                <w:b/>
                <w:bCs/>
              </w:rPr>
              <w:t xml:space="preserve"> </w:t>
            </w:r>
            <w:r w:rsidR="00E325EA" w:rsidRPr="00250A9A">
              <w:t>papildus 201</w:t>
            </w:r>
            <w:r w:rsidR="00E325EA">
              <w:t>5</w:t>
            </w:r>
            <w:r w:rsidR="00E325EA" w:rsidRPr="00250A9A">
              <w:t xml:space="preserve">.gadā </w:t>
            </w:r>
            <w:r w:rsidR="00E325EA">
              <w:t xml:space="preserve">attiecībā pret 2012.gadu </w:t>
            </w:r>
            <w:r w:rsidR="00E325EA" w:rsidRPr="00250A9A">
              <w:t>valsts kompensāciju izmaks</w:t>
            </w:r>
            <w:r w:rsidR="00E84D8D">
              <w:t>āšan</w:t>
            </w:r>
            <w:r w:rsidR="00E325EA" w:rsidRPr="00250A9A">
              <w:t xml:space="preserve">ai ir nepieciešami </w:t>
            </w:r>
            <w:r w:rsidR="00E325EA">
              <w:rPr>
                <w:b/>
              </w:rPr>
              <w:t>290 000 LVL</w:t>
            </w:r>
            <w:r w:rsidR="00E325EA" w:rsidRPr="00D509AE">
              <w:t>.</w:t>
            </w:r>
          </w:p>
          <w:p w:rsidR="00D509AE" w:rsidRPr="00250A9A" w:rsidRDefault="00D509AE" w:rsidP="00250A9A">
            <w:pPr>
              <w:pStyle w:val="naisf"/>
              <w:spacing w:before="0" w:after="0"/>
              <w:ind w:firstLine="720"/>
            </w:pPr>
          </w:p>
          <w:p w:rsidR="00D31FAB" w:rsidRDefault="00D61A88" w:rsidP="00250A9A">
            <w:pPr>
              <w:pStyle w:val="naisf"/>
              <w:spacing w:before="0" w:after="0"/>
              <w:ind w:firstLine="720"/>
            </w:pPr>
            <w:r w:rsidRPr="00250A9A">
              <w:t>201</w:t>
            </w:r>
            <w:r w:rsidR="00D11BFB">
              <w:t>6</w:t>
            </w:r>
            <w:r w:rsidRPr="00250A9A">
              <w:t>.</w:t>
            </w:r>
            <w:r w:rsidR="00AD0FF7" w:rsidRPr="00250A9A">
              <w:t> </w:t>
            </w:r>
            <w:r w:rsidRPr="00250A9A">
              <w:t xml:space="preserve">gadā un turpmākajos gados piešķiramo valsts budžeta līdzekļu plānotā </w:t>
            </w:r>
            <w:r w:rsidR="009A78D7" w:rsidRPr="00250A9A">
              <w:t>valsts kompensāciju</w:t>
            </w:r>
            <w:r w:rsidRPr="00250A9A">
              <w:t xml:space="preserve"> izmaks</w:t>
            </w:r>
            <w:r w:rsidR="00E84D8D">
              <w:t>āšan</w:t>
            </w:r>
            <w:r w:rsidR="007746D4">
              <w:t>ai</w:t>
            </w:r>
            <w:r w:rsidRPr="00250A9A">
              <w:t xml:space="preserve"> summa tiks noteikta atbilstoši veicamajām </w:t>
            </w:r>
            <w:r w:rsidR="009A78D7" w:rsidRPr="00250A9A">
              <w:t>valsts kompensāciju</w:t>
            </w:r>
            <w:r w:rsidRPr="00250A9A">
              <w:t xml:space="preserve"> izmaksām un saņemtajiem </w:t>
            </w:r>
            <w:r w:rsidR="009A78D7" w:rsidRPr="00250A9A">
              <w:t>valsts kompensāciju pieprasījumiem</w:t>
            </w:r>
            <w:r w:rsidRPr="00250A9A">
              <w:t>.</w:t>
            </w:r>
          </w:p>
          <w:p w:rsidR="007746D4" w:rsidRDefault="007746D4" w:rsidP="00D509AE">
            <w:pPr>
              <w:pStyle w:val="naisf"/>
              <w:spacing w:before="0" w:after="0"/>
              <w:ind w:firstLine="720"/>
            </w:pPr>
          </w:p>
          <w:p w:rsidR="00D509AE" w:rsidRPr="00250A9A" w:rsidRDefault="007746D4" w:rsidP="00DE7431">
            <w:pPr>
              <w:pStyle w:val="naisf"/>
              <w:spacing w:before="0" w:after="0"/>
              <w:ind w:firstLine="720"/>
            </w:pPr>
            <w:r w:rsidRPr="00250A9A">
              <w:t>Jāatzīmē, ka aprēķina pamatā nav ņemts vērā iespējamais minimālās mēneša</w:t>
            </w:r>
            <w:r>
              <w:t xml:space="preserve"> darba a</w:t>
            </w:r>
            <w:r w:rsidRPr="00250A9A">
              <w:t xml:space="preserve">lgas pieaugums. Kā arī nav precīzi prognozējams noziedzīgu nodarījumu skaita pieaugums, kā arī nav iespējams precīzi prognozēt, cik </w:t>
            </w:r>
            <w:r w:rsidR="00DE7431">
              <w:t>pieprasījumu</w:t>
            </w:r>
            <w:r w:rsidRPr="00250A9A">
              <w:t xml:space="preserve"> tiks iesniegti atbilstoši attiecīgām noziedzīga nodarījuma sekām</w:t>
            </w:r>
            <w:r>
              <w:t xml:space="preserve"> (kas arī nav prognozējami) un cik gadījumos noziedzīga nodarījuma izdarītājs cietušajam pats segs radušos kaitējumu</w:t>
            </w:r>
            <w:r w:rsidRPr="00250A9A">
              <w:t>.</w:t>
            </w:r>
          </w:p>
        </w:tc>
      </w:tr>
      <w:tr w:rsidR="00D61A88" w:rsidRPr="00250A9A" w:rsidTr="008C5969">
        <w:trPr>
          <w:jc w:val="center"/>
        </w:trPr>
        <w:tc>
          <w:tcPr>
            <w:tcW w:w="2310" w:type="dxa"/>
          </w:tcPr>
          <w:p w:rsidR="00D61A88" w:rsidRPr="00250A9A" w:rsidRDefault="00D61A88" w:rsidP="00250A9A">
            <w:pPr>
              <w:pStyle w:val="naisf"/>
              <w:spacing w:before="0" w:after="0"/>
              <w:ind w:firstLine="0"/>
            </w:pPr>
            <w:r w:rsidRPr="00250A9A">
              <w:t>6.1. detalizēts ieņēmumu aprēķins</w:t>
            </w:r>
          </w:p>
        </w:tc>
        <w:tc>
          <w:tcPr>
            <w:tcW w:w="6640" w:type="dxa"/>
            <w:gridSpan w:val="5"/>
            <w:vMerge/>
          </w:tcPr>
          <w:p w:rsidR="00D61A88" w:rsidRPr="00250A9A" w:rsidRDefault="00D61A88" w:rsidP="00250A9A">
            <w:pPr>
              <w:pStyle w:val="naisf"/>
              <w:spacing w:before="0" w:after="0"/>
              <w:ind w:firstLine="0"/>
              <w:rPr>
                <w:b/>
                <w:i/>
              </w:rPr>
            </w:pPr>
          </w:p>
        </w:tc>
      </w:tr>
      <w:tr w:rsidR="00D61A88" w:rsidRPr="00250A9A" w:rsidTr="008C5969">
        <w:trPr>
          <w:jc w:val="center"/>
        </w:trPr>
        <w:tc>
          <w:tcPr>
            <w:tcW w:w="2310" w:type="dxa"/>
          </w:tcPr>
          <w:p w:rsidR="00D61A88" w:rsidRPr="00250A9A" w:rsidRDefault="00D61A88" w:rsidP="00250A9A">
            <w:pPr>
              <w:pStyle w:val="naisf"/>
              <w:spacing w:before="0" w:after="0"/>
              <w:ind w:firstLine="0"/>
            </w:pPr>
            <w:r w:rsidRPr="00250A9A">
              <w:t>6.2. detalizēts izdevumu aprēķins</w:t>
            </w:r>
          </w:p>
        </w:tc>
        <w:tc>
          <w:tcPr>
            <w:tcW w:w="6640" w:type="dxa"/>
            <w:gridSpan w:val="5"/>
            <w:vMerge/>
          </w:tcPr>
          <w:p w:rsidR="00D61A88" w:rsidRPr="00250A9A" w:rsidRDefault="00D61A88" w:rsidP="00250A9A">
            <w:pPr>
              <w:pStyle w:val="naisf"/>
              <w:spacing w:before="0" w:after="0"/>
              <w:ind w:firstLine="0"/>
              <w:rPr>
                <w:b/>
                <w:i/>
              </w:rPr>
            </w:pPr>
          </w:p>
        </w:tc>
      </w:tr>
      <w:tr w:rsidR="00D61A88" w:rsidRPr="00250A9A" w:rsidTr="008C5969">
        <w:trPr>
          <w:jc w:val="center"/>
        </w:trPr>
        <w:tc>
          <w:tcPr>
            <w:tcW w:w="2310" w:type="dxa"/>
          </w:tcPr>
          <w:p w:rsidR="00D61A88" w:rsidRPr="00250A9A" w:rsidRDefault="00D61A88" w:rsidP="00250A9A">
            <w:pPr>
              <w:pStyle w:val="naisf"/>
              <w:spacing w:before="0" w:after="0"/>
              <w:ind w:firstLine="0"/>
            </w:pPr>
            <w:r w:rsidRPr="00250A9A">
              <w:t>7. Cita informācija</w:t>
            </w:r>
          </w:p>
        </w:tc>
        <w:tc>
          <w:tcPr>
            <w:tcW w:w="6640" w:type="dxa"/>
            <w:gridSpan w:val="5"/>
          </w:tcPr>
          <w:p w:rsidR="00FC7CAD" w:rsidRPr="00250A9A" w:rsidRDefault="002734BB" w:rsidP="00DB2F24">
            <w:pPr>
              <w:pStyle w:val="naisf"/>
              <w:spacing w:before="0" w:after="0"/>
              <w:ind w:firstLine="772"/>
            </w:pPr>
            <w:r>
              <w:t xml:space="preserve">2012.gada 16.augustā Ministru kabinets ir atbalstījis </w:t>
            </w:r>
            <w:r w:rsidRPr="002734BB">
              <w:t>Tieslietu ministrijas programmā 45.00.00 „Juridiskās palīdzības nodrošināšana” papildu finansējum</w:t>
            </w:r>
            <w:r>
              <w:t xml:space="preserve">a piešķiršanu </w:t>
            </w:r>
            <w:r w:rsidRPr="002734BB">
              <w:t xml:space="preserve">valsts kompensāciju izmaksai 2013. – 2015.gadam 173 088 </w:t>
            </w:r>
            <w:r w:rsidR="00DB2F24">
              <w:t>LVL</w:t>
            </w:r>
            <w:r w:rsidRPr="002734BB">
              <w:t xml:space="preserve"> katru gadu</w:t>
            </w:r>
            <w:r>
              <w:t xml:space="preserve">, vienlaicīgi paredzot, ka </w:t>
            </w:r>
            <w:r>
              <w:rPr>
                <w:rStyle w:val="spelle"/>
              </w:rPr>
              <w:t xml:space="preserve">jautājumu par papildu nepieciešamā finansējuma piešķiršanu </w:t>
            </w:r>
            <w:r>
              <w:t>normatīvā</w:t>
            </w:r>
            <w:r w:rsidRPr="002734BB">
              <w:t xml:space="preserve"> akt</w:t>
            </w:r>
            <w:r>
              <w:t>a</w:t>
            </w:r>
            <w:r w:rsidRPr="002734BB">
              <w:t xml:space="preserve"> īstenošanai 2014.gadā un turpmākajos gados izskatīt Ministru kabinetā kārtējā gada valsts budžeta likumprojekta sagatavošanas procesā </w:t>
            </w:r>
            <w:r>
              <w:rPr>
                <w:rStyle w:val="spelle"/>
              </w:rPr>
              <w:t>(2012.gada 16.augusta prot.</w:t>
            </w:r>
            <w:r w:rsidRPr="000E5B73">
              <w:rPr>
                <w:sz w:val="28"/>
                <w:szCs w:val="20"/>
              </w:rPr>
              <w:t xml:space="preserve"> </w:t>
            </w:r>
            <w:r w:rsidRPr="000E5B73">
              <w:t>Nr.46</w:t>
            </w:r>
            <w:r>
              <w:t xml:space="preserve"> 2</w:t>
            </w:r>
            <w:r w:rsidRPr="00297970">
              <w:t>2.§)</w:t>
            </w:r>
            <w:r>
              <w:t>.</w:t>
            </w:r>
          </w:p>
        </w:tc>
      </w:tr>
    </w:tbl>
    <w:p w:rsidR="00D61A88" w:rsidRPr="00250A9A" w:rsidRDefault="00D61A88" w:rsidP="00250A9A">
      <w:pPr>
        <w:pStyle w:val="naisf"/>
        <w:spacing w:before="0" w:after="0"/>
        <w:ind w:firstLine="0"/>
        <w:rPr>
          <w:i/>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
        <w:gridCol w:w="2678"/>
        <w:gridCol w:w="6111"/>
      </w:tblGrid>
      <w:tr w:rsidR="00717984" w:rsidRPr="00250A9A" w:rsidTr="00ED7745">
        <w:tc>
          <w:tcPr>
            <w:tcW w:w="9214" w:type="dxa"/>
            <w:gridSpan w:val="3"/>
          </w:tcPr>
          <w:p w:rsidR="00717984" w:rsidRPr="00250A9A" w:rsidRDefault="00717984" w:rsidP="00250A9A">
            <w:pPr>
              <w:pStyle w:val="naisf"/>
              <w:spacing w:before="0" w:after="0"/>
              <w:ind w:firstLine="0"/>
              <w:rPr>
                <w:b/>
                <w:bCs/>
              </w:rPr>
            </w:pPr>
            <w:r w:rsidRPr="00250A9A">
              <w:rPr>
                <w:b/>
                <w:bCs/>
              </w:rPr>
              <w:t>IV. Tiesību akta projekta ietekme uz spēkā esošo tiesību normu sistēmu</w:t>
            </w:r>
            <w:r w:rsidR="00AD0FF7" w:rsidRPr="00250A9A">
              <w:rPr>
                <w:b/>
                <w:bCs/>
              </w:rPr>
              <w:t xml:space="preserve"> </w:t>
            </w:r>
          </w:p>
        </w:tc>
      </w:tr>
      <w:tr w:rsidR="00717984" w:rsidRPr="00250A9A" w:rsidTr="00ED7745">
        <w:tc>
          <w:tcPr>
            <w:tcW w:w="425" w:type="dxa"/>
          </w:tcPr>
          <w:p w:rsidR="00717984" w:rsidRPr="00250A9A" w:rsidRDefault="00717984" w:rsidP="00250A9A">
            <w:pPr>
              <w:pStyle w:val="naisf"/>
              <w:spacing w:before="0" w:after="0"/>
              <w:ind w:firstLine="0"/>
              <w:rPr>
                <w:iCs/>
              </w:rPr>
            </w:pPr>
            <w:r w:rsidRPr="00250A9A">
              <w:rPr>
                <w:iCs/>
              </w:rPr>
              <w:t>1.</w:t>
            </w:r>
          </w:p>
        </w:tc>
        <w:tc>
          <w:tcPr>
            <w:tcW w:w="2678" w:type="dxa"/>
          </w:tcPr>
          <w:p w:rsidR="00717984" w:rsidRPr="00250A9A" w:rsidRDefault="00717984" w:rsidP="00250A9A">
            <w:pPr>
              <w:pStyle w:val="naisf"/>
              <w:spacing w:before="0" w:after="0"/>
              <w:ind w:firstLine="0"/>
              <w:rPr>
                <w:iCs/>
              </w:rPr>
            </w:pPr>
            <w:r w:rsidRPr="00250A9A">
              <w:t>Nepieciešamie saistītie tiesību aktu projekti</w:t>
            </w:r>
          </w:p>
        </w:tc>
        <w:tc>
          <w:tcPr>
            <w:tcW w:w="6111" w:type="dxa"/>
          </w:tcPr>
          <w:p w:rsidR="006F0D5E" w:rsidRPr="00250A9A" w:rsidRDefault="00F12AA0" w:rsidP="00250A9A">
            <w:pPr>
              <w:pStyle w:val="naisf"/>
              <w:tabs>
                <w:tab w:val="left" w:pos="5578"/>
              </w:tabs>
              <w:spacing w:before="0" w:after="0"/>
              <w:ind w:firstLine="720"/>
              <w:rPr>
                <w:iCs/>
              </w:rPr>
            </w:pPr>
            <w:r w:rsidRPr="00250A9A">
              <w:rPr>
                <w:iCs/>
              </w:rPr>
              <w:t xml:space="preserve">Saistībā ar </w:t>
            </w:r>
            <w:r w:rsidR="00E60705" w:rsidRPr="00250A9A">
              <w:rPr>
                <w:iCs/>
              </w:rPr>
              <w:t>Likump</w:t>
            </w:r>
            <w:r w:rsidRPr="00250A9A">
              <w:rPr>
                <w:iCs/>
              </w:rPr>
              <w:t xml:space="preserve">rojektā ietverto regulējumu </w:t>
            </w:r>
            <w:r w:rsidR="008A7DEA" w:rsidRPr="00250A9A">
              <w:rPr>
                <w:iCs/>
              </w:rPr>
              <w:t xml:space="preserve">attiecībā uz </w:t>
            </w:r>
            <w:r w:rsidR="00E60705" w:rsidRPr="00250A9A">
              <w:rPr>
                <w:iCs/>
              </w:rPr>
              <w:t>valsts kompensācijas pieprasījumā norādāmo ziņu apjomu</w:t>
            </w:r>
            <w:r w:rsidR="007E24A3" w:rsidRPr="00250A9A">
              <w:rPr>
                <w:iCs/>
              </w:rPr>
              <w:t xml:space="preserve"> nepieciešams pārskatīt </w:t>
            </w:r>
            <w:r w:rsidR="006F0D5E" w:rsidRPr="00250A9A">
              <w:rPr>
                <w:iCs/>
              </w:rPr>
              <w:t xml:space="preserve">Ministru kabineta 2011.gada 9.augusta </w:t>
            </w:r>
            <w:r w:rsidR="006F0D5E" w:rsidRPr="00250A9A">
              <w:rPr>
                <w:bCs/>
                <w:iCs/>
              </w:rPr>
              <w:t>noteikumos Nr.620 „Noteikumi par valsts kompensācijas pieprasījuma veidlapas paraugu”.</w:t>
            </w:r>
          </w:p>
          <w:p w:rsidR="00B1771F" w:rsidRDefault="00F12AA0" w:rsidP="00B1771F">
            <w:pPr>
              <w:pStyle w:val="naisf"/>
              <w:tabs>
                <w:tab w:val="left" w:pos="5578"/>
              </w:tabs>
              <w:spacing w:before="0" w:after="0"/>
              <w:ind w:firstLine="758"/>
              <w:rPr>
                <w:iCs/>
              </w:rPr>
            </w:pPr>
            <w:r w:rsidRPr="00250A9A">
              <w:rPr>
                <w:iCs/>
              </w:rPr>
              <w:t>Par Ministru kabineta noteikumu projekta izstrādi atbildīgā institūcija – Tieslietu ministrija.</w:t>
            </w:r>
          </w:p>
          <w:p w:rsidR="001C179D" w:rsidRPr="00B1771F" w:rsidRDefault="001C179D" w:rsidP="00B1771F">
            <w:pPr>
              <w:pStyle w:val="naisf"/>
              <w:tabs>
                <w:tab w:val="left" w:pos="5578"/>
              </w:tabs>
              <w:spacing w:before="0" w:after="0"/>
              <w:ind w:firstLine="758"/>
              <w:rPr>
                <w:iCs/>
              </w:rPr>
            </w:pPr>
            <w:r w:rsidRPr="00250A9A">
              <w:rPr>
                <w:iCs/>
              </w:rPr>
              <w:t>Saistībā ar Direktīvas 2011/36/E</w:t>
            </w:r>
            <w:r w:rsidR="00E670BC" w:rsidRPr="00250A9A">
              <w:rPr>
                <w:iCs/>
              </w:rPr>
              <w:t>S</w:t>
            </w:r>
            <w:r w:rsidRPr="00250A9A">
              <w:rPr>
                <w:iCs/>
              </w:rPr>
              <w:t xml:space="preserve"> pārņemšanu nacionālajos normatīvajos aktos nepieciešams izstrādāt grozījumus Krimināllikumā un Kriminālprocesa likumā. </w:t>
            </w:r>
            <w:r w:rsidR="007D1A9F" w:rsidRPr="00250A9A">
              <w:rPr>
                <w:iCs/>
              </w:rPr>
              <w:t xml:space="preserve">Plānots, ka grozījumi Krimināllikumā un Kriminālprocesa likumā stāsies spēkā </w:t>
            </w:r>
            <w:r w:rsidR="008F01B0" w:rsidRPr="00250A9A">
              <w:rPr>
                <w:iCs/>
              </w:rPr>
              <w:t>2013.gada 1.aprīlī.</w:t>
            </w:r>
          </w:p>
        </w:tc>
      </w:tr>
      <w:tr w:rsidR="00717984" w:rsidRPr="00250A9A" w:rsidTr="00ED7745">
        <w:tc>
          <w:tcPr>
            <w:tcW w:w="425" w:type="dxa"/>
          </w:tcPr>
          <w:p w:rsidR="00717984" w:rsidRPr="00250A9A" w:rsidRDefault="00717984" w:rsidP="00250A9A">
            <w:pPr>
              <w:pStyle w:val="naisf"/>
              <w:spacing w:before="0" w:after="0"/>
              <w:ind w:firstLine="0"/>
              <w:rPr>
                <w:iCs/>
              </w:rPr>
            </w:pPr>
            <w:r w:rsidRPr="00250A9A">
              <w:rPr>
                <w:iCs/>
              </w:rPr>
              <w:t>2.</w:t>
            </w:r>
          </w:p>
        </w:tc>
        <w:tc>
          <w:tcPr>
            <w:tcW w:w="2678" w:type="dxa"/>
          </w:tcPr>
          <w:p w:rsidR="00717984" w:rsidRPr="00250A9A" w:rsidRDefault="00717984" w:rsidP="00250A9A">
            <w:pPr>
              <w:pStyle w:val="naisf"/>
              <w:spacing w:before="0" w:after="0"/>
              <w:ind w:firstLine="0"/>
              <w:rPr>
                <w:iCs/>
              </w:rPr>
            </w:pPr>
            <w:r w:rsidRPr="00250A9A">
              <w:t>Cita informācija</w:t>
            </w:r>
          </w:p>
        </w:tc>
        <w:tc>
          <w:tcPr>
            <w:tcW w:w="6111" w:type="dxa"/>
          </w:tcPr>
          <w:p w:rsidR="00D31FAB" w:rsidRPr="00250A9A" w:rsidRDefault="00093F15" w:rsidP="00250A9A">
            <w:pPr>
              <w:pStyle w:val="naisf"/>
              <w:spacing w:before="0" w:after="0"/>
              <w:ind w:firstLine="0"/>
            </w:pPr>
            <w:r w:rsidRPr="00250A9A">
              <w:t xml:space="preserve">Nav </w:t>
            </w:r>
          </w:p>
        </w:tc>
      </w:tr>
    </w:tbl>
    <w:p w:rsidR="00AD0FF7" w:rsidRPr="00250A9A" w:rsidRDefault="00AD0FF7" w:rsidP="00250A9A">
      <w:pPr>
        <w:pStyle w:val="naisf"/>
        <w:spacing w:before="0" w:after="0"/>
        <w:ind w:firstLine="0"/>
      </w:pPr>
    </w:p>
    <w:tbl>
      <w:tblPr>
        <w:tblW w:w="9214" w:type="dxa"/>
        <w:tblInd w:w="17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425"/>
        <w:gridCol w:w="1560"/>
        <w:gridCol w:w="567"/>
        <w:gridCol w:w="1417"/>
        <w:gridCol w:w="436"/>
        <w:gridCol w:w="1407"/>
        <w:gridCol w:w="567"/>
        <w:gridCol w:w="2835"/>
      </w:tblGrid>
      <w:tr w:rsidR="00AD0FF7" w:rsidRPr="00250A9A" w:rsidTr="00ED7745">
        <w:trPr>
          <w:trHeight w:val="660"/>
        </w:trPr>
        <w:tc>
          <w:tcPr>
            <w:tcW w:w="9214" w:type="dxa"/>
            <w:gridSpan w:val="8"/>
            <w:tcBorders>
              <w:top w:val="outset" w:sz="6" w:space="0" w:color="auto"/>
              <w:left w:val="outset" w:sz="6" w:space="0" w:color="auto"/>
              <w:bottom w:val="outset" w:sz="6" w:space="0" w:color="auto"/>
              <w:right w:val="outset" w:sz="6" w:space="0" w:color="auto"/>
            </w:tcBorders>
            <w:vAlign w:val="center"/>
            <w:hideMark/>
          </w:tcPr>
          <w:p w:rsidR="00AD0FF7" w:rsidRPr="00250A9A" w:rsidRDefault="00AD0FF7" w:rsidP="00250A9A">
            <w:pPr>
              <w:pStyle w:val="naisf"/>
              <w:spacing w:before="0" w:after="0"/>
              <w:ind w:firstLine="0"/>
              <w:rPr>
                <w:b/>
              </w:rPr>
            </w:pPr>
            <w:r w:rsidRPr="00250A9A">
              <w:rPr>
                <w:b/>
              </w:rPr>
              <w:t>V. Tiesību akta projekta atbilstība Latvijas Republikas starptautiskajām saistībām</w:t>
            </w:r>
            <w:r w:rsidR="00FE5BA3" w:rsidRPr="00250A9A">
              <w:rPr>
                <w:b/>
              </w:rPr>
              <w:t xml:space="preserve"> </w:t>
            </w:r>
          </w:p>
        </w:tc>
      </w:tr>
      <w:tr w:rsidR="00AD0FF7" w:rsidRPr="00250A9A" w:rsidTr="00ED7745">
        <w:tc>
          <w:tcPr>
            <w:tcW w:w="425" w:type="dxa"/>
            <w:tcBorders>
              <w:top w:val="outset" w:sz="6" w:space="0" w:color="auto"/>
              <w:left w:val="outset" w:sz="6" w:space="0" w:color="auto"/>
              <w:bottom w:val="outset" w:sz="6" w:space="0" w:color="auto"/>
              <w:right w:val="outset" w:sz="6" w:space="0" w:color="auto"/>
            </w:tcBorders>
            <w:hideMark/>
          </w:tcPr>
          <w:p w:rsidR="00AD0FF7" w:rsidRPr="00250A9A" w:rsidRDefault="00AD0FF7" w:rsidP="00250A9A">
            <w:pPr>
              <w:pStyle w:val="naisf"/>
              <w:spacing w:before="0" w:after="0"/>
              <w:ind w:firstLine="0"/>
            </w:pPr>
            <w:r w:rsidRPr="00250A9A">
              <w:t>1.</w:t>
            </w:r>
          </w:p>
        </w:tc>
        <w:tc>
          <w:tcPr>
            <w:tcW w:w="3980" w:type="dxa"/>
            <w:gridSpan w:val="4"/>
            <w:tcBorders>
              <w:top w:val="outset" w:sz="6" w:space="0" w:color="auto"/>
              <w:left w:val="outset" w:sz="6" w:space="0" w:color="auto"/>
              <w:bottom w:val="outset" w:sz="6" w:space="0" w:color="auto"/>
              <w:right w:val="outset" w:sz="6" w:space="0" w:color="auto"/>
            </w:tcBorders>
            <w:hideMark/>
          </w:tcPr>
          <w:p w:rsidR="00AD0FF7" w:rsidRPr="00250A9A" w:rsidRDefault="00AD0FF7" w:rsidP="00250A9A">
            <w:pPr>
              <w:pStyle w:val="naisf"/>
              <w:spacing w:before="0" w:after="0"/>
              <w:ind w:firstLine="0"/>
            </w:pPr>
            <w:r w:rsidRPr="00250A9A">
              <w:t>Saistības pret Eiropas Savienību</w:t>
            </w:r>
          </w:p>
        </w:tc>
        <w:tc>
          <w:tcPr>
            <w:tcW w:w="4809" w:type="dxa"/>
            <w:gridSpan w:val="3"/>
            <w:tcBorders>
              <w:top w:val="outset" w:sz="6" w:space="0" w:color="auto"/>
              <w:left w:val="outset" w:sz="6" w:space="0" w:color="auto"/>
              <w:bottom w:val="outset" w:sz="6" w:space="0" w:color="auto"/>
              <w:right w:val="outset" w:sz="6" w:space="0" w:color="auto"/>
            </w:tcBorders>
            <w:hideMark/>
          </w:tcPr>
          <w:p w:rsidR="00AD0FF7" w:rsidRPr="00250A9A" w:rsidRDefault="002F1422" w:rsidP="00FC2A2E">
            <w:pPr>
              <w:pStyle w:val="naisf"/>
              <w:spacing w:before="0" w:after="0"/>
              <w:ind w:firstLine="0"/>
            </w:pPr>
            <w:r w:rsidRPr="00250A9A">
              <w:t xml:space="preserve">Eiropas Parlamenta un Padomes </w:t>
            </w:r>
            <w:r w:rsidRPr="00250A9A">
              <w:rPr>
                <w:bCs/>
              </w:rPr>
              <w:t xml:space="preserve">2011.gada 5.aprīļa </w:t>
            </w:r>
            <w:r w:rsidRPr="00250A9A">
              <w:t xml:space="preserve">direktīvas 2011/36/ES </w:t>
            </w:r>
            <w:r w:rsidRPr="00250A9A">
              <w:rPr>
                <w:bCs/>
              </w:rPr>
              <w:t>par cilvēku tirdzniecības novēršanu un apkarošanu un cietušo aizsardzību, un ar kuru aizstāj Padomes Pamatlēmumu 2002/629/TI 17.pantā noteikts, ka dalībvalstīm cilvēku tirdzniecībā cietušajiem jāno</w:t>
            </w:r>
            <w:r w:rsidRPr="00250A9A">
              <w:t>drošina piekļuv</w:t>
            </w:r>
            <w:r w:rsidR="00FC2A2E">
              <w:t>e</w:t>
            </w:r>
            <w:r w:rsidRPr="00250A9A">
              <w:t xml:space="preserve"> pastāvošajām shēmām, kas paredz kompensācijas ar nodomu veiktos vardarbīgos noziedzīgos nodarījumos. Direktīvā</w:t>
            </w:r>
            <w:r w:rsidR="002E5135" w:rsidRPr="00250A9A">
              <w:t xml:space="preserve"> 2011/36/ES</w:t>
            </w:r>
            <w:r w:rsidRPr="00250A9A">
              <w:t xml:space="preserve"> paredzētie nosacījumi jāievieš nacionālajā likumdošanā ne vēlāk kā līdz 2013.gada 6.aprīlim.</w:t>
            </w:r>
          </w:p>
        </w:tc>
      </w:tr>
      <w:tr w:rsidR="00AD0FF7" w:rsidRPr="00250A9A" w:rsidTr="00ED7745">
        <w:trPr>
          <w:trHeight w:val="551"/>
        </w:trPr>
        <w:tc>
          <w:tcPr>
            <w:tcW w:w="425" w:type="dxa"/>
            <w:tcBorders>
              <w:top w:val="outset" w:sz="6" w:space="0" w:color="auto"/>
              <w:left w:val="outset" w:sz="6" w:space="0" w:color="auto"/>
              <w:bottom w:val="outset" w:sz="6" w:space="0" w:color="auto"/>
              <w:right w:val="outset" w:sz="6" w:space="0" w:color="auto"/>
            </w:tcBorders>
            <w:hideMark/>
          </w:tcPr>
          <w:p w:rsidR="00AD0FF7" w:rsidRPr="00250A9A" w:rsidRDefault="00AD0FF7" w:rsidP="00250A9A">
            <w:pPr>
              <w:pStyle w:val="naisf"/>
              <w:spacing w:before="0" w:after="0"/>
              <w:ind w:firstLine="0"/>
            </w:pPr>
            <w:r w:rsidRPr="00250A9A">
              <w:t>2.</w:t>
            </w:r>
          </w:p>
        </w:tc>
        <w:tc>
          <w:tcPr>
            <w:tcW w:w="3980" w:type="dxa"/>
            <w:gridSpan w:val="4"/>
            <w:tcBorders>
              <w:top w:val="outset" w:sz="6" w:space="0" w:color="auto"/>
              <w:left w:val="outset" w:sz="6" w:space="0" w:color="auto"/>
              <w:bottom w:val="outset" w:sz="6" w:space="0" w:color="auto"/>
              <w:right w:val="outset" w:sz="6" w:space="0" w:color="auto"/>
            </w:tcBorders>
            <w:hideMark/>
          </w:tcPr>
          <w:p w:rsidR="00AD0FF7" w:rsidRPr="00250A9A" w:rsidRDefault="00AD0FF7" w:rsidP="00250A9A">
            <w:pPr>
              <w:pStyle w:val="naisf"/>
              <w:spacing w:before="0" w:after="0"/>
              <w:ind w:firstLine="0"/>
            </w:pPr>
            <w:r w:rsidRPr="00250A9A">
              <w:t>Citas starptautiskās saistības</w:t>
            </w:r>
          </w:p>
        </w:tc>
        <w:tc>
          <w:tcPr>
            <w:tcW w:w="4809" w:type="dxa"/>
            <w:gridSpan w:val="3"/>
            <w:tcBorders>
              <w:top w:val="outset" w:sz="6" w:space="0" w:color="auto"/>
              <w:left w:val="outset" w:sz="6" w:space="0" w:color="auto"/>
              <w:bottom w:val="outset" w:sz="6" w:space="0" w:color="auto"/>
              <w:right w:val="outset" w:sz="6" w:space="0" w:color="auto"/>
            </w:tcBorders>
            <w:hideMark/>
          </w:tcPr>
          <w:p w:rsidR="00AD0FF7" w:rsidRPr="00250A9A" w:rsidRDefault="002F1422" w:rsidP="00250A9A">
            <w:pPr>
              <w:pStyle w:val="naisf"/>
              <w:spacing w:before="0" w:after="0"/>
              <w:ind w:firstLine="0"/>
            </w:pPr>
            <w:r w:rsidRPr="00250A9A">
              <w:t>Nav</w:t>
            </w:r>
          </w:p>
        </w:tc>
      </w:tr>
      <w:tr w:rsidR="00AD0FF7" w:rsidRPr="00250A9A" w:rsidTr="00ED7745">
        <w:trPr>
          <w:trHeight w:val="506"/>
        </w:trPr>
        <w:tc>
          <w:tcPr>
            <w:tcW w:w="425" w:type="dxa"/>
            <w:tcBorders>
              <w:top w:val="outset" w:sz="6" w:space="0" w:color="auto"/>
              <w:left w:val="outset" w:sz="6" w:space="0" w:color="auto"/>
              <w:bottom w:val="outset" w:sz="6" w:space="0" w:color="auto"/>
              <w:right w:val="outset" w:sz="6" w:space="0" w:color="auto"/>
            </w:tcBorders>
            <w:hideMark/>
          </w:tcPr>
          <w:p w:rsidR="00AD0FF7" w:rsidRPr="00250A9A" w:rsidRDefault="00AD0FF7" w:rsidP="00250A9A">
            <w:pPr>
              <w:pStyle w:val="naisf"/>
              <w:spacing w:before="0" w:after="0"/>
              <w:ind w:firstLine="0"/>
            </w:pPr>
            <w:r w:rsidRPr="00250A9A">
              <w:t>3.</w:t>
            </w:r>
          </w:p>
        </w:tc>
        <w:tc>
          <w:tcPr>
            <w:tcW w:w="3980" w:type="dxa"/>
            <w:gridSpan w:val="4"/>
            <w:tcBorders>
              <w:top w:val="outset" w:sz="6" w:space="0" w:color="auto"/>
              <w:left w:val="outset" w:sz="6" w:space="0" w:color="auto"/>
              <w:bottom w:val="outset" w:sz="6" w:space="0" w:color="auto"/>
              <w:right w:val="outset" w:sz="6" w:space="0" w:color="auto"/>
            </w:tcBorders>
            <w:hideMark/>
          </w:tcPr>
          <w:p w:rsidR="00AD0FF7" w:rsidRPr="00250A9A" w:rsidRDefault="00AD0FF7" w:rsidP="00250A9A">
            <w:pPr>
              <w:pStyle w:val="naisf"/>
              <w:spacing w:before="0" w:after="0"/>
              <w:ind w:firstLine="0"/>
            </w:pPr>
            <w:r w:rsidRPr="00250A9A">
              <w:t>Cita informācija</w:t>
            </w:r>
          </w:p>
        </w:tc>
        <w:tc>
          <w:tcPr>
            <w:tcW w:w="4809" w:type="dxa"/>
            <w:gridSpan w:val="3"/>
            <w:tcBorders>
              <w:top w:val="outset" w:sz="6" w:space="0" w:color="auto"/>
              <w:left w:val="outset" w:sz="6" w:space="0" w:color="auto"/>
              <w:bottom w:val="outset" w:sz="6" w:space="0" w:color="auto"/>
              <w:right w:val="outset" w:sz="6" w:space="0" w:color="auto"/>
            </w:tcBorders>
            <w:hideMark/>
          </w:tcPr>
          <w:p w:rsidR="00AD0FF7" w:rsidRPr="00250A9A" w:rsidRDefault="00AD0FF7" w:rsidP="00250A9A">
            <w:pPr>
              <w:pStyle w:val="naisf"/>
              <w:spacing w:before="0" w:after="0"/>
              <w:ind w:firstLine="0"/>
            </w:pPr>
            <w:r w:rsidRPr="00250A9A">
              <w:t>Nav</w:t>
            </w:r>
          </w:p>
        </w:tc>
      </w:tr>
      <w:tr w:rsidR="00AD0FF7" w:rsidRPr="00250A9A" w:rsidTr="00ED7745">
        <w:trPr>
          <w:trHeight w:val="626"/>
        </w:trPr>
        <w:tc>
          <w:tcPr>
            <w:tcW w:w="9214" w:type="dxa"/>
            <w:gridSpan w:val="8"/>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D0FF7" w:rsidRPr="00250A9A" w:rsidRDefault="00AD0FF7" w:rsidP="00250A9A">
            <w:pPr>
              <w:pStyle w:val="naisf"/>
              <w:spacing w:before="0" w:after="0"/>
              <w:ind w:firstLine="0"/>
              <w:rPr>
                <w:b/>
              </w:rPr>
            </w:pPr>
            <w:r w:rsidRPr="00250A9A">
              <w:rPr>
                <w:b/>
              </w:rPr>
              <w:t>1.tabula</w:t>
            </w:r>
          </w:p>
          <w:p w:rsidR="00AD0FF7" w:rsidRPr="00250A9A" w:rsidRDefault="00AD0FF7" w:rsidP="00250A9A">
            <w:pPr>
              <w:pStyle w:val="naisf"/>
              <w:spacing w:before="0" w:after="0"/>
              <w:ind w:firstLine="0"/>
              <w:rPr>
                <w:b/>
                <w:bCs/>
              </w:rPr>
            </w:pPr>
            <w:r w:rsidRPr="00250A9A">
              <w:rPr>
                <w:b/>
              </w:rPr>
              <w:t>Tiesību akta projekta atbilstība ES tiesību aktiem</w:t>
            </w:r>
          </w:p>
        </w:tc>
      </w:tr>
      <w:tr w:rsidR="00AD0FF7" w:rsidRPr="00250A9A" w:rsidTr="00ED7745">
        <w:trPr>
          <w:trHeight w:val="1189"/>
        </w:trPr>
        <w:tc>
          <w:tcPr>
            <w:tcW w:w="3969" w:type="dxa"/>
            <w:gridSpan w:val="4"/>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D0FF7" w:rsidRPr="00250A9A" w:rsidRDefault="00AD0FF7" w:rsidP="00250A9A">
            <w:pPr>
              <w:pStyle w:val="naisf"/>
              <w:spacing w:before="0" w:after="0"/>
              <w:ind w:firstLine="0"/>
              <w:rPr>
                <w:b/>
                <w:bCs/>
              </w:rPr>
            </w:pPr>
            <w:r w:rsidRPr="00250A9A">
              <w:t>Attiecīgā ES tiesību akta datums, numurs un nosaukums</w:t>
            </w:r>
          </w:p>
        </w:tc>
        <w:tc>
          <w:tcPr>
            <w:tcW w:w="5245" w:type="dxa"/>
            <w:gridSpan w:val="4"/>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D0FF7" w:rsidRPr="00250A9A" w:rsidRDefault="003B212A" w:rsidP="00250A9A">
            <w:pPr>
              <w:pStyle w:val="naisf"/>
              <w:spacing w:before="0" w:after="0"/>
              <w:ind w:firstLine="0"/>
              <w:rPr>
                <w:b/>
                <w:bCs/>
              </w:rPr>
            </w:pPr>
            <w:r w:rsidRPr="00250A9A">
              <w:t xml:space="preserve">Eiropas Parlamenta un Padomes </w:t>
            </w:r>
            <w:r w:rsidRPr="00250A9A">
              <w:rPr>
                <w:bCs/>
              </w:rPr>
              <w:t xml:space="preserve">2011.gada 5.aprīļa </w:t>
            </w:r>
            <w:r w:rsidR="002E5135" w:rsidRPr="00250A9A">
              <w:rPr>
                <w:bCs/>
              </w:rPr>
              <w:t>D</w:t>
            </w:r>
            <w:r w:rsidRPr="00250A9A">
              <w:t xml:space="preserve">irektīva 2011/36/ES </w:t>
            </w:r>
            <w:r w:rsidRPr="00250A9A">
              <w:rPr>
                <w:bCs/>
              </w:rPr>
              <w:t>par cilvēku tirdzniecības novēršanu un apkarošanu un cietušo aizsardzību, un ar kuru aizstāj Padomes Pamatlēmumu 2002/629/TI</w:t>
            </w:r>
          </w:p>
        </w:tc>
      </w:tr>
      <w:tr w:rsidR="00AD0FF7" w:rsidRPr="00250A9A" w:rsidTr="00ED7745">
        <w:trPr>
          <w:trHeight w:val="210"/>
        </w:trPr>
        <w:tc>
          <w:tcPr>
            <w:tcW w:w="1985"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D0FF7" w:rsidRPr="00250A9A" w:rsidRDefault="00AD0FF7" w:rsidP="00250A9A">
            <w:pPr>
              <w:pStyle w:val="naisf"/>
              <w:spacing w:before="0" w:after="0"/>
              <w:ind w:firstLine="0"/>
              <w:rPr>
                <w:bCs/>
              </w:rPr>
            </w:pPr>
            <w:r w:rsidRPr="00250A9A">
              <w:rPr>
                <w:bCs/>
              </w:rPr>
              <w:t>A</w:t>
            </w:r>
          </w:p>
        </w:tc>
        <w:tc>
          <w:tcPr>
            <w:tcW w:w="198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D0FF7" w:rsidRPr="00250A9A" w:rsidRDefault="00AD0FF7" w:rsidP="00250A9A">
            <w:pPr>
              <w:pStyle w:val="naisf"/>
              <w:spacing w:before="0" w:after="0"/>
              <w:ind w:firstLine="0"/>
              <w:rPr>
                <w:bCs/>
              </w:rPr>
            </w:pPr>
            <w:r w:rsidRPr="00250A9A">
              <w:rPr>
                <w:bCs/>
              </w:rPr>
              <w:t>B</w:t>
            </w:r>
          </w:p>
        </w:tc>
        <w:tc>
          <w:tcPr>
            <w:tcW w:w="2410"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D0FF7" w:rsidRPr="00250A9A" w:rsidRDefault="00AD0FF7" w:rsidP="00250A9A">
            <w:pPr>
              <w:pStyle w:val="naisf"/>
              <w:spacing w:before="0" w:after="0"/>
              <w:ind w:firstLine="0"/>
              <w:rPr>
                <w:bCs/>
              </w:rPr>
            </w:pPr>
            <w:r w:rsidRPr="00250A9A">
              <w:rPr>
                <w:bCs/>
              </w:rPr>
              <w:t>C</w:t>
            </w:r>
          </w:p>
        </w:tc>
        <w:tc>
          <w:tcPr>
            <w:tcW w:w="28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D0FF7" w:rsidRPr="00250A9A" w:rsidRDefault="00AD0FF7" w:rsidP="00250A9A">
            <w:pPr>
              <w:pStyle w:val="naisf"/>
              <w:spacing w:before="0" w:after="0"/>
              <w:ind w:firstLine="0"/>
              <w:rPr>
                <w:bCs/>
              </w:rPr>
            </w:pPr>
            <w:r w:rsidRPr="00250A9A">
              <w:rPr>
                <w:bCs/>
              </w:rPr>
              <w:t>D</w:t>
            </w:r>
          </w:p>
        </w:tc>
      </w:tr>
      <w:tr w:rsidR="00AD0FF7" w:rsidRPr="00250A9A" w:rsidTr="00ED7745">
        <w:trPr>
          <w:trHeight w:val="210"/>
        </w:trPr>
        <w:tc>
          <w:tcPr>
            <w:tcW w:w="1985"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D0FF7" w:rsidRPr="00250A9A" w:rsidRDefault="00F1564B" w:rsidP="00F1564B">
            <w:pPr>
              <w:pStyle w:val="naisf"/>
              <w:spacing w:before="0" w:after="0"/>
              <w:ind w:firstLine="0"/>
              <w:rPr>
                <w:bCs/>
              </w:rPr>
            </w:pPr>
            <w:r>
              <w:rPr>
                <w:bCs/>
              </w:rPr>
              <w:t xml:space="preserve">17.pants </w:t>
            </w:r>
          </w:p>
        </w:tc>
        <w:tc>
          <w:tcPr>
            <w:tcW w:w="198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D0FF7" w:rsidRPr="00250A9A" w:rsidRDefault="00F1564B" w:rsidP="00F1564B">
            <w:pPr>
              <w:pStyle w:val="naisf"/>
              <w:spacing w:before="0" w:after="0"/>
              <w:ind w:firstLine="0"/>
              <w:rPr>
                <w:bCs/>
              </w:rPr>
            </w:pPr>
            <w:r>
              <w:rPr>
                <w:bCs/>
              </w:rPr>
              <w:t>3.pants</w:t>
            </w:r>
          </w:p>
        </w:tc>
        <w:tc>
          <w:tcPr>
            <w:tcW w:w="2410"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D0FF7" w:rsidRDefault="00F1564B" w:rsidP="00F1564B">
            <w:pPr>
              <w:pStyle w:val="naisf"/>
              <w:spacing w:before="0" w:after="0"/>
              <w:ind w:firstLine="0"/>
              <w:rPr>
                <w:bCs/>
              </w:rPr>
            </w:pPr>
            <w:r>
              <w:rPr>
                <w:bCs/>
              </w:rPr>
              <w:t>Pārņemta daļēji</w:t>
            </w:r>
            <w:r w:rsidR="00433CC3">
              <w:rPr>
                <w:bCs/>
              </w:rPr>
              <w:t>, ar likumprojektu tiek papildinātas cietušo tiesības</w:t>
            </w:r>
            <w:r w:rsidR="00721553">
              <w:rPr>
                <w:bCs/>
              </w:rPr>
              <w:t xml:space="preserve"> uz valsts kompensāciju</w:t>
            </w:r>
            <w:r w:rsidR="00433CC3">
              <w:rPr>
                <w:bCs/>
              </w:rPr>
              <w:t>, proti, tiek paredzēts, ka cietušajam tiesības uz valsts kompensāciju ir, ja tas ir cietis no cilvēku tirdzniecības</w:t>
            </w:r>
            <w:r>
              <w:rPr>
                <w:bCs/>
              </w:rPr>
              <w:t>;</w:t>
            </w:r>
          </w:p>
          <w:p w:rsidR="00F1564B" w:rsidRPr="00250A9A" w:rsidRDefault="00433CC3" w:rsidP="00433CC3">
            <w:pPr>
              <w:pStyle w:val="naisf"/>
              <w:spacing w:before="0" w:after="0"/>
              <w:ind w:firstLine="0"/>
              <w:rPr>
                <w:bCs/>
              </w:rPr>
            </w:pPr>
            <w:r>
              <w:rPr>
                <w:bCs/>
              </w:rPr>
              <w:t>Ar Kriminālprocesa likumu norma ir pārņemta pilnībā, proti, Kriminālprocesa likuma 22.pants nosaka, ka p</w:t>
            </w:r>
            <w:r w:rsidRPr="00433CC3">
              <w:rPr>
                <w:bCs/>
              </w:rPr>
              <w:t>ersonai, kurai ar noziedzīgu nodarījumu radīts kaitējums, ņemot vērā tās morālo aizskārumu, fiziskās ciešanas un mantisko zaudējumu, tiek garantētas procesuālās iespējas morālas un materiālas kompensācijas pieprasīšanai un saņemšanai.</w:t>
            </w:r>
          </w:p>
        </w:tc>
        <w:tc>
          <w:tcPr>
            <w:tcW w:w="28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D0FF7" w:rsidRPr="00250A9A" w:rsidRDefault="00AD0FF7" w:rsidP="00250A9A">
            <w:pPr>
              <w:pStyle w:val="naisf"/>
              <w:spacing w:before="0" w:after="0"/>
              <w:ind w:firstLine="0"/>
              <w:rPr>
                <w:bCs/>
              </w:rPr>
            </w:pPr>
            <w:r w:rsidRPr="00250A9A">
              <w:rPr>
                <w:bCs/>
              </w:rPr>
              <w:t>Nav attiecināms</w:t>
            </w:r>
          </w:p>
        </w:tc>
      </w:tr>
      <w:tr w:rsidR="00AD0FF7" w:rsidRPr="00250A9A" w:rsidTr="00ED7745">
        <w:trPr>
          <w:trHeight w:val="1987"/>
        </w:trPr>
        <w:tc>
          <w:tcPr>
            <w:tcW w:w="2552"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D0FF7" w:rsidRPr="00250A9A" w:rsidRDefault="00AD0FF7" w:rsidP="00250A9A">
            <w:pPr>
              <w:pStyle w:val="naisf"/>
              <w:spacing w:before="0" w:after="0"/>
              <w:ind w:firstLine="0"/>
              <w:rPr>
                <w:b/>
                <w:bCs/>
              </w:rPr>
            </w:pPr>
            <w:r w:rsidRPr="00250A9A">
              <w:t>Kā ir izmantota ES tiesību aktā paredzētā rīcības brīvība dalībvalstij pārņemt vai ieviest noteiktas ES tiesību akta normas. Kādēļ?</w:t>
            </w:r>
          </w:p>
        </w:tc>
        <w:tc>
          <w:tcPr>
            <w:tcW w:w="6662" w:type="dxa"/>
            <w:gridSpan w:val="5"/>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D0FF7" w:rsidRPr="00250A9A" w:rsidRDefault="00AD0FF7" w:rsidP="00250A9A">
            <w:pPr>
              <w:pStyle w:val="naisf"/>
              <w:spacing w:before="0" w:after="0"/>
              <w:ind w:firstLine="0"/>
              <w:rPr>
                <w:b/>
                <w:bCs/>
              </w:rPr>
            </w:pPr>
            <w:r w:rsidRPr="00250A9A">
              <w:t>Nav attiecināms</w:t>
            </w:r>
          </w:p>
        </w:tc>
      </w:tr>
      <w:tr w:rsidR="00AD0FF7" w:rsidRPr="00250A9A" w:rsidTr="00ED7745">
        <w:trPr>
          <w:trHeight w:val="419"/>
        </w:trPr>
        <w:tc>
          <w:tcPr>
            <w:tcW w:w="2552"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D0FF7" w:rsidRPr="00250A9A" w:rsidRDefault="00AD0FF7" w:rsidP="00250A9A">
            <w:pPr>
              <w:pStyle w:val="naisf"/>
              <w:spacing w:before="0" w:after="0"/>
              <w:ind w:firstLine="0"/>
              <w:rPr>
                <w:b/>
                <w:bCs/>
              </w:rPr>
            </w:pPr>
            <w:r w:rsidRPr="00250A9A">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662" w:type="dxa"/>
            <w:gridSpan w:val="5"/>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D0FF7" w:rsidRPr="00250A9A" w:rsidRDefault="00AD0FF7" w:rsidP="00250A9A">
            <w:pPr>
              <w:pStyle w:val="naisf"/>
              <w:spacing w:before="0" w:after="0"/>
              <w:ind w:firstLine="0"/>
              <w:rPr>
                <w:b/>
                <w:bCs/>
              </w:rPr>
            </w:pPr>
            <w:r w:rsidRPr="00250A9A">
              <w:t>Nav</w:t>
            </w:r>
          </w:p>
        </w:tc>
      </w:tr>
      <w:tr w:rsidR="00AD0FF7" w:rsidRPr="00250A9A" w:rsidTr="00ED7745">
        <w:trPr>
          <w:trHeight w:val="410"/>
        </w:trPr>
        <w:tc>
          <w:tcPr>
            <w:tcW w:w="2552"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D0FF7" w:rsidRPr="00250A9A" w:rsidRDefault="00AD0FF7" w:rsidP="00250A9A">
            <w:pPr>
              <w:pStyle w:val="naisf"/>
              <w:spacing w:before="0" w:after="0"/>
              <w:ind w:firstLine="0"/>
              <w:rPr>
                <w:b/>
                <w:bCs/>
              </w:rPr>
            </w:pPr>
            <w:r w:rsidRPr="00250A9A">
              <w:t>Cita informācija</w:t>
            </w:r>
          </w:p>
        </w:tc>
        <w:tc>
          <w:tcPr>
            <w:tcW w:w="6662" w:type="dxa"/>
            <w:gridSpan w:val="5"/>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D0FF7" w:rsidRPr="00250A9A" w:rsidRDefault="00AD0FF7" w:rsidP="00250A9A">
            <w:pPr>
              <w:pStyle w:val="naisf"/>
              <w:spacing w:before="0" w:after="0"/>
              <w:ind w:firstLine="0"/>
              <w:rPr>
                <w:b/>
                <w:bCs/>
              </w:rPr>
            </w:pPr>
            <w:r w:rsidRPr="00250A9A">
              <w:t>Nav</w:t>
            </w:r>
          </w:p>
        </w:tc>
      </w:tr>
      <w:tr w:rsidR="00AD0FF7" w:rsidRPr="00250A9A" w:rsidTr="00ED7745">
        <w:trPr>
          <w:trHeight w:val="15"/>
        </w:trPr>
        <w:tc>
          <w:tcPr>
            <w:tcW w:w="9214" w:type="dxa"/>
            <w:gridSpan w:val="8"/>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D0FF7" w:rsidRPr="00250A9A" w:rsidRDefault="00AD0FF7" w:rsidP="00250A9A">
            <w:pPr>
              <w:pStyle w:val="naisf"/>
              <w:spacing w:before="0" w:after="0"/>
              <w:ind w:firstLine="0"/>
            </w:pPr>
            <w:r w:rsidRPr="00250A9A">
              <w:rPr>
                <w:b/>
                <w:bCs/>
              </w:rPr>
              <w:t>2.tabula</w:t>
            </w:r>
            <w:r w:rsidRPr="00250A9A">
              <w:rPr>
                <w:b/>
                <w:bCs/>
              </w:rPr>
              <w:br/>
              <w:t>Ar tiesību akta projektu izpildītās vai uzņemtās saistības, kas izriet no starptautiskajiem tiesību aktiem vai starptautiskas institūcijas vai organizācijas dokumentiem.</w:t>
            </w:r>
            <w:r w:rsidRPr="00250A9A">
              <w:rPr>
                <w:b/>
                <w:bCs/>
              </w:rPr>
              <w:br/>
              <w:t>Pasākumi šo saistību izpildei</w:t>
            </w:r>
            <w:r w:rsidR="00FE5BA3" w:rsidRPr="00250A9A">
              <w:rPr>
                <w:b/>
                <w:bCs/>
              </w:rPr>
              <w:t xml:space="preserve"> </w:t>
            </w:r>
          </w:p>
        </w:tc>
      </w:tr>
      <w:tr w:rsidR="00AD0FF7" w:rsidRPr="00250A9A" w:rsidTr="00ED7745">
        <w:trPr>
          <w:trHeight w:val="15"/>
        </w:trPr>
        <w:tc>
          <w:tcPr>
            <w:tcW w:w="2552"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D0FF7" w:rsidRPr="00250A9A" w:rsidRDefault="00AD0FF7" w:rsidP="00250A9A">
            <w:pPr>
              <w:pStyle w:val="naisf"/>
              <w:spacing w:before="0" w:after="0"/>
              <w:ind w:firstLine="0"/>
            </w:pPr>
            <w:r w:rsidRPr="00250A9A">
              <w:t>Attiecīgā starptautiskā tiesību akta vai starptautiskas institūcijas vai organizācijas dokumenta (turpmāk – starptautiskais dokuments) datums, numurs un nosaukums</w:t>
            </w:r>
          </w:p>
        </w:tc>
        <w:tc>
          <w:tcPr>
            <w:tcW w:w="6662" w:type="dxa"/>
            <w:gridSpan w:val="5"/>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D0FF7" w:rsidRPr="00250A9A" w:rsidRDefault="00433CC3" w:rsidP="00250A9A">
            <w:pPr>
              <w:pStyle w:val="naisf"/>
              <w:spacing w:before="0" w:after="0"/>
              <w:ind w:firstLine="0"/>
            </w:pPr>
            <w:r w:rsidRPr="00250A9A">
              <w:rPr>
                <w:bCs/>
              </w:rPr>
              <w:t>Nav attiecināms</w:t>
            </w:r>
          </w:p>
        </w:tc>
      </w:tr>
      <w:tr w:rsidR="00AD0FF7" w:rsidRPr="00250A9A" w:rsidTr="00ED7745">
        <w:trPr>
          <w:trHeight w:val="15"/>
        </w:trPr>
        <w:tc>
          <w:tcPr>
            <w:tcW w:w="2552"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D0FF7" w:rsidRPr="00250A9A" w:rsidRDefault="00AD0FF7" w:rsidP="00250A9A">
            <w:pPr>
              <w:pStyle w:val="naisf"/>
              <w:spacing w:before="0" w:after="0"/>
              <w:ind w:firstLine="0"/>
            </w:pPr>
            <w:r w:rsidRPr="00250A9A">
              <w:t>A</w:t>
            </w:r>
          </w:p>
        </w:tc>
        <w:tc>
          <w:tcPr>
            <w:tcW w:w="3260"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D0FF7" w:rsidRPr="00250A9A" w:rsidRDefault="00AD0FF7" w:rsidP="00250A9A">
            <w:pPr>
              <w:pStyle w:val="naisf"/>
              <w:spacing w:before="0" w:after="0"/>
              <w:ind w:firstLine="0"/>
            </w:pPr>
            <w:r w:rsidRPr="00250A9A">
              <w:t>B</w:t>
            </w:r>
          </w:p>
        </w:tc>
        <w:tc>
          <w:tcPr>
            <w:tcW w:w="3402"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D0FF7" w:rsidRPr="00250A9A" w:rsidRDefault="00AD0FF7" w:rsidP="00250A9A">
            <w:pPr>
              <w:pStyle w:val="naisf"/>
              <w:spacing w:before="0" w:after="0"/>
              <w:ind w:firstLine="0"/>
            </w:pPr>
            <w:r w:rsidRPr="00250A9A">
              <w:t>C</w:t>
            </w:r>
          </w:p>
        </w:tc>
      </w:tr>
      <w:tr w:rsidR="00AD0FF7" w:rsidRPr="00250A9A" w:rsidTr="00ED7745">
        <w:trPr>
          <w:trHeight w:val="15"/>
        </w:trPr>
        <w:tc>
          <w:tcPr>
            <w:tcW w:w="2552"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D0FF7" w:rsidRPr="00250A9A" w:rsidRDefault="00433CC3" w:rsidP="00250A9A">
            <w:pPr>
              <w:pStyle w:val="naisf"/>
              <w:spacing w:before="0" w:after="0"/>
              <w:ind w:firstLine="0"/>
            </w:pPr>
            <w:r w:rsidRPr="00250A9A">
              <w:rPr>
                <w:bCs/>
              </w:rPr>
              <w:t>Nav attiecināms</w:t>
            </w:r>
          </w:p>
        </w:tc>
        <w:tc>
          <w:tcPr>
            <w:tcW w:w="3260"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E421D" w:rsidRPr="00250A9A" w:rsidRDefault="00433CC3" w:rsidP="00250A9A">
            <w:pPr>
              <w:pStyle w:val="naisf"/>
              <w:spacing w:before="0" w:after="0"/>
              <w:ind w:firstLine="0"/>
            </w:pPr>
            <w:r w:rsidRPr="00250A9A">
              <w:rPr>
                <w:bCs/>
              </w:rPr>
              <w:t>Nav attiecināms</w:t>
            </w:r>
          </w:p>
        </w:tc>
        <w:tc>
          <w:tcPr>
            <w:tcW w:w="3402"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D0FF7" w:rsidRPr="00250A9A" w:rsidRDefault="00433CC3" w:rsidP="00250A9A">
            <w:pPr>
              <w:pStyle w:val="naisf"/>
              <w:spacing w:before="0" w:after="0"/>
              <w:ind w:firstLine="0"/>
            </w:pPr>
            <w:r w:rsidRPr="00250A9A">
              <w:rPr>
                <w:bCs/>
              </w:rPr>
              <w:t>Nav attiecināms</w:t>
            </w:r>
          </w:p>
        </w:tc>
      </w:tr>
      <w:tr w:rsidR="00AD0FF7" w:rsidRPr="00250A9A" w:rsidTr="00ED7745">
        <w:trPr>
          <w:trHeight w:val="15"/>
        </w:trPr>
        <w:tc>
          <w:tcPr>
            <w:tcW w:w="2552"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D0FF7" w:rsidRPr="00250A9A" w:rsidRDefault="00AD0FF7" w:rsidP="00250A9A">
            <w:pPr>
              <w:pStyle w:val="naisf"/>
              <w:spacing w:before="0" w:after="0"/>
              <w:ind w:firstLine="0"/>
            </w:pPr>
            <w:r w:rsidRPr="00250A9A">
              <w:t>Vai starptautiskajā dokumentā paredzētās saistības nav pretrunā ar jau esošajām Latvijas Republikas starptautiskajām saistībām</w:t>
            </w:r>
            <w:r w:rsidR="009F2BEC" w:rsidRPr="00250A9A">
              <w:t xml:space="preserve"> </w:t>
            </w:r>
          </w:p>
        </w:tc>
        <w:tc>
          <w:tcPr>
            <w:tcW w:w="6662" w:type="dxa"/>
            <w:gridSpan w:val="5"/>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D0FF7" w:rsidRPr="00250A9A" w:rsidRDefault="00433CC3" w:rsidP="00433CC3">
            <w:pPr>
              <w:pStyle w:val="naisf"/>
              <w:spacing w:before="0" w:after="0"/>
              <w:ind w:firstLine="0"/>
            </w:pPr>
            <w:r w:rsidRPr="00250A9A">
              <w:rPr>
                <w:bCs/>
              </w:rPr>
              <w:t>Nav attiecināms</w:t>
            </w:r>
          </w:p>
        </w:tc>
      </w:tr>
      <w:tr w:rsidR="00AD0FF7" w:rsidRPr="00250A9A" w:rsidTr="00ED7745">
        <w:trPr>
          <w:trHeight w:val="15"/>
        </w:trPr>
        <w:tc>
          <w:tcPr>
            <w:tcW w:w="2552"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D0FF7" w:rsidRPr="00250A9A" w:rsidRDefault="00AD0FF7" w:rsidP="00250A9A">
            <w:pPr>
              <w:pStyle w:val="naisf"/>
              <w:spacing w:before="0" w:after="0"/>
              <w:ind w:firstLine="0"/>
            </w:pPr>
            <w:r w:rsidRPr="00250A9A">
              <w:t>Cita informācija</w:t>
            </w:r>
          </w:p>
        </w:tc>
        <w:tc>
          <w:tcPr>
            <w:tcW w:w="6662" w:type="dxa"/>
            <w:gridSpan w:val="5"/>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D0FF7" w:rsidRPr="00250A9A" w:rsidRDefault="00AD0FF7" w:rsidP="00250A9A">
            <w:pPr>
              <w:pStyle w:val="naisf"/>
              <w:spacing w:before="0" w:after="0"/>
              <w:ind w:firstLine="0"/>
            </w:pPr>
            <w:r w:rsidRPr="00250A9A">
              <w:t>Nav</w:t>
            </w:r>
          </w:p>
        </w:tc>
      </w:tr>
    </w:tbl>
    <w:p w:rsidR="00AD0FF7" w:rsidRPr="00250A9A" w:rsidRDefault="00AD0FF7" w:rsidP="00250A9A">
      <w:pPr>
        <w:pStyle w:val="naisf"/>
        <w:spacing w:before="0" w:after="0"/>
        <w:ind w:firstLine="0"/>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214"/>
      </w:tblGrid>
      <w:tr w:rsidR="00AD0FF7" w:rsidRPr="00250A9A" w:rsidTr="00ED7745">
        <w:tc>
          <w:tcPr>
            <w:tcW w:w="9214" w:type="dxa"/>
            <w:tcBorders>
              <w:top w:val="single" w:sz="4" w:space="0" w:color="auto"/>
              <w:left w:val="single" w:sz="4" w:space="0" w:color="auto"/>
              <w:bottom w:val="single" w:sz="4" w:space="0" w:color="auto"/>
              <w:right w:val="single" w:sz="4" w:space="0" w:color="auto"/>
            </w:tcBorders>
            <w:hideMark/>
          </w:tcPr>
          <w:p w:rsidR="002445C9" w:rsidRPr="00250A9A" w:rsidRDefault="00AD0FF7" w:rsidP="005E45B0">
            <w:pPr>
              <w:pStyle w:val="naisf"/>
              <w:spacing w:before="0" w:after="0"/>
              <w:ind w:left="142" w:hanging="142"/>
              <w:rPr>
                <w:b/>
                <w:bCs/>
              </w:rPr>
            </w:pPr>
            <w:r w:rsidRPr="00250A9A">
              <w:rPr>
                <w:b/>
                <w:bCs/>
              </w:rPr>
              <w:t>VI. Sabiedrības līdzdalība un šīs līdzdalības rezultāti</w:t>
            </w:r>
          </w:p>
        </w:tc>
      </w:tr>
      <w:tr w:rsidR="005E45B0" w:rsidRPr="00250A9A" w:rsidTr="00ED7745">
        <w:tc>
          <w:tcPr>
            <w:tcW w:w="9214" w:type="dxa"/>
            <w:tcBorders>
              <w:top w:val="single" w:sz="4" w:space="0" w:color="auto"/>
              <w:left w:val="single" w:sz="4" w:space="0" w:color="auto"/>
              <w:bottom w:val="single" w:sz="4" w:space="0" w:color="auto"/>
              <w:right w:val="single" w:sz="4" w:space="0" w:color="auto"/>
            </w:tcBorders>
            <w:hideMark/>
          </w:tcPr>
          <w:p w:rsidR="005E45B0" w:rsidRPr="005E45B0" w:rsidRDefault="005E45B0" w:rsidP="005E45B0">
            <w:pPr>
              <w:pStyle w:val="tvhtml"/>
              <w:spacing w:before="0" w:beforeAutospacing="0" w:after="0" w:afterAutospacing="0"/>
              <w:jc w:val="center"/>
              <w:rPr>
                <w:rFonts w:ascii="Times New Roman" w:hAnsi="Times New Roman"/>
                <w:sz w:val="24"/>
                <w:szCs w:val="24"/>
              </w:rPr>
            </w:pPr>
            <w:r w:rsidRPr="005E45B0">
              <w:rPr>
                <w:rFonts w:ascii="Times New Roman" w:hAnsi="Times New Roman"/>
                <w:i/>
                <w:iCs/>
                <w:sz w:val="24"/>
                <w:szCs w:val="24"/>
              </w:rPr>
              <w:t>Projekts šo jomu neskar</w:t>
            </w:r>
          </w:p>
        </w:tc>
      </w:tr>
      <w:tr w:rsidR="005E45B0" w:rsidRPr="00250A9A" w:rsidTr="00ED7745">
        <w:tc>
          <w:tcPr>
            <w:tcW w:w="9214" w:type="dxa"/>
            <w:tcBorders>
              <w:top w:val="single" w:sz="4" w:space="0" w:color="auto"/>
              <w:left w:val="single" w:sz="4" w:space="0" w:color="auto"/>
              <w:bottom w:val="single" w:sz="4" w:space="0" w:color="auto"/>
              <w:right w:val="single" w:sz="4" w:space="0" w:color="auto"/>
            </w:tcBorders>
            <w:hideMark/>
          </w:tcPr>
          <w:p w:rsidR="005E45B0" w:rsidRPr="00250A9A" w:rsidRDefault="005E45B0" w:rsidP="00250A9A">
            <w:pPr>
              <w:pStyle w:val="naisf"/>
              <w:spacing w:before="0" w:after="0"/>
              <w:ind w:firstLine="0"/>
              <w:rPr>
                <w:b/>
                <w:bCs/>
              </w:rPr>
            </w:pPr>
          </w:p>
        </w:tc>
      </w:tr>
    </w:tbl>
    <w:p w:rsidR="005E45B0" w:rsidRPr="00250A9A" w:rsidRDefault="005E45B0" w:rsidP="00250A9A">
      <w:pPr>
        <w:pStyle w:val="naisf"/>
        <w:spacing w:before="0" w:after="0"/>
        <w:ind w:firstLine="0"/>
      </w:pPr>
    </w:p>
    <w:tbl>
      <w:tblPr>
        <w:tblW w:w="92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425"/>
        <w:gridCol w:w="3969"/>
        <w:gridCol w:w="4820"/>
      </w:tblGrid>
      <w:tr w:rsidR="00AD0FF7" w:rsidRPr="00250A9A" w:rsidTr="00ED7745">
        <w:tc>
          <w:tcPr>
            <w:tcW w:w="9214" w:type="dxa"/>
            <w:gridSpan w:val="3"/>
            <w:tcBorders>
              <w:top w:val="single" w:sz="4" w:space="0" w:color="auto"/>
              <w:left w:val="single" w:sz="4" w:space="0" w:color="auto"/>
              <w:bottom w:val="single" w:sz="4" w:space="0" w:color="auto"/>
              <w:right w:val="single" w:sz="4" w:space="0" w:color="auto"/>
            </w:tcBorders>
            <w:hideMark/>
          </w:tcPr>
          <w:p w:rsidR="002445C9" w:rsidRPr="00250A9A" w:rsidRDefault="00AD0FF7" w:rsidP="00250A9A">
            <w:pPr>
              <w:pStyle w:val="naisf"/>
              <w:spacing w:before="0" w:after="0"/>
              <w:ind w:firstLine="0"/>
              <w:rPr>
                <w:b/>
                <w:bCs/>
              </w:rPr>
            </w:pPr>
            <w:r w:rsidRPr="00250A9A">
              <w:rPr>
                <w:b/>
                <w:bCs/>
              </w:rPr>
              <w:t>VII. Tiesību akta projekta izpildes nodrošināšana un tās ietekme uz institūcijām</w:t>
            </w:r>
          </w:p>
        </w:tc>
      </w:tr>
      <w:tr w:rsidR="00AD0FF7" w:rsidRPr="00250A9A" w:rsidTr="00ED7745">
        <w:trPr>
          <w:trHeight w:val="427"/>
        </w:trPr>
        <w:tc>
          <w:tcPr>
            <w:tcW w:w="425" w:type="dxa"/>
            <w:tcBorders>
              <w:top w:val="single" w:sz="4" w:space="0" w:color="auto"/>
              <w:left w:val="single" w:sz="4" w:space="0" w:color="auto"/>
              <w:bottom w:val="single" w:sz="4" w:space="0" w:color="auto"/>
              <w:right w:val="single" w:sz="4" w:space="0" w:color="auto"/>
            </w:tcBorders>
            <w:hideMark/>
          </w:tcPr>
          <w:p w:rsidR="002445C9" w:rsidRPr="00250A9A" w:rsidRDefault="00AD0FF7" w:rsidP="00250A9A">
            <w:pPr>
              <w:pStyle w:val="naisf"/>
              <w:spacing w:before="0" w:after="0"/>
              <w:ind w:firstLine="0"/>
              <w:rPr>
                <w:bCs/>
              </w:rPr>
            </w:pPr>
            <w:r w:rsidRPr="00250A9A">
              <w:rPr>
                <w:bCs/>
              </w:rPr>
              <w:t>1.</w:t>
            </w:r>
          </w:p>
        </w:tc>
        <w:tc>
          <w:tcPr>
            <w:tcW w:w="3969" w:type="dxa"/>
            <w:tcBorders>
              <w:top w:val="single" w:sz="4" w:space="0" w:color="auto"/>
              <w:left w:val="single" w:sz="4" w:space="0" w:color="auto"/>
              <w:bottom w:val="single" w:sz="4" w:space="0" w:color="auto"/>
              <w:right w:val="single" w:sz="4" w:space="0" w:color="auto"/>
            </w:tcBorders>
            <w:hideMark/>
          </w:tcPr>
          <w:p w:rsidR="002445C9" w:rsidRPr="00250A9A" w:rsidRDefault="00AD0FF7" w:rsidP="00250A9A">
            <w:pPr>
              <w:pStyle w:val="naisf"/>
              <w:spacing w:before="0" w:after="0"/>
              <w:ind w:firstLine="0"/>
            </w:pPr>
            <w:r w:rsidRPr="00250A9A">
              <w:t xml:space="preserve">Projekta izpildē iesaistītās institūcijas </w:t>
            </w:r>
          </w:p>
        </w:tc>
        <w:tc>
          <w:tcPr>
            <w:tcW w:w="4820" w:type="dxa"/>
            <w:tcBorders>
              <w:top w:val="single" w:sz="4" w:space="0" w:color="auto"/>
              <w:left w:val="single" w:sz="4" w:space="0" w:color="auto"/>
              <w:bottom w:val="single" w:sz="4" w:space="0" w:color="auto"/>
              <w:right w:val="single" w:sz="4" w:space="0" w:color="auto"/>
            </w:tcBorders>
            <w:hideMark/>
          </w:tcPr>
          <w:p w:rsidR="002445C9" w:rsidRPr="00250A9A" w:rsidRDefault="007F3DA2" w:rsidP="00250A9A">
            <w:pPr>
              <w:pStyle w:val="naisf"/>
              <w:spacing w:before="0" w:after="0"/>
              <w:ind w:firstLine="0"/>
              <w:rPr>
                <w:bCs/>
              </w:rPr>
            </w:pPr>
            <w:r w:rsidRPr="00250A9A">
              <w:rPr>
                <w:bCs/>
              </w:rPr>
              <w:t>JPA</w:t>
            </w:r>
            <w:r w:rsidR="00A32E86">
              <w:rPr>
                <w:bCs/>
              </w:rPr>
              <w:t>, kriminālprocesa virzītāji</w:t>
            </w:r>
          </w:p>
        </w:tc>
      </w:tr>
      <w:tr w:rsidR="00AD0FF7" w:rsidRPr="00250A9A" w:rsidTr="00ED7745">
        <w:trPr>
          <w:trHeight w:val="463"/>
        </w:trPr>
        <w:tc>
          <w:tcPr>
            <w:tcW w:w="425" w:type="dxa"/>
            <w:tcBorders>
              <w:top w:val="single" w:sz="4" w:space="0" w:color="auto"/>
              <w:left w:val="single" w:sz="4" w:space="0" w:color="auto"/>
              <w:bottom w:val="single" w:sz="4" w:space="0" w:color="auto"/>
              <w:right w:val="single" w:sz="4" w:space="0" w:color="auto"/>
            </w:tcBorders>
            <w:hideMark/>
          </w:tcPr>
          <w:p w:rsidR="002445C9" w:rsidRPr="00250A9A" w:rsidRDefault="00AD0FF7" w:rsidP="00250A9A">
            <w:pPr>
              <w:pStyle w:val="naisf"/>
              <w:spacing w:before="0" w:after="0"/>
              <w:ind w:firstLine="0"/>
              <w:rPr>
                <w:bCs/>
              </w:rPr>
            </w:pPr>
            <w:r w:rsidRPr="00250A9A">
              <w:rPr>
                <w:bCs/>
              </w:rPr>
              <w:t>2.</w:t>
            </w:r>
          </w:p>
        </w:tc>
        <w:tc>
          <w:tcPr>
            <w:tcW w:w="3969" w:type="dxa"/>
            <w:tcBorders>
              <w:top w:val="single" w:sz="4" w:space="0" w:color="auto"/>
              <w:left w:val="single" w:sz="4" w:space="0" w:color="auto"/>
              <w:bottom w:val="single" w:sz="4" w:space="0" w:color="auto"/>
              <w:right w:val="single" w:sz="4" w:space="0" w:color="auto"/>
            </w:tcBorders>
            <w:hideMark/>
          </w:tcPr>
          <w:p w:rsidR="002445C9" w:rsidRPr="00250A9A" w:rsidRDefault="00AD0FF7" w:rsidP="00250A9A">
            <w:pPr>
              <w:pStyle w:val="naisf"/>
              <w:spacing w:before="0" w:after="0"/>
              <w:ind w:firstLine="0"/>
            </w:pPr>
            <w:r w:rsidRPr="00250A9A">
              <w:t xml:space="preserve">Projekta izpildes ietekme uz pārvaldes funkcijām </w:t>
            </w:r>
          </w:p>
        </w:tc>
        <w:tc>
          <w:tcPr>
            <w:tcW w:w="4820" w:type="dxa"/>
            <w:tcBorders>
              <w:top w:val="single" w:sz="4" w:space="0" w:color="auto"/>
              <w:left w:val="single" w:sz="4" w:space="0" w:color="auto"/>
              <w:bottom w:val="single" w:sz="4" w:space="0" w:color="auto"/>
              <w:right w:val="single" w:sz="4" w:space="0" w:color="auto"/>
            </w:tcBorders>
            <w:hideMark/>
          </w:tcPr>
          <w:p w:rsidR="002445C9" w:rsidRPr="00250A9A" w:rsidRDefault="00A32E86" w:rsidP="00A32E86">
            <w:pPr>
              <w:pStyle w:val="naisf"/>
              <w:spacing w:before="0" w:after="0"/>
              <w:ind w:firstLine="0"/>
              <w:rPr>
                <w:bCs/>
              </w:rPr>
            </w:pPr>
            <w:r>
              <w:rPr>
                <w:bCs/>
              </w:rPr>
              <w:t xml:space="preserve">Likumprojekts </w:t>
            </w:r>
            <w:r w:rsidR="008C34BE">
              <w:rPr>
                <w:bCs/>
              </w:rPr>
              <w:t>ne</w:t>
            </w:r>
            <w:r w:rsidR="00AD0FF7" w:rsidRPr="00250A9A">
              <w:rPr>
                <w:bCs/>
                <w:iCs/>
              </w:rPr>
              <w:t xml:space="preserve">paplašinās </w:t>
            </w:r>
            <w:r w:rsidR="000528A3" w:rsidRPr="00250A9A">
              <w:rPr>
                <w:bCs/>
                <w:iCs/>
              </w:rPr>
              <w:t>JPA</w:t>
            </w:r>
            <w:r w:rsidR="00AD0FF7" w:rsidRPr="00250A9A">
              <w:rPr>
                <w:bCs/>
                <w:iCs/>
              </w:rPr>
              <w:t xml:space="preserve"> </w:t>
            </w:r>
            <w:r>
              <w:rPr>
                <w:bCs/>
                <w:iCs/>
              </w:rPr>
              <w:t xml:space="preserve">un </w:t>
            </w:r>
            <w:r>
              <w:rPr>
                <w:bCs/>
              </w:rPr>
              <w:t>kriminālprocesa virzītāju</w:t>
            </w:r>
            <w:r w:rsidRPr="00250A9A">
              <w:rPr>
                <w:bCs/>
                <w:iCs/>
              </w:rPr>
              <w:t xml:space="preserve"> </w:t>
            </w:r>
            <w:r w:rsidR="00AD0FF7" w:rsidRPr="00250A9A">
              <w:rPr>
                <w:bCs/>
                <w:iCs/>
              </w:rPr>
              <w:t xml:space="preserve">funkcijas, </w:t>
            </w:r>
            <w:r>
              <w:rPr>
                <w:bCs/>
                <w:iCs/>
              </w:rPr>
              <w:t xml:space="preserve">ar Likumprojektu </w:t>
            </w:r>
            <w:r w:rsidR="008C34BE">
              <w:rPr>
                <w:bCs/>
                <w:iCs/>
              </w:rPr>
              <w:t>tiek paplašināts to gadījumu skaits, kad cietušajam ir tiesības saņemt valsts kompensāciju</w:t>
            </w:r>
            <w:r>
              <w:rPr>
                <w:bCs/>
                <w:iCs/>
              </w:rPr>
              <w:t xml:space="preserve"> un noteikti apmēra noteikšanas nosacījumi</w:t>
            </w:r>
            <w:r w:rsidR="008C34BE">
              <w:rPr>
                <w:bCs/>
                <w:iCs/>
              </w:rPr>
              <w:t>.</w:t>
            </w:r>
          </w:p>
        </w:tc>
      </w:tr>
      <w:tr w:rsidR="00AD0FF7" w:rsidRPr="00250A9A" w:rsidTr="00ED7745">
        <w:trPr>
          <w:trHeight w:val="725"/>
        </w:trPr>
        <w:tc>
          <w:tcPr>
            <w:tcW w:w="425" w:type="dxa"/>
            <w:tcBorders>
              <w:top w:val="single" w:sz="4" w:space="0" w:color="auto"/>
              <w:left w:val="single" w:sz="4" w:space="0" w:color="auto"/>
              <w:bottom w:val="single" w:sz="4" w:space="0" w:color="auto"/>
              <w:right w:val="single" w:sz="4" w:space="0" w:color="auto"/>
            </w:tcBorders>
            <w:hideMark/>
          </w:tcPr>
          <w:p w:rsidR="002445C9" w:rsidRPr="00250A9A" w:rsidRDefault="00AD0FF7" w:rsidP="00250A9A">
            <w:pPr>
              <w:pStyle w:val="naisf"/>
              <w:spacing w:before="0" w:after="0"/>
              <w:ind w:firstLine="0"/>
              <w:rPr>
                <w:bCs/>
              </w:rPr>
            </w:pPr>
            <w:r w:rsidRPr="00250A9A">
              <w:rPr>
                <w:bCs/>
              </w:rPr>
              <w:t>3.</w:t>
            </w:r>
          </w:p>
        </w:tc>
        <w:tc>
          <w:tcPr>
            <w:tcW w:w="3969" w:type="dxa"/>
            <w:tcBorders>
              <w:top w:val="single" w:sz="4" w:space="0" w:color="auto"/>
              <w:left w:val="single" w:sz="4" w:space="0" w:color="auto"/>
              <w:bottom w:val="single" w:sz="4" w:space="0" w:color="auto"/>
              <w:right w:val="single" w:sz="4" w:space="0" w:color="auto"/>
            </w:tcBorders>
            <w:hideMark/>
          </w:tcPr>
          <w:p w:rsidR="00AD0FF7" w:rsidRPr="00250A9A" w:rsidRDefault="00AD0FF7" w:rsidP="00250A9A">
            <w:pPr>
              <w:pStyle w:val="naisf"/>
              <w:spacing w:before="0" w:after="0"/>
              <w:ind w:firstLine="0"/>
            </w:pPr>
            <w:r w:rsidRPr="00250A9A">
              <w:t>Projekta izpildes ietekme uz pārvaldes institucionālo struktūru.</w:t>
            </w:r>
          </w:p>
          <w:p w:rsidR="002445C9" w:rsidRPr="00250A9A" w:rsidRDefault="00AD0FF7" w:rsidP="00250A9A">
            <w:pPr>
              <w:pStyle w:val="naisf"/>
              <w:spacing w:before="0" w:after="0"/>
              <w:ind w:firstLine="0"/>
            </w:pPr>
            <w:r w:rsidRPr="00250A9A">
              <w:t>Jaunu institūciju izveide</w:t>
            </w:r>
          </w:p>
        </w:tc>
        <w:tc>
          <w:tcPr>
            <w:tcW w:w="4820" w:type="dxa"/>
            <w:tcBorders>
              <w:top w:val="single" w:sz="4" w:space="0" w:color="auto"/>
              <w:left w:val="single" w:sz="4" w:space="0" w:color="auto"/>
              <w:bottom w:val="single" w:sz="4" w:space="0" w:color="auto"/>
              <w:right w:val="single" w:sz="4" w:space="0" w:color="auto"/>
            </w:tcBorders>
            <w:hideMark/>
          </w:tcPr>
          <w:p w:rsidR="002445C9" w:rsidRPr="00250A9A" w:rsidRDefault="00AD0FF7" w:rsidP="00250A9A">
            <w:pPr>
              <w:pStyle w:val="naisf"/>
              <w:spacing w:before="0" w:after="0"/>
              <w:ind w:firstLine="0"/>
              <w:rPr>
                <w:bCs/>
              </w:rPr>
            </w:pPr>
            <w:r w:rsidRPr="00250A9A">
              <w:rPr>
                <w:bCs/>
              </w:rPr>
              <w:t>Projekts šo jomu neskar</w:t>
            </w:r>
          </w:p>
        </w:tc>
      </w:tr>
      <w:tr w:rsidR="00AD0FF7" w:rsidRPr="00250A9A" w:rsidTr="00ED7745">
        <w:trPr>
          <w:trHeight w:val="780"/>
        </w:trPr>
        <w:tc>
          <w:tcPr>
            <w:tcW w:w="425" w:type="dxa"/>
            <w:tcBorders>
              <w:top w:val="single" w:sz="4" w:space="0" w:color="auto"/>
              <w:left w:val="single" w:sz="4" w:space="0" w:color="auto"/>
              <w:bottom w:val="single" w:sz="4" w:space="0" w:color="auto"/>
              <w:right w:val="single" w:sz="4" w:space="0" w:color="auto"/>
            </w:tcBorders>
            <w:hideMark/>
          </w:tcPr>
          <w:p w:rsidR="002445C9" w:rsidRPr="00250A9A" w:rsidRDefault="00AD0FF7" w:rsidP="00250A9A">
            <w:pPr>
              <w:pStyle w:val="naisf"/>
              <w:spacing w:before="0" w:after="0"/>
              <w:ind w:firstLine="0"/>
              <w:rPr>
                <w:bCs/>
              </w:rPr>
            </w:pPr>
            <w:r w:rsidRPr="00250A9A">
              <w:rPr>
                <w:bCs/>
              </w:rPr>
              <w:t xml:space="preserve">  4.</w:t>
            </w:r>
          </w:p>
        </w:tc>
        <w:tc>
          <w:tcPr>
            <w:tcW w:w="3969" w:type="dxa"/>
            <w:tcBorders>
              <w:top w:val="single" w:sz="4" w:space="0" w:color="auto"/>
              <w:left w:val="single" w:sz="4" w:space="0" w:color="auto"/>
              <w:bottom w:val="single" w:sz="4" w:space="0" w:color="auto"/>
              <w:right w:val="single" w:sz="4" w:space="0" w:color="auto"/>
            </w:tcBorders>
            <w:hideMark/>
          </w:tcPr>
          <w:p w:rsidR="00AD0FF7" w:rsidRPr="00250A9A" w:rsidRDefault="00AD0FF7" w:rsidP="00250A9A">
            <w:pPr>
              <w:pStyle w:val="naisf"/>
              <w:spacing w:before="0" w:after="0"/>
              <w:ind w:firstLine="0"/>
            </w:pPr>
            <w:r w:rsidRPr="00250A9A">
              <w:t>Projekta izpildes ietekme uz pārvaldes institucionālo struktūru.</w:t>
            </w:r>
          </w:p>
          <w:p w:rsidR="002445C9" w:rsidRPr="00250A9A" w:rsidRDefault="00AD0FF7" w:rsidP="00250A9A">
            <w:pPr>
              <w:pStyle w:val="naisf"/>
              <w:spacing w:before="0" w:after="0"/>
              <w:ind w:firstLine="0"/>
            </w:pPr>
            <w:r w:rsidRPr="00250A9A">
              <w:t>Esošu institūciju likvidācija</w:t>
            </w:r>
          </w:p>
        </w:tc>
        <w:tc>
          <w:tcPr>
            <w:tcW w:w="4820" w:type="dxa"/>
            <w:tcBorders>
              <w:top w:val="single" w:sz="4" w:space="0" w:color="auto"/>
              <w:left w:val="single" w:sz="4" w:space="0" w:color="auto"/>
              <w:bottom w:val="single" w:sz="4" w:space="0" w:color="auto"/>
              <w:right w:val="single" w:sz="4" w:space="0" w:color="auto"/>
            </w:tcBorders>
            <w:hideMark/>
          </w:tcPr>
          <w:p w:rsidR="002445C9" w:rsidRPr="00250A9A" w:rsidRDefault="00AD0FF7" w:rsidP="00250A9A">
            <w:pPr>
              <w:pStyle w:val="naisf"/>
              <w:spacing w:before="0" w:after="0"/>
              <w:ind w:firstLine="0"/>
              <w:rPr>
                <w:bCs/>
              </w:rPr>
            </w:pPr>
            <w:r w:rsidRPr="00250A9A">
              <w:rPr>
                <w:bCs/>
              </w:rPr>
              <w:t>Projekts šo jomu neskar</w:t>
            </w:r>
          </w:p>
        </w:tc>
      </w:tr>
      <w:tr w:rsidR="00AD0FF7" w:rsidRPr="00250A9A" w:rsidTr="00ED7745">
        <w:trPr>
          <w:trHeight w:val="703"/>
        </w:trPr>
        <w:tc>
          <w:tcPr>
            <w:tcW w:w="425" w:type="dxa"/>
            <w:tcBorders>
              <w:top w:val="single" w:sz="4" w:space="0" w:color="auto"/>
              <w:left w:val="single" w:sz="4" w:space="0" w:color="auto"/>
              <w:bottom w:val="single" w:sz="4" w:space="0" w:color="auto"/>
              <w:right w:val="single" w:sz="4" w:space="0" w:color="auto"/>
            </w:tcBorders>
            <w:hideMark/>
          </w:tcPr>
          <w:p w:rsidR="002445C9" w:rsidRPr="00250A9A" w:rsidRDefault="00AD0FF7" w:rsidP="00250A9A">
            <w:pPr>
              <w:pStyle w:val="naisf"/>
              <w:spacing w:before="0" w:after="0"/>
              <w:ind w:firstLine="0"/>
              <w:rPr>
                <w:bCs/>
              </w:rPr>
            </w:pPr>
            <w:r w:rsidRPr="00250A9A">
              <w:rPr>
                <w:bCs/>
              </w:rPr>
              <w:t>5.</w:t>
            </w:r>
          </w:p>
        </w:tc>
        <w:tc>
          <w:tcPr>
            <w:tcW w:w="3969" w:type="dxa"/>
            <w:tcBorders>
              <w:top w:val="single" w:sz="4" w:space="0" w:color="auto"/>
              <w:left w:val="single" w:sz="4" w:space="0" w:color="auto"/>
              <w:bottom w:val="single" w:sz="4" w:space="0" w:color="auto"/>
              <w:right w:val="single" w:sz="4" w:space="0" w:color="auto"/>
            </w:tcBorders>
            <w:hideMark/>
          </w:tcPr>
          <w:p w:rsidR="00AD0FF7" w:rsidRPr="00250A9A" w:rsidRDefault="00AD0FF7" w:rsidP="00250A9A">
            <w:pPr>
              <w:pStyle w:val="naisf"/>
              <w:spacing w:before="0" w:after="0"/>
              <w:ind w:firstLine="0"/>
            </w:pPr>
            <w:r w:rsidRPr="00250A9A">
              <w:t>Projekta izpildes ietekme uz pārvaldes institucionālo struktūru.</w:t>
            </w:r>
          </w:p>
          <w:p w:rsidR="002445C9" w:rsidRPr="00250A9A" w:rsidRDefault="00AD0FF7" w:rsidP="00250A9A">
            <w:pPr>
              <w:pStyle w:val="naisf"/>
              <w:spacing w:before="0" w:after="0"/>
              <w:ind w:firstLine="0"/>
            </w:pPr>
            <w:r w:rsidRPr="00250A9A">
              <w:t>Esošu institūciju reorganizācija</w:t>
            </w:r>
          </w:p>
        </w:tc>
        <w:tc>
          <w:tcPr>
            <w:tcW w:w="4820" w:type="dxa"/>
            <w:tcBorders>
              <w:top w:val="single" w:sz="4" w:space="0" w:color="auto"/>
              <w:left w:val="single" w:sz="4" w:space="0" w:color="auto"/>
              <w:bottom w:val="single" w:sz="4" w:space="0" w:color="auto"/>
              <w:right w:val="single" w:sz="4" w:space="0" w:color="auto"/>
            </w:tcBorders>
            <w:hideMark/>
          </w:tcPr>
          <w:p w:rsidR="002445C9" w:rsidRPr="00250A9A" w:rsidRDefault="00AD0FF7" w:rsidP="00250A9A">
            <w:pPr>
              <w:pStyle w:val="naisf"/>
              <w:spacing w:before="0" w:after="0"/>
              <w:ind w:firstLine="0"/>
              <w:rPr>
                <w:bCs/>
              </w:rPr>
            </w:pPr>
            <w:r w:rsidRPr="00250A9A">
              <w:rPr>
                <w:bCs/>
              </w:rPr>
              <w:t>Projekts šo jomu neskar</w:t>
            </w:r>
          </w:p>
        </w:tc>
      </w:tr>
      <w:tr w:rsidR="00AD0FF7" w:rsidRPr="00250A9A" w:rsidTr="00ED7745">
        <w:trPr>
          <w:trHeight w:val="476"/>
        </w:trPr>
        <w:tc>
          <w:tcPr>
            <w:tcW w:w="425" w:type="dxa"/>
            <w:tcBorders>
              <w:top w:val="single" w:sz="4" w:space="0" w:color="auto"/>
              <w:left w:val="single" w:sz="4" w:space="0" w:color="auto"/>
              <w:bottom w:val="single" w:sz="4" w:space="0" w:color="auto"/>
              <w:right w:val="single" w:sz="4" w:space="0" w:color="auto"/>
            </w:tcBorders>
            <w:hideMark/>
          </w:tcPr>
          <w:p w:rsidR="002445C9" w:rsidRPr="00250A9A" w:rsidRDefault="00AD0FF7" w:rsidP="00250A9A">
            <w:pPr>
              <w:pStyle w:val="naisf"/>
              <w:spacing w:before="0" w:after="0"/>
              <w:ind w:firstLine="0"/>
            </w:pPr>
            <w:r w:rsidRPr="00250A9A">
              <w:t xml:space="preserve">6. </w:t>
            </w:r>
          </w:p>
        </w:tc>
        <w:tc>
          <w:tcPr>
            <w:tcW w:w="3969" w:type="dxa"/>
            <w:tcBorders>
              <w:top w:val="single" w:sz="4" w:space="0" w:color="auto"/>
              <w:left w:val="single" w:sz="4" w:space="0" w:color="auto"/>
              <w:bottom w:val="single" w:sz="4" w:space="0" w:color="auto"/>
              <w:right w:val="single" w:sz="4" w:space="0" w:color="auto"/>
            </w:tcBorders>
            <w:hideMark/>
          </w:tcPr>
          <w:p w:rsidR="002445C9" w:rsidRPr="00250A9A" w:rsidRDefault="00AD0FF7" w:rsidP="00250A9A">
            <w:pPr>
              <w:pStyle w:val="naisf"/>
              <w:spacing w:before="0" w:after="0"/>
              <w:ind w:firstLine="0"/>
            </w:pPr>
            <w:r w:rsidRPr="00250A9A">
              <w:t>Cita informācija</w:t>
            </w:r>
          </w:p>
        </w:tc>
        <w:tc>
          <w:tcPr>
            <w:tcW w:w="4820" w:type="dxa"/>
            <w:tcBorders>
              <w:top w:val="single" w:sz="4" w:space="0" w:color="auto"/>
              <w:left w:val="single" w:sz="4" w:space="0" w:color="auto"/>
              <w:bottom w:val="single" w:sz="4" w:space="0" w:color="auto"/>
              <w:right w:val="single" w:sz="4" w:space="0" w:color="auto"/>
            </w:tcBorders>
            <w:hideMark/>
          </w:tcPr>
          <w:p w:rsidR="002445C9" w:rsidRPr="00250A9A" w:rsidRDefault="00AD0FF7" w:rsidP="00250A9A">
            <w:pPr>
              <w:pStyle w:val="naisf"/>
              <w:spacing w:before="0" w:after="0"/>
              <w:ind w:firstLine="0"/>
            </w:pPr>
            <w:r w:rsidRPr="00250A9A">
              <w:t>Nav</w:t>
            </w:r>
          </w:p>
        </w:tc>
      </w:tr>
    </w:tbl>
    <w:p w:rsidR="00AD0FF7" w:rsidRPr="00250A9A" w:rsidRDefault="00AD0FF7" w:rsidP="00250A9A">
      <w:pPr>
        <w:pStyle w:val="naisf"/>
        <w:spacing w:before="0" w:after="0"/>
        <w:ind w:firstLine="0"/>
      </w:pPr>
    </w:p>
    <w:p w:rsidR="00CF21E1" w:rsidRPr="00250A9A" w:rsidRDefault="00B46855" w:rsidP="00250A9A">
      <w:pPr>
        <w:pStyle w:val="naisf"/>
        <w:spacing w:before="0" w:after="0"/>
        <w:ind w:firstLine="0"/>
      </w:pPr>
      <w:r w:rsidRPr="00250A9A">
        <w:t>Tieslietu</w:t>
      </w:r>
      <w:r w:rsidR="007515F6" w:rsidRPr="00250A9A">
        <w:t xml:space="preserve"> ministr</w:t>
      </w:r>
      <w:r w:rsidR="00832388">
        <w:t>a p.i.</w:t>
      </w:r>
      <w:r w:rsidR="007515F6" w:rsidRPr="00250A9A">
        <w:tab/>
      </w:r>
      <w:r w:rsidR="007515F6" w:rsidRPr="00250A9A">
        <w:tab/>
      </w:r>
      <w:r w:rsidR="007515F6" w:rsidRPr="00250A9A">
        <w:tab/>
      </w:r>
      <w:r w:rsidR="007515F6" w:rsidRPr="00250A9A">
        <w:tab/>
      </w:r>
      <w:r w:rsidR="007515F6" w:rsidRPr="00250A9A">
        <w:tab/>
      </w:r>
      <w:r w:rsidR="007515F6" w:rsidRPr="00250A9A">
        <w:tab/>
      </w:r>
      <w:r w:rsidR="00C221C4" w:rsidRPr="00250A9A">
        <w:tab/>
      </w:r>
      <w:r w:rsidR="00DF1DF1" w:rsidRPr="00250A9A">
        <w:tab/>
      </w:r>
      <w:r w:rsidRPr="00250A9A">
        <w:t xml:space="preserve">     </w:t>
      </w:r>
      <w:r w:rsidR="00832388">
        <w:t>L.Straujuma</w:t>
      </w:r>
      <w:r w:rsidRPr="00250A9A">
        <w:t xml:space="preserve"> </w:t>
      </w:r>
    </w:p>
    <w:p w:rsidR="008A03BB" w:rsidRPr="00250A9A" w:rsidRDefault="008A03BB" w:rsidP="00250A9A">
      <w:pPr>
        <w:jc w:val="both"/>
      </w:pPr>
    </w:p>
    <w:p w:rsidR="00B46855" w:rsidRPr="00677E69" w:rsidRDefault="006939A2" w:rsidP="00250A9A">
      <w:pPr>
        <w:jc w:val="both"/>
        <w:rPr>
          <w:sz w:val="22"/>
          <w:szCs w:val="22"/>
        </w:rPr>
      </w:pPr>
      <w:r w:rsidRPr="006939A2">
        <w:rPr>
          <w:sz w:val="22"/>
          <w:szCs w:val="22"/>
        </w:rPr>
        <w:t>2</w:t>
      </w:r>
      <w:r w:rsidR="00FC2A2E">
        <w:rPr>
          <w:sz w:val="22"/>
          <w:szCs w:val="22"/>
        </w:rPr>
        <w:t>3</w:t>
      </w:r>
      <w:r w:rsidRPr="006939A2">
        <w:rPr>
          <w:sz w:val="22"/>
          <w:szCs w:val="22"/>
        </w:rPr>
        <w:t>.08.2012. 12:</w:t>
      </w:r>
      <w:r w:rsidR="0038478C">
        <w:rPr>
          <w:sz w:val="22"/>
          <w:szCs w:val="22"/>
        </w:rPr>
        <w:t>13</w:t>
      </w:r>
    </w:p>
    <w:p w:rsidR="00B46855" w:rsidRPr="00677E69" w:rsidRDefault="006939A2" w:rsidP="00250A9A">
      <w:pPr>
        <w:jc w:val="both"/>
        <w:rPr>
          <w:sz w:val="22"/>
          <w:szCs w:val="22"/>
        </w:rPr>
      </w:pPr>
      <w:r w:rsidRPr="00433CC3">
        <w:rPr>
          <w:sz w:val="22"/>
          <w:szCs w:val="22"/>
        </w:rPr>
        <w:t>7</w:t>
      </w:r>
      <w:r w:rsidR="00433CC3" w:rsidRPr="00433CC3">
        <w:rPr>
          <w:sz w:val="22"/>
          <w:szCs w:val="22"/>
        </w:rPr>
        <w:t>2</w:t>
      </w:r>
      <w:r w:rsidR="00FD4AE6">
        <w:rPr>
          <w:sz w:val="22"/>
          <w:szCs w:val="22"/>
        </w:rPr>
        <w:t>50</w:t>
      </w:r>
      <w:r w:rsidRPr="006939A2">
        <w:rPr>
          <w:sz w:val="22"/>
          <w:szCs w:val="22"/>
        </w:rPr>
        <w:t xml:space="preserve"> </w:t>
      </w:r>
    </w:p>
    <w:p w:rsidR="00B46855" w:rsidRPr="00677E69" w:rsidRDefault="006939A2" w:rsidP="00250A9A">
      <w:pPr>
        <w:jc w:val="both"/>
        <w:rPr>
          <w:sz w:val="22"/>
          <w:szCs w:val="22"/>
        </w:rPr>
      </w:pPr>
      <w:r w:rsidRPr="006939A2">
        <w:rPr>
          <w:sz w:val="22"/>
          <w:szCs w:val="22"/>
        </w:rPr>
        <w:t>J.Bārbale</w:t>
      </w:r>
      <w:bookmarkStart w:id="6" w:name="_GoBack"/>
      <w:bookmarkEnd w:id="6"/>
    </w:p>
    <w:p w:rsidR="00825969" w:rsidRPr="00FC2A2E" w:rsidRDefault="006939A2" w:rsidP="00FC2A2E">
      <w:pPr>
        <w:tabs>
          <w:tab w:val="left" w:pos="2505"/>
        </w:tabs>
        <w:rPr>
          <w:sz w:val="22"/>
          <w:szCs w:val="22"/>
        </w:rPr>
      </w:pPr>
      <w:bookmarkStart w:id="7" w:name="OLE_LINK3"/>
      <w:bookmarkStart w:id="8" w:name="OLE_LINK4"/>
      <w:r w:rsidRPr="006939A2">
        <w:rPr>
          <w:sz w:val="22"/>
          <w:szCs w:val="22"/>
        </w:rPr>
        <w:t xml:space="preserve">67036834, </w:t>
      </w:r>
      <w:hyperlink r:id="rId8" w:history="1">
        <w:r w:rsidRPr="006939A2">
          <w:rPr>
            <w:rStyle w:val="Hipersaite"/>
            <w:sz w:val="22"/>
            <w:szCs w:val="22"/>
          </w:rPr>
          <w:t>Jelena.Barbale@tm.gov.lv</w:t>
        </w:r>
      </w:hyperlink>
      <w:r w:rsidRPr="006939A2">
        <w:rPr>
          <w:sz w:val="22"/>
          <w:szCs w:val="22"/>
        </w:rPr>
        <w:t xml:space="preserve"> </w:t>
      </w:r>
      <w:bookmarkEnd w:id="7"/>
      <w:bookmarkEnd w:id="8"/>
      <w:r w:rsidRPr="006939A2">
        <w:rPr>
          <w:sz w:val="22"/>
          <w:szCs w:val="22"/>
        </w:rPr>
        <w:tab/>
      </w:r>
      <w:r w:rsidR="00FC2A2E">
        <w:rPr>
          <w:sz w:val="22"/>
          <w:szCs w:val="22"/>
        </w:rPr>
        <w:tab/>
      </w:r>
    </w:p>
    <w:sectPr w:rsidR="00825969" w:rsidRPr="00FC2A2E" w:rsidSect="00250A9A">
      <w:headerReference w:type="even" r:id="rId9"/>
      <w:headerReference w:type="default" r:id="rId10"/>
      <w:footerReference w:type="default" r:id="rId11"/>
      <w:footerReference w:type="first" r:id="rId12"/>
      <w:pgSz w:w="11906" w:h="16838"/>
      <w:pgMar w:top="1276" w:right="849" w:bottom="851" w:left="1560" w:header="709" w:footer="77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64B" w:rsidRDefault="00F1564B" w:rsidP="001C4131">
      <w:r>
        <w:separator/>
      </w:r>
    </w:p>
  </w:endnote>
  <w:endnote w:type="continuationSeparator" w:id="0">
    <w:p w:rsidR="00F1564B" w:rsidRDefault="00F1564B" w:rsidP="001C41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64B" w:rsidRPr="004967B5" w:rsidRDefault="00F1564B" w:rsidP="004967B5">
    <w:pPr>
      <w:pStyle w:val="Kjene"/>
      <w:jc w:val="both"/>
      <w:rPr>
        <w:noProof/>
        <w:sz w:val="20"/>
        <w:szCs w:val="20"/>
      </w:rPr>
    </w:pPr>
    <w:r>
      <w:rPr>
        <w:sz w:val="20"/>
        <w:szCs w:val="20"/>
      </w:rPr>
      <w:t>TM</w:t>
    </w:r>
    <w:r w:rsidRPr="00BE3475">
      <w:rPr>
        <w:sz w:val="20"/>
        <w:szCs w:val="20"/>
      </w:rPr>
      <w:t>Anot_</w:t>
    </w:r>
    <w:r>
      <w:rPr>
        <w:sz w:val="20"/>
        <w:szCs w:val="20"/>
      </w:rPr>
      <w:t>230812</w:t>
    </w:r>
    <w:r w:rsidRPr="00BE3475">
      <w:rPr>
        <w:sz w:val="20"/>
        <w:szCs w:val="20"/>
      </w:rPr>
      <w:t>_</w:t>
    </w:r>
    <w:r>
      <w:rPr>
        <w:sz w:val="20"/>
        <w:szCs w:val="20"/>
      </w:rPr>
      <w:t>VKCgroz</w:t>
    </w:r>
    <w:r w:rsidRPr="00BE3475">
      <w:rPr>
        <w:sz w:val="20"/>
        <w:szCs w:val="20"/>
      </w:rPr>
      <w:t xml:space="preserve">; </w:t>
    </w:r>
    <w:r>
      <w:rPr>
        <w:sz w:val="20"/>
        <w:szCs w:val="20"/>
      </w:rPr>
      <w:t>Likumprojekta „Grozījumi likumā „Par valsts kompensāciju cietušajiem”</w:t>
    </w:r>
    <w:r w:rsidRPr="00BE3475">
      <w:rPr>
        <w:sz w:val="20"/>
        <w:szCs w:val="20"/>
      </w:rPr>
      <w:t>” sākotnējās ietekmes novērtējuma ziņojums</w:t>
    </w:r>
    <w:r>
      <w:rPr>
        <w:sz w:val="20"/>
        <w:szCs w:val="20"/>
      </w:rPr>
      <w:t xml:space="preserve"> (anotācija)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64B" w:rsidRPr="007D7074" w:rsidRDefault="00F1564B" w:rsidP="007D7074">
    <w:pPr>
      <w:pStyle w:val="Kjene"/>
      <w:jc w:val="both"/>
      <w:rPr>
        <w:noProof/>
        <w:sz w:val="20"/>
        <w:szCs w:val="20"/>
      </w:rPr>
    </w:pPr>
    <w:r>
      <w:rPr>
        <w:sz w:val="20"/>
        <w:szCs w:val="20"/>
      </w:rPr>
      <w:t>TM</w:t>
    </w:r>
    <w:r w:rsidRPr="00BE3475">
      <w:rPr>
        <w:sz w:val="20"/>
        <w:szCs w:val="20"/>
      </w:rPr>
      <w:t>Anot_</w:t>
    </w:r>
    <w:r>
      <w:rPr>
        <w:sz w:val="20"/>
        <w:szCs w:val="20"/>
      </w:rPr>
      <w:t>230812</w:t>
    </w:r>
    <w:r w:rsidRPr="00BE3475">
      <w:rPr>
        <w:sz w:val="20"/>
        <w:szCs w:val="20"/>
      </w:rPr>
      <w:t>_</w:t>
    </w:r>
    <w:r>
      <w:rPr>
        <w:sz w:val="20"/>
        <w:szCs w:val="20"/>
      </w:rPr>
      <w:t>VKCgroz</w:t>
    </w:r>
    <w:r w:rsidRPr="00BE3475">
      <w:rPr>
        <w:sz w:val="20"/>
        <w:szCs w:val="20"/>
      </w:rPr>
      <w:t xml:space="preserve">; </w:t>
    </w:r>
    <w:r>
      <w:rPr>
        <w:sz w:val="20"/>
        <w:szCs w:val="20"/>
      </w:rPr>
      <w:t>Likumprojekta „Grozījumi likumā „Par valsts kompensāciju cietušajiem”</w:t>
    </w:r>
    <w:r w:rsidRPr="00BE3475">
      <w:rPr>
        <w:sz w:val="20"/>
        <w:szCs w:val="20"/>
      </w:rPr>
      <w:t>” sākotnējās ietekmes novērtējuma ziņojums</w:t>
    </w:r>
    <w:r>
      <w:rPr>
        <w:sz w:val="20"/>
        <w:szCs w:val="20"/>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64B" w:rsidRDefault="00F1564B" w:rsidP="001C4131">
      <w:r>
        <w:separator/>
      </w:r>
    </w:p>
  </w:footnote>
  <w:footnote w:type="continuationSeparator" w:id="0">
    <w:p w:rsidR="00F1564B" w:rsidRDefault="00F1564B" w:rsidP="001C4131">
      <w:r>
        <w:continuationSeparator/>
      </w:r>
    </w:p>
  </w:footnote>
  <w:footnote w:id="1">
    <w:p w:rsidR="00F1564B" w:rsidRPr="00B2225A" w:rsidRDefault="00F1564B">
      <w:pPr>
        <w:pStyle w:val="Vresteksts"/>
      </w:pPr>
      <w:r w:rsidRPr="00B2225A">
        <w:rPr>
          <w:rStyle w:val="Vresatsauce"/>
        </w:rPr>
        <w:footnoteRef/>
      </w:r>
      <w:r w:rsidRPr="00B2225A">
        <w:t xml:space="preserve"> </w:t>
      </w:r>
      <w:hyperlink r:id="rId1" w:history="1">
        <w:r w:rsidRPr="00B2225A">
          <w:rPr>
            <w:rStyle w:val="Hipersaite"/>
            <w:color w:val="auto"/>
            <w:u w:val="none"/>
          </w:rPr>
          <w:t>www.cilvektirdznieciba.lv</w:t>
        </w:r>
      </w:hyperlink>
      <w:r w:rsidRPr="00B2225A">
        <w:t xml:space="preserve"> (skatīts 17.04.2012.)</w:t>
      </w:r>
    </w:p>
  </w:footnote>
  <w:footnote w:id="2">
    <w:p w:rsidR="00F1564B" w:rsidRPr="00B2225A" w:rsidRDefault="00F1564B" w:rsidP="00496D08">
      <w:pPr>
        <w:pStyle w:val="Vresteksts"/>
      </w:pPr>
      <w:r w:rsidRPr="00B2225A">
        <w:rPr>
          <w:rStyle w:val="Vresatsauce"/>
        </w:rPr>
        <w:footnoteRef/>
      </w:r>
      <w:r w:rsidRPr="00B2225A">
        <w:t>V.Krūmiņa, V.Skujiņa Normatīvo aktu izstrādes noteikumu rokasgrāmata. Rīga: 2002 (</w:t>
      </w:r>
      <w:hyperlink r:id="rId2" w:history="1">
        <w:r w:rsidRPr="00B2225A">
          <w:rPr>
            <w:rStyle w:val="Hipersaite"/>
            <w:color w:val="auto"/>
            <w:u w:val="none"/>
          </w:rPr>
          <w:t>http://ec.europa.eu/translation/latvian/guidelines/documents/legal_manual_lv.pdf</w:t>
        </w:r>
      </w:hyperlink>
      <w:r w:rsidRPr="00B2225A">
        <w:t xml:space="preserve"> (skatīts 03.04.2012.))</w:t>
      </w:r>
    </w:p>
  </w:footnote>
  <w:footnote w:id="3">
    <w:p w:rsidR="00F1564B" w:rsidRPr="00B2225A" w:rsidRDefault="00F1564B" w:rsidP="00587949">
      <w:pPr>
        <w:pStyle w:val="Vresteksts"/>
      </w:pPr>
      <w:r w:rsidRPr="00B2225A">
        <w:rPr>
          <w:rStyle w:val="Vresatsauce"/>
        </w:rPr>
        <w:footnoteRef/>
      </w:r>
      <w:r w:rsidRPr="00B2225A">
        <w:t xml:space="preserve"> polsis.mk.gov.lv/LoadAtt/file11657.doc (skatīts 25.05.2012.)</w:t>
      </w:r>
    </w:p>
  </w:footnote>
  <w:footnote w:id="4">
    <w:p w:rsidR="00F1564B" w:rsidRPr="00B2225A" w:rsidRDefault="00F1564B" w:rsidP="00BC2CF6">
      <w:pPr>
        <w:pStyle w:val="Vresteksts"/>
      </w:pPr>
      <w:r w:rsidRPr="00B2225A">
        <w:rPr>
          <w:rStyle w:val="Vresatsauce"/>
        </w:rPr>
        <w:footnoteRef/>
      </w:r>
      <w:r w:rsidRPr="00B2225A">
        <w:t xml:space="preserve"> Saskaņā ar Iekšlietu ministrijas Informācijas centra sniegtajiem datiem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64B" w:rsidRDefault="00344BB5" w:rsidP="00011BD6">
    <w:pPr>
      <w:pStyle w:val="Galvene"/>
      <w:rPr>
        <w:rStyle w:val="Lappusesnumurs"/>
      </w:rPr>
    </w:pPr>
    <w:r>
      <w:rPr>
        <w:rStyle w:val="Lappusesnumurs"/>
      </w:rPr>
      <w:fldChar w:fldCharType="begin"/>
    </w:r>
    <w:r w:rsidR="00F1564B">
      <w:rPr>
        <w:rStyle w:val="Lappusesnumurs"/>
      </w:rPr>
      <w:instrText xml:space="preserve">PAGE  </w:instrText>
    </w:r>
    <w:r>
      <w:rPr>
        <w:rStyle w:val="Lappusesnumurs"/>
      </w:rPr>
      <w:fldChar w:fldCharType="end"/>
    </w:r>
  </w:p>
  <w:p w:rsidR="00F1564B" w:rsidRDefault="00F1564B" w:rsidP="00011BD6">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64B" w:rsidRDefault="00344BB5" w:rsidP="00EE381E">
    <w:pPr>
      <w:pStyle w:val="Galvene"/>
      <w:jc w:val="center"/>
      <w:rPr>
        <w:rStyle w:val="Lappusesnumurs"/>
      </w:rPr>
    </w:pPr>
    <w:r>
      <w:rPr>
        <w:rStyle w:val="Lappusesnumurs"/>
      </w:rPr>
      <w:fldChar w:fldCharType="begin"/>
    </w:r>
    <w:r w:rsidR="00F1564B">
      <w:rPr>
        <w:rStyle w:val="Lappusesnumurs"/>
      </w:rPr>
      <w:instrText xml:space="preserve">PAGE  </w:instrText>
    </w:r>
    <w:r>
      <w:rPr>
        <w:rStyle w:val="Lappusesnumurs"/>
      </w:rPr>
      <w:fldChar w:fldCharType="separate"/>
    </w:r>
    <w:r w:rsidR="0038478C">
      <w:rPr>
        <w:rStyle w:val="Lappusesnumurs"/>
        <w:noProof/>
      </w:rPr>
      <w:t>23</w:t>
    </w:r>
    <w:r>
      <w:rPr>
        <w:rStyle w:val="Lappusesnumurs"/>
      </w:rPr>
      <w:fldChar w:fldCharType="end"/>
    </w:r>
  </w:p>
  <w:p w:rsidR="00F1564B" w:rsidRPr="00011BD6" w:rsidRDefault="00F1564B" w:rsidP="00011BD6">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0C032F0"/>
    <w:lvl w:ilvl="0">
      <w:start w:val="1"/>
      <w:numFmt w:val="decimal"/>
      <w:lvlText w:val="%1."/>
      <w:lvlJc w:val="left"/>
      <w:pPr>
        <w:tabs>
          <w:tab w:val="num" w:pos="1492"/>
        </w:tabs>
        <w:ind w:left="1492" w:hanging="360"/>
      </w:pPr>
    </w:lvl>
  </w:abstractNum>
  <w:abstractNum w:abstractNumId="1">
    <w:nsid w:val="FFFFFF7D"/>
    <w:multiLevelType w:val="singleLevel"/>
    <w:tmpl w:val="D752DE94"/>
    <w:lvl w:ilvl="0">
      <w:start w:val="1"/>
      <w:numFmt w:val="decimal"/>
      <w:lvlText w:val="%1."/>
      <w:lvlJc w:val="left"/>
      <w:pPr>
        <w:tabs>
          <w:tab w:val="num" w:pos="1209"/>
        </w:tabs>
        <w:ind w:left="1209" w:hanging="360"/>
      </w:pPr>
    </w:lvl>
  </w:abstractNum>
  <w:abstractNum w:abstractNumId="2">
    <w:nsid w:val="FFFFFF7E"/>
    <w:multiLevelType w:val="singleLevel"/>
    <w:tmpl w:val="C3984072"/>
    <w:lvl w:ilvl="0">
      <w:start w:val="1"/>
      <w:numFmt w:val="decimal"/>
      <w:lvlText w:val="%1."/>
      <w:lvlJc w:val="left"/>
      <w:pPr>
        <w:tabs>
          <w:tab w:val="num" w:pos="926"/>
        </w:tabs>
        <w:ind w:left="926" w:hanging="360"/>
      </w:pPr>
    </w:lvl>
  </w:abstractNum>
  <w:abstractNum w:abstractNumId="3">
    <w:nsid w:val="FFFFFF7F"/>
    <w:multiLevelType w:val="singleLevel"/>
    <w:tmpl w:val="68585942"/>
    <w:lvl w:ilvl="0">
      <w:start w:val="1"/>
      <w:numFmt w:val="decimal"/>
      <w:lvlText w:val="%1."/>
      <w:lvlJc w:val="left"/>
      <w:pPr>
        <w:tabs>
          <w:tab w:val="num" w:pos="643"/>
        </w:tabs>
        <w:ind w:left="643" w:hanging="360"/>
      </w:pPr>
    </w:lvl>
  </w:abstractNum>
  <w:abstractNum w:abstractNumId="4">
    <w:nsid w:val="FFFFFF80"/>
    <w:multiLevelType w:val="singleLevel"/>
    <w:tmpl w:val="5066D2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3E0B5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9CE3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9C8B6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2489B5A"/>
    <w:lvl w:ilvl="0">
      <w:start w:val="1"/>
      <w:numFmt w:val="decimal"/>
      <w:lvlText w:val="%1."/>
      <w:lvlJc w:val="left"/>
      <w:pPr>
        <w:tabs>
          <w:tab w:val="num" w:pos="360"/>
        </w:tabs>
        <w:ind w:left="360" w:hanging="360"/>
      </w:pPr>
    </w:lvl>
  </w:abstractNum>
  <w:abstractNum w:abstractNumId="9">
    <w:nsid w:val="FFFFFF89"/>
    <w:multiLevelType w:val="singleLevel"/>
    <w:tmpl w:val="6A12BE26"/>
    <w:lvl w:ilvl="0">
      <w:start w:val="1"/>
      <w:numFmt w:val="bullet"/>
      <w:lvlText w:val=""/>
      <w:lvlJc w:val="left"/>
      <w:pPr>
        <w:tabs>
          <w:tab w:val="num" w:pos="360"/>
        </w:tabs>
        <w:ind w:left="360" w:hanging="360"/>
      </w:pPr>
      <w:rPr>
        <w:rFonts w:ascii="Symbol" w:hAnsi="Symbol" w:hint="default"/>
      </w:rPr>
    </w:lvl>
  </w:abstractNum>
  <w:abstractNum w:abstractNumId="10">
    <w:nsid w:val="06885064"/>
    <w:multiLevelType w:val="hybridMultilevel"/>
    <w:tmpl w:val="1A34ABC2"/>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12644475"/>
    <w:multiLevelType w:val="hybridMultilevel"/>
    <w:tmpl w:val="12E076B8"/>
    <w:lvl w:ilvl="0" w:tplc="F3FEE502">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1CAE01B5"/>
    <w:multiLevelType w:val="hybridMultilevel"/>
    <w:tmpl w:val="88000690"/>
    <w:lvl w:ilvl="0" w:tplc="E6D4E06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1BC592B"/>
    <w:multiLevelType w:val="hybridMultilevel"/>
    <w:tmpl w:val="E4B47F18"/>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2F644269"/>
    <w:multiLevelType w:val="hybridMultilevel"/>
    <w:tmpl w:val="5C5496B4"/>
    <w:lvl w:ilvl="0" w:tplc="A9BC112E">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5">
    <w:nsid w:val="4DE510EF"/>
    <w:multiLevelType w:val="hybridMultilevel"/>
    <w:tmpl w:val="D0C6BBF0"/>
    <w:lvl w:ilvl="0" w:tplc="DA522A9A">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6F5C7F2C"/>
    <w:multiLevelType w:val="hybridMultilevel"/>
    <w:tmpl w:val="911A0E20"/>
    <w:lvl w:ilvl="0" w:tplc="386E49D2">
      <w:start w:val="1"/>
      <w:numFmt w:val="decimal"/>
      <w:lvlText w:val="%1)"/>
      <w:lvlJc w:val="left"/>
      <w:pPr>
        <w:ind w:left="612" w:hanging="360"/>
      </w:pPr>
      <w:rPr>
        <w:rFonts w:hint="default"/>
      </w:rPr>
    </w:lvl>
    <w:lvl w:ilvl="1" w:tplc="04260019" w:tentative="1">
      <w:start w:val="1"/>
      <w:numFmt w:val="lowerLetter"/>
      <w:lvlText w:val="%2."/>
      <w:lvlJc w:val="left"/>
      <w:pPr>
        <w:ind w:left="1332" w:hanging="360"/>
      </w:pPr>
    </w:lvl>
    <w:lvl w:ilvl="2" w:tplc="0426001B" w:tentative="1">
      <w:start w:val="1"/>
      <w:numFmt w:val="lowerRoman"/>
      <w:lvlText w:val="%3."/>
      <w:lvlJc w:val="right"/>
      <w:pPr>
        <w:ind w:left="2052" w:hanging="180"/>
      </w:pPr>
    </w:lvl>
    <w:lvl w:ilvl="3" w:tplc="0426000F" w:tentative="1">
      <w:start w:val="1"/>
      <w:numFmt w:val="decimal"/>
      <w:lvlText w:val="%4."/>
      <w:lvlJc w:val="left"/>
      <w:pPr>
        <w:ind w:left="2772" w:hanging="360"/>
      </w:pPr>
    </w:lvl>
    <w:lvl w:ilvl="4" w:tplc="04260019" w:tentative="1">
      <w:start w:val="1"/>
      <w:numFmt w:val="lowerLetter"/>
      <w:lvlText w:val="%5."/>
      <w:lvlJc w:val="left"/>
      <w:pPr>
        <w:ind w:left="3492" w:hanging="360"/>
      </w:pPr>
    </w:lvl>
    <w:lvl w:ilvl="5" w:tplc="0426001B" w:tentative="1">
      <w:start w:val="1"/>
      <w:numFmt w:val="lowerRoman"/>
      <w:lvlText w:val="%6."/>
      <w:lvlJc w:val="right"/>
      <w:pPr>
        <w:ind w:left="4212" w:hanging="180"/>
      </w:pPr>
    </w:lvl>
    <w:lvl w:ilvl="6" w:tplc="0426000F" w:tentative="1">
      <w:start w:val="1"/>
      <w:numFmt w:val="decimal"/>
      <w:lvlText w:val="%7."/>
      <w:lvlJc w:val="left"/>
      <w:pPr>
        <w:ind w:left="4932" w:hanging="360"/>
      </w:pPr>
    </w:lvl>
    <w:lvl w:ilvl="7" w:tplc="04260019" w:tentative="1">
      <w:start w:val="1"/>
      <w:numFmt w:val="lowerLetter"/>
      <w:lvlText w:val="%8."/>
      <w:lvlJc w:val="left"/>
      <w:pPr>
        <w:ind w:left="5652" w:hanging="360"/>
      </w:pPr>
    </w:lvl>
    <w:lvl w:ilvl="8" w:tplc="0426001B" w:tentative="1">
      <w:start w:val="1"/>
      <w:numFmt w:val="lowerRoman"/>
      <w:lvlText w:val="%9."/>
      <w:lvlJc w:val="right"/>
      <w:pPr>
        <w:ind w:left="6372" w:hanging="180"/>
      </w:pPr>
    </w:lvl>
  </w:abstractNum>
  <w:abstractNum w:abstractNumId="17">
    <w:nsid w:val="733C1E5B"/>
    <w:multiLevelType w:val="hybridMultilevel"/>
    <w:tmpl w:val="162254E4"/>
    <w:lvl w:ilvl="0" w:tplc="342E4254">
      <w:numFmt w:val="bullet"/>
      <w:lvlText w:val="-"/>
      <w:lvlJc w:val="left"/>
      <w:pPr>
        <w:ind w:left="644" w:hanging="360"/>
      </w:pPr>
      <w:rPr>
        <w:rFonts w:ascii="Times New Roman" w:eastAsia="Times New Roman" w:hAnsi="Times New Roman" w:cs="Times New Roman" w:hint="default"/>
        <w:b/>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8">
    <w:nsid w:val="79DC4C4E"/>
    <w:multiLevelType w:val="hybridMultilevel"/>
    <w:tmpl w:val="824E556C"/>
    <w:lvl w:ilvl="0" w:tplc="82068B96">
      <w:start w:val="1"/>
      <w:numFmt w:val="decimal"/>
      <w:lvlText w:val="%1."/>
      <w:lvlJc w:val="left"/>
      <w:pPr>
        <w:tabs>
          <w:tab w:val="num" w:pos="720"/>
        </w:tabs>
        <w:ind w:left="720" w:hanging="360"/>
      </w:pPr>
      <w:rPr>
        <w:rFonts w:ascii="Times New Roman" w:eastAsia="Times New Roman" w:hAnsi="Times New Roman" w:cs="Times New Roman"/>
      </w:rPr>
    </w:lvl>
    <w:lvl w:ilvl="1" w:tplc="80DE564E">
      <w:numFmt w:val="none"/>
      <w:lvlText w:val=""/>
      <w:lvlJc w:val="left"/>
      <w:pPr>
        <w:tabs>
          <w:tab w:val="num" w:pos="360"/>
        </w:tabs>
      </w:pPr>
    </w:lvl>
    <w:lvl w:ilvl="2" w:tplc="72FED926">
      <w:start w:val="1"/>
      <w:numFmt w:val="bullet"/>
      <w:lvlText w:val=""/>
      <w:lvlJc w:val="left"/>
      <w:pPr>
        <w:tabs>
          <w:tab w:val="num" w:pos="2160"/>
        </w:tabs>
        <w:ind w:left="2160" w:hanging="360"/>
      </w:pPr>
      <w:rPr>
        <w:rFonts w:ascii="Wingdings" w:hAnsi="Wingdings" w:hint="default"/>
      </w:rPr>
    </w:lvl>
    <w:lvl w:ilvl="3" w:tplc="34CA7824">
      <w:start w:val="1"/>
      <w:numFmt w:val="bullet"/>
      <w:lvlText w:val="-"/>
      <w:lvlJc w:val="left"/>
      <w:pPr>
        <w:tabs>
          <w:tab w:val="num" w:pos="2880"/>
        </w:tabs>
        <w:ind w:left="2880" w:hanging="360"/>
      </w:pPr>
      <w:rPr>
        <w:rFonts w:ascii="Times New Roman" w:eastAsia="Times New Roman" w:hAnsi="Times New Roman" w:hint="default"/>
      </w:rPr>
    </w:lvl>
    <w:lvl w:ilvl="4" w:tplc="8C30AC94" w:tentative="1">
      <w:start w:val="1"/>
      <w:numFmt w:val="bullet"/>
      <w:lvlText w:val="o"/>
      <w:lvlJc w:val="left"/>
      <w:pPr>
        <w:tabs>
          <w:tab w:val="num" w:pos="3600"/>
        </w:tabs>
        <w:ind w:left="3600" w:hanging="360"/>
      </w:pPr>
      <w:rPr>
        <w:rFonts w:ascii="Courier New" w:hAnsi="Courier New" w:hint="default"/>
      </w:rPr>
    </w:lvl>
    <w:lvl w:ilvl="5" w:tplc="5B66BA68" w:tentative="1">
      <w:start w:val="1"/>
      <w:numFmt w:val="bullet"/>
      <w:lvlText w:val=""/>
      <w:lvlJc w:val="left"/>
      <w:pPr>
        <w:tabs>
          <w:tab w:val="num" w:pos="4320"/>
        </w:tabs>
        <w:ind w:left="4320" w:hanging="360"/>
      </w:pPr>
      <w:rPr>
        <w:rFonts w:ascii="Wingdings" w:hAnsi="Wingdings" w:hint="default"/>
      </w:rPr>
    </w:lvl>
    <w:lvl w:ilvl="6" w:tplc="D520CD94" w:tentative="1">
      <w:start w:val="1"/>
      <w:numFmt w:val="bullet"/>
      <w:lvlText w:val=""/>
      <w:lvlJc w:val="left"/>
      <w:pPr>
        <w:tabs>
          <w:tab w:val="num" w:pos="5040"/>
        </w:tabs>
        <w:ind w:left="5040" w:hanging="360"/>
      </w:pPr>
      <w:rPr>
        <w:rFonts w:ascii="Symbol" w:hAnsi="Symbol" w:hint="default"/>
      </w:rPr>
    </w:lvl>
    <w:lvl w:ilvl="7" w:tplc="4D74D5AE" w:tentative="1">
      <w:start w:val="1"/>
      <w:numFmt w:val="bullet"/>
      <w:lvlText w:val="o"/>
      <w:lvlJc w:val="left"/>
      <w:pPr>
        <w:tabs>
          <w:tab w:val="num" w:pos="5760"/>
        </w:tabs>
        <w:ind w:left="5760" w:hanging="360"/>
      </w:pPr>
      <w:rPr>
        <w:rFonts w:ascii="Courier New" w:hAnsi="Courier New" w:hint="default"/>
      </w:rPr>
    </w:lvl>
    <w:lvl w:ilvl="8" w:tplc="2756974C"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13"/>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1"/>
  </w:num>
  <w:num w:numId="17">
    <w:abstractNumId w:val="18"/>
  </w:num>
  <w:num w:numId="18">
    <w:abstractNumId w:val="15"/>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F21E1"/>
    <w:rsid w:val="00000CA0"/>
    <w:rsid w:val="00000FF2"/>
    <w:rsid w:val="000016E9"/>
    <w:rsid w:val="0000405F"/>
    <w:rsid w:val="0001047A"/>
    <w:rsid w:val="00011BD6"/>
    <w:rsid w:val="000134D2"/>
    <w:rsid w:val="0001445C"/>
    <w:rsid w:val="00017ED1"/>
    <w:rsid w:val="000223E1"/>
    <w:rsid w:val="00022AA0"/>
    <w:rsid w:val="00027BBB"/>
    <w:rsid w:val="000314E0"/>
    <w:rsid w:val="000321AA"/>
    <w:rsid w:val="000338F4"/>
    <w:rsid w:val="000346E7"/>
    <w:rsid w:val="00035511"/>
    <w:rsid w:val="00035943"/>
    <w:rsid w:val="000378C8"/>
    <w:rsid w:val="00037E74"/>
    <w:rsid w:val="00040651"/>
    <w:rsid w:val="00042328"/>
    <w:rsid w:val="00045B70"/>
    <w:rsid w:val="000462A8"/>
    <w:rsid w:val="000468E1"/>
    <w:rsid w:val="00046916"/>
    <w:rsid w:val="000469FC"/>
    <w:rsid w:val="00047431"/>
    <w:rsid w:val="0004779C"/>
    <w:rsid w:val="00050ECF"/>
    <w:rsid w:val="000528A3"/>
    <w:rsid w:val="00053741"/>
    <w:rsid w:val="00056929"/>
    <w:rsid w:val="00056CC6"/>
    <w:rsid w:val="00061169"/>
    <w:rsid w:val="00064DFC"/>
    <w:rsid w:val="000673DB"/>
    <w:rsid w:val="000676A5"/>
    <w:rsid w:val="000677EF"/>
    <w:rsid w:val="0006790A"/>
    <w:rsid w:val="0007146C"/>
    <w:rsid w:val="000747BF"/>
    <w:rsid w:val="00076F1F"/>
    <w:rsid w:val="0008115E"/>
    <w:rsid w:val="00081443"/>
    <w:rsid w:val="000825EC"/>
    <w:rsid w:val="00082FA8"/>
    <w:rsid w:val="000832F5"/>
    <w:rsid w:val="00084FE7"/>
    <w:rsid w:val="0008547F"/>
    <w:rsid w:val="0008744B"/>
    <w:rsid w:val="00093D73"/>
    <w:rsid w:val="00093F15"/>
    <w:rsid w:val="000967F0"/>
    <w:rsid w:val="000A0B4F"/>
    <w:rsid w:val="000A0E11"/>
    <w:rsid w:val="000A33C1"/>
    <w:rsid w:val="000A519E"/>
    <w:rsid w:val="000A5551"/>
    <w:rsid w:val="000A5AC8"/>
    <w:rsid w:val="000A71F0"/>
    <w:rsid w:val="000B0C64"/>
    <w:rsid w:val="000B5862"/>
    <w:rsid w:val="000C0ED2"/>
    <w:rsid w:val="000C29ED"/>
    <w:rsid w:val="000C45EA"/>
    <w:rsid w:val="000C7D76"/>
    <w:rsid w:val="000D00BE"/>
    <w:rsid w:val="000D0E6F"/>
    <w:rsid w:val="000D10C8"/>
    <w:rsid w:val="000D14A7"/>
    <w:rsid w:val="000D4035"/>
    <w:rsid w:val="000E5B73"/>
    <w:rsid w:val="000E6EDF"/>
    <w:rsid w:val="000E7240"/>
    <w:rsid w:val="000F1486"/>
    <w:rsid w:val="000F324D"/>
    <w:rsid w:val="000F3C34"/>
    <w:rsid w:val="000F3E44"/>
    <w:rsid w:val="000F5882"/>
    <w:rsid w:val="000F5E3F"/>
    <w:rsid w:val="000F6CCE"/>
    <w:rsid w:val="000F73D6"/>
    <w:rsid w:val="00102A9D"/>
    <w:rsid w:val="0010557E"/>
    <w:rsid w:val="00110321"/>
    <w:rsid w:val="00111CDC"/>
    <w:rsid w:val="00112879"/>
    <w:rsid w:val="00112FF9"/>
    <w:rsid w:val="00113E19"/>
    <w:rsid w:val="00114870"/>
    <w:rsid w:val="00121B03"/>
    <w:rsid w:val="00121CFC"/>
    <w:rsid w:val="0012254F"/>
    <w:rsid w:val="001227B9"/>
    <w:rsid w:val="00123008"/>
    <w:rsid w:val="00124106"/>
    <w:rsid w:val="00124C0D"/>
    <w:rsid w:val="001270FB"/>
    <w:rsid w:val="0012729F"/>
    <w:rsid w:val="00142415"/>
    <w:rsid w:val="001466E5"/>
    <w:rsid w:val="00147957"/>
    <w:rsid w:val="001512D7"/>
    <w:rsid w:val="00152505"/>
    <w:rsid w:val="00155B28"/>
    <w:rsid w:val="00155DB8"/>
    <w:rsid w:val="001571E8"/>
    <w:rsid w:val="00157556"/>
    <w:rsid w:val="001616D3"/>
    <w:rsid w:val="00161C0B"/>
    <w:rsid w:val="001630F3"/>
    <w:rsid w:val="0016371B"/>
    <w:rsid w:val="00164144"/>
    <w:rsid w:val="0016665F"/>
    <w:rsid w:val="001727C8"/>
    <w:rsid w:val="00172E52"/>
    <w:rsid w:val="001735DE"/>
    <w:rsid w:val="00174989"/>
    <w:rsid w:val="00175A5C"/>
    <w:rsid w:val="00180694"/>
    <w:rsid w:val="001810BF"/>
    <w:rsid w:val="0018110F"/>
    <w:rsid w:val="001831DB"/>
    <w:rsid w:val="00184A73"/>
    <w:rsid w:val="00184DF2"/>
    <w:rsid w:val="0018522C"/>
    <w:rsid w:val="001863F5"/>
    <w:rsid w:val="00187AAF"/>
    <w:rsid w:val="00192975"/>
    <w:rsid w:val="00195C16"/>
    <w:rsid w:val="001960D8"/>
    <w:rsid w:val="001968C6"/>
    <w:rsid w:val="001979FD"/>
    <w:rsid w:val="00197E15"/>
    <w:rsid w:val="001A031D"/>
    <w:rsid w:val="001A0A58"/>
    <w:rsid w:val="001A150A"/>
    <w:rsid w:val="001A4600"/>
    <w:rsid w:val="001A4943"/>
    <w:rsid w:val="001A50C7"/>
    <w:rsid w:val="001A7BCF"/>
    <w:rsid w:val="001B032B"/>
    <w:rsid w:val="001B1100"/>
    <w:rsid w:val="001B27EB"/>
    <w:rsid w:val="001B5C51"/>
    <w:rsid w:val="001B638E"/>
    <w:rsid w:val="001B696E"/>
    <w:rsid w:val="001C07DB"/>
    <w:rsid w:val="001C179D"/>
    <w:rsid w:val="001C18D6"/>
    <w:rsid w:val="001C2175"/>
    <w:rsid w:val="001C4131"/>
    <w:rsid w:val="001C49C0"/>
    <w:rsid w:val="001C5B2F"/>
    <w:rsid w:val="001C7C51"/>
    <w:rsid w:val="001D0142"/>
    <w:rsid w:val="001D22EA"/>
    <w:rsid w:val="001D25A4"/>
    <w:rsid w:val="001D29B8"/>
    <w:rsid w:val="001D2DD5"/>
    <w:rsid w:val="001D362E"/>
    <w:rsid w:val="001D3B43"/>
    <w:rsid w:val="001D4AC8"/>
    <w:rsid w:val="001D4EF6"/>
    <w:rsid w:val="001D6A09"/>
    <w:rsid w:val="001E2718"/>
    <w:rsid w:val="001E61F5"/>
    <w:rsid w:val="001F067C"/>
    <w:rsid w:val="001F21CC"/>
    <w:rsid w:val="001F2E39"/>
    <w:rsid w:val="001F3448"/>
    <w:rsid w:val="001F3739"/>
    <w:rsid w:val="001F5C23"/>
    <w:rsid w:val="001F6EA3"/>
    <w:rsid w:val="001F7610"/>
    <w:rsid w:val="001F7BA2"/>
    <w:rsid w:val="00200D22"/>
    <w:rsid w:val="0020440A"/>
    <w:rsid w:val="00206596"/>
    <w:rsid w:val="002071C3"/>
    <w:rsid w:val="00207EB7"/>
    <w:rsid w:val="00211012"/>
    <w:rsid w:val="00212933"/>
    <w:rsid w:val="00212BAC"/>
    <w:rsid w:val="002143F4"/>
    <w:rsid w:val="002146F9"/>
    <w:rsid w:val="00216639"/>
    <w:rsid w:val="00217573"/>
    <w:rsid w:val="00217C7B"/>
    <w:rsid w:val="002200F8"/>
    <w:rsid w:val="00220F19"/>
    <w:rsid w:val="00224D6F"/>
    <w:rsid w:val="00225D0C"/>
    <w:rsid w:val="00227189"/>
    <w:rsid w:val="00231E57"/>
    <w:rsid w:val="00232017"/>
    <w:rsid w:val="00234092"/>
    <w:rsid w:val="002348E5"/>
    <w:rsid w:val="00235282"/>
    <w:rsid w:val="00235739"/>
    <w:rsid w:val="00235BC5"/>
    <w:rsid w:val="00236797"/>
    <w:rsid w:val="0024133F"/>
    <w:rsid w:val="0024155C"/>
    <w:rsid w:val="002445C9"/>
    <w:rsid w:val="00246F60"/>
    <w:rsid w:val="0025059D"/>
    <w:rsid w:val="00250A9A"/>
    <w:rsid w:val="0025779B"/>
    <w:rsid w:val="002602F7"/>
    <w:rsid w:val="0026305D"/>
    <w:rsid w:val="0026350C"/>
    <w:rsid w:val="0027177C"/>
    <w:rsid w:val="00272684"/>
    <w:rsid w:val="00272AC6"/>
    <w:rsid w:val="002734BB"/>
    <w:rsid w:val="00273A49"/>
    <w:rsid w:val="0028030C"/>
    <w:rsid w:val="0028056D"/>
    <w:rsid w:val="00281074"/>
    <w:rsid w:val="0028338E"/>
    <w:rsid w:val="00283E1B"/>
    <w:rsid w:val="00291033"/>
    <w:rsid w:val="00291708"/>
    <w:rsid w:val="00292E71"/>
    <w:rsid w:val="0029430D"/>
    <w:rsid w:val="002953B4"/>
    <w:rsid w:val="00296607"/>
    <w:rsid w:val="00297970"/>
    <w:rsid w:val="002A1CE9"/>
    <w:rsid w:val="002A3D13"/>
    <w:rsid w:val="002A4619"/>
    <w:rsid w:val="002A4F17"/>
    <w:rsid w:val="002A5117"/>
    <w:rsid w:val="002A7221"/>
    <w:rsid w:val="002B03BA"/>
    <w:rsid w:val="002B1867"/>
    <w:rsid w:val="002B2A09"/>
    <w:rsid w:val="002B6D79"/>
    <w:rsid w:val="002C5B4B"/>
    <w:rsid w:val="002D7D7C"/>
    <w:rsid w:val="002E173F"/>
    <w:rsid w:val="002E31B6"/>
    <w:rsid w:val="002E380E"/>
    <w:rsid w:val="002E4AEF"/>
    <w:rsid w:val="002E5135"/>
    <w:rsid w:val="002F0DC5"/>
    <w:rsid w:val="002F1422"/>
    <w:rsid w:val="002F2129"/>
    <w:rsid w:val="002F362F"/>
    <w:rsid w:val="002F4701"/>
    <w:rsid w:val="002F587B"/>
    <w:rsid w:val="002F59D1"/>
    <w:rsid w:val="002F6678"/>
    <w:rsid w:val="0030030C"/>
    <w:rsid w:val="00304266"/>
    <w:rsid w:val="003061B5"/>
    <w:rsid w:val="003109E1"/>
    <w:rsid w:val="00312A55"/>
    <w:rsid w:val="00312C20"/>
    <w:rsid w:val="00313657"/>
    <w:rsid w:val="003147AB"/>
    <w:rsid w:val="00315983"/>
    <w:rsid w:val="00316285"/>
    <w:rsid w:val="003201AF"/>
    <w:rsid w:val="003225AF"/>
    <w:rsid w:val="00323C99"/>
    <w:rsid w:val="00323DA9"/>
    <w:rsid w:val="003307B8"/>
    <w:rsid w:val="00331107"/>
    <w:rsid w:val="00332EC5"/>
    <w:rsid w:val="003355D3"/>
    <w:rsid w:val="003362AB"/>
    <w:rsid w:val="00337AF1"/>
    <w:rsid w:val="00341BB5"/>
    <w:rsid w:val="00341E42"/>
    <w:rsid w:val="00342B5D"/>
    <w:rsid w:val="00343368"/>
    <w:rsid w:val="00344BB5"/>
    <w:rsid w:val="00344C7E"/>
    <w:rsid w:val="00344FD2"/>
    <w:rsid w:val="00345546"/>
    <w:rsid w:val="00345A01"/>
    <w:rsid w:val="0034650D"/>
    <w:rsid w:val="00356EB2"/>
    <w:rsid w:val="00361A4C"/>
    <w:rsid w:val="00362742"/>
    <w:rsid w:val="00363210"/>
    <w:rsid w:val="0036398C"/>
    <w:rsid w:val="0036409C"/>
    <w:rsid w:val="00371A00"/>
    <w:rsid w:val="00372836"/>
    <w:rsid w:val="00374844"/>
    <w:rsid w:val="00376D7A"/>
    <w:rsid w:val="00377C53"/>
    <w:rsid w:val="00380A53"/>
    <w:rsid w:val="003822FD"/>
    <w:rsid w:val="0038478C"/>
    <w:rsid w:val="00384E62"/>
    <w:rsid w:val="0038697C"/>
    <w:rsid w:val="00387AC5"/>
    <w:rsid w:val="0039027B"/>
    <w:rsid w:val="003939FD"/>
    <w:rsid w:val="00395DA8"/>
    <w:rsid w:val="003A137A"/>
    <w:rsid w:val="003A5680"/>
    <w:rsid w:val="003A6C24"/>
    <w:rsid w:val="003A7F92"/>
    <w:rsid w:val="003B0100"/>
    <w:rsid w:val="003B1954"/>
    <w:rsid w:val="003B212A"/>
    <w:rsid w:val="003B386C"/>
    <w:rsid w:val="003B4A8B"/>
    <w:rsid w:val="003C2C94"/>
    <w:rsid w:val="003C2FCB"/>
    <w:rsid w:val="003C37BD"/>
    <w:rsid w:val="003C43AE"/>
    <w:rsid w:val="003C50E7"/>
    <w:rsid w:val="003C5152"/>
    <w:rsid w:val="003C5AED"/>
    <w:rsid w:val="003C6BDF"/>
    <w:rsid w:val="003D0C8D"/>
    <w:rsid w:val="003D14A4"/>
    <w:rsid w:val="003D2448"/>
    <w:rsid w:val="003D3405"/>
    <w:rsid w:val="003D457B"/>
    <w:rsid w:val="003D7EEC"/>
    <w:rsid w:val="003E066B"/>
    <w:rsid w:val="003E1977"/>
    <w:rsid w:val="003E215A"/>
    <w:rsid w:val="003E246C"/>
    <w:rsid w:val="003E421D"/>
    <w:rsid w:val="003E535F"/>
    <w:rsid w:val="003F103B"/>
    <w:rsid w:val="003F1BB7"/>
    <w:rsid w:val="003F3137"/>
    <w:rsid w:val="003F387D"/>
    <w:rsid w:val="003F42BA"/>
    <w:rsid w:val="003F5384"/>
    <w:rsid w:val="003F58D0"/>
    <w:rsid w:val="004001BD"/>
    <w:rsid w:val="004058FE"/>
    <w:rsid w:val="00407271"/>
    <w:rsid w:val="0040781D"/>
    <w:rsid w:val="00411BB6"/>
    <w:rsid w:val="004151F1"/>
    <w:rsid w:val="004160A4"/>
    <w:rsid w:val="00421900"/>
    <w:rsid w:val="00421D28"/>
    <w:rsid w:val="00422803"/>
    <w:rsid w:val="00423A83"/>
    <w:rsid w:val="00424613"/>
    <w:rsid w:val="00425628"/>
    <w:rsid w:val="004258B6"/>
    <w:rsid w:val="004273A3"/>
    <w:rsid w:val="00427810"/>
    <w:rsid w:val="00430E7C"/>
    <w:rsid w:val="004316BC"/>
    <w:rsid w:val="004333D6"/>
    <w:rsid w:val="00433C5C"/>
    <w:rsid w:val="00433CC3"/>
    <w:rsid w:val="0043465F"/>
    <w:rsid w:val="004357C3"/>
    <w:rsid w:val="00435C49"/>
    <w:rsid w:val="00437813"/>
    <w:rsid w:val="00441CF0"/>
    <w:rsid w:val="00442E8D"/>
    <w:rsid w:val="0044561B"/>
    <w:rsid w:val="0044609E"/>
    <w:rsid w:val="004510B7"/>
    <w:rsid w:val="0045189E"/>
    <w:rsid w:val="00452638"/>
    <w:rsid w:val="0045272C"/>
    <w:rsid w:val="0045361D"/>
    <w:rsid w:val="00453C55"/>
    <w:rsid w:val="0046007A"/>
    <w:rsid w:val="00461E8B"/>
    <w:rsid w:val="00466459"/>
    <w:rsid w:val="00470C55"/>
    <w:rsid w:val="00470DA2"/>
    <w:rsid w:val="0047733B"/>
    <w:rsid w:val="004778AF"/>
    <w:rsid w:val="00480113"/>
    <w:rsid w:val="00480F30"/>
    <w:rsid w:val="00481D96"/>
    <w:rsid w:val="00482E58"/>
    <w:rsid w:val="00483DBF"/>
    <w:rsid w:val="0048488C"/>
    <w:rsid w:val="00484FAF"/>
    <w:rsid w:val="004875E3"/>
    <w:rsid w:val="004903BE"/>
    <w:rsid w:val="004929D5"/>
    <w:rsid w:val="00494283"/>
    <w:rsid w:val="00495AC8"/>
    <w:rsid w:val="00496037"/>
    <w:rsid w:val="004967B5"/>
    <w:rsid w:val="00496C28"/>
    <w:rsid w:val="00496D08"/>
    <w:rsid w:val="00496E07"/>
    <w:rsid w:val="004A4756"/>
    <w:rsid w:val="004A66C3"/>
    <w:rsid w:val="004A7E5F"/>
    <w:rsid w:val="004B052B"/>
    <w:rsid w:val="004B07BF"/>
    <w:rsid w:val="004B1162"/>
    <w:rsid w:val="004B274F"/>
    <w:rsid w:val="004C0FDE"/>
    <w:rsid w:val="004C301C"/>
    <w:rsid w:val="004C4A7F"/>
    <w:rsid w:val="004C5FD3"/>
    <w:rsid w:val="004C6872"/>
    <w:rsid w:val="004C72CD"/>
    <w:rsid w:val="004C79C6"/>
    <w:rsid w:val="004D3040"/>
    <w:rsid w:val="004D4571"/>
    <w:rsid w:val="004D50EA"/>
    <w:rsid w:val="004D6C9A"/>
    <w:rsid w:val="004D72A4"/>
    <w:rsid w:val="004E39CC"/>
    <w:rsid w:val="004E3E00"/>
    <w:rsid w:val="004E4E3F"/>
    <w:rsid w:val="004E52CE"/>
    <w:rsid w:val="004E5759"/>
    <w:rsid w:val="004E7A42"/>
    <w:rsid w:val="004F1312"/>
    <w:rsid w:val="004F270F"/>
    <w:rsid w:val="004F5FB9"/>
    <w:rsid w:val="004F7463"/>
    <w:rsid w:val="004F7AE2"/>
    <w:rsid w:val="005012A8"/>
    <w:rsid w:val="005013DC"/>
    <w:rsid w:val="0050389D"/>
    <w:rsid w:val="005040B9"/>
    <w:rsid w:val="00505276"/>
    <w:rsid w:val="00510D79"/>
    <w:rsid w:val="00511B01"/>
    <w:rsid w:val="00513138"/>
    <w:rsid w:val="00514568"/>
    <w:rsid w:val="005149CF"/>
    <w:rsid w:val="005155A9"/>
    <w:rsid w:val="00515ED2"/>
    <w:rsid w:val="00520F10"/>
    <w:rsid w:val="00522764"/>
    <w:rsid w:val="00524067"/>
    <w:rsid w:val="0052538C"/>
    <w:rsid w:val="0052576C"/>
    <w:rsid w:val="005264AE"/>
    <w:rsid w:val="00527C01"/>
    <w:rsid w:val="00527C39"/>
    <w:rsid w:val="00530C35"/>
    <w:rsid w:val="005323D2"/>
    <w:rsid w:val="0053555E"/>
    <w:rsid w:val="00540981"/>
    <w:rsid w:val="00540A69"/>
    <w:rsid w:val="005419B8"/>
    <w:rsid w:val="00544551"/>
    <w:rsid w:val="00545F79"/>
    <w:rsid w:val="00546467"/>
    <w:rsid w:val="005468D5"/>
    <w:rsid w:val="00552BA4"/>
    <w:rsid w:val="00554D90"/>
    <w:rsid w:val="0055597C"/>
    <w:rsid w:val="00556BB2"/>
    <w:rsid w:val="00557E3B"/>
    <w:rsid w:val="00570BA9"/>
    <w:rsid w:val="0057143D"/>
    <w:rsid w:val="005724FE"/>
    <w:rsid w:val="005731B6"/>
    <w:rsid w:val="00574DD0"/>
    <w:rsid w:val="0057576E"/>
    <w:rsid w:val="00575D66"/>
    <w:rsid w:val="00575EE1"/>
    <w:rsid w:val="00577A5F"/>
    <w:rsid w:val="0058062A"/>
    <w:rsid w:val="005824A8"/>
    <w:rsid w:val="005842BA"/>
    <w:rsid w:val="005849EC"/>
    <w:rsid w:val="00587949"/>
    <w:rsid w:val="00591041"/>
    <w:rsid w:val="005910AB"/>
    <w:rsid w:val="0059117E"/>
    <w:rsid w:val="005929EC"/>
    <w:rsid w:val="005932BF"/>
    <w:rsid w:val="00593FED"/>
    <w:rsid w:val="00594484"/>
    <w:rsid w:val="0059477D"/>
    <w:rsid w:val="00597226"/>
    <w:rsid w:val="005A2193"/>
    <w:rsid w:val="005A32CA"/>
    <w:rsid w:val="005A39D6"/>
    <w:rsid w:val="005A3EB3"/>
    <w:rsid w:val="005A4AE5"/>
    <w:rsid w:val="005B0E39"/>
    <w:rsid w:val="005B5D19"/>
    <w:rsid w:val="005C26A3"/>
    <w:rsid w:val="005C2CDD"/>
    <w:rsid w:val="005C3F91"/>
    <w:rsid w:val="005C46B7"/>
    <w:rsid w:val="005C519D"/>
    <w:rsid w:val="005C576A"/>
    <w:rsid w:val="005C6A52"/>
    <w:rsid w:val="005C6E57"/>
    <w:rsid w:val="005D0BA5"/>
    <w:rsid w:val="005D2233"/>
    <w:rsid w:val="005D2608"/>
    <w:rsid w:val="005D4B1D"/>
    <w:rsid w:val="005D74AD"/>
    <w:rsid w:val="005E0233"/>
    <w:rsid w:val="005E0513"/>
    <w:rsid w:val="005E0982"/>
    <w:rsid w:val="005E2963"/>
    <w:rsid w:val="005E377C"/>
    <w:rsid w:val="005E45B0"/>
    <w:rsid w:val="005E7E2F"/>
    <w:rsid w:val="005F1A68"/>
    <w:rsid w:val="005F2B84"/>
    <w:rsid w:val="005F569F"/>
    <w:rsid w:val="00600513"/>
    <w:rsid w:val="006026F8"/>
    <w:rsid w:val="00602E3E"/>
    <w:rsid w:val="00607DD1"/>
    <w:rsid w:val="00612C8C"/>
    <w:rsid w:val="0061386F"/>
    <w:rsid w:val="006145CE"/>
    <w:rsid w:val="00616EC4"/>
    <w:rsid w:val="0061724B"/>
    <w:rsid w:val="00626E00"/>
    <w:rsid w:val="006275B8"/>
    <w:rsid w:val="00627BF7"/>
    <w:rsid w:val="00632FDF"/>
    <w:rsid w:val="00633BF6"/>
    <w:rsid w:val="00634A55"/>
    <w:rsid w:val="006401B4"/>
    <w:rsid w:val="00640BD8"/>
    <w:rsid w:val="0064429E"/>
    <w:rsid w:val="006447F4"/>
    <w:rsid w:val="0064552E"/>
    <w:rsid w:val="00651450"/>
    <w:rsid w:val="00652719"/>
    <w:rsid w:val="00653115"/>
    <w:rsid w:val="006539E1"/>
    <w:rsid w:val="00653FCB"/>
    <w:rsid w:val="00656300"/>
    <w:rsid w:val="00662D11"/>
    <w:rsid w:val="006637AC"/>
    <w:rsid w:val="00670E6B"/>
    <w:rsid w:val="0067456F"/>
    <w:rsid w:val="00674BCD"/>
    <w:rsid w:val="006751F8"/>
    <w:rsid w:val="006766DC"/>
    <w:rsid w:val="00676835"/>
    <w:rsid w:val="00676B0E"/>
    <w:rsid w:val="00677E69"/>
    <w:rsid w:val="00677F24"/>
    <w:rsid w:val="006801A4"/>
    <w:rsid w:val="006809D2"/>
    <w:rsid w:val="00680AC2"/>
    <w:rsid w:val="00681D85"/>
    <w:rsid w:val="00682F91"/>
    <w:rsid w:val="00683387"/>
    <w:rsid w:val="00684B92"/>
    <w:rsid w:val="00687472"/>
    <w:rsid w:val="00687F78"/>
    <w:rsid w:val="006939A2"/>
    <w:rsid w:val="0069518C"/>
    <w:rsid w:val="00695284"/>
    <w:rsid w:val="006958D5"/>
    <w:rsid w:val="00696A91"/>
    <w:rsid w:val="00697D0C"/>
    <w:rsid w:val="006A283C"/>
    <w:rsid w:val="006A4C1F"/>
    <w:rsid w:val="006A6163"/>
    <w:rsid w:val="006B0514"/>
    <w:rsid w:val="006B05F2"/>
    <w:rsid w:val="006B0DE4"/>
    <w:rsid w:val="006B2D8B"/>
    <w:rsid w:val="006B3964"/>
    <w:rsid w:val="006B759C"/>
    <w:rsid w:val="006C078A"/>
    <w:rsid w:val="006C2D14"/>
    <w:rsid w:val="006C310F"/>
    <w:rsid w:val="006C4DE3"/>
    <w:rsid w:val="006C6B20"/>
    <w:rsid w:val="006D0B11"/>
    <w:rsid w:val="006D2E2A"/>
    <w:rsid w:val="006D6F71"/>
    <w:rsid w:val="006E0244"/>
    <w:rsid w:val="006E185A"/>
    <w:rsid w:val="006E3299"/>
    <w:rsid w:val="006E41F4"/>
    <w:rsid w:val="006F0D5E"/>
    <w:rsid w:val="006F264C"/>
    <w:rsid w:val="006F3B81"/>
    <w:rsid w:val="006F463D"/>
    <w:rsid w:val="006F5CCE"/>
    <w:rsid w:val="00700B70"/>
    <w:rsid w:val="00703F05"/>
    <w:rsid w:val="0070416B"/>
    <w:rsid w:val="00704F12"/>
    <w:rsid w:val="00705CEE"/>
    <w:rsid w:val="0070770F"/>
    <w:rsid w:val="00711D02"/>
    <w:rsid w:val="00714621"/>
    <w:rsid w:val="0071499E"/>
    <w:rsid w:val="00714D94"/>
    <w:rsid w:val="007170EC"/>
    <w:rsid w:val="0071790F"/>
    <w:rsid w:val="00717984"/>
    <w:rsid w:val="00717E88"/>
    <w:rsid w:val="00721553"/>
    <w:rsid w:val="00721A01"/>
    <w:rsid w:val="00721F48"/>
    <w:rsid w:val="00724065"/>
    <w:rsid w:val="0072523C"/>
    <w:rsid w:val="00725EBF"/>
    <w:rsid w:val="00726B0E"/>
    <w:rsid w:val="00726CC0"/>
    <w:rsid w:val="0072772B"/>
    <w:rsid w:val="00732E94"/>
    <w:rsid w:val="0073329D"/>
    <w:rsid w:val="00734BCD"/>
    <w:rsid w:val="00736718"/>
    <w:rsid w:val="0073752B"/>
    <w:rsid w:val="00737588"/>
    <w:rsid w:val="007377C5"/>
    <w:rsid w:val="00744201"/>
    <w:rsid w:val="00744E22"/>
    <w:rsid w:val="00750C22"/>
    <w:rsid w:val="007515F6"/>
    <w:rsid w:val="0075227A"/>
    <w:rsid w:val="00760879"/>
    <w:rsid w:val="00771BBE"/>
    <w:rsid w:val="0077287F"/>
    <w:rsid w:val="00772CD9"/>
    <w:rsid w:val="007746D4"/>
    <w:rsid w:val="00775DEE"/>
    <w:rsid w:val="00780692"/>
    <w:rsid w:val="00782D26"/>
    <w:rsid w:val="00783F86"/>
    <w:rsid w:val="007856E4"/>
    <w:rsid w:val="007872BB"/>
    <w:rsid w:val="00787B6F"/>
    <w:rsid w:val="0079365C"/>
    <w:rsid w:val="0079461B"/>
    <w:rsid w:val="007A0F10"/>
    <w:rsid w:val="007A183C"/>
    <w:rsid w:val="007A2F6E"/>
    <w:rsid w:val="007A7270"/>
    <w:rsid w:val="007B0508"/>
    <w:rsid w:val="007B2EDD"/>
    <w:rsid w:val="007B3831"/>
    <w:rsid w:val="007B49B0"/>
    <w:rsid w:val="007B69DA"/>
    <w:rsid w:val="007C1248"/>
    <w:rsid w:val="007C1628"/>
    <w:rsid w:val="007C1637"/>
    <w:rsid w:val="007C17B6"/>
    <w:rsid w:val="007C255D"/>
    <w:rsid w:val="007C2DFB"/>
    <w:rsid w:val="007C5923"/>
    <w:rsid w:val="007C6038"/>
    <w:rsid w:val="007D058B"/>
    <w:rsid w:val="007D10E0"/>
    <w:rsid w:val="007D133B"/>
    <w:rsid w:val="007D1A9F"/>
    <w:rsid w:val="007D3D9E"/>
    <w:rsid w:val="007D43D6"/>
    <w:rsid w:val="007D7074"/>
    <w:rsid w:val="007D74D4"/>
    <w:rsid w:val="007E24A3"/>
    <w:rsid w:val="007E2FD8"/>
    <w:rsid w:val="007E3258"/>
    <w:rsid w:val="007E5B6B"/>
    <w:rsid w:val="007E69A2"/>
    <w:rsid w:val="007E752F"/>
    <w:rsid w:val="007F2769"/>
    <w:rsid w:val="007F28D5"/>
    <w:rsid w:val="007F3DA2"/>
    <w:rsid w:val="007F4D06"/>
    <w:rsid w:val="007F6161"/>
    <w:rsid w:val="00806A14"/>
    <w:rsid w:val="008076E1"/>
    <w:rsid w:val="0081159E"/>
    <w:rsid w:val="0081246E"/>
    <w:rsid w:val="00814B94"/>
    <w:rsid w:val="00815260"/>
    <w:rsid w:val="008155BA"/>
    <w:rsid w:val="00815771"/>
    <w:rsid w:val="0081622C"/>
    <w:rsid w:val="00817637"/>
    <w:rsid w:val="00822702"/>
    <w:rsid w:val="00824191"/>
    <w:rsid w:val="00824B8C"/>
    <w:rsid w:val="00825534"/>
    <w:rsid w:val="00825969"/>
    <w:rsid w:val="0082700B"/>
    <w:rsid w:val="008314D2"/>
    <w:rsid w:val="00832388"/>
    <w:rsid w:val="00832B38"/>
    <w:rsid w:val="00833769"/>
    <w:rsid w:val="00834999"/>
    <w:rsid w:val="00835330"/>
    <w:rsid w:val="00835B75"/>
    <w:rsid w:val="00836536"/>
    <w:rsid w:val="008430AD"/>
    <w:rsid w:val="00843D77"/>
    <w:rsid w:val="00844325"/>
    <w:rsid w:val="00845D52"/>
    <w:rsid w:val="00846547"/>
    <w:rsid w:val="00850AA2"/>
    <w:rsid w:val="008515EB"/>
    <w:rsid w:val="00851A87"/>
    <w:rsid w:val="008538A9"/>
    <w:rsid w:val="00853925"/>
    <w:rsid w:val="00856B30"/>
    <w:rsid w:val="00865869"/>
    <w:rsid w:val="00866311"/>
    <w:rsid w:val="00870B87"/>
    <w:rsid w:val="008716E3"/>
    <w:rsid w:val="008737BE"/>
    <w:rsid w:val="00873BFF"/>
    <w:rsid w:val="00874164"/>
    <w:rsid w:val="00875A5E"/>
    <w:rsid w:val="0087632F"/>
    <w:rsid w:val="0088255C"/>
    <w:rsid w:val="00883A2E"/>
    <w:rsid w:val="0088647A"/>
    <w:rsid w:val="00887433"/>
    <w:rsid w:val="00893061"/>
    <w:rsid w:val="008936A8"/>
    <w:rsid w:val="00895BEC"/>
    <w:rsid w:val="008963EA"/>
    <w:rsid w:val="00897889"/>
    <w:rsid w:val="008A03BB"/>
    <w:rsid w:val="008A2758"/>
    <w:rsid w:val="008A7DEA"/>
    <w:rsid w:val="008B0D94"/>
    <w:rsid w:val="008B1168"/>
    <w:rsid w:val="008B22F4"/>
    <w:rsid w:val="008B28E8"/>
    <w:rsid w:val="008B3F84"/>
    <w:rsid w:val="008B5934"/>
    <w:rsid w:val="008B5B78"/>
    <w:rsid w:val="008C064E"/>
    <w:rsid w:val="008C1DC2"/>
    <w:rsid w:val="008C1DD3"/>
    <w:rsid w:val="008C1E3E"/>
    <w:rsid w:val="008C34BE"/>
    <w:rsid w:val="008C4112"/>
    <w:rsid w:val="008C444C"/>
    <w:rsid w:val="008C5969"/>
    <w:rsid w:val="008D10DE"/>
    <w:rsid w:val="008D56D1"/>
    <w:rsid w:val="008D5ED5"/>
    <w:rsid w:val="008D63D0"/>
    <w:rsid w:val="008D6AFB"/>
    <w:rsid w:val="008D7350"/>
    <w:rsid w:val="008E026F"/>
    <w:rsid w:val="008E0D9E"/>
    <w:rsid w:val="008E2589"/>
    <w:rsid w:val="008E3DAE"/>
    <w:rsid w:val="008E57A6"/>
    <w:rsid w:val="008E6C58"/>
    <w:rsid w:val="008E7EAE"/>
    <w:rsid w:val="008F01B0"/>
    <w:rsid w:val="008F0598"/>
    <w:rsid w:val="008F538D"/>
    <w:rsid w:val="0090117E"/>
    <w:rsid w:val="00907EAB"/>
    <w:rsid w:val="00910028"/>
    <w:rsid w:val="00910143"/>
    <w:rsid w:val="00911D98"/>
    <w:rsid w:val="00913789"/>
    <w:rsid w:val="00913EB5"/>
    <w:rsid w:val="0091492B"/>
    <w:rsid w:val="00917054"/>
    <w:rsid w:val="00926A17"/>
    <w:rsid w:val="009305B5"/>
    <w:rsid w:val="009316A5"/>
    <w:rsid w:val="00932B0F"/>
    <w:rsid w:val="009348A6"/>
    <w:rsid w:val="0093501A"/>
    <w:rsid w:val="00937037"/>
    <w:rsid w:val="00937A49"/>
    <w:rsid w:val="009414F8"/>
    <w:rsid w:val="009430A9"/>
    <w:rsid w:val="00944164"/>
    <w:rsid w:val="009467F0"/>
    <w:rsid w:val="0095313E"/>
    <w:rsid w:val="00956868"/>
    <w:rsid w:val="0095746A"/>
    <w:rsid w:val="00957B31"/>
    <w:rsid w:val="00964516"/>
    <w:rsid w:val="00965198"/>
    <w:rsid w:val="009664A4"/>
    <w:rsid w:val="00966799"/>
    <w:rsid w:val="00966BEC"/>
    <w:rsid w:val="009672DA"/>
    <w:rsid w:val="009675EE"/>
    <w:rsid w:val="009703C6"/>
    <w:rsid w:val="009708B2"/>
    <w:rsid w:val="0097160D"/>
    <w:rsid w:val="00972B2E"/>
    <w:rsid w:val="00974431"/>
    <w:rsid w:val="00980679"/>
    <w:rsid w:val="009813C7"/>
    <w:rsid w:val="009813EC"/>
    <w:rsid w:val="00984340"/>
    <w:rsid w:val="009843AD"/>
    <w:rsid w:val="009845D1"/>
    <w:rsid w:val="00984959"/>
    <w:rsid w:val="0098527E"/>
    <w:rsid w:val="0098536E"/>
    <w:rsid w:val="0098543E"/>
    <w:rsid w:val="00986981"/>
    <w:rsid w:val="00986FCA"/>
    <w:rsid w:val="00990F32"/>
    <w:rsid w:val="0099121E"/>
    <w:rsid w:val="0099146B"/>
    <w:rsid w:val="00991C58"/>
    <w:rsid w:val="00992F5F"/>
    <w:rsid w:val="009969B6"/>
    <w:rsid w:val="00997EB1"/>
    <w:rsid w:val="009A0278"/>
    <w:rsid w:val="009A1509"/>
    <w:rsid w:val="009A1E78"/>
    <w:rsid w:val="009A375C"/>
    <w:rsid w:val="009A415B"/>
    <w:rsid w:val="009A45ED"/>
    <w:rsid w:val="009A4B32"/>
    <w:rsid w:val="009A67E0"/>
    <w:rsid w:val="009A7411"/>
    <w:rsid w:val="009A78D7"/>
    <w:rsid w:val="009B1134"/>
    <w:rsid w:val="009B5370"/>
    <w:rsid w:val="009B7B64"/>
    <w:rsid w:val="009C0998"/>
    <w:rsid w:val="009C0D35"/>
    <w:rsid w:val="009C433D"/>
    <w:rsid w:val="009C4987"/>
    <w:rsid w:val="009D0037"/>
    <w:rsid w:val="009D2295"/>
    <w:rsid w:val="009D6A7B"/>
    <w:rsid w:val="009E18DA"/>
    <w:rsid w:val="009E1CBC"/>
    <w:rsid w:val="009E35A1"/>
    <w:rsid w:val="009E5616"/>
    <w:rsid w:val="009E61FF"/>
    <w:rsid w:val="009E6882"/>
    <w:rsid w:val="009E7335"/>
    <w:rsid w:val="009F2295"/>
    <w:rsid w:val="009F2BEC"/>
    <w:rsid w:val="009F5083"/>
    <w:rsid w:val="009F7157"/>
    <w:rsid w:val="009F725C"/>
    <w:rsid w:val="00A01410"/>
    <w:rsid w:val="00A0250F"/>
    <w:rsid w:val="00A03BA3"/>
    <w:rsid w:val="00A05591"/>
    <w:rsid w:val="00A060DB"/>
    <w:rsid w:val="00A0709F"/>
    <w:rsid w:val="00A10AD0"/>
    <w:rsid w:val="00A12085"/>
    <w:rsid w:val="00A127C0"/>
    <w:rsid w:val="00A128BA"/>
    <w:rsid w:val="00A216EC"/>
    <w:rsid w:val="00A22E23"/>
    <w:rsid w:val="00A25896"/>
    <w:rsid w:val="00A31925"/>
    <w:rsid w:val="00A31EC8"/>
    <w:rsid w:val="00A32E86"/>
    <w:rsid w:val="00A34B12"/>
    <w:rsid w:val="00A35577"/>
    <w:rsid w:val="00A3608B"/>
    <w:rsid w:val="00A412CF"/>
    <w:rsid w:val="00A41EAA"/>
    <w:rsid w:val="00A443FF"/>
    <w:rsid w:val="00A46612"/>
    <w:rsid w:val="00A473C6"/>
    <w:rsid w:val="00A50B04"/>
    <w:rsid w:val="00A50EAA"/>
    <w:rsid w:val="00A54C86"/>
    <w:rsid w:val="00A54C9E"/>
    <w:rsid w:val="00A55086"/>
    <w:rsid w:val="00A55FD2"/>
    <w:rsid w:val="00A601BE"/>
    <w:rsid w:val="00A60304"/>
    <w:rsid w:val="00A605BC"/>
    <w:rsid w:val="00A605EA"/>
    <w:rsid w:val="00A67257"/>
    <w:rsid w:val="00A72942"/>
    <w:rsid w:val="00A745E3"/>
    <w:rsid w:val="00A75552"/>
    <w:rsid w:val="00A758F6"/>
    <w:rsid w:val="00A8155A"/>
    <w:rsid w:val="00A82904"/>
    <w:rsid w:val="00A842A1"/>
    <w:rsid w:val="00A86BA1"/>
    <w:rsid w:val="00A87B17"/>
    <w:rsid w:val="00A928C0"/>
    <w:rsid w:val="00A93347"/>
    <w:rsid w:val="00A94809"/>
    <w:rsid w:val="00A9650A"/>
    <w:rsid w:val="00A96CC8"/>
    <w:rsid w:val="00AA0862"/>
    <w:rsid w:val="00AA114C"/>
    <w:rsid w:val="00AA2C21"/>
    <w:rsid w:val="00AA7417"/>
    <w:rsid w:val="00AB0262"/>
    <w:rsid w:val="00AB3E19"/>
    <w:rsid w:val="00AB5C31"/>
    <w:rsid w:val="00AB5D9A"/>
    <w:rsid w:val="00AC317F"/>
    <w:rsid w:val="00AC357E"/>
    <w:rsid w:val="00AC36E0"/>
    <w:rsid w:val="00AD0FF7"/>
    <w:rsid w:val="00AD1856"/>
    <w:rsid w:val="00AD44FB"/>
    <w:rsid w:val="00AD4AD1"/>
    <w:rsid w:val="00AD59D0"/>
    <w:rsid w:val="00AD5BF3"/>
    <w:rsid w:val="00AE002C"/>
    <w:rsid w:val="00AE182B"/>
    <w:rsid w:val="00AE1B73"/>
    <w:rsid w:val="00AE2473"/>
    <w:rsid w:val="00AE2BF6"/>
    <w:rsid w:val="00AE3338"/>
    <w:rsid w:val="00AE61B8"/>
    <w:rsid w:val="00AF12BC"/>
    <w:rsid w:val="00AF302C"/>
    <w:rsid w:val="00AF5DFF"/>
    <w:rsid w:val="00AF61A9"/>
    <w:rsid w:val="00B00256"/>
    <w:rsid w:val="00B00BF2"/>
    <w:rsid w:val="00B02489"/>
    <w:rsid w:val="00B0403C"/>
    <w:rsid w:val="00B04AF8"/>
    <w:rsid w:val="00B05CC9"/>
    <w:rsid w:val="00B10D45"/>
    <w:rsid w:val="00B11D70"/>
    <w:rsid w:val="00B15692"/>
    <w:rsid w:val="00B16203"/>
    <w:rsid w:val="00B1771F"/>
    <w:rsid w:val="00B2031E"/>
    <w:rsid w:val="00B2225A"/>
    <w:rsid w:val="00B2277E"/>
    <w:rsid w:val="00B22DE6"/>
    <w:rsid w:val="00B242B0"/>
    <w:rsid w:val="00B24DA4"/>
    <w:rsid w:val="00B253CF"/>
    <w:rsid w:val="00B26A3E"/>
    <w:rsid w:val="00B27853"/>
    <w:rsid w:val="00B3254A"/>
    <w:rsid w:val="00B328B6"/>
    <w:rsid w:val="00B332EA"/>
    <w:rsid w:val="00B33513"/>
    <w:rsid w:val="00B33B88"/>
    <w:rsid w:val="00B341CA"/>
    <w:rsid w:val="00B40E13"/>
    <w:rsid w:val="00B424CC"/>
    <w:rsid w:val="00B429E7"/>
    <w:rsid w:val="00B448EE"/>
    <w:rsid w:val="00B44C1B"/>
    <w:rsid w:val="00B45C37"/>
    <w:rsid w:val="00B4672A"/>
    <w:rsid w:val="00B46855"/>
    <w:rsid w:val="00B46914"/>
    <w:rsid w:val="00B470DF"/>
    <w:rsid w:val="00B50354"/>
    <w:rsid w:val="00B511FD"/>
    <w:rsid w:val="00B53699"/>
    <w:rsid w:val="00B565CB"/>
    <w:rsid w:val="00B57D56"/>
    <w:rsid w:val="00B6123A"/>
    <w:rsid w:val="00B613C3"/>
    <w:rsid w:val="00B627FA"/>
    <w:rsid w:val="00B715BA"/>
    <w:rsid w:val="00B72C12"/>
    <w:rsid w:val="00B75471"/>
    <w:rsid w:val="00B75C42"/>
    <w:rsid w:val="00B760D3"/>
    <w:rsid w:val="00B76C17"/>
    <w:rsid w:val="00B775C5"/>
    <w:rsid w:val="00B82F76"/>
    <w:rsid w:val="00B83C0F"/>
    <w:rsid w:val="00B8741C"/>
    <w:rsid w:val="00B8743C"/>
    <w:rsid w:val="00B91372"/>
    <w:rsid w:val="00B92E9E"/>
    <w:rsid w:val="00B9454D"/>
    <w:rsid w:val="00B94CE9"/>
    <w:rsid w:val="00B95C3C"/>
    <w:rsid w:val="00B971DB"/>
    <w:rsid w:val="00BA16A7"/>
    <w:rsid w:val="00BA1A1E"/>
    <w:rsid w:val="00BA1B90"/>
    <w:rsid w:val="00BA22F6"/>
    <w:rsid w:val="00BA36C7"/>
    <w:rsid w:val="00BA43CF"/>
    <w:rsid w:val="00BA5E88"/>
    <w:rsid w:val="00BA6F6F"/>
    <w:rsid w:val="00BB3BA8"/>
    <w:rsid w:val="00BB701B"/>
    <w:rsid w:val="00BC129D"/>
    <w:rsid w:val="00BC2CF6"/>
    <w:rsid w:val="00BC33D2"/>
    <w:rsid w:val="00BC7EB5"/>
    <w:rsid w:val="00BD02C4"/>
    <w:rsid w:val="00BD1010"/>
    <w:rsid w:val="00BD1F29"/>
    <w:rsid w:val="00BD21A0"/>
    <w:rsid w:val="00BD27DF"/>
    <w:rsid w:val="00BD452F"/>
    <w:rsid w:val="00BD653E"/>
    <w:rsid w:val="00BD67B2"/>
    <w:rsid w:val="00BE003B"/>
    <w:rsid w:val="00BE16EC"/>
    <w:rsid w:val="00BE1995"/>
    <w:rsid w:val="00BE2F8E"/>
    <w:rsid w:val="00BE3475"/>
    <w:rsid w:val="00BE4F73"/>
    <w:rsid w:val="00BE664C"/>
    <w:rsid w:val="00BE7565"/>
    <w:rsid w:val="00BE7AF0"/>
    <w:rsid w:val="00BF19A7"/>
    <w:rsid w:val="00BF309A"/>
    <w:rsid w:val="00BF354F"/>
    <w:rsid w:val="00BF509C"/>
    <w:rsid w:val="00BF5715"/>
    <w:rsid w:val="00BF724F"/>
    <w:rsid w:val="00BF7517"/>
    <w:rsid w:val="00C0461D"/>
    <w:rsid w:val="00C04CAF"/>
    <w:rsid w:val="00C05FE5"/>
    <w:rsid w:val="00C068A3"/>
    <w:rsid w:val="00C07372"/>
    <w:rsid w:val="00C078FD"/>
    <w:rsid w:val="00C078FE"/>
    <w:rsid w:val="00C113A6"/>
    <w:rsid w:val="00C11A03"/>
    <w:rsid w:val="00C120CE"/>
    <w:rsid w:val="00C13443"/>
    <w:rsid w:val="00C16E82"/>
    <w:rsid w:val="00C17669"/>
    <w:rsid w:val="00C20BCD"/>
    <w:rsid w:val="00C221C4"/>
    <w:rsid w:val="00C235A6"/>
    <w:rsid w:val="00C252AA"/>
    <w:rsid w:val="00C257BC"/>
    <w:rsid w:val="00C2666B"/>
    <w:rsid w:val="00C3159B"/>
    <w:rsid w:val="00C32CFF"/>
    <w:rsid w:val="00C350D2"/>
    <w:rsid w:val="00C3727D"/>
    <w:rsid w:val="00C37ACC"/>
    <w:rsid w:val="00C40BA7"/>
    <w:rsid w:val="00C437B2"/>
    <w:rsid w:val="00C43802"/>
    <w:rsid w:val="00C45B49"/>
    <w:rsid w:val="00C4600F"/>
    <w:rsid w:val="00C46A61"/>
    <w:rsid w:val="00C50B28"/>
    <w:rsid w:val="00C53FA2"/>
    <w:rsid w:val="00C62A00"/>
    <w:rsid w:val="00C62BF4"/>
    <w:rsid w:val="00C63256"/>
    <w:rsid w:val="00C6420F"/>
    <w:rsid w:val="00C64E47"/>
    <w:rsid w:val="00C65AD2"/>
    <w:rsid w:val="00C70A63"/>
    <w:rsid w:val="00C730F6"/>
    <w:rsid w:val="00C74123"/>
    <w:rsid w:val="00C7526B"/>
    <w:rsid w:val="00C7790B"/>
    <w:rsid w:val="00C81DBE"/>
    <w:rsid w:val="00C82FE3"/>
    <w:rsid w:val="00C83430"/>
    <w:rsid w:val="00C85852"/>
    <w:rsid w:val="00C85AE7"/>
    <w:rsid w:val="00C85B41"/>
    <w:rsid w:val="00C87AA3"/>
    <w:rsid w:val="00C87F38"/>
    <w:rsid w:val="00C94DB1"/>
    <w:rsid w:val="00C95E47"/>
    <w:rsid w:val="00C96E97"/>
    <w:rsid w:val="00C97BC4"/>
    <w:rsid w:val="00C97EF6"/>
    <w:rsid w:val="00C97F28"/>
    <w:rsid w:val="00CA136E"/>
    <w:rsid w:val="00CA1477"/>
    <w:rsid w:val="00CA182E"/>
    <w:rsid w:val="00CA2364"/>
    <w:rsid w:val="00CA5221"/>
    <w:rsid w:val="00CA56BD"/>
    <w:rsid w:val="00CA6A1E"/>
    <w:rsid w:val="00CA74CC"/>
    <w:rsid w:val="00CB09C3"/>
    <w:rsid w:val="00CB1DA9"/>
    <w:rsid w:val="00CB2C55"/>
    <w:rsid w:val="00CB3F9F"/>
    <w:rsid w:val="00CB413B"/>
    <w:rsid w:val="00CB4BAD"/>
    <w:rsid w:val="00CB7C64"/>
    <w:rsid w:val="00CC0388"/>
    <w:rsid w:val="00CC0F74"/>
    <w:rsid w:val="00CC1542"/>
    <w:rsid w:val="00CC1729"/>
    <w:rsid w:val="00CC4694"/>
    <w:rsid w:val="00CC47F4"/>
    <w:rsid w:val="00CC512E"/>
    <w:rsid w:val="00CC58DF"/>
    <w:rsid w:val="00CD08F5"/>
    <w:rsid w:val="00CD11F5"/>
    <w:rsid w:val="00CD268A"/>
    <w:rsid w:val="00CD6B71"/>
    <w:rsid w:val="00CD6FA7"/>
    <w:rsid w:val="00CE1615"/>
    <w:rsid w:val="00CE306F"/>
    <w:rsid w:val="00CE45BD"/>
    <w:rsid w:val="00CE69ED"/>
    <w:rsid w:val="00CF115D"/>
    <w:rsid w:val="00CF21E1"/>
    <w:rsid w:val="00CF46B9"/>
    <w:rsid w:val="00CF4A2F"/>
    <w:rsid w:val="00D03E09"/>
    <w:rsid w:val="00D04E12"/>
    <w:rsid w:val="00D108FC"/>
    <w:rsid w:val="00D10CA1"/>
    <w:rsid w:val="00D10F06"/>
    <w:rsid w:val="00D111AB"/>
    <w:rsid w:val="00D11BFB"/>
    <w:rsid w:val="00D11D39"/>
    <w:rsid w:val="00D1471D"/>
    <w:rsid w:val="00D161D7"/>
    <w:rsid w:val="00D16529"/>
    <w:rsid w:val="00D21FD7"/>
    <w:rsid w:val="00D23698"/>
    <w:rsid w:val="00D24D15"/>
    <w:rsid w:val="00D258CA"/>
    <w:rsid w:val="00D26B45"/>
    <w:rsid w:val="00D30F50"/>
    <w:rsid w:val="00D30FA8"/>
    <w:rsid w:val="00D31FAB"/>
    <w:rsid w:val="00D3255D"/>
    <w:rsid w:val="00D33C0F"/>
    <w:rsid w:val="00D36260"/>
    <w:rsid w:val="00D37BEE"/>
    <w:rsid w:val="00D4202F"/>
    <w:rsid w:val="00D43005"/>
    <w:rsid w:val="00D44537"/>
    <w:rsid w:val="00D47B8B"/>
    <w:rsid w:val="00D47DBD"/>
    <w:rsid w:val="00D509AE"/>
    <w:rsid w:val="00D51DE9"/>
    <w:rsid w:val="00D5292D"/>
    <w:rsid w:val="00D53CFA"/>
    <w:rsid w:val="00D54115"/>
    <w:rsid w:val="00D56A1F"/>
    <w:rsid w:val="00D5757D"/>
    <w:rsid w:val="00D61A88"/>
    <w:rsid w:val="00D61B79"/>
    <w:rsid w:val="00D6385E"/>
    <w:rsid w:val="00D66EA8"/>
    <w:rsid w:val="00D71DF7"/>
    <w:rsid w:val="00D73374"/>
    <w:rsid w:val="00D77346"/>
    <w:rsid w:val="00D80BBC"/>
    <w:rsid w:val="00D83D62"/>
    <w:rsid w:val="00D85572"/>
    <w:rsid w:val="00D85D63"/>
    <w:rsid w:val="00D863EC"/>
    <w:rsid w:val="00D900AC"/>
    <w:rsid w:val="00D9341B"/>
    <w:rsid w:val="00D9412A"/>
    <w:rsid w:val="00D9714A"/>
    <w:rsid w:val="00DA3005"/>
    <w:rsid w:val="00DA7405"/>
    <w:rsid w:val="00DB09FC"/>
    <w:rsid w:val="00DB2F24"/>
    <w:rsid w:val="00DB42AF"/>
    <w:rsid w:val="00DB7F49"/>
    <w:rsid w:val="00DC63C8"/>
    <w:rsid w:val="00DC77ED"/>
    <w:rsid w:val="00DD10F9"/>
    <w:rsid w:val="00DD288F"/>
    <w:rsid w:val="00DD4832"/>
    <w:rsid w:val="00DD7F58"/>
    <w:rsid w:val="00DE1BB4"/>
    <w:rsid w:val="00DE1F6E"/>
    <w:rsid w:val="00DE4939"/>
    <w:rsid w:val="00DE51A7"/>
    <w:rsid w:val="00DE5C70"/>
    <w:rsid w:val="00DE7431"/>
    <w:rsid w:val="00DF1DF1"/>
    <w:rsid w:val="00DF238C"/>
    <w:rsid w:val="00DF6CC5"/>
    <w:rsid w:val="00DF70B6"/>
    <w:rsid w:val="00E00B03"/>
    <w:rsid w:val="00E0216A"/>
    <w:rsid w:val="00E029BB"/>
    <w:rsid w:val="00E02C0A"/>
    <w:rsid w:val="00E02FCE"/>
    <w:rsid w:val="00E0748D"/>
    <w:rsid w:val="00E104BA"/>
    <w:rsid w:val="00E10E2F"/>
    <w:rsid w:val="00E12442"/>
    <w:rsid w:val="00E14BD4"/>
    <w:rsid w:val="00E168AB"/>
    <w:rsid w:val="00E21EFE"/>
    <w:rsid w:val="00E22151"/>
    <w:rsid w:val="00E23CF6"/>
    <w:rsid w:val="00E26BD2"/>
    <w:rsid w:val="00E27C47"/>
    <w:rsid w:val="00E31239"/>
    <w:rsid w:val="00E325EA"/>
    <w:rsid w:val="00E32D61"/>
    <w:rsid w:val="00E33136"/>
    <w:rsid w:val="00E37392"/>
    <w:rsid w:val="00E37FA9"/>
    <w:rsid w:val="00E40728"/>
    <w:rsid w:val="00E415F9"/>
    <w:rsid w:val="00E4198E"/>
    <w:rsid w:val="00E45145"/>
    <w:rsid w:val="00E500BC"/>
    <w:rsid w:val="00E51F6A"/>
    <w:rsid w:val="00E546F4"/>
    <w:rsid w:val="00E55136"/>
    <w:rsid w:val="00E55556"/>
    <w:rsid w:val="00E5676D"/>
    <w:rsid w:val="00E5726B"/>
    <w:rsid w:val="00E57386"/>
    <w:rsid w:val="00E60705"/>
    <w:rsid w:val="00E6397A"/>
    <w:rsid w:val="00E64263"/>
    <w:rsid w:val="00E670BC"/>
    <w:rsid w:val="00E70A1B"/>
    <w:rsid w:val="00E73ED4"/>
    <w:rsid w:val="00E76241"/>
    <w:rsid w:val="00E80BF1"/>
    <w:rsid w:val="00E81F9D"/>
    <w:rsid w:val="00E848D3"/>
    <w:rsid w:val="00E84D8D"/>
    <w:rsid w:val="00E872B4"/>
    <w:rsid w:val="00E90F53"/>
    <w:rsid w:val="00E92580"/>
    <w:rsid w:val="00E9290D"/>
    <w:rsid w:val="00E92A35"/>
    <w:rsid w:val="00E94043"/>
    <w:rsid w:val="00E9424B"/>
    <w:rsid w:val="00E95B16"/>
    <w:rsid w:val="00E96CEA"/>
    <w:rsid w:val="00EA476A"/>
    <w:rsid w:val="00EA4BA0"/>
    <w:rsid w:val="00EA755F"/>
    <w:rsid w:val="00EB2B46"/>
    <w:rsid w:val="00EB3C1D"/>
    <w:rsid w:val="00EB7D86"/>
    <w:rsid w:val="00EC19A0"/>
    <w:rsid w:val="00EC1E91"/>
    <w:rsid w:val="00EC1EDB"/>
    <w:rsid w:val="00EC22B2"/>
    <w:rsid w:val="00EC37EB"/>
    <w:rsid w:val="00EC3865"/>
    <w:rsid w:val="00EC4EE2"/>
    <w:rsid w:val="00ED21C1"/>
    <w:rsid w:val="00ED3B3F"/>
    <w:rsid w:val="00ED3C72"/>
    <w:rsid w:val="00ED7745"/>
    <w:rsid w:val="00EE0BE5"/>
    <w:rsid w:val="00EE381E"/>
    <w:rsid w:val="00EE3A03"/>
    <w:rsid w:val="00EE61E0"/>
    <w:rsid w:val="00EE70AA"/>
    <w:rsid w:val="00EE71C2"/>
    <w:rsid w:val="00EF221C"/>
    <w:rsid w:val="00EF2FE1"/>
    <w:rsid w:val="00EF4682"/>
    <w:rsid w:val="00EF4A17"/>
    <w:rsid w:val="00EF78D9"/>
    <w:rsid w:val="00EF7E9A"/>
    <w:rsid w:val="00EF7F88"/>
    <w:rsid w:val="00F0013F"/>
    <w:rsid w:val="00F00DEC"/>
    <w:rsid w:val="00F0195F"/>
    <w:rsid w:val="00F02C23"/>
    <w:rsid w:val="00F02F21"/>
    <w:rsid w:val="00F04A3C"/>
    <w:rsid w:val="00F05428"/>
    <w:rsid w:val="00F10149"/>
    <w:rsid w:val="00F103B7"/>
    <w:rsid w:val="00F105FA"/>
    <w:rsid w:val="00F1085C"/>
    <w:rsid w:val="00F11377"/>
    <w:rsid w:val="00F12AA0"/>
    <w:rsid w:val="00F1564B"/>
    <w:rsid w:val="00F15C80"/>
    <w:rsid w:val="00F23658"/>
    <w:rsid w:val="00F24C9C"/>
    <w:rsid w:val="00F25408"/>
    <w:rsid w:val="00F34FB8"/>
    <w:rsid w:val="00F442CE"/>
    <w:rsid w:val="00F449AD"/>
    <w:rsid w:val="00F45E21"/>
    <w:rsid w:val="00F45F12"/>
    <w:rsid w:val="00F46A12"/>
    <w:rsid w:val="00F51464"/>
    <w:rsid w:val="00F528B4"/>
    <w:rsid w:val="00F528F0"/>
    <w:rsid w:val="00F559B3"/>
    <w:rsid w:val="00F55C5D"/>
    <w:rsid w:val="00F56A18"/>
    <w:rsid w:val="00F576B6"/>
    <w:rsid w:val="00F57778"/>
    <w:rsid w:val="00F629AF"/>
    <w:rsid w:val="00F65582"/>
    <w:rsid w:val="00F67E7F"/>
    <w:rsid w:val="00F7188C"/>
    <w:rsid w:val="00F7477F"/>
    <w:rsid w:val="00F755C8"/>
    <w:rsid w:val="00F807BE"/>
    <w:rsid w:val="00F80DF0"/>
    <w:rsid w:val="00F80F2A"/>
    <w:rsid w:val="00F812C6"/>
    <w:rsid w:val="00F81A82"/>
    <w:rsid w:val="00F8344F"/>
    <w:rsid w:val="00F933DD"/>
    <w:rsid w:val="00F94863"/>
    <w:rsid w:val="00F95A19"/>
    <w:rsid w:val="00F95D86"/>
    <w:rsid w:val="00F96F5D"/>
    <w:rsid w:val="00FA421F"/>
    <w:rsid w:val="00FA6DE3"/>
    <w:rsid w:val="00FB0427"/>
    <w:rsid w:val="00FB3183"/>
    <w:rsid w:val="00FB650C"/>
    <w:rsid w:val="00FC102B"/>
    <w:rsid w:val="00FC1D77"/>
    <w:rsid w:val="00FC239C"/>
    <w:rsid w:val="00FC23A8"/>
    <w:rsid w:val="00FC2A2E"/>
    <w:rsid w:val="00FC4489"/>
    <w:rsid w:val="00FC4E08"/>
    <w:rsid w:val="00FC6BD1"/>
    <w:rsid w:val="00FC732C"/>
    <w:rsid w:val="00FC75AA"/>
    <w:rsid w:val="00FC7CAD"/>
    <w:rsid w:val="00FD01BA"/>
    <w:rsid w:val="00FD1373"/>
    <w:rsid w:val="00FD142D"/>
    <w:rsid w:val="00FD280A"/>
    <w:rsid w:val="00FD2A0E"/>
    <w:rsid w:val="00FD4AE6"/>
    <w:rsid w:val="00FD4F95"/>
    <w:rsid w:val="00FE2068"/>
    <w:rsid w:val="00FE295C"/>
    <w:rsid w:val="00FE39D5"/>
    <w:rsid w:val="00FE4CD1"/>
    <w:rsid w:val="00FE5BA3"/>
    <w:rsid w:val="00FE67A7"/>
    <w:rsid w:val="00FE6E70"/>
    <w:rsid w:val="00FF0E3D"/>
    <w:rsid w:val="00FF3E1C"/>
    <w:rsid w:val="00FF5579"/>
    <w:rsid w:val="00FF60EE"/>
    <w:rsid w:val="00FF6707"/>
    <w:rsid w:val="00FF6ED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CF21E1"/>
    <w:rPr>
      <w:rFonts w:ascii="Times New Roman" w:eastAsia="Times New Roman" w:hAnsi="Times New Roman"/>
      <w:sz w:val="24"/>
      <w:szCs w:val="24"/>
    </w:rPr>
  </w:style>
  <w:style w:type="paragraph" w:styleId="Virsraksts3">
    <w:name w:val="heading 3"/>
    <w:basedOn w:val="Parastais"/>
    <w:link w:val="Virsraksts3Rakstz"/>
    <w:qFormat/>
    <w:rsid w:val="00FC239C"/>
    <w:pPr>
      <w:spacing w:before="100" w:beforeAutospacing="1" w:after="100" w:afterAutospacing="1"/>
      <w:outlineLvl w:val="2"/>
    </w:pPr>
    <w:rPr>
      <w:b/>
      <w:bCs/>
      <w:sz w:val="27"/>
      <w:szCs w:val="27"/>
    </w:rPr>
  </w:style>
  <w:style w:type="paragraph" w:styleId="Virsraksts4">
    <w:name w:val="heading 4"/>
    <w:basedOn w:val="Parastais"/>
    <w:next w:val="Parastais"/>
    <w:qFormat/>
    <w:rsid w:val="00000FF2"/>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ais"/>
    <w:rsid w:val="00CF21E1"/>
    <w:pPr>
      <w:spacing w:before="75" w:after="75"/>
      <w:ind w:firstLine="375"/>
      <w:jc w:val="both"/>
    </w:pPr>
  </w:style>
  <w:style w:type="paragraph" w:customStyle="1" w:styleId="naisnod">
    <w:name w:val="naisnod"/>
    <w:basedOn w:val="Parastais"/>
    <w:rsid w:val="00CF21E1"/>
    <w:pPr>
      <w:spacing w:before="150" w:after="150"/>
      <w:jc w:val="center"/>
    </w:pPr>
    <w:rPr>
      <w:b/>
      <w:bCs/>
    </w:rPr>
  </w:style>
  <w:style w:type="paragraph" w:customStyle="1" w:styleId="naislab">
    <w:name w:val="naislab"/>
    <w:basedOn w:val="Parastais"/>
    <w:rsid w:val="00CF21E1"/>
    <w:pPr>
      <w:spacing w:before="75" w:after="75"/>
      <w:jc w:val="right"/>
    </w:pPr>
  </w:style>
  <w:style w:type="paragraph" w:customStyle="1" w:styleId="naiskr">
    <w:name w:val="naiskr"/>
    <w:basedOn w:val="Parastais"/>
    <w:rsid w:val="00CF21E1"/>
    <w:pPr>
      <w:spacing w:before="75" w:after="75"/>
    </w:pPr>
  </w:style>
  <w:style w:type="paragraph" w:customStyle="1" w:styleId="naisc">
    <w:name w:val="naisc"/>
    <w:basedOn w:val="Parastais"/>
    <w:uiPriority w:val="99"/>
    <w:rsid w:val="00CF21E1"/>
    <w:pPr>
      <w:spacing w:before="75" w:after="75"/>
      <w:jc w:val="center"/>
    </w:pPr>
  </w:style>
  <w:style w:type="paragraph" w:styleId="ParastaisWeb">
    <w:name w:val="Normal (Web)"/>
    <w:basedOn w:val="Parastais"/>
    <w:uiPriority w:val="99"/>
    <w:rsid w:val="00CF21E1"/>
    <w:pPr>
      <w:spacing w:before="100" w:beforeAutospacing="1" w:after="100" w:afterAutospacing="1"/>
    </w:pPr>
  </w:style>
  <w:style w:type="paragraph" w:styleId="Kjene">
    <w:name w:val="footer"/>
    <w:basedOn w:val="Parastais"/>
    <w:link w:val="KjeneRakstz"/>
    <w:uiPriority w:val="99"/>
    <w:rsid w:val="00CF21E1"/>
    <w:pPr>
      <w:tabs>
        <w:tab w:val="center" w:pos="4153"/>
        <w:tab w:val="right" w:pos="8306"/>
      </w:tabs>
    </w:pPr>
  </w:style>
  <w:style w:type="character" w:customStyle="1" w:styleId="KjeneRakstz">
    <w:name w:val="Kājene Rakstz."/>
    <w:link w:val="Kjene"/>
    <w:uiPriority w:val="99"/>
    <w:rsid w:val="00CF21E1"/>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rsid w:val="00011BD6"/>
    <w:pPr>
      <w:tabs>
        <w:tab w:val="center" w:pos="4153"/>
        <w:tab w:val="right" w:pos="8306"/>
      </w:tabs>
    </w:pPr>
  </w:style>
  <w:style w:type="character" w:customStyle="1" w:styleId="GalveneRakstz">
    <w:name w:val="Galvene Rakstz."/>
    <w:link w:val="Galvene"/>
    <w:rsid w:val="00011BD6"/>
    <w:rPr>
      <w:rFonts w:ascii="Times New Roman" w:eastAsia="Times New Roman" w:hAnsi="Times New Roman"/>
      <w:sz w:val="24"/>
      <w:szCs w:val="24"/>
    </w:rPr>
  </w:style>
  <w:style w:type="character" w:styleId="Lappusesnumurs">
    <w:name w:val="page number"/>
    <w:basedOn w:val="Noklusjumarindkopasfonts"/>
    <w:rsid w:val="00CF21E1"/>
  </w:style>
  <w:style w:type="character" w:styleId="Hipersaite">
    <w:name w:val="Hyperlink"/>
    <w:rsid w:val="00CF21E1"/>
    <w:rPr>
      <w:color w:val="0000FF"/>
      <w:u w:val="single"/>
    </w:rPr>
  </w:style>
  <w:style w:type="paragraph" w:styleId="Pamatteksts">
    <w:name w:val="Body Text"/>
    <w:basedOn w:val="Parastais"/>
    <w:link w:val="PamattekstsRakstz"/>
    <w:uiPriority w:val="99"/>
    <w:semiHidden/>
    <w:unhideWhenUsed/>
    <w:rsid w:val="00612C8C"/>
    <w:pPr>
      <w:spacing w:before="100" w:beforeAutospacing="1" w:after="100" w:afterAutospacing="1"/>
    </w:pPr>
  </w:style>
  <w:style w:type="character" w:customStyle="1" w:styleId="PamattekstsRakstz">
    <w:name w:val="Pamatteksts Rakstz."/>
    <w:link w:val="Pamatteksts"/>
    <w:uiPriority w:val="99"/>
    <w:semiHidden/>
    <w:rsid w:val="00612C8C"/>
    <w:rPr>
      <w:rFonts w:ascii="Times New Roman" w:eastAsia="Times New Roman" w:hAnsi="Times New Roman" w:cs="Times New Roman"/>
      <w:sz w:val="24"/>
      <w:szCs w:val="24"/>
      <w:lang w:eastAsia="lv-LV"/>
    </w:rPr>
  </w:style>
  <w:style w:type="paragraph" w:styleId="Sarakstarindkopa">
    <w:name w:val="List Paragraph"/>
    <w:basedOn w:val="Parastais"/>
    <w:uiPriority w:val="34"/>
    <w:qFormat/>
    <w:rsid w:val="00BC129D"/>
    <w:pPr>
      <w:ind w:left="720"/>
      <w:contextualSpacing/>
    </w:pPr>
  </w:style>
  <w:style w:type="paragraph" w:styleId="Balonteksts">
    <w:name w:val="Balloon Text"/>
    <w:basedOn w:val="Parastais"/>
    <w:link w:val="BalontekstsRakstz"/>
    <w:uiPriority w:val="99"/>
    <w:semiHidden/>
    <w:unhideWhenUsed/>
    <w:rsid w:val="006E41F4"/>
    <w:rPr>
      <w:rFonts w:ascii="Tahoma" w:hAnsi="Tahoma"/>
      <w:sz w:val="16"/>
      <w:szCs w:val="16"/>
    </w:rPr>
  </w:style>
  <w:style w:type="character" w:customStyle="1" w:styleId="BalontekstsRakstz">
    <w:name w:val="Balonteksts Rakstz."/>
    <w:link w:val="Balonteksts"/>
    <w:uiPriority w:val="99"/>
    <w:semiHidden/>
    <w:rsid w:val="006E41F4"/>
    <w:rPr>
      <w:rFonts w:ascii="Tahoma" w:eastAsia="Times New Roman" w:hAnsi="Tahoma" w:cs="Tahoma"/>
      <w:sz w:val="16"/>
      <w:szCs w:val="16"/>
    </w:rPr>
  </w:style>
  <w:style w:type="character" w:styleId="Izteiksmgs">
    <w:name w:val="Strong"/>
    <w:qFormat/>
    <w:rsid w:val="00FC239C"/>
    <w:rPr>
      <w:b/>
      <w:bCs/>
    </w:rPr>
  </w:style>
  <w:style w:type="paragraph" w:customStyle="1" w:styleId="naisvisr">
    <w:name w:val="naisvisr"/>
    <w:basedOn w:val="Parastais"/>
    <w:rsid w:val="00000FF2"/>
    <w:pPr>
      <w:spacing w:before="150" w:after="150"/>
      <w:jc w:val="center"/>
    </w:pPr>
    <w:rPr>
      <w:b/>
      <w:bCs/>
      <w:sz w:val="28"/>
      <w:szCs w:val="28"/>
    </w:rPr>
  </w:style>
  <w:style w:type="character" w:customStyle="1" w:styleId="Virsraksts3Rakstz">
    <w:name w:val="Virsraksts 3 Rakstz."/>
    <w:link w:val="Virsraksts3"/>
    <w:rsid w:val="00846547"/>
    <w:rPr>
      <w:rFonts w:ascii="Times New Roman" w:eastAsia="Times New Roman" w:hAnsi="Times New Roman"/>
      <w:b/>
      <w:bCs/>
      <w:sz w:val="27"/>
      <w:szCs w:val="27"/>
    </w:rPr>
  </w:style>
  <w:style w:type="character" w:styleId="Komentraatsauce">
    <w:name w:val="annotation reference"/>
    <w:semiHidden/>
    <w:unhideWhenUsed/>
    <w:rsid w:val="00EF2FE1"/>
    <w:rPr>
      <w:sz w:val="16"/>
      <w:szCs w:val="16"/>
    </w:rPr>
  </w:style>
  <w:style w:type="paragraph" w:styleId="Komentrateksts">
    <w:name w:val="annotation text"/>
    <w:basedOn w:val="Parastais"/>
    <w:link w:val="KomentratekstsRakstz"/>
    <w:uiPriority w:val="99"/>
    <w:semiHidden/>
    <w:unhideWhenUsed/>
    <w:rsid w:val="00EF2FE1"/>
    <w:rPr>
      <w:sz w:val="20"/>
      <w:szCs w:val="20"/>
    </w:rPr>
  </w:style>
  <w:style w:type="character" w:customStyle="1" w:styleId="KomentratekstsRakstz">
    <w:name w:val="Komentāra teksts Rakstz."/>
    <w:link w:val="Komentrateksts"/>
    <w:uiPriority w:val="99"/>
    <w:semiHidden/>
    <w:rsid w:val="00EF2FE1"/>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EF2FE1"/>
    <w:rPr>
      <w:b/>
      <w:bCs/>
    </w:rPr>
  </w:style>
  <w:style w:type="character" w:customStyle="1" w:styleId="KomentratmaRakstz">
    <w:name w:val="Komentāra tēma Rakstz."/>
    <w:link w:val="Komentratma"/>
    <w:uiPriority w:val="99"/>
    <w:semiHidden/>
    <w:rsid w:val="00EF2FE1"/>
    <w:rPr>
      <w:rFonts w:ascii="Times New Roman" w:eastAsia="Times New Roman" w:hAnsi="Times New Roman"/>
      <w:b/>
      <w:bCs/>
    </w:rPr>
  </w:style>
  <w:style w:type="paragraph" w:styleId="Vresteksts">
    <w:name w:val="footnote text"/>
    <w:basedOn w:val="Parastais"/>
    <w:link w:val="VrestekstsRakstz"/>
    <w:uiPriority w:val="99"/>
    <w:semiHidden/>
    <w:unhideWhenUsed/>
    <w:rsid w:val="007377C5"/>
    <w:rPr>
      <w:sz w:val="20"/>
      <w:szCs w:val="20"/>
    </w:rPr>
  </w:style>
  <w:style w:type="character" w:customStyle="1" w:styleId="VrestekstsRakstz">
    <w:name w:val="Vēres teksts Rakstz."/>
    <w:link w:val="Vresteksts"/>
    <w:uiPriority w:val="99"/>
    <w:semiHidden/>
    <w:rsid w:val="007377C5"/>
    <w:rPr>
      <w:rFonts w:ascii="Times New Roman" w:eastAsia="Times New Roman" w:hAnsi="Times New Roman"/>
    </w:rPr>
  </w:style>
  <w:style w:type="character" w:styleId="Vresatsauce">
    <w:name w:val="footnote reference"/>
    <w:uiPriority w:val="99"/>
    <w:semiHidden/>
    <w:unhideWhenUsed/>
    <w:rsid w:val="007377C5"/>
    <w:rPr>
      <w:vertAlign w:val="superscript"/>
    </w:rPr>
  </w:style>
  <w:style w:type="character" w:customStyle="1" w:styleId="hps">
    <w:name w:val="hps"/>
    <w:basedOn w:val="Noklusjumarindkopasfonts"/>
    <w:rsid w:val="003225AF"/>
  </w:style>
  <w:style w:type="character" w:styleId="HTMLcitts">
    <w:name w:val="HTML Cite"/>
    <w:basedOn w:val="Noklusjumarindkopasfonts"/>
    <w:uiPriority w:val="99"/>
    <w:semiHidden/>
    <w:unhideWhenUsed/>
    <w:rsid w:val="00676B0E"/>
    <w:rPr>
      <w:i w:val="0"/>
      <w:iCs w:val="0"/>
      <w:color w:val="0E774A"/>
    </w:rPr>
  </w:style>
  <w:style w:type="character" w:styleId="Izmantotahipersaite">
    <w:name w:val="FollowedHyperlink"/>
    <w:basedOn w:val="Noklusjumarindkopasfonts"/>
    <w:uiPriority w:val="99"/>
    <w:semiHidden/>
    <w:unhideWhenUsed/>
    <w:rsid w:val="00C2666B"/>
    <w:rPr>
      <w:color w:val="800080" w:themeColor="followedHyperlink"/>
      <w:u w:val="single"/>
    </w:rPr>
  </w:style>
  <w:style w:type="character" w:customStyle="1" w:styleId="spelle">
    <w:name w:val="spelle"/>
    <w:basedOn w:val="Noklusjumarindkopasfonts"/>
    <w:rsid w:val="000E7240"/>
  </w:style>
  <w:style w:type="paragraph" w:customStyle="1" w:styleId="tvhtml">
    <w:name w:val="tv_html"/>
    <w:basedOn w:val="Parastais"/>
    <w:rsid w:val="005E45B0"/>
    <w:pPr>
      <w:spacing w:before="100" w:beforeAutospacing="1" w:after="100" w:afterAutospacing="1"/>
    </w:pPr>
    <w:rPr>
      <w:rFonts w:ascii="Verdana" w:hAnsi="Verdana"/>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870552">
      <w:bodyDiv w:val="1"/>
      <w:marLeft w:val="0"/>
      <w:marRight w:val="0"/>
      <w:marTop w:val="0"/>
      <w:marBottom w:val="0"/>
      <w:divBdr>
        <w:top w:val="none" w:sz="0" w:space="0" w:color="auto"/>
        <w:left w:val="none" w:sz="0" w:space="0" w:color="auto"/>
        <w:bottom w:val="none" w:sz="0" w:space="0" w:color="auto"/>
        <w:right w:val="none" w:sz="0" w:space="0" w:color="auto"/>
      </w:divBdr>
    </w:div>
    <w:div w:id="207646848">
      <w:bodyDiv w:val="1"/>
      <w:marLeft w:val="0"/>
      <w:marRight w:val="0"/>
      <w:marTop w:val="0"/>
      <w:marBottom w:val="0"/>
      <w:divBdr>
        <w:top w:val="none" w:sz="0" w:space="0" w:color="auto"/>
        <w:left w:val="none" w:sz="0" w:space="0" w:color="auto"/>
        <w:bottom w:val="none" w:sz="0" w:space="0" w:color="auto"/>
        <w:right w:val="none" w:sz="0" w:space="0" w:color="auto"/>
      </w:divBdr>
    </w:div>
    <w:div w:id="242883716">
      <w:bodyDiv w:val="1"/>
      <w:marLeft w:val="0"/>
      <w:marRight w:val="0"/>
      <w:marTop w:val="0"/>
      <w:marBottom w:val="0"/>
      <w:divBdr>
        <w:top w:val="none" w:sz="0" w:space="0" w:color="auto"/>
        <w:left w:val="none" w:sz="0" w:space="0" w:color="auto"/>
        <w:bottom w:val="none" w:sz="0" w:space="0" w:color="auto"/>
        <w:right w:val="none" w:sz="0" w:space="0" w:color="auto"/>
      </w:divBdr>
    </w:div>
    <w:div w:id="578371596">
      <w:bodyDiv w:val="1"/>
      <w:marLeft w:val="45"/>
      <w:marRight w:val="45"/>
      <w:marTop w:val="90"/>
      <w:marBottom w:val="90"/>
      <w:divBdr>
        <w:top w:val="none" w:sz="0" w:space="0" w:color="auto"/>
        <w:left w:val="none" w:sz="0" w:space="0" w:color="auto"/>
        <w:bottom w:val="none" w:sz="0" w:space="0" w:color="auto"/>
        <w:right w:val="none" w:sz="0" w:space="0" w:color="auto"/>
      </w:divBdr>
      <w:divsChild>
        <w:div w:id="2036225438">
          <w:marLeft w:val="0"/>
          <w:marRight w:val="0"/>
          <w:marTop w:val="0"/>
          <w:marBottom w:val="567"/>
          <w:divBdr>
            <w:top w:val="none" w:sz="0" w:space="0" w:color="auto"/>
            <w:left w:val="none" w:sz="0" w:space="0" w:color="auto"/>
            <w:bottom w:val="none" w:sz="0" w:space="0" w:color="auto"/>
            <w:right w:val="none" w:sz="0" w:space="0" w:color="auto"/>
          </w:divBdr>
        </w:div>
      </w:divsChild>
    </w:div>
    <w:div w:id="624579518">
      <w:bodyDiv w:val="1"/>
      <w:marLeft w:val="45"/>
      <w:marRight w:val="45"/>
      <w:marTop w:val="90"/>
      <w:marBottom w:val="90"/>
      <w:divBdr>
        <w:top w:val="none" w:sz="0" w:space="0" w:color="auto"/>
        <w:left w:val="none" w:sz="0" w:space="0" w:color="auto"/>
        <w:bottom w:val="none" w:sz="0" w:space="0" w:color="auto"/>
        <w:right w:val="none" w:sz="0" w:space="0" w:color="auto"/>
      </w:divBdr>
      <w:divsChild>
        <w:div w:id="1277642674">
          <w:marLeft w:val="0"/>
          <w:marRight w:val="0"/>
          <w:marTop w:val="0"/>
          <w:marBottom w:val="567"/>
          <w:divBdr>
            <w:top w:val="none" w:sz="0" w:space="0" w:color="auto"/>
            <w:left w:val="none" w:sz="0" w:space="0" w:color="auto"/>
            <w:bottom w:val="none" w:sz="0" w:space="0" w:color="auto"/>
            <w:right w:val="none" w:sz="0" w:space="0" w:color="auto"/>
          </w:divBdr>
        </w:div>
      </w:divsChild>
    </w:div>
    <w:div w:id="754014773">
      <w:bodyDiv w:val="1"/>
      <w:marLeft w:val="0"/>
      <w:marRight w:val="0"/>
      <w:marTop w:val="0"/>
      <w:marBottom w:val="0"/>
      <w:divBdr>
        <w:top w:val="none" w:sz="0" w:space="0" w:color="auto"/>
        <w:left w:val="none" w:sz="0" w:space="0" w:color="auto"/>
        <w:bottom w:val="none" w:sz="0" w:space="0" w:color="auto"/>
        <w:right w:val="none" w:sz="0" w:space="0" w:color="auto"/>
      </w:divBdr>
      <w:divsChild>
        <w:div w:id="576597830">
          <w:marLeft w:val="0"/>
          <w:marRight w:val="0"/>
          <w:marTop w:val="0"/>
          <w:marBottom w:val="0"/>
          <w:divBdr>
            <w:top w:val="none" w:sz="0" w:space="0" w:color="auto"/>
            <w:left w:val="none" w:sz="0" w:space="0" w:color="auto"/>
            <w:bottom w:val="none" w:sz="0" w:space="0" w:color="auto"/>
            <w:right w:val="none" w:sz="0" w:space="0" w:color="auto"/>
          </w:divBdr>
          <w:divsChild>
            <w:div w:id="1205757303">
              <w:marLeft w:val="0"/>
              <w:marRight w:val="0"/>
              <w:marTop w:val="0"/>
              <w:marBottom w:val="0"/>
              <w:divBdr>
                <w:top w:val="none" w:sz="0" w:space="0" w:color="auto"/>
                <w:left w:val="none" w:sz="0" w:space="0" w:color="auto"/>
                <w:bottom w:val="none" w:sz="0" w:space="0" w:color="auto"/>
                <w:right w:val="none" w:sz="0" w:space="0" w:color="auto"/>
              </w:divBdr>
              <w:divsChild>
                <w:div w:id="807013459">
                  <w:marLeft w:val="0"/>
                  <w:marRight w:val="0"/>
                  <w:marTop w:val="0"/>
                  <w:marBottom w:val="0"/>
                  <w:divBdr>
                    <w:top w:val="none" w:sz="0" w:space="0" w:color="auto"/>
                    <w:left w:val="none" w:sz="0" w:space="0" w:color="auto"/>
                    <w:bottom w:val="none" w:sz="0" w:space="0" w:color="auto"/>
                    <w:right w:val="none" w:sz="0" w:space="0" w:color="auto"/>
                  </w:divBdr>
                  <w:divsChild>
                    <w:div w:id="848177796">
                      <w:marLeft w:val="0"/>
                      <w:marRight w:val="0"/>
                      <w:marTop w:val="0"/>
                      <w:marBottom w:val="0"/>
                      <w:divBdr>
                        <w:top w:val="none" w:sz="0" w:space="0" w:color="auto"/>
                        <w:left w:val="none" w:sz="0" w:space="0" w:color="auto"/>
                        <w:bottom w:val="none" w:sz="0" w:space="0" w:color="auto"/>
                        <w:right w:val="none" w:sz="0" w:space="0" w:color="auto"/>
                      </w:divBdr>
                      <w:divsChild>
                        <w:div w:id="1066761853">
                          <w:marLeft w:val="0"/>
                          <w:marRight w:val="0"/>
                          <w:marTop w:val="0"/>
                          <w:marBottom w:val="0"/>
                          <w:divBdr>
                            <w:top w:val="none" w:sz="0" w:space="0" w:color="auto"/>
                            <w:left w:val="none" w:sz="0" w:space="0" w:color="auto"/>
                            <w:bottom w:val="none" w:sz="0" w:space="0" w:color="auto"/>
                            <w:right w:val="none" w:sz="0" w:space="0" w:color="auto"/>
                          </w:divBdr>
                          <w:divsChild>
                            <w:div w:id="2128892482">
                              <w:marLeft w:val="0"/>
                              <w:marRight w:val="0"/>
                              <w:marTop w:val="0"/>
                              <w:marBottom w:val="0"/>
                              <w:divBdr>
                                <w:top w:val="none" w:sz="0" w:space="0" w:color="auto"/>
                                <w:left w:val="none" w:sz="0" w:space="0" w:color="auto"/>
                                <w:bottom w:val="none" w:sz="0" w:space="0" w:color="auto"/>
                                <w:right w:val="none" w:sz="0" w:space="0" w:color="auto"/>
                              </w:divBdr>
                              <w:divsChild>
                                <w:div w:id="1322387647">
                                  <w:marLeft w:val="0"/>
                                  <w:marRight w:val="0"/>
                                  <w:marTop w:val="0"/>
                                  <w:marBottom w:val="0"/>
                                  <w:divBdr>
                                    <w:top w:val="single" w:sz="6" w:space="0" w:color="F5F5F5"/>
                                    <w:left w:val="single" w:sz="6" w:space="0" w:color="F5F5F5"/>
                                    <w:bottom w:val="single" w:sz="6" w:space="0" w:color="F5F5F5"/>
                                    <w:right w:val="single" w:sz="6" w:space="0" w:color="F5F5F5"/>
                                  </w:divBdr>
                                  <w:divsChild>
                                    <w:div w:id="912397229">
                                      <w:marLeft w:val="0"/>
                                      <w:marRight w:val="0"/>
                                      <w:marTop w:val="0"/>
                                      <w:marBottom w:val="0"/>
                                      <w:divBdr>
                                        <w:top w:val="none" w:sz="0" w:space="0" w:color="auto"/>
                                        <w:left w:val="none" w:sz="0" w:space="0" w:color="auto"/>
                                        <w:bottom w:val="none" w:sz="0" w:space="0" w:color="auto"/>
                                        <w:right w:val="none" w:sz="0" w:space="0" w:color="auto"/>
                                      </w:divBdr>
                                      <w:divsChild>
                                        <w:div w:id="100100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728607">
      <w:bodyDiv w:val="1"/>
      <w:marLeft w:val="0"/>
      <w:marRight w:val="0"/>
      <w:marTop w:val="0"/>
      <w:marBottom w:val="0"/>
      <w:divBdr>
        <w:top w:val="none" w:sz="0" w:space="0" w:color="auto"/>
        <w:left w:val="none" w:sz="0" w:space="0" w:color="auto"/>
        <w:bottom w:val="none" w:sz="0" w:space="0" w:color="auto"/>
        <w:right w:val="none" w:sz="0" w:space="0" w:color="auto"/>
      </w:divBdr>
    </w:div>
    <w:div w:id="1192914169">
      <w:bodyDiv w:val="1"/>
      <w:marLeft w:val="0"/>
      <w:marRight w:val="0"/>
      <w:marTop w:val="0"/>
      <w:marBottom w:val="0"/>
      <w:divBdr>
        <w:top w:val="none" w:sz="0" w:space="0" w:color="auto"/>
        <w:left w:val="none" w:sz="0" w:space="0" w:color="auto"/>
        <w:bottom w:val="none" w:sz="0" w:space="0" w:color="auto"/>
        <w:right w:val="none" w:sz="0" w:space="0" w:color="auto"/>
      </w:divBdr>
    </w:div>
    <w:div w:id="1350720979">
      <w:bodyDiv w:val="1"/>
      <w:marLeft w:val="0"/>
      <w:marRight w:val="0"/>
      <w:marTop w:val="0"/>
      <w:marBottom w:val="0"/>
      <w:divBdr>
        <w:top w:val="none" w:sz="0" w:space="0" w:color="auto"/>
        <w:left w:val="none" w:sz="0" w:space="0" w:color="auto"/>
        <w:bottom w:val="none" w:sz="0" w:space="0" w:color="auto"/>
        <w:right w:val="none" w:sz="0" w:space="0" w:color="auto"/>
      </w:divBdr>
    </w:div>
    <w:div w:id="1456173808">
      <w:bodyDiv w:val="1"/>
      <w:marLeft w:val="0"/>
      <w:marRight w:val="0"/>
      <w:marTop w:val="0"/>
      <w:marBottom w:val="0"/>
      <w:divBdr>
        <w:top w:val="none" w:sz="0" w:space="0" w:color="auto"/>
        <w:left w:val="none" w:sz="0" w:space="0" w:color="auto"/>
        <w:bottom w:val="none" w:sz="0" w:space="0" w:color="auto"/>
        <w:right w:val="none" w:sz="0" w:space="0" w:color="auto"/>
      </w:divBdr>
      <w:divsChild>
        <w:div w:id="1869876941">
          <w:marLeft w:val="0"/>
          <w:marRight w:val="0"/>
          <w:marTop w:val="0"/>
          <w:marBottom w:val="0"/>
          <w:divBdr>
            <w:top w:val="none" w:sz="0" w:space="0" w:color="auto"/>
            <w:left w:val="none" w:sz="0" w:space="0" w:color="auto"/>
            <w:bottom w:val="none" w:sz="0" w:space="0" w:color="auto"/>
            <w:right w:val="none" w:sz="0" w:space="0" w:color="auto"/>
          </w:divBdr>
          <w:divsChild>
            <w:div w:id="1674187847">
              <w:marLeft w:val="0"/>
              <w:marRight w:val="0"/>
              <w:marTop w:val="0"/>
              <w:marBottom w:val="0"/>
              <w:divBdr>
                <w:top w:val="none" w:sz="0" w:space="0" w:color="auto"/>
                <w:left w:val="none" w:sz="0" w:space="0" w:color="auto"/>
                <w:bottom w:val="none" w:sz="0" w:space="0" w:color="auto"/>
                <w:right w:val="none" w:sz="0" w:space="0" w:color="auto"/>
              </w:divBdr>
              <w:divsChild>
                <w:div w:id="683634321">
                  <w:marLeft w:val="0"/>
                  <w:marRight w:val="0"/>
                  <w:marTop w:val="0"/>
                  <w:marBottom w:val="0"/>
                  <w:divBdr>
                    <w:top w:val="none" w:sz="0" w:space="0" w:color="auto"/>
                    <w:left w:val="none" w:sz="0" w:space="0" w:color="auto"/>
                    <w:bottom w:val="none" w:sz="0" w:space="0" w:color="auto"/>
                    <w:right w:val="none" w:sz="0" w:space="0" w:color="auto"/>
                  </w:divBdr>
                  <w:divsChild>
                    <w:div w:id="13870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464923">
      <w:bodyDiv w:val="1"/>
      <w:marLeft w:val="0"/>
      <w:marRight w:val="0"/>
      <w:marTop w:val="75"/>
      <w:marBottom w:val="75"/>
      <w:divBdr>
        <w:top w:val="none" w:sz="0" w:space="0" w:color="auto"/>
        <w:left w:val="none" w:sz="0" w:space="0" w:color="auto"/>
        <w:bottom w:val="none" w:sz="0" w:space="0" w:color="auto"/>
        <w:right w:val="none" w:sz="0" w:space="0" w:color="auto"/>
      </w:divBdr>
    </w:div>
    <w:div w:id="1496653443">
      <w:bodyDiv w:val="1"/>
      <w:marLeft w:val="0"/>
      <w:marRight w:val="0"/>
      <w:marTop w:val="0"/>
      <w:marBottom w:val="0"/>
      <w:divBdr>
        <w:top w:val="none" w:sz="0" w:space="0" w:color="auto"/>
        <w:left w:val="none" w:sz="0" w:space="0" w:color="auto"/>
        <w:bottom w:val="none" w:sz="0" w:space="0" w:color="auto"/>
        <w:right w:val="none" w:sz="0" w:space="0" w:color="auto"/>
      </w:divBdr>
    </w:div>
    <w:div w:id="1510027598">
      <w:bodyDiv w:val="1"/>
      <w:marLeft w:val="0"/>
      <w:marRight w:val="0"/>
      <w:marTop w:val="0"/>
      <w:marBottom w:val="0"/>
      <w:divBdr>
        <w:top w:val="none" w:sz="0" w:space="0" w:color="auto"/>
        <w:left w:val="none" w:sz="0" w:space="0" w:color="auto"/>
        <w:bottom w:val="none" w:sz="0" w:space="0" w:color="auto"/>
        <w:right w:val="none" w:sz="0" w:space="0" w:color="auto"/>
      </w:divBdr>
      <w:divsChild>
        <w:div w:id="974674569">
          <w:marLeft w:val="0"/>
          <w:marRight w:val="0"/>
          <w:marTop w:val="0"/>
          <w:marBottom w:val="0"/>
          <w:divBdr>
            <w:top w:val="none" w:sz="0" w:space="0" w:color="auto"/>
            <w:left w:val="none" w:sz="0" w:space="0" w:color="auto"/>
            <w:bottom w:val="none" w:sz="0" w:space="0" w:color="auto"/>
            <w:right w:val="none" w:sz="0" w:space="0" w:color="auto"/>
          </w:divBdr>
          <w:divsChild>
            <w:div w:id="711466368">
              <w:marLeft w:val="0"/>
              <w:marRight w:val="0"/>
              <w:marTop w:val="0"/>
              <w:marBottom w:val="0"/>
              <w:divBdr>
                <w:top w:val="none" w:sz="0" w:space="0" w:color="auto"/>
                <w:left w:val="none" w:sz="0" w:space="0" w:color="auto"/>
                <w:bottom w:val="none" w:sz="0" w:space="0" w:color="auto"/>
                <w:right w:val="none" w:sz="0" w:space="0" w:color="auto"/>
              </w:divBdr>
              <w:divsChild>
                <w:div w:id="408112318">
                  <w:marLeft w:val="0"/>
                  <w:marRight w:val="0"/>
                  <w:marTop w:val="0"/>
                  <w:marBottom w:val="0"/>
                  <w:divBdr>
                    <w:top w:val="none" w:sz="0" w:space="0" w:color="auto"/>
                    <w:left w:val="none" w:sz="0" w:space="0" w:color="auto"/>
                    <w:bottom w:val="none" w:sz="0" w:space="0" w:color="auto"/>
                    <w:right w:val="none" w:sz="0" w:space="0" w:color="auto"/>
                  </w:divBdr>
                  <w:divsChild>
                    <w:div w:id="187368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55936">
      <w:bodyDiv w:val="1"/>
      <w:marLeft w:val="0"/>
      <w:marRight w:val="0"/>
      <w:marTop w:val="0"/>
      <w:marBottom w:val="0"/>
      <w:divBdr>
        <w:top w:val="none" w:sz="0" w:space="0" w:color="auto"/>
        <w:left w:val="none" w:sz="0" w:space="0" w:color="auto"/>
        <w:bottom w:val="none" w:sz="0" w:space="0" w:color="auto"/>
        <w:right w:val="none" w:sz="0" w:space="0" w:color="auto"/>
      </w:divBdr>
    </w:div>
    <w:div w:id="1820682246">
      <w:bodyDiv w:val="1"/>
      <w:marLeft w:val="0"/>
      <w:marRight w:val="0"/>
      <w:marTop w:val="0"/>
      <w:marBottom w:val="0"/>
      <w:divBdr>
        <w:top w:val="none" w:sz="0" w:space="0" w:color="auto"/>
        <w:left w:val="none" w:sz="0" w:space="0" w:color="auto"/>
        <w:bottom w:val="none" w:sz="0" w:space="0" w:color="auto"/>
        <w:right w:val="none" w:sz="0" w:space="0" w:color="auto"/>
      </w:divBdr>
    </w:div>
    <w:div w:id="2050639587">
      <w:bodyDiv w:val="1"/>
      <w:marLeft w:val="0"/>
      <w:marRight w:val="0"/>
      <w:marTop w:val="0"/>
      <w:marBottom w:val="0"/>
      <w:divBdr>
        <w:top w:val="none" w:sz="0" w:space="0" w:color="auto"/>
        <w:left w:val="none" w:sz="0" w:space="0" w:color="auto"/>
        <w:bottom w:val="none" w:sz="0" w:space="0" w:color="auto"/>
        <w:right w:val="none" w:sz="0" w:space="0" w:color="auto"/>
      </w:divBdr>
    </w:div>
    <w:div w:id="207739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lena.Barbale@t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translation/latvian/guidelines/documents/legal_manual_lv.pdf" TargetMode="External"/><Relationship Id="rId1" Type="http://schemas.openxmlformats.org/officeDocument/2006/relationships/hyperlink" Target="http://www.cilvektirdzniecib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88BB44-8706-4CD7-93A9-A47E06F41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37740</Words>
  <Characters>21513</Characters>
  <Application>Microsoft Office Word</Application>
  <DocSecurity>4</DocSecurity>
  <Lines>179</Lines>
  <Paragraphs>118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likumā „Par valsts kompensāciju cietušajiem”” sākotnējās ietekmes novērtējuma ziņojums (anotācija)</vt:lpstr>
      <vt:lpstr>Likumprojekta „Grozījumi Uzturlīdzekļu garantiju fonda likumā” sākotnējās ietekmes novērtējuma ziņojums (anotācija)</vt:lpstr>
    </vt:vector>
  </TitlesOfParts>
  <Company>Ekonomikas ministrija</Company>
  <LinksUpToDate>false</LinksUpToDate>
  <CharactersWithSpaces>59135</CharactersWithSpaces>
  <SharedDoc>false</SharedDoc>
  <HLinks>
    <vt:vector size="60" baseType="variant">
      <vt:variant>
        <vt:i4>5505136</vt:i4>
      </vt:variant>
      <vt:variant>
        <vt:i4>24</vt:i4>
      </vt:variant>
      <vt:variant>
        <vt:i4>0</vt:i4>
      </vt:variant>
      <vt:variant>
        <vt:i4>5</vt:i4>
      </vt:variant>
      <vt:variant>
        <vt:lpwstr>mailto:Daina.Baha@tm.gov.lv</vt:lpwstr>
      </vt:variant>
      <vt:variant>
        <vt:lpwstr/>
      </vt:variant>
      <vt:variant>
        <vt:i4>7209011</vt:i4>
      </vt:variant>
      <vt:variant>
        <vt:i4>21</vt:i4>
      </vt:variant>
      <vt:variant>
        <vt:i4>0</vt:i4>
      </vt:variant>
      <vt:variant>
        <vt:i4>5</vt:i4>
      </vt:variant>
      <vt:variant>
        <vt:lpwstr>http://eur-lex.europa.eu/LexUriServ/LexUriServ.do?uri=OJ:L:2009:007:0001:01:LV:HTML</vt:lpwstr>
      </vt:variant>
      <vt:variant>
        <vt:lpwstr/>
      </vt:variant>
      <vt:variant>
        <vt:i4>7209011</vt:i4>
      </vt:variant>
      <vt:variant>
        <vt:i4>18</vt:i4>
      </vt:variant>
      <vt:variant>
        <vt:i4>0</vt:i4>
      </vt:variant>
      <vt:variant>
        <vt:i4>5</vt:i4>
      </vt:variant>
      <vt:variant>
        <vt:lpwstr>http://eur-lex.europa.eu/LexUriServ/LexUriServ.do?uri=OJ:L:2009:007:0001:01:LV:HTML</vt:lpwstr>
      </vt:variant>
      <vt:variant>
        <vt:lpwstr/>
      </vt:variant>
      <vt:variant>
        <vt:i4>7209011</vt:i4>
      </vt:variant>
      <vt:variant>
        <vt:i4>15</vt:i4>
      </vt:variant>
      <vt:variant>
        <vt:i4>0</vt:i4>
      </vt:variant>
      <vt:variant>
        <vt:i4>5</vt:i4>
      </vt:variant>
      <vt:variant>
        <vt:lpwstr>http://eur-lex.europa.eu/LexUriServ/LexUriServ.do?uri=OJ:L:2009:007:0001:01:LV:HTML</vt:lpwstr>
      </vt:variant>
      <vt:variant>
        <vt:lpwstr/>
      </vt:variant>
      <vt:variant>
        <vt:i4>7209011</vt:i4>
      </vt:variant>
      <vt:variant>
        <vt:i4>12</vt:i4>
      </vt:variant>
      <vt:variant>
        <vt:i4>0</vt:i4>
      </vt:variant>
      <vt:variant>
        <vt:i4>5</vt:i4>
      </vt:variant>
      <vt:variant>
        <vt:lpwstr>http://eur-lex.europa.eu/LexUriServ/LexUriServ.do?uri=OJ:L:2009:007:0001:01:LV:HTML</vt:lpwstr>
      </vt:variant>
      <vt:variant>
        <vt:lpwstr/>
      </vt:variant>
      <vt:variant>
        <vt:i4>7602210</vt:i4>
      </vt:variant>
      <vt:variant>
        <vt:i4>9</vt:i4>
      </vt:variant>
      <vt:variant>
        <vt:i4>0</vt:i4>
      </vt:variant>
      <vt:variant>
        <vt:i4>5</vt:i4>
      </vt:variant>
      <vt:variant>
        <vt:lpwstr>http://www.likumi.lv/doc.php?id=225418</vt:lpwstr>
      </vt:variant>
      <vt:variant>
        <vt:lpwstr/>
      </vt:variant>
      <vt:variant>
        <vt:i4>7602210</vt:i4>
      </vt:variant>
      <vt:variant>
        <vt:i4>6</vt:i4>
      </vt:variant>
      <vt:variant>
        <vt:i4>0</vt:i4>
      </vt:variant>
      <vt:variant>
        <vt:i4>5</vt:i4>
      </vt:variant>
      <vt:variant>
        <vt:lpwstr>http://www.likumi.lv/doc.php?id=225418</vt:lpwstr>
      </vt:variant>
      <vt:variant>
        <vt:lpwstr/>
      </vt:variant>
      <vt:variant>
        <vt:i4>7602210</vt:i4>
      </vt:variant>
      <vt:variant>
        <vt:i4>3</vt:i4>
      </vt:variant>
      <vt:variant>
        <vt:i4>0</vt:i4>
      </vt:variant>
      <vt:variant>
        <vt:i4>5</vt:i4>
      </vt:variant>
      <vt:variant>
        <vt:lpwstr>http://www.likumi.lv/doc.php?id=225418</vt:lpwstr>
      </vt:variant>
      <vt:variant>
        <vt:lpwstr/>
      </vt:variant>
      <vt:variant>
        <vt:i4>7602210</vt:i4>
      </vt:variant>
      <vt:variant>
        <vt:i4>0</vt:i4>
      </vt:variant>
      <vt:variant>
        <vt:i4>0</vt:i4>
      </vt:variant>
      <vt:variant>
        <vt:i4>5</vt:i4>
      </vt:variant>
      <vt:variant>
        <vt:lpwstr>http://www.likumi.lv/doc.php?id=225418</vt:lpwstr>
      </vt:variant>
      <vt:variant>
        <vt:lpwstr/>
      </vt:variant>
      <vt:variant>
        <vt:i4>852038</vt:i4>
      </vt:variant>
      <vt:variant>
        <vt:i4>0</vt:i4>
      </vt:variant>
      <vt:variant>
        <vt:i4>0</vt:i4>
      </vt:variant>
      <vt:variant>
        <vt:i4>5</vt:i4>
      </vt:variant>
      <vt:variant>
        <vt:lpwstr>http://www.cilvektirdznieciba.lv/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valsts kompensāciju cietušajiem”” sākotnējās ietekmes novērtējuma ziņojums (anotācija)</dc:title>
  <dc:subject>Anotācija</dc:subject>
  <dc:creator>Jeļena Bārbale</dc:creator>
  <dc:description>Jeļena Bārbale
Tieslietu ministrijas 
Brīvo juridisko profesiju 
departamenta direktora vietniece
Tālr.67036834, fakss 67210823
Jelena.Barbale@tm.gov.lv</dc:description>
  <cp:lastModifiedBy>jb1501</cp:lastModifiedBy>
  <cp:revision>2</cp:revision>
  <cp:lastPrinted>2012-08-07T12:42:00Z</cp:lastPrinted>
  <dcterms:created xsi:type="dcterms:W3CDTF">2012-08-23T09:14:00Z</dcterms:created>
  <dcterms:modified xsi:type="dcterms:W3CDTF">2012-08-23T09:14:00Z</dcterms:modified>
</cp:coreProperties>
</file>