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47" w:rsidRDefault="00367F47" w:rsidP="00367F47">
      <w:pPr>
        <w:pStyle w:val="naislab"/>
        <w:spacing w:before="0" w:after="0"/>
        <w:jc w:val="center"/>
        <w:outlineLvl w:val="0"/>
        <w:rPr>
          <w:b/>
          <w:sz w:val="28"/>
          <w:szCs w:val="28"/>
        </w:rPr>
      </w:pPr>
      <w:bookmarkStart w:id="0" w:name="OLE_LINK1"/>
      <w:bookmarkStart w:id="1" w:name="OLE_LINK2"/>
      <w:r w:rsidRPr="00DF6E1A">
        <w:rPr>
          <w:b/>
          <w:sz w:val="28"/>
          <w:szCs w:val="28"/>
        </w:rPr>
        <w:t xml:space="preserve">Likumprojekta „Grozījumi Civilprocesa likumā” sākotnējās ietekmes novērtējuma </w:t>
      </w:r>
      <w:smartTag w:uri="schemas-tilde-lv/tildestengine" w:element="veidnes">
        <w:smartTagPr>
          <w:attr w:name="text" w:val="ziņojums"/>
          <w:attr w:name="baseform" w:val="ziņojums"/>
          <w:attr w:name="id" w:val="-1"/>
        </w:smartTagPr>
        <w:r w:rsidRPr="00DF6E1A">
          <w:rPr>
            <w:b/>
            <w:sz w:val="28"/>
            <w:szCs w:val="28"/>
          </w:rPr>
          <w:t>ziņojums</w:t>
        </w:r>
      </w:smartTag>
      <w:r w:rsidRPr="00DF6E1A">
        <w:rPr>
          <w:b/>
          <w:sz w:val="28"/>
          <w:szCs w:val="28"/>
        </w:rPr>
        <w:t xml:space="preserve"> (anotācija)</w:t>
      </w:r>
      <w:bookmarkEnd w:id="0"/>
      <w:bookmarkEnd w:id="1"/>
    </w:p>
    <w:p w:rsidR="006B5CC6" w:rsidRPr="00DF6E1A" w:rsidRDefault="006B5CC6" w:rsidP="00367F47">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290"/>
        <w:gridCol w:w="6885"/>
      </w:tblGrid>
      <w:tr w:rsidR="00367F47" w:rsidRPr="00DF6E1A" w:rsidTr="00533AD1">
        <w:tc>
          <w:tcPr>
            <w:tcW w:w="9725" w:type="dxa"/>
            <w:gridSpan w:val="3"/>
            <w:vAlign w:val="center"/>
          </w:tcPr>
          <w:p w:rsidR="00367F47" w:rsidRPr="00DF6E1A" w:rsidRDefault="00D36D0D" w:rsidP="00D36D0D">
            <w:pPr>
              <w:pStyle w:val="naisnod"/>
              <w:spacing w:before="0" w:after="0"/>
              <w:rPr>
                <w:sz w:val="28"/>
                <w:szCs w:val="28"/>
              </w:rPr>
            </w:pPr>
            <w:r w:rsidRPr="00DF6E1A">
              <w:rPr>
                <w:bCs w:val="0"/>
                <w:sz w:val="28"/>
                <w:szCs w:val="28"/>
              </w:rPr>
              <w:t>I.</w:t>
            </w:r>
            <w:r w:rsidRPr="00DF6E1A">
              <w:rPr>
                <w:sz w:val="28"/>
                <w:szCs w:val="28"/>
              </w:rPr>
              <w:t xml:space="preserve"> </w:t>
            </w:r>
            <w:r w:rsidR="00367F47" w:rsidRPr="00DF6E1A">
              <w:rPr>
                <w:sz w:val="28"/>
                <w:szCs w:val="28"/>
              </w:rPr>
              <w:t>Tiesību akta projekta izstrādes nepieciešamība</w:t>
            </w:r>
          </w:p>
          <w:p w:rsidR="00D36D0D" w:rsidRPr="00DF6E1A" w:rsidRDefault="00D36D0D" w:rsidP="00D36D0D">
            <w:pPr>
              <w:pStyle w:val="naisnod"/>
              <w:spacing w:before="0" w:after="0"/>
              <w:rPr>
                <w:sz w:val="28"/>
                <w:szCs w:val="28"/>
              </w:rPr>
            </w:pPr>
          </w:p>
        </w:tc>
      </w:tr>
      <w:tr w:rsidR="00367F47" w:rsidRPr="00DF6E1A" w:rsidTr="00533AD1">
        <w:trPr>
          <w:trHeight w:val="630"/>
        </w:trPr>
        <w:tc>
          <w:tcPr>
            <w:tcW w:w="550" w:type="dxa"/>
          </w:tcPr>
          <w:p w:rsidR="00367F47" w:rsidRPr="00DF6E1A" w:rsidRDefault="00367F47" w:rsidP="00533AD1">
            <w:pPr>
              <w:pStyle w:val="naiskr"/>
              <w:spacing w:before="0" w:after="0"/>
              <w:rPr>
                <w:sz w:val="28"/>
                <w:szCs w:val="28"/>
              </w:rPr>
            </w:pPr>
            <w:r w:rsidRPr="00DF6E1A">
              <w:rPr>
                <w:sz w:val="28"/>
                <w:szCs w:val="28"/>
              </w:rPr>
              <w:t>1.</w:t>
            </w:r>
          </w:p>
        </w:tc>
        <w:tc>
          <w:tcPr>
            <w:tcW w:w="2290" w:type="dxa"/>
          </w:tcPr>
          <w:p w:rsidR="00367F47" w:rsidRPr="00DF6E1A" w:rsidRDefault="00367F47" w:rsidP="00533AD1">
            <w:pPr>
              <w:pStyle w:val="naiskr"/>
              <w:spacing w:before="0" w:after="0"/>
              <w:ind w:hanging="10"/>
              <w:rPr>
                <w:sz w:val="28"/>
                <w:szCs w:val="28"/>
              </w:rPr>
            </w:pPr>
            <w:r w:rsidRPr="00DF6E1A">
              <w:rPr>
                <w:sz w:val="28"/>
                <w:szCs w:val="28"/>
              </w:rPr>
              <w:t>Pamatojums</w:t>
            </w:r>
          </w:p>
        </w:tc>
        <w:tc>
          <w:tcPr>
            <w:tcW w:w="6885" w:type="dxa"/>
          </w:tcPr>
          <w:p w:rsidR="00970933" w:rsidRPr="00DF6E1A" w:rsidRDefault="00970933" w:rsidP="000F0D5A">
            <w:pPr>
              <w:pStyle w:val="naisf"/>
              <w:spacing w:before="0" w:after="0"/>
              <w:ind w:firstLine="703"/>
              <w:rPr>
                <w:sz w:val="28"/>
                <w:szCs w:val="28"/>
              </w:rPr>
            </w:pPr>
            <w:r w:rsidRPr="00DF6E1A">
              <w:rPr>
                <w:iCs/>
                <w:sz w:val="28"/>
                <w:szCs w:val="28"/>
              </w:rPr>
              <w:t>Ministru kabineta 2012.gada 16.augusta sēdē (</w:t>
            </w:r>
            <w:r w:rsidRPr="00DF6E1A">
              <w:rPr>
                <w:bCs/>
                <w:color w:val="000000"/>
                <w:sz w:val="28"/>
                <w:szCs w:val="28"/>
              </w:rPr>
              <w:t>prot. Nr.46 11.§ 10.punkts</w:t>
            </w:r>
            <w:r w:rsidRPr="00DF6E1A">
              <w:rPr>
                <w:iCs/>
                <w:sz w:val="28"/>
                <w:szCs w:val="28"/>
              </w:rPr>
              <w:t xml:space="preserve">) </w:t>
            </w:r>
            <w:r w:rsidRPr="00DF6E1A">
              <w:rPr>
                <w:rStyle w:val="spelle"/>
                <w:sz w:val="28"/>
                <w:szCs w:val="28"/>
              </w:rPr>
              <w:t xml:space="preserve">Tieslietu ministrijai tika uzdots izstrādāt grozījumus Civilprocesa likumā un iesniegt </w:t>
            </w:r>
            <w:r w:rsidR="000C25E6" w:rsidRPr="00DF6E1A">
              <w:rPr>
                <w:rStyle w:val="spelle"/>
                <w:sz w:val="28"/>
                <w:szCs w:val="28"/>
              </w:rPr>
              <w:t xml:space="preserve">tos </w:t>
            </w:r>
            <w:r w:rsidRPr="00DF6E1A">
              <w:rPr>
                <w:rStyle w:val="spelle"/>
                <w:sz w:val="28"/>
                <w:szCs w:val="28"/>
              </w:rPr>
              <w:t>izskatīšanai Ministru kabinetā likumprojekta ”Par valsts budžetu 2013.gadam” paketē.</w:t>
            </w:r>
          </w:p>
          <w:p w:rsidR="00D36D0D" w:rsidRPr="00DF6E1A" w:rsidRDefault="00D36D0D" w:rsidP="000F0D5A">
            <w:pPr>
              <w:pStyle w:val="naisf"/>
              <w:spacing w:before="0" w:after="0"/>
              <w:ind w:firstLine="703"/>
              <w:rPr>
                <w:sz w:val="28"/>
                <w:szCs w:val="28"/>
              </w:rPr>
            </w:pPr>
            <w:r w:rsidRPr="00DF6E1A">
              <w:rPr>
                <w:sz w:val="28"/>
                <w:szCs w:val="28"/>
              </w:rPr>
              <w:t>Ministru kabinets 2012.gada 16.augusta sēdē atbalstīja Tieslietu ministrijas priekšlikumu palielināt valsts pamatbudžetā iemaksājamo ieņēmumu no nodevas par darbību veikšanu tiesu iestādēs prognozi 2013.-2015.gadā par 1 546 573 latiem katru gadu un paredzē</w:t>
            </w:r>
            <w:r w:rsidR="000C25E6" w:rsidRPr="00DF6E1A">
              <w:rPr>
                <w:sz w:val="28"/>
                <w:szCs w:val="28"/>
              </w:rPr>
              <w:t>ja</w:t>
            </w:r>
            <w:r w:rsidRPr="00DF6E1A">
              <w:rPr>
                <w:sz w:val="28"/>
                <w:szCs w:val="28"/>
              </w:rPr>
              <w:t xml:space="preserve"> Tieslietu ministrijai papildu izdevumus no dotācijas no vispārējiem ieņēmumiem 2013.-2015.gadam  1 345</w:t>
            </w:r>
            <w:r w:rsidR="000C25E6" w:rsidRPr="00DF6E1A">
              <w:rPr>
                <w:sz w:val="28"/>
                <w:szCs w:val="28"/>
              </w:rPr>
              <w:t> </w:t>
            </w:r>
            <w:r w:rsidRPr="00DF6E1A">
              <w:rPr>
                <w:sz w:val="28"/>
                <w:szCs w:val="28"/>
              </w:rPr>
              <w:t xml:space="preserve">176  latu apmērā katru gadu, tai skaitā 1 260 118 latu apmērā tiesu darbinieku mēnešalgas palielināšanai par 40 latiem un tiesu darbinieku veselības apdrošināšanas nodrošināšanai, un 85 058 latu apmērā Valsts tiesu ekspertīžu biroja kapacitātes paaugstināšanai, nodrošinot 40 stundu darba nedēļu tiesu ekspertīžu veikšanas paātrināšanai. </w:t>
            </w:r>
          </w:p>
          <w:p w:rsidR="00D36D0D" w:rsidRDefault="00D36D0D" w:rsidP="000F0D5A">
            <w:pPr>
              <w:ind w:firstLine="703"/>
              <w:jc w:val="both"/>
              <w:rPr>
                <w:sz w:val="28"/>
                <w:szCs w:val="28"/>
              </w:rPr>
            </w:pPr>
            <w:r w:rsidRPr="00DF6E1A">
              <w:rPr>
                <w:sz w:val="28"/>
                <w:szCs w:val="28"/>
              </w:rPr>
              <w:t>Kā arī pieņēma zināšanai, ka valsts pamatbudžeta ieņēmumu un izdevumu palielinājums veido pozitīvu finansiālo ietekmi uz valsts budžetu 2013.-2015.gadā 201 397 latu katru gadu, kas tiek novirzīts Tieslietu ministrijas prioritārā pasākuma ”Ieslodzījuma vietu pārvaldes darbības nodrošināšana” daļējai finansēšanai.</w:t>
            </w:r>
          </w:p>
          <w:p w:rsidR="002566E2" w:rsidRPr="00DF6E1A" w:rsidRDefault="002566E2" w:rsidP="000F0D5A">
            <w:pPr>
              <w:ind w:firstLine="703"/>
              <w:jc w:val="both"/>
              <w:rPr>
                <w:sz w:val="28"/>
                <w:szCs w:val="28"/>
              </w:rPr>
            </w:pPr>
          </w:p>
        </w:tc>
      </w:tr>
      <w:tr w:rsidR="00367F47" w:rsidRPr="00DF6E1A" w:rsidTr="00533AD1">
        <w:trPr>
          <w:trHeight w:val="132"/>
        </w:trPr>
        <w:tc>
          <w:tcPr>
            <w:tcW w:w="550" w:type="dxa"/>
          </w:tcPr>
          <w:p w:rsidR="00367F47" w:rsidRPr="00DF6E1A" w:rsidRDefault="00367F47" w:rsidP="00533AD1">
            <w:pPr>
              <w:pStyle w:val="naiskr"/>
              <w:spacing w:before="0" w:after="0"/>
              <w:rPr>
                <w:sz w:val="28"/>
                <w:szCs w:val="28"/>
              </w:rPr>
            </w:pPr>
            <w:r w:rsidRPr="00DF6E1A">
              <w:rPr>
                <w:sz w:val="28"/>
                <w:szCs w:val="28"/>
              </w:rPr>
              <w:t>2.</w:t>
            </w:r>
          </w:p>
        </w:tc>
        <w:tc>
          <w:tcPr>
            <w:tcW w:w="2290" w:type="dxa"/>
          </w:tcPr>
          <w:p w:rsidR="00367F47" w:rsidRPr="00DF6E1A" w:rsidRDefault="00367F47" w:rsidP="00533AD1">
            <w:pPr>
              <w:pStyle w:val="naiskr"/>
              <w:tabs>
                <w:tab w:val="left" w:pos="170"/>
              </w:tabs>
              <w:spacing w:before="0" w:after="0"/>
              <w:rPr>
                <w:sz w:val="28"/>
                <w:szCs w:val="28"/>
              </w:rPr>
            </w:pPr>
            <w:r w:rsidRPr="00DF6E1A">
              <w:rPr>
                <w:sz w:val="28"/>
                <w:szCs w:val="28"/>
              </w:rPr>
              <w:t>Pašreizējā situācija un problēmas</w:t>
            </w:r>
          </w:p>
        </w:tc>
        <w:tc>
          <w:tcPr>
            <w:tcW w:w="6885" w:type="dxa"/>
          </w:tcPr>
          <w:p w:rsidR="00367F47" w:rsidRPr="00DF6E1A" w:rsidRDefault="00367F47" w:rsidP="00533AD1">
            <w:pPr>
              <w:pStyle w:val="Pamatteksts2"/>
              <w:tabs>
                <w:tab w:val="left" w:pos="805"/>
              </w:tabs>
              <w:spacing w:after="0" w:line="240" w:lineRule="auto"/>
              <w:ind w:firstLine="704"/>
              <w:jc w:val="both"/>
              <w:rPr>
                <w:sz w:val="28"/>
                <w:szCs w:val="28"/>
                <w:lang w:val="lv-LV"/>
              </w:rPr>
            </w:pPr>
            <w:r w:rsidRPr="00DF6E1A">
              <w:rPr>
                <w:b/>
                <w:sz w:val="28"/>
                <w:szCs w:val="28"/>
                <w:lang w:val="lv-LV"/>
              </w:rPr>
              <w:t>[1] </w:t>
            </w:r>
            <w:r w:rsidRPr="00DF6E1A">
              <w:rPr>
                <w:sz w:val="28"/>
                <w:szCs w:val="28"/>
                <w:lang w:val="lv-LV"/>
              </w:rPr>
              <w:t>Atbilstoši Latvijas Republikas Satversmes 92. pantam ikviens var aizstāvēt savas tiesības un likumiskās intereses taisnīgā tiesā. Taisnīgas tiesas jēdziens ietver divus aspektus, proti, „taisnīga tiesa” kā neatkarīga tiesu varas institūcija, kas izskata lietu, un „taisnīga tiesa” kā pienācīgs tiesiskai valstij atbilstošs process, kurā šī lieta tiek izskatīta.</w:t>
            </w:r>
            <w:r w:rsidRPr="00DF6E1A">
              <w:rPr>
                <w:rStyle w:val="Vresatsauce"/>
                <w:spacing w:val="8"/>
                <w:sz w:val="28"/>
                <w:szCs w:val="28"/>
                <w:lang w:val="lv-LV"/>
              </w:rPr>
              <w:footnoteReference w:id="1"/>
            </w:r>
          </w:p>
          <w:p w:rsidR="00367F47" w:rsidRPr="00DF6E1A" w:rsidRDefault="00367F47" w:rsidP="00533AD1">
            <w:pPr>
              <w:pStyle w:val="Pamatteksts2"/>
              <w:tabs>
                <w:tab w:val="left" w:pos="805"/>
              </w:tabs>
              <w:spacing w:after="0" w:line="240" w:lineRule="auto"/>
              <w:ind w:firstLine="704"/>
              <w:jc w:val="both"/>
              <w:rPr>
                <w:sz w:val="28"/>
                <w:szCs w:val="28"/>
                <w:lang w:val="lv-LV"/>
              </w:rPr>
            </w:pPr>
            <w:r w:rsidRPr="00DF6E1A">
              <w:rPr>
                <w:sz w:val="28"/>
                <w:szCs w:val="28"/>
                <w:lang w:val="lv-LV"/>
              </w:rPr>
              <w:t xml:space="preserve">Eiropas Cilvēktiesību un pamatbrīvību aizsardzības konvencijas (turpmāk – Konvencija) </w:t>
            </w:r>
            <w:r w:rsidRPr="00DF6E1A">
              <w:rPr>
                <w:bCs/>
                <w:sz w:val="28"/>
                <w:szCs w:val="28"/>
                <w:lang w:val="lv-LV" w:eastAsia="lv-LV"/>
              </w:rPr>
              <w:t xml:space="preserve">6. panta „Tiesības uz lietas taisnīgu izskatīšanu” 1. punkta pirmais teikums </w:t>
            </w:r>
            <w:r w:rsidRPr="00DF6E1A">
              <w:rPr>
                <w:bCs/>
                <w:sz w:val="28"/>
                <w:szCs w:val="28"/>
                <w:lang w:val="lv-LV" w:eastAsia="lv-LV"/>
              </w:rPr>
              <w:lastRenderedPageBreak/>
              <w:t>noteic, ka</w:t>
            </w:r>
            <w:r w:rsidRPr="00DF6E1A">
              <w:rPr>
                <w:b/>
                <w:bCs/>
                <w:sz w:val="28"/>
                <w:szCs w:val="28"/>
                <w:lang w:val="lv-LV" w:eastAsia="lv-LV"/>
              </w:rPr>
              <w:t xml:space="preserve"> </w:t>
            </w:r>
            <w:r w:rsidRPr="00DF6E1A">
              <w:rPr>
                <w:sz w:val="28"/>
                <w:szCs w:val="28"/>
                <w:lang w:val="lv-LV" w:eastAsia="lv-LV"/>
              </w:rPr>
              <w:t>„ikvienam ir tiesības, nosakot civilo tiesību un pienākumu (…)</w:t>
            </w:r>
            <w:r w:rsidR="000C25E6" w:rsidRPr="00DF6E1A">
              <w:rPr>
                <w:sz w:val="28"/>
                <w:szCs w:val="28"/>
                <w:lang w:val="lv-LV" w:eastAsia="lv-LV"/>
              </w:rPr>
              <w:t>,</w:t>
            </w:r>
            <w:r w:rsidRPr="00DF6E1A">
              <w:rPr>
                <w:sz w:val="28"/>
                <w:szCs w:val="28"/>
                <w:lang w:val="lv-LV" w:eastAsia="lv-LV"/>
              </w:rPr>
              <w:t xml:space="preserve"> uz taisnīgu un atklātu lietas savlaicīgu izskatīšanu neatkarīgā un objektīvā ar likumu noteiktā tiesā”</w:t>
            </w:r>
            <w:r w:rsidR="000C25E6" w:rsidRPr="00DF6E1A">
              <w:rPr>
                <w:sz w:val="28"/>
                <w:szCs w:val="28"/>
                <w:lang w:val="lv-LV" w:eastAsia="lv-LV"/>
              </w:rPr>
              <w:t>.</w:t>
            </w:r>
            <w:r w:rsidRPr="00DF6E1A">
              <w:rPr>
                <w:sz w:val="28"/>
                <w:szCs w:val="28"/>
                <w:lang w:val="lv-LV" w:eastAsia="lv-LV"/>
              </w:rPr>
              <w:t xml:space="preserve"> </w:t>
            </w:r>
            <w:r w:rsidRPr="00DF6E1A">
              <w:rPr>
                <w:sz w:val="28"/>
                <w:szCs w:val="28"/>
                <w:lang w:val="lv-LV"/>
              </w:rPr>
              <w:t>Eiropas Cilvēktiesību tiesa (turpmāk – ECT)</w:t>
            </w:r>
            <w:r w:rsidR="000C25E6" w:rsidRPr="00DF6E1A">
              <w:rPr>
                <w:sz w:val="28"/>
                <w:szCs w:val="28"/>
                <w:lang w:val="lv-LV"/>
              </w:rPr>
              <w:t>,</w:t>
            </w:r>
            <w:r w:rsidRPr="00DF6E1A">
              <w:rPr>
                <w:sz w:val="28"/>
                <w:szCs w:val="28"/>
                <w:lang w:val="lv-LV"/>
              </w:rPr>
              <w:t xml:space="preserve"> interpretējot Konvencijas 6. panta 1. punkta saturu 1995. gada 4. decembra spriedumā lietā </w:t>
            </w:r>
            <w:proofErr w:type="spellStart"/>
            <w:r w:rsidRPr="00DF6E1A">
              <w:rPr>
                <w:i/>
                <w:sz w:val="28"/>
                <w:szCs w:val="28"/>
                <w:lang w:val="lv-LV"/>
              </w:rPr>
              <w:t>Bellet</w:t>
            </w:r>
            <w:proofErr w:type="spellEnd"/>
            <w:r w:rsidRPr="00DF6E1A">
              <w:rPr>
                <w:i/>
                <w:sz w:val="28"/>
                <w:szCs w:val="28"/>
                <w:lang w:val="lv-LV"/>
              </w:rPr>
              <w:t xml:space="preserve"> v. France</w:t>
            </w:r>
            <w:r w:rsidR="003116B5" w:rsidRPr="00DF6E1A">
              <w:rPr>
                <w:sz w:val="28"/>
                <w:szCs w:val="28"/>
                <w:lang w:val="lv-LV"/>
              </w:rPr>
              <w:t>,</w:t>
            </w:r>
            <w:r w:rsidRPr="00DF6E1A">
              <w:rPr>
                <w:sz w:val="28"/>
                <w:szCs w:val="28"/>
                <w:lang w:val="lv-LV"/>
              </w:rPr>
              <w:t xml:space="preserve"> ir skaidrojusi, ka tiesības uz piekļuvi tiesai nav absolūtas un ir atļauta iejaukšanās šajās tiesībās, jo tiesības uz pieeju [tiesai] „pēc savas būtības pieprasa regulējumu no valsts puses, regulējumu, kurš var variēt laikā un vietā, ņemot vērā sabiedrības un indivīdu vajadzības un pieejamos resursus” (31. paragrāfs). No minētā Konvencijas panta arī neizriet tiesības uz bezmaksas tiesvedību civillietās, un valsts nodevas maksāšanas pienākums par prasības pieteikuma izskatīšanu tiesā nav uzskatāms par ierobežojumu pieejai tiesai </w:t>
            </w:r>
            <w:r w:rsidRPr="00DF6E1A">
              <w:rPr>
                <w:i/>
                <w:sz w:val="28"/>
                <w:szCs w:val="28"/>
                <w:lang w:val="lv-LV"/>
              </w:rPr>
              <w:t xml:space="preserve">per </w:t>
            </w:r>
            <w:proofErr w:type="spellStart"/>
            <w:r w:rsidRPr="00DF6E1A">
              <w:rPr>
                <w:i/>
                <w:sz w:val="28"/>
                <w:szCs w:val="28"/>
                <w:lang w:val="lv-LV"/>
              </w:rPr>
              <w:t>se</w:t>
            </w:r>
            <w:proofErr w:type="spellEnd"/>
            <w:r w:rsidRPr="00DF6E1A">
              <w:rPr>
                <w:sz w:val="28"/>
                <w:szCs w:val="28"/>
                <w:lang w:val="lv-LV"/>
              </w:rPr>
              <w:t xml:space="preserve"> (ECT 2001. gada 19. jūnija sprieduma lietā </w:t>
            </w:r>
            <w:proofErr w:type="spellStart"/>
            <w:r w:rsidRPr="00DF6E1A">
              <w:rPr>
                <w:i/>
                <w:sz w:val="28"/>
                <w:szCs w:val="28"/>
                <w:lang w:val="lv-LV"/>
              </w:rPr>
              <w:t>Kreuz</w:t>
            </w:r>
            <w:proofErr w:type="spellEnd"/>
            <w:r w:rsidRPr="00DF6E1A">
              <w:rPr>
                <w:i/>
                <w:sz w:val="28"/>
                <w:szCs w:val="28"/>
                <w:lang w:val="lv-LV"/>
              </w:rPr>
              <w:t xml:space="preserve"> v. </w:t>
            </w:r>
            <w:proofErr w:type="spellStart"/>
            <w:r w:rsidRPr="00DF6E1A">
              <w:rPr>
                <w:i/>
                <w:sz w:val="28"/>
                <w:szCs w:val="28"/>
                <w:lang w:val="lv-LV"/>
              </w:rPr>
              <w:t>Poland</w:t>
            </w:r>
            <w:proofErr w:type="spellEnd"/>
            <w:r w:rsidRPr="00DF6E1A">
              <w:rPr>
                <w:sz w:val="28"/>
                <w:szCs w:val="28"/>
                <w:lang w:val="lv-LV"/>
              </w:rPr>
              <w:t xml:space="preserve"> 59. un 60. paragrāfs).</w:t>
            </w:r>
          </w:p>
          <w:p w:rsidR="00367F47" w:rsidRPr="00DF6E1A" w:rsidRDefault="00367F47" w:rsidP="00533AD1">
            <w:pPr>
              <w:pStyle w:val="Pamatteksts2"/>
              <w:tabs>
                <w:tab w:val="left" w:pos="805"/>
              </w:tabs>
              <w:spacing w:after="0" w:line="240" w:lineRule="auto"/>
              <w:ind w:firstLine="704"/>
              <w:jc w:val="both"/>
              <w:rPr>
                <w:sz w:val="28"/>
                <w:szCs w:val="28"/>
                <w:lang w:val="lv-LV"/>
              </w:rPr>
            </w:pPr>
            <w:r w:rsidRPr="00DF6E1A">
              <w:rPr>
                <w:sz w:val="28"/>
                <w:szCs w:val="28"/>
                <w:lang w:val="lv-LV"/>
              </w:rPr>
              <w:t xml:space="preserve">Tāpat finansiāla sliekšņa paaugstināšana ar mērķi, lai (…) tiesas netiktu pārpludinātas ar maznozīmīgām lietām, ir uzskatāms par leģitīmu mērķi (ECT 1997. gada 19. decembra sprieduma lietā </w:t>
            </w:r>
            <w:proofErr w:type="spellStart"/>
            <w:r w:rsidRPr="00DF6E1A">
              <w:rPr>
                <w:i/>
                <w:sz w:val="28"/>
                <w:szCs w:val="28"/>
                <w:lang w:val="lv-LV"/>
              </w:rPr>
              <w:t>Brualla</w:t>
            </w:r>
            <w:proofErr w:type="spellEnd"/>
            <w:r w:rsidRPr="00DF6E1A">
              <w:rPr>
                <w:i/>
                <w:sz w:val="28"/>
                <w:szCs w:val="28"/>
                <w:lang w:val="lv-LV"/>
              </w:rPr>
              <w:t xml:space="preserve"> </w:t>
            </w:r>
            <w:proofErr w:type="spellStart"/>
            <w:r w:rsidRPr="00DF6E1A">
              <w:rPr>
                <w:i/>
                <w:sz w:val="28"/>
                <w:szCs w:val="28"/>
                <w:lang w:val="lv-LV"/>
              </w:rPr>
              <w:t>Gomez</w:t>
            </w:r>
            <w:proofErr w:type="spellEnd"/>
            <w:r w:rsidRPr="00DF6E1A">
              <w:rPr>
                <w:i/>
                <w:sz w:val="28"/>
                <w:szCs w:val="28"/>
                <w:lang w:val="lv-LV"/>
              </w:rPr>
              <w:t xml:space="preserve"> </w:t>
            </w:r>
            <w:proofErr w:type="spellStart"/>
            <w:r w:rsidRPr="00DF6E1A">
              <w:rPr>
                <w:i/>
                <w:sz w:val="28"/>
                <w:szCs w:val="28"/>
                <w:lang w:val="lv-LV"/>
              </w:rPr>
              <w:t>de</w:t>
            </w:r>
            <w:proofErr w:type="spellEnd"/>
            <w:r w:rsidRPr="00DF6E1A">
              <w:rPr>
                <w:i/>
                <w:sz w:val="28"/>
                <w:szCs w:val="28"/>
                <w:lang w:val="lv-LV"/>
              </w:rPr>
              <w:t xml:space="preserve"> la </w:t>
            </w:r>
            <w:proofErr w:type="spellStart"/>
            <w:r w:rsidRPr="00DF6E1A">
              <w:rPr>
                <w:i/>
                <w:sz w:val="28"/>
                <w:szCs w:val="28"/>
                <w:lang w:val="lv-LV"/>
              </w:rPr>
              <w:t>Torre</w:t>
            </w:r>
            <w:proofErr w:type="spellEnd"/>
            <w:r w:rsidRPr="00DF6E1A">
              <w:rPr>
                <w:i/>
                <w:sz w:val="28"/>
                <w:szCs w:val="28"/>
                <w:lang w:val="lv-LV"/>
              </w:rPr>
              <w:t xml:space="preserve"> v. </w:t>
            </w:r>
            <w:proofErr w:type="spellStart"/>
            <w:r w:rsidRPr="00DF6E1A">
              <w:rPr>
                <w:i/>
                <w:sz w:val="28"/>
                <w:szCs w:val="28"/>
                <w:lang w:val="lv-LV"/>
              </w:rPr>
              <w:t>Spain</w:t>
            </w:r>
            <w:proofErr w:type="spellEnd"/>
            <w:r w:rsidRPr="00DF6E1A">
              <w:rPr>
                <w:sz w:val="28"/>
                <w:szCs w:val="28"/>
                <w:lang w:val="lv-LV"/>
              </w:rPr>
              <w:t xml:space="preserve"> 36. paragrāfs).</w:t>
            </w:r>
          </w:p>
          <w:p w:rsidR="00367F47" w:rsidRPr="00DF6E1A" w:rsidRDefault="00367F47" w:rsidP="00533AD1">
            <w:pPr>
              <w:ind w:firstLine="720"/>
              <w:jc w:val="both"/>
              <w:rPr>
                <w:iCs/>
                <w:sz w:val="28"/>
                <w:szCs w:val="28"/>
              </w:rPr>
            </w:pPr>
            <w:r w:rsidRPr="00DF6E1A">
              <w:rPr>
                <w:b/>
                <w:iCs/>
                <w:sz w:val="28"/>
                <w:szCs w:val="28"/>
              </w:rPr>
              <w:t>[2]</w:t>
            </w:r>
            <w:r w:rsidRPr="00DF6E1A">
              <w:rPr>
                <w:iCs/>
                <w:sz w:val="28"/>
                <w:szCs w:val="28"/>
              </w:rPr>
              <w:t> Tieslietu ministrijai piešķirto valsts budžeta līdzekļu ietvaros ir jānodrošina efektīva tiesu sistēmas darbība, un valsts nodevas koriģēšana ir leģitīma metode tiesu darba efektivitātes uzlabošanai.</w:t>
            </w:r>
          </w:p>
          <w:p w:rsidR="00367F47" w:rsidRPr="00DF6E1A" w:rsidRDefault="00367F47" w:rsidP="00533AD1">
            <w:pPr>
              <w:ind w:firstLine="720"/>
              <w:jc w:val="both"/>
              <w:rPr>
                <w:sz w:val="28"/>
                <w:szCs w:val="28"/>
              </w:rPr>
            </w:pPr>
            <w:r w:rsidRPr="00DF6E1A">
              <w:rPr>
                <w:sz w:val="28"/>
                <w:szCs w:val="28"/>
              </w:rPr>
              <w:t>Pēdējās būtiskās izmaiņas valsts nodevu regulējumā par prasījumiem, kas novērtējami naudas summā (Civilprocesa likuma (turpmāk – CPL) 34. panta pirmās daļas 1. punkts) tika izdarītas ar grozījumiem 2004. gada 2. septembrī (neņemot vērā 2009. gada 5. februāra grozījumus CPL, ar kuriem tika izslēgts CPL 34. panta pirmās daļas 1. punkta „a” apakšpunkts – valsts nodeva par prasību, kas novērtējama naudas summā līdz 100 latiem). Pēc minētā datuma būtiskas izmaiņas valsts nodevu regulējumā vai aprēķinu metodikā par prasījumiem, kas novērtējami naudas summā, nav izdarītas. Tādējādi ir izveidojusies nesamērība starp maksājamās valsts nodevas summu un prasības summu, ņemot vērā prasības apmēru, it sevišķi prasījumiem par lielām summām. Piemēram, pašlaik lietā par prasību līdz Ls 1000 valsts nodeva ir 15 % no prasības summas, savukārt lietā par prasību virs Ls 100`001 valsts nodeva</w:t>
            </w:r>
            <w:r w:rsidR="00CE1B53" w:rsidRPr="00DF6E1A">
              <w:rPr>
                <w:sz w:val="28"/>
                <w:szCs w:val="28"/>
              </w:rPr>
              <w:t>s procentuālā daļa</w:t>
            </w:r>
            <w:r w:rsidRPr="00DF6E1A">
              <w:rPr>
                <w:sz w:val="28"/>
                <w:szCs w:val="28"/>
              </w:rPr>
              <w:t xml:space="preserve"> ir tikai 0,3 %, bet par prasību virs Ls 500`001 – tikai 0,05 %  no prasības </w:t>
            </w:r>
            <w:r w:rsidRPr="00DF6E1A">
              <w:rPr>
                <w:sz w:val="28"/>
                <w:szCs w:val="28"/>
              </w:rPr>
              <w:lastRenderedPageBreak/>
              <w:t>summas, kas ir 50 vai pat 300 reižu mazāk nekā prasībā līdz Ls 1000. Zemās valsts nodevas prasībās ar ievērojamām prasības summām arī veicina negodprātīgu prasību tiesā iesniegšanu ar mērķi novilcināt saistību izpildi, tādejādi nepamatoti palielinot tiesu noslodzi. Tādējādi negodprātīgiem līgumslēdzējiem ir iespēja ļaunprātīgi izmantot Latvijas tiesu sistēmu savu uzņemto saistību nepildīšanai, iesniedzot tiesā apzināti nepamatotu prasību un uz ilgāku laiku „atliekot” savu saistību izpildi.</w:t>
            </w:r>
          </w:p>
          <w:p w:rsidR="00367F47" w:rsidRPr="00DF6E1A" w:rsidRDefault="00367F47" w:rsidP="00533AD1">
            <w:pPr>
              <w:ind w:firstLine="720"/>
              <w:jc w:val="both"/>
              <w:rPr>
                <w:sz w:val="28"/>
                <w:szCs w:val="28"/>
              </w:rPr>
            </w:pPr>
            <w:r w:rsidRPr="00DF6E1A">
              <w:rPr>
                <w:sz w:val="28"/>
                <w:szCs w:val="28"/>
              </w:rPr>
              <w:t>Tādējādi tiesu darbība ir uzskatāma par efektīvu tad, ja ir pienācīgi nodrošināti visi tiesību uz taisnīgu tiesu aspekti, vienlaikus izveidojot mehānismu, lai atturētu personas no nepamatotu prasību iesniegšanas tiesā.</w:t>
            </w:r>
          </w:p>
          <w:p w:rsidR="00367F47" w:rsidRPr="00DF6E1A" w:rsidRDefault="00367F47" w:rsidP="00533AD1">
            <w:pPr>
              <w:ind w:firstLine="720"/>
              <w:jc w:val="both"/>
              <w:rPr>
                <w:sz w:val="28"/>
                <w:szCs w:val="28"/>
              </w:rPr>
            </w:pPr>
            <w:r w:rsidRPr="00DF6E1A">
              <w:rPr>
                <w:sz w:val="28"/>
                <w:szCs w:val="28"/>
              </w:rPr>
              <w:t>Salīdzinot valsts nodevu mantiska rakstura prasībās regulējumu Lietuvā un Igaunijā, tad Lietuvā valsts nodeva par prasību virs LTL 300`000 (~ 61`200 latu) ir LTL 7000 (~ 1428 latu) plus 1% no summas, kas pārsniedz LTL 300`000 (~ 61`200 latu).</w:t>
            </w:r>
            <w:r w:rsidRPr="00DF6E1A">
              <w:rPr>
                <w:rStyle w:val="Vresatsauce"/>
                <w:sz w:val="28"/>
                <w:szCs w:val="28"/>
              </w:rPr>
              <w:footnoteReference w:id="2"/>
            </w:r>
            <w:r w:rsidRPr="00DF6E1A">
              <w:rPr>
                <w:sz w:val="28"/>
                <w:szCs w:val="28"/>
              </w:rPr>
              <w:t xml:space="preserve"> Savukārt Igaunijā valsts nodeva par prasību EUR 95`867 (~ 67`375 latu) ir EUR 5432 (~ 3817 latu) (~ 5.5 % no prasības summas)</w:t>
            </w:r>
            <w:r w:rsidRPr="00DF6E1A">
              <w:rPr>
                <w:rStyle w:val="Vresatsauce"/>
                <w:sz w:val="28"/>
                <w:szCs w:val="28"/>
              </w:rPr>
              <w:footnoteReference w:id="3"/>
            </w:r>
            <w:r w:rsidRPr="00DF6E1A">
              <w:rPr>
                <w:sz w:val="28"/>
                <w:szCs w:val="28"/>
              </w:rPr>
              <w:t>. Savukārt Latvijā par prasību no Ls 20`001 – 100`000 valsts nodeva ir Ls 490 plus 1 % no summas, kas pārsniedz Ls 20`000, un maksājamā valsts nodeva, piemēram, prasībā par Ls 65`000 piedziņu ir Ls 940. Tādējādi valsts nodevas prasībās par lielām summām Lietuvā un Igaunijā ir daudz augstākas nekā Latvijā.</w:t>
            </w:r>
          </w:p>
          <w:p w:rsidR="00367F47" w:rsidRPr="00DF6E1A" w:rsidRDefault="00367F47" w:rsidP="00533AD1">
            <w:pPr>
              <w:ind w:firstLine="720"/>
              <w:jc w:val="both"/>
              <w:rPr>
                <w:sz w:val="28"/>
                <w:szCs w:val="28"/>
              </w:rPr>
            </w:pPr>
            <w:r w:rsidRPr="00DF6E1A">
              <w:rPr>
                <w:sz w:val="28"/>
                <w:szCs w:val="28"/>
              </w:rPr>
              <w:t>Ņemot vērā minēto, secināms, ka valsts nodevu summas prasībās par lieliem prasījumiem Latvijā pašlaik ir nesamērīgi zemas un ir nepieciešama to samērošana ar prasības summu. Uz nesamērīgi zemajām valsts nodevu summām un to negodprātīgu izmantošanu Latvijā ir norādījusi arī Ārvalstu investoru padome, uzsverot</w:t>
            </w:r>
            <w:r w:rsidR="00F5518A" w:rsidRPr="00DF6E1A">
              <w:rPr>
                <w:sz w:val="28"/>
                <w:szCs w:val="28"/>
              </w:rPr>
              <w:t>, ka salīdzinoši zemās valsts nodevas tiesas lietās ar ievērojamām prasības summām stimulē prasības pieteikumu iesniegšanu ar mērķi novilcināt liela apjoma saistību izpildi, tādējādi nepamatoti palielinot tiesu noslodzi. Ārvalstu investoru padome</w:t>
            </w:r>
            <w:r w:rsidR="00C36DED" w:rsidRPr="00DF6E1A">
              <w:rPr>
                <w:sz w:val="28"/>
                <w:szCs w:val="28"/>
              </w:rPr>
              <w:t xml:space="preserve"> ir norādījusi, ka, neapdraudot personu tiesības uz pieeju tiesai, būtu nepieciešams</w:t>
            </w:r>
            <w:r w:rsidRPr="00DF6E1A">
              <w:rPr>
                <w:sz w:val="28"/>
                <w:szCs w:val="28"/>
              </w:rPr>
              <w:t xml:space="preserve"> pārskatīt valst</w:t>
            </w:r>
            <w:r w:rsidR="00C36DED" w:rsidRPr="00DF6E1A">
              <w:rPr>
                <w:sz w:val="28"/>
                <w:szCs w:val="28"/>
              </w:rPr>
              <w:t>s nodevu summas lielām prasībām salīdzinājumā ar pašreizējo Civilprocesa likumā ietverto regulējumu.</w:t>
            </w:r>
          </w:p>
          <w:p w:rsidR="00361B43" w:rsidRPr="00DF6E1A" w:rsidRDefault="00082222" w:rsidP="008669F5">
            <w:pPr>
              <w:ind w:firstLine="720"/>
              <w:jc w:val="both"/>
              <w:rPr>
                <w:sz w:val="28"/>
                <w:szCs w:val="28"/>
              </w:rPr>
            </w:pPr>
            <w:r w:rsidRPr="00DF6E1A">
              <w:rPr>
                <w:sz w:val="28"/>
                <w:szCs w:val="28"/>
              </w:rPr>
              <w:t xml:space="preserve">Vienlaikus norādāms, ka </w:t>
            </w:r>
            <w:r w:rsidR="00C1301F" w:rsidRPr="00DF6E1A">
              <w:rPr>
                <w:sz w:val="28"/>
                <w:szCs w:val="28"/>
              </w:rPr>
              <w:t xml:space="preserve">Tieslietu ministrija ir izstrādājusi un iesniegusi izskatīšanai Ministru kabinetā Mediācijas likumprojektu, </w:t>
            </w:r>
            <w:r w:rsidR="008369FE" w:rsidRPr="00DF6E1A">
              <w:rPr>
                <w:sz w:val="28"/>
                <w:szCs w:val="28"/>
              </w:rPr>
              <w:t xml:space="preserve">kura mērķis ir </w:t>
            </w:r>
            <w:r w:rsidR="008369FE" w:rsidRPr="00DF6E1A">
              <w:rPr>
                <w:bCs/>
                <w:sz w:val="28"/>
                <w:szCs w:val="28"/>
              </w:rPr>
              <w:t xml:space="preserve">noteikt tiesiskus priekšnoteikumus, lai veicinātu mediāciju kā alternatīvā domstarpību risināšanas veida izmantošanu, sekmējot un atbalstot attiecību harmonizāciju, sociālo sadarbību un savstarpējo ētiku tiesiskajās attiecībās. </w:t>
            </w:r>
            <w:r w:rsidR="009E4634" w:rsidRPr="00DF6E1A">
              <w:rPr>
                <w:bCs/>
                <w:sz w:val="28"/>
                <w:szCs w:val="28"/>
              </w:rPr>
              <w:t xml:space="preserve">Ieviešot </w:t>
            </w:r>
            <w:r w:rsidR="003C6947" w:rsidRPr="00DF6E1A">
              <w:rPr>
                <w:bCs/>
                <w:sz w:val="28"/>
                <w:szCs w:val="28"/>
              </w:rPr>
              <w:t>medi</w:t>
            </w:r>
            <w:r w:rsidR="009E4634" w:rsidRPr="00DF6E1A">
              <w:rPr>
                <w:bCs/>
                <w:sz w:val="28"/>
                <w:szCs w:val="28"/>
              </w:rPr>
              <w:t>āciju</w:t>
            </w:r>
            <w:r w:rsidR="003C6947" w:rsidRPr="00DF6E1A">
              <w:rPr>
                <w:bCs/>
                <w:sz w:val="28"/>
                <w:szCs w:val="28"/>
              </w:rPr>
              <w:t xml:space="preserve"> civiltiesisko strīdu risināšanā</w:t>
            </w:r>
            <w:r w:rsidR="009E4634" w:rsidRPr="00DF6E1A">
              <w:rPr>
                <w:bCs/>
                <w:sz w:val="28"/>
                <w:szCs w:val="28"/>
              </w:rPr>
              <w:t xml:space="preserve">, vienlaikus paredzēts, ka </w:t>
            </w:r>
            <w:r w:rsidR="008669F5" w:rsidRPr="00DF6E1A">
              <w:rPr>
                <w:sz w:val="28"/>
                <w:szCs w:val="28"/>
              </w:rPr>
              <w:t xml:space="preserve">valsts nodeva tiek atmaksāta gadījumos, ja tiesvedības izbeigšanas pamats ir </w:t>
            </w:r>
            <w:r w:rsidR="00CB0188" w:rsidRPr="00DF6E1A">
              <w:rPr>
                <w:sz w:val="28"/>
                <w:szCs w:val="28"/>
              </w:rPr>
              <w:t xml:space="preserve">bijis </w:t>
            </w:r>
            <w:r w:rsidR="008669F5" w:rsidRPr="00DF6E1A">
              <w:rPr>
                <w:sz w:val="28"/>
                <w:szCs w:val="28"/>
              </w:rPr>
              <w:t xml:space="preserve">prasības atsaukums sakarā ar mediācijas ceļā panāktu vienošanos. </w:t>
            </w:r>
          </w:p>
          <w:p w:rsidR="008669F5" w:rsidRPr="00DF6E1A" w:rsidRDefault="008669F5" w:rsidP="00E30E48">
            <w:pPr>
              <w:ind w:firstLine="720"/>
              <w:jc w:val="both"/>
              <w:rPr>
                <w:bCs/>
                <w:sz w:val="28"/>
                <w:szCs w:val="28"/>
              </w:rPr>
            </w:pPr>
            <w:r w:rsidRPr="00DF6E1A">
              <w:rPr>
                <w:sz w:val="28"/>
                <w:szCs w:val="28"/>
              </w:rPr>
              <w:t xml:space="preserve">Tādējādi valsts nodevu summu palielināšana </w:t>
            </w:r>
            <w:r w:rsidR="00852E21" w:rsidRPr="00DF6E1A">
              <w:rPr>
                <w:sz w:val="28"/>
                <w:szCs w:val="28"/>
              </w:rPr>
              <w:t xml:space="preserve"> vienlaikus </w:t>
            </w:r>
            <w:r w:rsidRPr="00DF6E1A">
              <w:rPr>
                <w:sz w:val="28"/>
                <w:szCs w:val="28"/>
              </w:rPr>
              <w:t xml:space="preserve">sekmētu </w:t>
            </w:r>
            <w:r w:rsidR="00F578A8" w:rsidRPr="00DF6E1A">
              <w:rPr>
                <w:sz w:val="28"/>
                <w:szCs w:val="28"/>
              </w:rPr>
              <w:t xml:space="preserve">arī </w:t>
            </w:r>
            <w:r w:rsidRPr="00DF6E1A">
              <w:rPr>
                <w:sz w:val="28"/>
                <w:szCs w:val="28"/>
              </w:rPr>
              <w:t>mediācijas ieviešanu civiltiesisko strīdu risināšanā, jo tiktu rad</w:t>
            </w:r>
            <w:r w:rsidR="00361B43" w:rsidRPr="00DF6E1A">
              <w:rPr>
                <w:sz w:val="28"/>
                <w:szCs w:val="28"/>
              </w:rPr>
              <w:t>īti</w:t>
            </w:r>
            <w:r w:rsidR="00170290" w:rsidRPr="00DF6E1A">
              <w:rPr>
                <w:sz w:val="28"/>
                <w:szCs w:val="28"/>
              </w:rPr>
              <w:t xml:space="preserve"> labvēl</w:t>
            </w:r>
            <w:r w:rsidR="00ED7C56" w:rsidRPr="00DF6E1A">
              <w:rPr>
                <w:sz w:val="28"/>
                <w:szCs w:val="28"/>
              </w:rPr>
              <w:t>īgāki</w:t>
            </w:r>
            <w:r w:rsidR="00170290" w:rsidRPr="00DF6E1A">
              <w:rPr>
                <w:sz w:val="28"/>
                <w:szCs w:val="28"/>
              </w:rPr>
              <w:t xml:space="preserve"> </w:t>
            </w:r>
            <w:r w:rsidR="00F578A8" w:rsidRPr="00DF6E1A">
              <w:rPr>
                <w:sz w:val="28"/>
                <w:szCs w:val="28"/>
              </w:rPr>
              <w:t>priek</w:t>
            </w:r>
            <w:r w:rsidR="00170290" w:rsidRPr="00DF6E1A">
              <w:rPr>
                <w:sz w:val="28"/>
                <w:szCs w:val="28"/>
              </w:rPr>
              <w:t xml:space="preserve">šnoteikumi alternatīvo strīdu risināšanai </w:t>
            </w:r>
            <w:r w:rsidR="00361B43" w:rsidRPr="00DF6E1A">
              <w:rPr>
                <w:sz w:val="28"/>
                <w:szCs w:val="28"/>
              </w:rPr>
              <w:t>ārpus tiesas,</w:t>
            </w:r>
            <w:r w:rsidR="00516DED" w:rsidRPr="00DF6E1A">
              <w:rPr>
                <w:sz w:val="28"/>
                <w:szCs w:val="28"/>
              </w:rPr>
              <w:t xml:space="preserve"> proti – strīdu risināšana ārpus tiesas kļūtu par ātrāku un personām finansiāli izdevīgāku procesu,</w:t>
            </w:r>
            <w:r w:rsidR="00361B43" w:rsidRPr="00DF6E1A">
              <w:rPr>
                <w:sz w:val="28"/>
                <w:szCs w:val="28"/>
              </w:rPr>
              <w:t xml:space="preserve"> vienlaikus atslogojot tiesu darbu un nodrošinot lietu izskatīšanu samērīgos termiņos.</w:t>
            </w:r>
          </w:p>
          <w:p w:rsidR="00A647CD" w:rsidRPr="00DF6E1A" w:rsidRDefault="00367F47" w:rsidP="00533AD1">
            <w:pPr>
              <w:ind w:firstLine="720"/>
              <w:jc w:val="both"/>
              <w:rPr>
                <w:sz w:val="28"/>
                <w:szCs w:val="28"/>
              </w:rPr>
            </w:pPr>
            <w:r w:rsidRPr="00DF6E1A">
              <w:rPr>
                <w:b/>
                <w:sz w:val="28"/>
                <w:szCs w:val="28"/>
              </w:rPr>
              <w:t>[3] </w:t>
            </w:r>
            <w:r w:rsidR="00774AF3" w:rsidRPr="00DF6E1A">
              <w:rPr>
                <w:sz w:val="28"/>
                <w:szCs w:val="28"/>
              </w:rPr>
              <w:t>Papildus</w:t>
            </w:r>
            <w:r w:rsidR="00774AF3" w:rsidRPr="00DF6E1A">
              <w:rPr>
                <w:b/>
                <w:sz w:val="28"/>
                <w:szCs w:val="28"/>
              </w:rPr>
              <w:t xml:space="preserve"> </w:t>
            </w:r>
            <w:r w:rsidR="00774AF3" w:rsidRPr="00DF6E1A">
              <w:rPr>
                <w:sz w:val="28"/>
                <w:szCs w:val="28"/>
              </w:rPr>
              <w:t>norādāms, ka p</w:t>
            </w:r>
            <w:r w:rsidRPr="00DF6E1A">
              <w:rPr>
                <w:sz w:val="28"/>
                <w:szCs w:val="28"/>
              </w:rPr>
              <w:t>ašreizējā tiesu darbinieku mēnešalga Latvijā ir ļoti zema un vidēji sastāda Ls 343,9 mēnesī pirms nodokļu nomaksas, kas veido aptuveni Ls 241 mēnesī pēc nodokļu nomaksas. Šāds atalgojuma līmenis nav samērojams ar tiesas darbinieka veicamajiem amata pienākumiem, piemēram, tiesas nolēmumu projektu sagatavošana, tiesas dokumentu sagatavošana, tiesas sēžu un tiesvedības (juridisko) dokumentu tulkošana, tiesu prakses un judikatūras apkopojumu sagatavošanu u.c. pienākumiem. Ņemot vērā, ka tiesu darbinieku pienākumos ietilpst nozīmīgs tiesas kopēja darba apjoms, piemēram, sagatavojot tiesu nolēmumu un citu procesuālo dokumentu projektus, pašreizējā tiesu darbinieku mēnešalga nav samērojama ar veicamajiem pienākumiem un atbildību</w:t>
            </w:r>
            <w:r w:rsidR="00A647CD" w:rsidRPr="00DF6E1A">
              <w:rPr>
                <w:sz w:val="28"/>
                <w:szCs w:val="28"/>
              </w:rPr>
              <w:t>, līdz ar to nepieciešams risināt jautājumu par atalgojuma palielināšanu tiesu darbiniekiem.</w:t>
            </w:r>
            <w:r w:rsidRPr="00DF6E1A">
              <w:rPr>
                <w:sz w:val="28"/>
                <w:szCs w:val="28"/>
              </w:rPr>
              <w:t xml:space="preserve"> Turklāt tiesas darbinieki, kuri pilda izmeklēšanas tiesneša palīga vai tiesas sēžu sekretāra pienākumus, strādā kopā ar izmeklēšanas tiesnesi arī brīvdienās un svētku dienās, pildot amata pienākumus sabiedrības kopējās drošības nodrošināšanai.</w:t>
            </w:r>
            <w:r w:rsidR="00A647CD" w:rsidRPr="00DF6E1A">
              <w:rPr>
                <w:sz w:val="28"/>
                <w:szCs w:val="28"/>
              </w:rPr>
              <w:t xml:space="preserve"> </w:t>
            </w:r>
          </w:p>
          <w:p w:rsidR="00367F47" w:rsidRPr="00DF6E1A" w:rsidRDefault="00367F47" w:rsidP="00533AD1">
            <w:pPr>
              <w:ind w:firstLine="720"/>
              <w:jc w:val="both"/>
              <w:rPr>
                <w:sz w:val="28"/>
                <w:szCs w:val="28"/>
              </w:rPr>
            </w:pPr>
            <w:r w:rsidRPr="00DF6E1A">
              <w:rPr>
                <w:b/>
                <w:sz w:val="28"/>
                <w:szCs w:val="28"/>
              </w:rPr>
              <w:t xml:space="preserve">[4] </w:t>
            </w:r>
            <w:r w:rsidRPr="00DF6E1A">
              <w:rPr>
                <w:sz w:val="28"/>
                <w:szCs w:val="28"/>
              </w:rPr>
              <w:t>Saskaņā ar Valsts un pašvaldību institūciju amatpersonu un darbinieku atlīdzības likuma (turpmāk – Atlīdzības likums) 37. panta pirmo daļu valsts vai pašvaldības institūcija var apdrošināt amatpersonu (darbinieku) veselību atbilstoši tai piešķirtajiem finanšu līdzekļiem, bet obligāti apdrošina amatpersonu (darbinieku) veselību vai amatpersonas (darbiniekus) apdrošina pret nelaimes gadījumiem šajā likumā noteiktajos gadījumos, ja šīs amatpersonas (darbinieki), veicot amata (dienesta, darba) pienākumus, ir pakļautas reālam dzīvības vai veselības apdraudējumam (riskam). Valsts un pašvaldību institūcijas neapdrošina to amatpersonu (darbinieku) veselību, kurām šajā likumā noteikta apmaksāta veselības aprūpe.</w:t>
            </w:r>
          </w:p>
          <w:p w:rsidR="00367F47" w:rsidRPr="00DF6E1A" w:rsidRDefault="00367F47" w:rsidP="00533AD1">
            <w:pPr>
              <w:ind w:firstLine="720"/>
              <w:jc w:val="both"/>
              <w:rPr>
                <w:sz w:val="28"/>
                <w:szCs w:val="28"/>
              </w:rPr>
            </w:pPr>
            <w:r w:rsidRPr="00DF6E1A">
              <w:rPr>
                <w:sz w:val="28"/>
                <w:szCs w:val="28"/>
              </w:rPr>
              <w:t>Ievērojot to, ka tiesu darbinieki (tulki, tiesas sēžu sekretāri, kancelejas darbinieki, tiesnešu palīgi) ietilpst to darbinieku vidū, kuri, veicot tiešos amata pienākumus, ir pakļauti reālam dzīvības vai veselības apdraudējumam, minētajām darbinieku grupām nepieciešama veselības apdrošināšana. Norādām, ka, pildot viņiem uzticētos amata pienākumus, darbinieki atrodas tiešā kontaktā ne tikai ar tiesas apmeklētājiem, bet arī aizdomās turētajām un apsūdzētajām personām, kuras nereti slimo ar bīstamām, neārstējamām slimībām (tostarp infekcijām), kā arī bez jebkādiem šķēršļiem var nodarīt dažāda smaguma miesas bojājumus, jo tiesvedības laikā atrodas tiesas sēžu zālē bez roku dzelžiem.</w:t>
            </w:r>
          </w:p>
          <w:p w:rsidR="00367F47" w:rsidRPr="00DF6E1A" w:rsidRDefault="00367F47" w:rsidP="00533AD1">
            <w:pPr>
              <w:ind w:firstLine="720"/>
              <w:jc w:val="both"/>
              <w:rPr>
                <w:sz w:val="28"/>
                <w:szCs w:val="28"/>
              </w:rPr>
            </w:pPr>
            <w:r w:rsidRPr="00DF6E1A">
              <w:rPr>
                <w:sz w:val="28"/>
                <w:szCs w:val="28"/>
              </w:rPr>
              <w:t>Tādējādi, izvērtējot tiesu funkciju, kā arī nodarbināto darbinieku amata specifiku un veselībai pastāvošos riskus saistībā ar tiešo amata pienākumu izpildi, ir nepieciešams tiesu dar</w:t>
            </w:r>
            <w:r w:rsidR="00A647CD" w:rsidRPr="00DF6E1A">
              <w:rPr>
                <w:sz w:val="28"/>
                <w:szCs w:val="28"/>
              </w:rPr>
              <w:t>biniekiem</w:t>
            </w:r>
            <w:r w:rsidRPr="00DF6E1A">
              <w:rPr>
                <w:sz w:val="28"/>
                <w:szCs w:val="28"/>
              </w:rPr>
              <w:t xml:space="preserve"> paredzēt obligāto veselības apdrošināšanu.</w:t>
            </w:r>
          </w:p>
          <w:p w:rsidR="00367F47" w:rsidRPr="00DF6E1A" w:rsidRDefault="00367F47" w:rsidP="00533AD1">
            <w:pPr>
              <w:ind w:firstLine="720"/>
              <w:jc w:val="both"/>
              <w:rPr>
                <w:sz w:val="28"/>
                <w:szCs w:val="28"/>
              </w:rPr>
            </w:pPr>
            <w:r w:rsidRPr="00DF6E1A">
              <w:rPr>
                <w:b/>
                <w:sz w:val="28"/>
                <w:szCs w:val="28"/>
              </w:rPr>
              <w:t>[5]</w:t>
            </w:r>
            <w:r w:rsidRPr="00DF6E1A">
              <w:rPr>
                <w:sz w:val="28"/>
                <w:szCs w:val="28"/>
              </w:rPr>
              <w:t xml:space="preserve"> Eiropas Cilvēktiesību un pamatbrīvību aizsardzības konvencijas 6. pants noteic ikvienas personas tiesības uz izvirzītās apsūdzības pamatotību, taisnīgu un atklātu lietas izskatīšanu, neatkarīga un objektīva tiesā. Kvalitatīvs un sapratīgā termiņā sniegts eksperta atzinums ir priekšnosacījums lietas savlaicīgai un objektīvai izskatīšanai. Atbilstoši Civilprocesa likuma 121. pantam, Kriminālprocesa likuma 194. pantam, Administratīvā procesa likuma 178. pantam tiesa, ja lietai nozīmīgu faktu noskaidrošanai nepieciešamas speciālas zināšanas zinātnē, tehnikā, mākslā vai citā nozarē, nosaka ekspertīzi. Ekspertīzi izdara attiecīgo ekspertīzes iestāžu eksperti vai citi speciālisti. Attiecīgi eksperta atzinums šajos gadījumos ir priekšnosacījums lietas objektīvai izspriešanai un tā savlaicīga sniegšana ir pamats lietas izskatīšanai saprātīgā termiņā.</w:t>
            </w:r>
          </w:p>
          <w:p w:rsidR="00D36D0D" w:rsidRDefault="00367F47" w:rsidP="00B96743">
            <w:pPr>
              <w:ind w:firstLine="720"/>
              <w:jc w:val="both"/>
              <w:rPr>
                <w:sz w:val="28"/>
                <w:szCs w:val="28"/>
              </w:rPr>
            </w:pPr>
            <w:r w:rsidRPr="00DF6E1A">
              <w:rPr>
                <w:sz w:val="28"/>
                <w:szCs w:val="28"/>
              </w:rPr>
              <w:t>Pašreizējā Valsts tiesu ekspertīžu biroja kapacitāte ir nepietiekama,</w:t>
            </w:r>
            <w:r w:rsidR="00815660" w:rsidRPr="00DF6E1A">
              <w:rPr>
                <w:sz w:val="28"/>
                <w:szCs w:val="28"/>
              </w:rPr>
              <w:t xml:space="preserve"> 70 % darbinieku strādā nepilnu darba nedēļu (20-38 stundas nedēļā)</w:t>
            </w:r>
            <w:r w:rsidR="000C25E6" w:rsidRPr="00DF6E1A">
              <w:rPr>
                <w:sz w:val="28"/>
                <w:szCs w:val="28"/>
              </w:rPr>
              <w:t>,</w:t>
            </w:r>
            <w:r w:rsidRPr="00DF6E1A">
              <w:rPr>
                <w:sz w:val="28"/>
                <w:szCs w:val="28"/>
              </w:rPr>
              <w:t xml:space="preserve"> un laiks, kas nepieciešams ekspertīžu veikšanai, pašlaik ir pārāk garš. Līdz ar to ir nepieciešams</w:t>
            </w:r>
            <w:r w:rsidR="00A647CD" w:rsidRPr="00DF6E1A">
              <w:rPr>
                <w:sz w:val="28"/>
                <w:szCs w:val="28"/>
              </w:rPr>
              <w:t xml:space="preserve"> risināt jautājumu par līdzekļu piešķiršanu</w:t>
            </w:r>
            <w:r w:rsidR="008476F8" w:rsidRPr="00DF6E1A">
              <w:rPr>
                <w:sz w:val="28"/>
                <w:szCs w:val="28"/>
              </w:rPr>
              <w:t xml:space="preserve"> </w:t>
            </w:r>
            <w:r w:rsidRPr="00DF6E1A">
              <w:rPr>
                <w:sz w:val="28"/>
                <w:szCs w:val="28"/>
              </w:rPr>
              <w:t xml:space="preserve">Valsts tiesu ekspertīžu biroja </w:t>
            </w:r>
            <w:r w:rsidR="008476F8" w:rsidRPr="00DF6E1A">
              <w:rPr>
                <w:sz w:val="28"/>
                <w:szCs w:val="28"/>
              </w:rPr>
              <w:t>kapacitātes palielināšan</w:t>
            </w:r>
            <w:r w:rsidR="009743C2" w:rsidRPr="00DF6E1A">
              <w:rPr>
                <w:sz w:val="28"/>
                <w:szCs w:val="28"/>
              </w:rPr>
              <w:t>a</w:t>
            </w:r>
            <w:r w:rsidR="008476F8" w:rsidRPr="00DF6E1A">
              <w:rPr>
                <w:sz w:val="28"/>
                <w:szCs w:val="28"/>
              </w:rPr>
              <w:t>i</w:t>
            </w:r>
            <w:r w:rsidR="00815660" w:rsidRPr="00DF6E1A">
              <w:rPr>
                <w:sz w:val="28"/>
                <w:szCs w:val="28"/>
              </w:rPr>
              <w:t xml:space="preserve"> pilnas darba nedēļas (40 stundas) nodrošināšanai, </w:t>
            </w:r>
            <w:r w:rsidRPr="00DF6E1A">
              <w:rPr>
                <w:sz w:val="28"/>
                <w:szCs w:val="28"/>
              </w:rPr>
              <w:t xml:space="preserve">lai </w:t>
            </w:r>
            <w:r w:rsidR="00815660" w:rsidRPr="00DF6E1A">
              <w:rPr>
                <w:sz w:val="28"/>
                <w:szCs w:val="28"/>
              </w:rPr>
              <w:t xml:space="preserve">veiktu ekspertīzes </w:t>
            </w:r>
            <w:r w:rsidRPr="00DF6E1A">
              <w:rPr>
                <w:sz w:val="28"/>
                <w:szCs w:val="28"/>
              </w:rPr>
              <w:t>atbilstošos termiņos, tādējādi samazinot iepriekšējos gados izveidojušos negatīvo ietekmi uz lietu izmeklēšanas termiņiem.</w:t>
            </w:r>
          </w:p>
          <w:p w:rsidR="002566E2" w:rsidRPr="00DF6E1A" w:rsidRDefault="002566E2" w:rsidP="00B96743">
            <w:pPr>
              <w:ind w:firstLine="720"/>
              <w:jc w:val="both"/>
              <w:rPr>
                <w:b/>
                <w:sz w:val="28"/>
                <w:szCs w:val="28"/>
              </w:rPr>
            </w:pPr>
          </w:p>
        </w:tc>
      </w:tr>
      <w:tr w:rsidR="00367F47" w:rsidRPr="00DF6E1A" w:rsidTr="00533AD1">
        <w:trPr>
          <w:trHeight w:val="422"/>
        </w:trPr>
        <w:tc>
          <w:tcPr>
            <w:tcW w:w="550" w:type="dxa"/>
          </w:tcPr>
          <w:p w:rsidR="00367F47" w:rsidRPr="00DF6E1A" w:rsidRDefault="00367F47" w:rsidP="00533AD1">
            <w:pPr>
              <w:pStyle w:val="naiskr"/>
              <w:spacing w:before="0" w:after="0"/>
              <w:rPr>
                <w:sz w:val="28"/>
                <w:szCs w:val="28"/>
              </w:rPr>
            </w:pPr>
            <w:r w:rsidRPr="00DF6E1A">
              <w:rPr>
                <w:sz w:val="28"/>
                <w:szCs w:val="28"/>
              </w:rPr>
              <w:lastRenderedPageBreak/>
              <w:t>3.</w:t>
            </w:r>
          </w:p>
        </w:tc>
        <w:tc>
          <w:tcPr>
            <w:tcW w:w="2290" w:type="dxa"/>
          </w:tcPr>
          <w:p w:rsidR="00367F47" w:rsidRPr="00DF6E1A" w:rsidRDefault="00367F47" w:rsidP="00533AD1">
            <w:pPr>
              <w:pStyle w:val="naiskr"/>
              <w:spacing w:before="0" w:after="0"/>
              <w:rPr>
                <w:sz w:val="28"/>
                <w:szCs w:val="28"/>
              </w:rPr>
            </w:pPr>
            <w:r w:rsidRPr="00DF6E1A">
              <w:rPr>
                <w:sz w:val="28"/>
                <w:szCs w:val="28"/>
              </w:rPr>
              <w:t>Saistītie politikas ietekmes novērtējumi un pētījumi</w:t>
            </w:r>
          </w:p>
        </w:tc>
        <w:tc>
          <w:tcPr>
            <w:tcW w:w="6885" w:type="dxa"/>
          </w:tcPr>
          <w:p w:rsidR="00367F47" w:rsidRPr="00DF6E1A" w:rsidRDefault="00367F47" w:rsidP="00533AD1">
            <w:pPr>
              <w:pStyle w:val="Vresteksts"/>
              <w:jc w:val="both"/>
              <w:rPr>
                <w:sz w:val="28"/>
                <w:szCs w:val="28"/>
              </w:rPr>
            </w:pPr>
            <w:r w:rsidRPr="00DF6E1A">
              <w:rPr>
                <w:sz w:val="28"/>
                <w:szCs w:val="28"/>
              </w:rPr>
              <w:t>Nav attiecināms</w:t>
            </w:r>
          </w:p>
        </w:tc>
      </w:tr>
      <w:tr w:rsidR="00367F47" w:rsidRPr="00DF6E1A" w:rsidTr="00533AD1">
        <w:trPr>
          <w:trHeight w:val="384"/>
        </w:trPr>
        <w:tc>
          <w:tcPr>
            <w:tcW w:w="550" w:type="dxa"/>
          </w:tcPr>
          <w:p w:rsidR="00367F47" w:rsidRPr="00DF6E1A" w:rsidRDefault="00367F47" w:rsidP="00533AD1">
            <w:pPr>
              <w:pStyle w:val="naiskr"/>
              <w:spacing w:before="0" w:after="0"/>
              <w:rPr>
                <w:sz w:val="28"/>
                <w:szCs w:val="28"/>
              </w:rPr>
            </w:pPr>
            <w:r w:rsidRPr="00DF6E1A">
              <w:rPr>
                <w:sz w:val="28"/>
                <w:szCs w:val="28"/>
              </w:rPr>
              <w:t>4.</w:t>
            </w:r>
          </w:p>
        </w:tc>
        <w:tc>
          <w:tcPr>
            <w:tcW w:w="2290" w:type="dxa"/>
          </w:tcPr>
          <w:p w:rsidR="00367F47" w:rsidRPr="00DF6E1A" w:rsidRDefault="00367F47" w:rsidP="00533AD1">
            <w:pPr>
              <w:pStyle w:val="naiskr"/>
              <w:spacing w:before="0" w:after="0"/>
              <w:rPr>
                <w:sz w:val="28"/>
                <w:szCs w:val="28"/>
              </w:rPr>
            </w:pPr>
            <w:r w:rsidRPr="00DF6E1A">
              <w:rPr>
                <w:sz w:val="28"/>
                <w:szCs w:val="28"/>
              </w:rPr>
              <w:t>Tiesiskā regulējuma mērķis un būtība</w:t>
            </w:r>
          </w:p>
        </w:tc>
        <w:tc>
          <w:tcPr>
            <w:tcW w:w="6885" w:type="dxa"/>
          </w:tcPr>
          <w:p w:rsidR="00367F47" w:rsidRPr="00DF6E1A" w:rsidRDefault="00367F47" w:rsidP="00533AD1">
            <w:pPr>
              <w:ind w:firstLine="704"/>
              <w:jc w:val="both"/>
              <w:rPr>
                <w:sz w:val="28"/>
                <w:szCs w:val="28"/>
              </w:rPr>
            </w:pPr>
            <w:r w:rsidRPr="00DF6E1A">
              <w:rPr>
                <w:sz w:val="28"/>
                <w:szCs w:val="28"/>
              </w:rPr>
              <w:t>Likumprojekta „Grozījums Civilprocesa likumā” mērķis ir noteikt maksājamo valsts nodevu par prasību, kas novērtējama naudas summā. Saskaņā ar izstrādāto likumprojektu, tiek paredzēts palielināt valsts nodevu mantiska rakstura prasībās par prasījumiem, sākot no Ls </w:t>
            </w:r>
            <w:r w:rsidR="00CE1B53" w:rsidRPr="00DF6E1A">
              <w:rPr>
                <w:sz w:val="28"/>
                <w:szCs w:val="28"/>
              </w:rPr>
              <w:t>15</w:t>
            </w:r>
            <w:r w:rsidRPr="00DF6E1A">
              <w:rPr>
                <w:sz w:val="28"/>
                <w:szCs w:val="28"/>
              </w:rPr>
              <w:t>01 šādā apmērā:</w:t>
            </w:r>
          </w:p>
          <w:p w:rsidR="00367F47" w:rsidRPr="00DF6E1A" w:rsidRDefault="00367F47" w:rsidP="00533AD1">
            <w:pPr>
              <w:pStyle w:val="ParastaisWeb"/>
              <w:spacing w:after="0"/>
              <w:ind w:firstLine="720"/>
              <w:jc w:val="both"/>
              <w:rPr>
                <w:rFonts w:ascii="Times New Roman" w:hAnsi="Times New Roman"/>
                <w:sz w:val="28"/>
                <w:szCs w:val="28"/>
              </w:rPr>
            </w:pPr>
            <w:r w:rsidRPr="00DF6E1A">
              <w:rPr>
                <w:rFonts w:ascii="Times New Roman" w:hAnsi="Times New Roman"/>
                <w:sz w:val="28"/>
                <w:szCs w:val="28"/>
              </w:rPr>
              <w:t>a) līdz 1500 latiem — 15 procenti no prasības summas, bet ne mazāk par 50 latiem,</w:t>
            </w:r>
          </w:p>
          <w:p w:rsidR="00367F47" w:rsidRPr="00DF6E1A" w:rsidRDefault="00367F47" w:rsidP="00533AD1">
            <w:pPr>
              <w:pStyle w:val="ParastaisWeb"/>
              <w:spacing w:after="0"/>
              <w:ind w:firstLine="720"/>
              <w:jc w:val="both"/>
              <w:rPr>
                <w:rFonts w:ascii="Times New Roman" w:hAnsi="Times New Roman"/>
                <w:sz w:val="28"/>
                <w:szCs w:val="28"/>
              </w:rPr>
            </w:pPr>
            <w:r w:rsidRPr="00DF6E1A">
              <w:rPr>
                <w:rFonts w:ascii="Times New Roman" w:hAnsi="Times New Roman"/>
                <w:sz w:val="28"/>
                <w:szCs w:val="28"/>
              </w:rPr>
              <w:t>b) no 1501 lata līdz 5000 latiem — 225 latu plus 4 procenti no prasības summas, kas pārsniedz 1500 latus,</w:t>
            </w:r>
          </w:p>
          <w:p w:rsidR="00367F47" w:rsidRPr="00DF6E1A" w:rsidRDefault="00367F47" w:rsidP="00533AD1">
            <w:pPr>
              <w:pStyle w:val="ParastaisWeb"/>
              <w:spacing w:after="0"/>
              <w:ind w:firstLine="720"/>
              <w:jc w:val="both"/>
              <w:rPr>
                <w:rFonts w:ascii="Times New Roman" w:hAnsi="Times New Roman"/>
                <w:sz w:val="28"/>
                <w:szCs w:val="28"/>
              </w:rPr>
            </w:pPr>
            <w:r w:rsidRPr="00DF6E1A">
              <w:rPr>
                <w:rFonts w:ascii="Times New Roman" w:hAnsi="Times New Roman"/>
                <w:sz w:val="28"/>
                <w:szCs w:val="28"/>
              </w:rPr>
              <w:t>c) no 5001 lata līdz 20 000 latiem — 365 latu plus 3,2 procenti no prasības summas, kas pārsniedz 5000 latus,</w:t>
            </w:r>
          </w:p>
          <w:p w:rsidR="00367F47" w:rsidRPr="00DF6E1A" w:rsidRDefault="00367F47" w:rsidP="00533AD1">
            <w:pPr>
              <w:pStyle w:val="ParastaisWeb"/>
              <w:spacing w:after="0"/>
              <w:ind w:firstLine="720"/>
              <w:jc w:val="both"/>
              <w:rPr>
                <w:rFonts w:ascii="Times New Roman" w:hAnsi="Times New Roman"/>
                <w:sz w:val="28"/>
                <w:szCs w:val="28"/>
              </w:rPr>
            </w:pPr>
            <w:r w:rsidRPr="00DF6E1A">
              <w:rPr>
                <w:rFonts w:ascii="Times New Roman" w:hAnsi="Times New Roman"/>
                <w:sz w:val="28"/>
                <w:szCs w:val="28"/>
              </w:rPr>
              <w:t>d) no 20 001 lata līdz 100 000 latiem — 845 latu plus 1,6 procenti no prasības summas, kas pārsniedz 20 000 latus,</w:t>
            </w:r>
          </w:p>
          <w:p w:rsidR="00367F47" w:rsidRPr="00DF6E1A" w:rsidRDefault="00367F47" w:rsidP="00533AD1">
            <w:pPr>
              <w:pStyle w:val="ParastaisWeb"/>
              <w:spacing w:after="0"/>
              <w:ind w:firstLine="720"/>
              <w:jc w:val="both"/>
              <w:rPr>
                <w:rFonts w:ascii="Times New Roman" w:hAnsi="Times New Roman"/>
                <w:sz w:val="28"/>
                <w:szCs w:val="28"/>
              </w:rPr>
            </w:pPr>
            <w:r w:rsidRPr="00DF6E1A">
              <w:rPr>
                <w:rFonts w:ascii="Times New Roman" w:hAnsi="Times New Roman"/>
                <w:sz w:val="28"/>
                <w:szCs w:val="28"/>
              </w:rPr>
              <w:t>e) no 100 001 lata līdz 500 000 latiem — 2125 latu plus 1 procents no prasības summas, kas pārsniedz 100 000 latus,</w:t>
            </w:r>
          </w:p>
          <w:p w:rsidR="00367F47" w:rsidRPr="00DF6E1A" w:rsidRDefault="00367F47" w:rsidP="00533AD1">
            <w:pPr>
              <w:pStyle w:val="ParastaisWeb"/>
              <w:spacing w:after="0"/>
              <w:ind w:firstLine="704"/>
              <w:jc w:val="both"/>
              <w:rPr>
                <w:rFonts w:ascii="Times New Roman" w:hAnsi="Times New Roman" w:cs="Times New Roman"/>
                <w:sz w:val="28"/>
                <w:szCs w:val="28"/>
              </w:rPr>
            </w:pPr>
            <w:r w:rsidRPr="00DF6E1A">
              <w:rPr>
                <w:rFonts w:ascii="Times New Roman" w:hAnsi="Times New Roman"/>
                <w:sz w:val="28"/>
                <w:szCs w:val="28"/>
              </w:rPr>
              <w:t>f) vairāk par 500 000 latiem — 6125 latu plus 0,6 procenti no prasības summas, kas pārsniedz 500 000 latus</w:t>
            </w:r>
            <w:r w:rsidRPr="00DF6E1A">
              <w:rPr>
                <w:rFonts w:ascii="Times New Roman" w:hAnsi="Times New Roman" w:cs="Times New Roman"/>
                <w:sz w:val="28"/>
                <w:szCs w:val="28"/>
              </w:rPr>
              <w:t>.</w:t>
            </w:r>
          </w:p>
          <w:p w:rsidR="00367F47" w:rsidRPr="00DF6E1A" w:rsidRDefault="00367F47" w:rsidP="00533AD1">
            <w:pPr>
              <w:pStyle w:val="ParastaisWeb"/>
              <w:spacing w:after="0"/>
              <w:ind w:firstLine="704"/>
              <w:jc w:val="both"/>
              <w:rPr>
                <w:rFonts w:ascii="Times New Roman" w:hAnsi="Times New Roman" w:cs="Times New Roman"/>
                <w:sz w:val="28"/>
                <w:szCs w:val="28"/>
              </w:rPr>
            </w:pPr>
            <w:r w:rsidRPr="00DF6E1A">
              <w:rPr>
                <w:rFonts w:ascii="Times New Roman" w:hAnsi="Times New Roman" w:cs="Times New Roman"/>
                <w:sz w:val="28"/>
                <w:szCs w:val="28"/>
              </w:rPr>
              <w:t>Ar izstrādāto likumprojektu valsts nodevas procentuālā daļa netiek paaugstināta mazākajām prasībām, un tā tiek saglabāta līdzšinējo 15 % apmērā.</w:t>
            </w:r>
          </w:p>
          <w:p w:rsidR="00367F47" w:rsidRPr="00DF6E1A" w:rsidRDefault="00367F47" w:rsidP="00533AD1">
            <w:pPr>
              <w:pStyle w:val="ParastaisWeb"/>
              <w:spacing w:after="0"/>
              <w:ind w:firstLine="704"/>
              <w:jc w:val="both"/>
              <w:rPr>
                <w:rFonts w:ascii="Times New Roman" w:hAnsi="Times New Roman" w:cs="Times New Roman"/>
                <w:sz w:val="28"/>
                <w:szCs w:val="28"/>
              </w:rPr>
            </w:pPr>
            <w:r w:rsidRPr="00DF6E1A">
              <w:rPr>
                <w:rFonts w:ascii="Times New Roman" w:hAnsi="Times New Roman" w:cs="Times New Roman"/>
                <w:sz w:val="28"/>
                <w:szCs w:val="28"/>
              </w:rPr>
              <w:t>Veicot grozījumus valsts nodevu apmēros:</w:t>
            </w:r>
          </w:p>
          <w:p w:rsidR="00367F47" w:rsidRPr="00DF6E1A" w:rsidRDefault="00367F47" w:rsidP="00533AD1">
            <w:pPr>
              <w:pStyle w:val="ParastaisWeb"/>
              <w:numPr>
                <w:ilvl w:val="0"/>
                <w:numId w:val="16"/>
              </w:numPr>
              <w:tabs>
                <w:tab w:val="left" w:pos="985"/>
              </w:tabs>
              <w:spacing w:after="0"/>
              <w:ind w:left="0" w:firstLine="704"/>
              <w:jc w:val="both"/>
              <w:rPr>
                <w:rFonts w:ascii="Times New Roman" w:hAnsi="Times New Roman" w:cs="Times New Roman"/>
                <w:sz w:val="28"/>
                <w:szCs w:val="28"/>
              </w:rPr>
            </w:pPr>
            <w:r w:rsidRPr="00DF6E1A">
              <w:rPr>
                <w:rFonts w:ascii="Times New Roman" w:hAnsi="Times New Roman" w:cs="Times New Roman"/>
                <w:sz w:val="28"/>
                <w:szCs w:val="28"/>
              </w:rPr>
              <w:t>tiktu samērota maksājamā valsts nodeva ar prasības summu, kura pašlaik Latvijā ir nesamērīga, it sevišķi prasībās par lielām un ļoti lielām summām;</w:t>
            </w:r>
          </w:p>
          <w:p w:rsidR="00367F47" w:rsidRPr="00DF6E1A" w:rsidRDefault="00367F47" w:rsidP="00533AD1">
            <w:pPr>
              <w:pStyle w:val="ParastaisWeb"/>
              <w:numPr>
                <w:ilvl w:val="0"/>
                <w:numId w:val="16"/>
              </w:numPr>
              <w:tabs>
                <w:tab w:val="left" w:pos="985"/>
              </w:tabs>
              <w:autoSpaceDE w:val="0"/>
              <w:autoSpaceDN w:val="0"/>
              <w:spacing w:after="0"/>
              <w:ind w:left="0" w:firstLine="704"/>
              <w:jc w:val="both"/>
              <w:rPr>
                <w:rFonts w:ascii="Times New Roman" w:hAnsi="Times New Roman" w:cs="Times New Roman"/>
                <w:iCs/>
                <w:sz w:val="28"/>
                <w:szCs w:val="28"/>
              </w:rPr>
            </w:pPr>
            <w:r w:rsidRPr="00DF6E1A">
              <w:rPr>
                <w:rFonts w:ascii="Times New Roman" w:hAnsi="Times New Roman" w:cs="Times New Roman"/>
                <w:sz w:val="28"/>
                <w:szCs w:val="28"/>
              </w:rPr>
              <w:t>tiktu mazināta iespēja ļaunprātīgi izmantot tiesvedību kā līdzekli uzņemto saistību nepildīšanai;</w:t>
            </w:r>
          </w:p>
          <w:p w:rsidR="00367F47" w:rsidRPr="00DF6E1A" w:rsidRDefault="00367F47" w:rsidP="00533AD1">
            <w:pPr>
              <w:pStyle w:val="ParastaisWeb"/>
              <w:numPr>
                <w:ilvl w:val="0"/>
                <w:numId w:val="16"/>
              </w:numPr>
              <w:tabs>
                <w:tab w:val="left" w:pos="985"/>
              </w:tabs>
              <w:autoSpaceDE w:val="0"/>
              <w:autoSpaceDN w:val="0"/>
              <w:spacing w:after="0"/>
              <w:ind w:left="0" w:firstLine="704"/>
              <w:jc w:val="both"/>
              <w:rPr>
                <w:rFonts w:ascii="Times New Roman" w:hAnsi="Times New Roman" w:cs="Times New Roman"/>
                <w:iCs/>
                <w:sz w:val="28"/>
                <w:szCs w:val="28"/>
              </w:rPr>
            </w:pPr>
            <w:r w:rsidRPr="00DF6E1A">
              <w:rPr>
                <w:rFonts w:ascii="Times New Roman" w:hAnsi="Times New Roman" w:cs="Times New Roman"/>
                <w:iCs/>
                <w:sz w:val="28"/>
                <w:szCs w:val="28"/>
              </w:rPr>
              <w:t xml:space="preserve">tiks veidota nopietnāka sabiedrības attieksme pret tiesāšanos, samazinot to gadījumu skaitu, </w:t>
            </w:r>
            <w:r w:rsidRPr="00DF6E1A">
              <w:rPr>
                <w:rFonts w:ascii="Times New Roman" w:hAnsi="Times New Roman" w:cs="Times New Roman"/>
                <w:sz w:val="28"/>
                <w:szCs w:val="28"/>
              </w:rPr>
              <w:t xml:space="preserve">kad personas nepārdomāti sniedz nepamatotas sūdzības, gan vilcinot laiku, gan izmantojot vēršanos tiesā personisko attiecību skaidrošanai, gan citu iemeslu dēļ. Personai pirms vēršanās tiesā būs daudz rūpīgāk jāapsver prasības pamatotība, un tiesa netiks noslogota ar nepamatotiem prasījumiem – izmantot tiesvedību negodprātīgos nolūkos kļūs daudz neizdevīgāk. Tiesa pieejamos resursus varēs veltīt pamatotu un nozīmīgu strīdu izšķiršanai. </w:t>
            </w:r>
          </w:p>
          <w:p w:rsidR="00367F47" w:rsidRPr="00DF6E1A" w:rsidRDefault="00367F47" w:rsidP="00533AD1">
            <w:pPr>
              <w:pStyle w:val="ParastaisWeb"/>
              <w:tabs>
                <w:tab w:val="left" w:pos="985"/>
              </w:tabs>
              <w:autoSpaceDE w:val="0"/>
              <w:autoSpaceDN w:val="0"/>
              <w:spacing w:after="0"/>
              <w:ind w:firstLine="704"/>
              <w:jc w:val="both"/>
              <w:rPr>
                <w:rFonts w:ascii="Times New Roman" w:hAnsi="Times New Roman" w:cs="Times New Roman"/>
                <w:sz w:val="28"/>
                <w:szCs w:val="28"/>
              </w:rPr>
            </w:pPr>
            <w:r w:rsidRPr="00DF6E1A">
              <w:rPr>
                <w:rFonts w:ascii="Times New Roman" w:hAnsi="Times New Roman" w:cs="Times New Roman"/>
                <w:sz w:val="28"/>
                <w:szCs w:val="28"/>
              </w:rPr>
              <w:t>Prognozējamie papildus budžeta ieņēmumi no valsts nodevu mantiska rakstura prasībās, kas novērtējamas naudas summā, paaugstināšanas ir Ls 1 546 573. Prognozētos papildus ieņēmumus paredzēts novirzīt:</w:t>
            </w:r>
          </w:p>
          <w:p w:rsidR="00367F47" w:rsidRPr="00DF6E1A" w:rsidRDefault="00367F47" w:rsidP="00533AD1">
            <w:pPr>
              <w:pStyle w:val="ParastaisWeb"/>
              <w:numPr>
                <w:ilvl w:val="0"/>
                <w:numId w:val="18"/>
              </w:numPr>
              <w:tabs>
                <w:tab w:val="left" w:pos="985"/>
              </w:tabs>
              <w:autoSpaceDE w:val="0"/>
              <w:autoSpaceDN w:val="0"/>
              <w:spacing w:after="0"/>
              <w:jc w:val="both"/>
              <w:rPr>
                <w:rFonts w:ascii="Times New Roman" w:hAnsi="Times New Roman" w:cs="Times New Roman"/>
                <w:sz w:val="28"/>
                <w:szCs w:val="28"/>
              </w:rPr>
            </w:pPr>
            <w:r w:rsidRPr="00DF6E1A">
              <w:rPr>
                <w:rFonts w:ascii="Times New Roman" w:hAnsi="Times New Roman" w:cs="Times New Roman"/>
                <w:sz w:val="28"/>
                <w:szCs w:val="28"/>
              </w:rPr>
              <w:t>tiesu darbinieku mēnešalgas palielināšanai par Ls 40 mēnesī, kam nepieciešami līdzekļi Ls 1 006 618 apmērā;</w:t>
            </w:r>
          </w:p>
          <w:p w:rsidR="00367F47" w:rsidRPr="00DF6E1A" w:rsidRDefault="00367F47" w:rsidP="00533AD1">
            <w:pPr>
              <w:pStyle w:val="ParastaisWeb"/>
              <w:numPr>
                <w:ilvl w:val="0"/>
                <w:numId w:val="18"/>
              </w:numPr>
              <w:tabs>
                <w:tab w:val="left" w:pos="985"/>
              </w:tabs>
              <w:autoSpaceDE w:val="0"/>
              <w:autoSpaceDN w:val="0"/>
              <w:spacing w:after="0"/>
              <w:jc w:val="both"/>
              <w:rPr>
                <w:rFonts w:ascii="Times New Roman" w:hAnsi="Times New Roman" w:cs="Times New Roman"/>
                <w:sz w:val="28"/>
                <w:szCs w:val="28"/>
              </w:rPr>
            </w:pPr>
            <w:r w:rsidRPr="00DF6E1A">
              <w:rPr>
                <w:rFonts w:ascii="Times New Roman" w:hAnsi="Times New Roman" w:cs="Times New Roman"/>
                <w:sz w:val="28"/>
                <w:szCs w:val="28"/>
              </w:rPr>
              <w:t>tiesu darbinieku obligātās veselības apdrošināšanas nodrošināšanai, kam nepieciešami līdzekļi Ls 253 500 apmērā;</w:t>
            </w:r>
          </w:p>
          <w:p w:rsidR="00367F47" w:rsidRPr="00DF6E1A" w:rsidRDefault="00367F47" w:rsidP="00533AD1">
            <w:pPr>
              <w:pStyle w:val="ParastaisWeb"/>
              <w:numPr>
                <w:ilvl w:val="0"/>
                <w:numId w:val="18"/>
              </w:numPr>
              <w:tabs>
                <w:tab w:val="left" w:pos="985"/>
              </w:tabs>
              <w:autoSpaceDE w:val="0"/>
              <w:autoSpaceDN w:val="0"/>
              <w:spacing w:after="0"/>
              <w:jc w:val="both"/>
              <w:rPr>
                <w:rFonts w:ascii="Times New Roman" w:hAnsi="Times New Roman" w:cs="Times New Roman"/>
                <w:iCs/>
                <w:sz w:val="28"/>
                <w:szCs w:val="28"/>
              </w:rPr>
            </w:pPr>
            <w:r w:rsidRPr="00DF6E1A">
              <w:rPr>
                <w:rFonts w:ascii="Times New Roman" w:hAnsi="Times New Roman" w:cs="Times New Roman"/>
                <w:iCs/>
                <w:sz w:val="28"/>
                <w:szCs w:val="28"/>
              </w:rPr>
              <w:t>Valsts tiesu ekspertīžu biroja kapacitātes paaugstināšanai, lai paātrinātu tiesu ekspertīžu veikšanu, un tādējādi arī tiesvedību kopumā – Ls 85 058.</w:t>
            </w:r>
          </w:p>
          <w:p w:rsidR="00367F47" w:rsidRPr="00DF6E1A" w:rsidRDefault="00367F47" w:rsidP="00533AD1">
            <w:pPr>
              <w:pStyle w:val="ParastaisWeb"/>
              <w:tabs>
                <w:tab w:val="left" w:pos="985"/>
              </w:tabs>
              <w:autoSpaceDE w:val="0"/>
              <w:autoSpaceDN w:val="0"/>
              <w:spacing w:after="0"/>
              <w:ind w:firstLine="704"/>
              <w:jc w:val="both"/>
              <w:rPr>
                <w:rFonts w:ascii="Times New Roman" w:hAnsi="Times New Roman" w:cs="Times New Roman"/>
                <w:iCs/>
                <w:sz w:val="28"/>
                <w:szCs w:val="28"/>
              </w:rPr>
            </w:pPr>
            <w:r w:rsidRPr="00DF6E1A">
              <w:rPr>
                <w:rFonts w:ascii="Times New Roman" w:hAnsi="Times New Roman" w:cs="Times New Roman"/>
                <w:iCs/>
                <w:sz w:val="28"/>
                <w:szCs w:val="28"/>
              </w:rPr>
              <w:t xml:space="preserve">Tādējādi kopējie izdevumi plānoti </w:t>
            </w:r>
            <w:r w:rsidRPr="00DF6E1A">
              <w:rPr>
                <w:rFonts w:ascii="Times New Roman" w:hAnsi="Times New Roman" w:cs="Times New Roman"/>
                <w:sz w:val="28"/>
                <w:szCs w:val="28"/>
              </w:rPr>
              <w:t>Ls 1 345 176 apmērā, kas ir par Ls 201 397 mazāk nekā plānotie papildus budžeta ieņēmumi.</w:t>
            </w:r>
          </w:p>
          <w:p w:rsidR="00D36D0D" w:rsidRDefault="00367F47" w:rsidP="00B96743">
            <w:pPr>
              <w:pStyle w:val="ParastaisWeb"/>
              <w:tabs>
                <w:tab w:val="left" w:pos="985"/>
              </w:tabs>
              <w:autoSpaceDE w:val="0"/>
              <w:autoSpaceDN w:val="0"/>
              <w:spacing w:after="0"/>
              <w:ind w:firstLine="704"/>
              <w:jc w:val="both"/>
              <w:rPr>
                <w:rFonts w:ascii="Times New Roman" w:hAnsi="Times New Roman" w:cs="Times New Roman"/>
                <w:iCs/>
                <w:sz w:val="28"/>
                <w:szCs w:val="28"/>
              </w:rPr>
            </w:pPr>
            <w:r w:rsidRPr="00DF6E1A">
              <w:rPr>
                <w:rFonts w:ascii="Times New Roman" w:hAnsi="Times New Roman" w:cs="Times New Roman"/>
                <w:iCs/>
                <w:sz w:val="28"/>
                <w:szCs w:val="28"/>
              </w:rPr>
              <w:t>Papildus norādāms, ka, palielinot CPL valsts nodevu par lielākajām prasību summām, tiktu sekmēta arī procesuālās ekonomijas principa ievērošana (likuma „Par tiesu varu” 28. pants), kā arī netiktu aizskartas personas tiesības uz tiesas pieejamību. Proti, valsts nodevas apmēra palielināšana neskars mazturīgās personas, jo saskaņā ar CPL 43. panta ceturto daļu tiesa vai tiesnesis, ievērojot fiziskās personas mantisko stāvokli, joprojām varēs pilnīgi vai daļēji atbrīvot to no tiesas izdevumu samaksas valsts ienākumos.</w:t>
            </w:r>
          </w:p>
          <w:p w:rsidR="002566E2" w:rsidRPr="00DF6E1A" w:rsidRDefault="002566E2" w:rsidP="00B96743">
            <w:pPr>
              <w:pStyle w:val="ParastaisWeb"/>
              <w:tabs>
                <w:tab w:val="left" w:pos="985"/>
              </w:tabs>
              <w:autoSpaceDE w:val="0"/>
              <w:autoSpaceDN w:val="0"/>
              <w:spacing w:after="0"/>
              <w:ind w:firstLine="704"/>
              <w:jc w:val="both"/>
              <w:rPr>
                <w:rFonts w:ascii="Times New Roman" w:hAnsi="Times New Roman" w:cs="Times New Roman"/>
                <w:iCs/>
                <w:sz w:val="28"/>
                <w:szCs w:val="28"/>
              </w:rPr>
            </w:pPr>
          </w:p>
        </w:tc>
      </w:tr>
      <w:tr w:rsidR="00367F47" w:rsidRPr="00DF6E1A" w:rsidTr="00533AD1">
        <w:trPr>
          <w:trHeight w:val="476"/>
        </w:trPr>
        <w:tc>
          <w:tcPr>
            <w:tcW w:w="550" w:type="dxa"/>
          </w:tcPr>
          <w:p w:rsidR="00367F47" w:rsidRPr="00DF6E1A" w:rsidRDefault="00367F47" w:rsidP="00533AD1">
            <w:pPr>
              <w:pStyle w:val="naiskr"/>
              <w:spacing w:before="0" w:after="0"/>
              <w:rPr>
                <w:sz w:val="28"/>
                <w:szCs w:val="28"/>
              </w:rPr>
            </w:pPr>
            <w:r w:rsidRPr="00DF6E1A">
              <w:rPr>
                <w:sz w:val="28"/>
                <w:szCs w:val="28"/>
              </w:rPr>
              <w:t>5.</w:t>
            </w:r>
          </w:p>
        </w:tc>
        <w:tc>
          <w:tcPr>
            <w:tcW w:w="2290" w:type="dxa"/>
          </w:tcPr>
          <w:p w:rsidR="00367F47" w:rsidRPr="00DF6E1A" w:rsidRDefault="00367F47" w:rsidP="00533AD1">
            <w:pPr>
              <w:pStyle w:val="naiskr"/>
              <w:spacing w:before="0" w:after="0"/>
              <w:rPr>
                <w:sz w:val="28"/>
                <w:szCs w:val="28"/>
              </w:rPr>
            </w:pPr>
            <w:r w:rsidRPr="00DF6E1A">
              <w:rPr>
                <w:sz w:val="28"/>
                <w:szCs w:val="28"/>
              </w:rPr>
              <w:t>Projekta izstrādē iesaistītās institūcijas</w:t>
            </w:r>
          </w:p>
        </w:tc>
        <w:tc>
          <w:tcPr>
            <w:tcW w:w="6885" w:type="dxa"/>
          </w:tcPr>
          <w:p w:rsidR="00367F47" w:rsidRPr="00DF6E1A" w:rsidRDefault="00367F47" w:rsidP="00533AD1">
            <w:pPr>
              <w:jc w:val="both"/>
              <w:rPr>
                <w:sz w:val="28"/>
                <w:szCs w:val="28"/>
              </w:rPr>
            </w:pPr>
            <w:r w:rsidRPr="00DF6E1A">
              <w:rPr>
                <w:sz w:val="28"/>
                <w:szCs w:val="28"/>
              </w:rPr>
              <w:t>Tieslietu ministrija</w:t>
            </w:r>
          </w:p>
        </w:tc>
      </w:tr>
      <w:tr w:rsidR="00367F47" w:rsidRPr="00DF6E1A" w:rsidTr="00D74FC5">
        <w:trPr>
          <w:trHeight w:val="133"/>
        </w:trPr>
        <w:tc>
          <w:tcPr>
            <w:tcW w:w="550" w:type="dxa"/>
          </w:tcPr>
          <w:p w:rsidR="00367F47" w:rsidRPr="00DF6E1A" w:rsidRDefault="00367F47" w:rsidP="00533AD1">
            <w:pPr>
              <w:pStyle w:val="naiskr"/>
              <w:spacing w:before="0" w:after="0"/>
              <w:rPr>
                <w:sz w:val="28"/>
                <w:szCs w:val="28"/>
              </w:rPr>
            </w:pPr>
            <w:r w:rsidRPr="00DF6E1A">
              <w:rPr>
                <w:sz w:val="28"/>
                <w:szCs w:val="28"/>
              </w:rPr>
              <w:t>6.</w:t>
            </w:r>
          </w:p>
        </w:tc>
        <w:tc>
          <w:tcPr>
            <w:tcW w:w="2290" w:type="dxa"/>
          </w:tcPr>
          <w:p w:rsidR="00367F47" w:rsidRPr="00DF6E1A" w:rsidRDefault="00367F47" w:rsidP="00533AD1">
            <w:pPr>
              <w:pStyle w:val="naiskr"/>
              <w:spacing w:before="0" w:after="0"/>
              <w:rPr>
                <w:i/>
                <w:sz w:val="28"/>
                <w:szCs w:val="28"/>
              </w:rPr>
            </w:pPr>
            <w:r w:rsidRPr="00DF6E1A">
              <w:rPr>
                <w:sz w:val="28"/>
                <w:szCs w:val="28"/>
              </w:rPr>
              <w:t>Iemesli, kādēļ netika nodrošināta sabiedrības līdzdalība</w:t>
            </w:r>
          </w:p>
        </w:tc>
        <w:tc>
          <w:tcPr>
            <w:tcW w:w="6885" w:type="dxa"/>
          </w:tcPr>
          <w:p w:rsidR="00367F47" w:rsidRDefault="00D74FC5" w:rsidP="00D74FC5">
            <w:pPr>
              <w:pStyle w:val="naisf"/>
              <w:spacing w:before="0" w:after="0"/>
              <w:ind w:firstLine="703"/>
              <w:rPr>
                <w:rStyle w:val="spelle"/>
                <w:sz w:val="28"/>
                <w:szCs w:val="28"/>
              </w:rPr>
            </w:pPr>
            <w:r w:rsidRPr="00DF6E1A">
              <w:rPr>
                <w:sz w:val="28"/>
                <w:szCs w:val="28"/>
              </w:rPr>
              <w:t xml:space="preserve">Ņemot vērā, ka </w:t>
            </w:r>
            <w:r w:rsidRPr="00DF6E1A">
              <w:rPr>
                <w:iCs/>
                <w:sz w:val="28"/>
                <w:szCs w:val="28"/>
              </w:rPr>
              <w:t>Ministru kabineta 2012.gada 16.augusta sēdē (</w:t>
            </w:r>
            <w:r w:rsidRPr="00DF6E1A">
              <w:rPr>
                <w:bCs/>
                <w:color w:val="000000"/>
                <w:sz w:val="28"/>
                <w:szCs w:val="28"/>
              </w:rPr>
              <w:t>prot. Nr.46 11.§ 10.punkts</w:t>
            </w:r>
            <w:r w:rsidRPr="00DF6E1A">
              <w:rPr>
                <w:iCs/>
                <w:sz w:val="28"/>
                <w:szCs w:val="28"/>
              </w:rPr>
              <w:t xml:space="preserve">) </w:t>
            </w:r>
            <w:r w:rsidRPr="00DF6E1A">
              <w:rPr>
                <w:rStyle w:val="spelle"/>
                <w:sz w:val="28"/>
                <w:szCs w:val="28"/>
              </w:rPr>
              <w:t>Tieslietu ministrijai tika uzdots izstrādāt grozījumus Civilprocesa likumā un līdz 2012.gada 24.augustam iesniegt tos izskatīšanai Ministru kabinetā likumprojekta ”Par valsts budžetu 2013.gadam” paketē, sabiedrības līdzdalību nodrošināt nebija iespējams.</w:t>
            </w:r>
          </w:p>
          <w:p w:rsidR="002566E2" w:rsidRPr="00DF6E1A" w:rsidRDefault="002566E2" w:rsidP="00D74FC5">
            <w:pPr>
              <w:pStyle w:val="naisf"/>
              <w:spacing w:before="0" w:after="0"/>
              <w:ind w:firstLine="703"/>
              <w:rPr>
                <w:sz w:val="28"/>
                <w:szCs w:val="28"/>
              </w:rPr>
            </w:pPr>
          </w:p>
        </w:tc>
      </w:tr>
      <w:tr w:rsidR="00367F47" w:rsidRPr="00DF6E1A" w:rsidTr="00533AD1">
        <w:trPr>
          <w:trHeight w:val="70"/>
        </w:trPr>
        <w:tc>
          <w:tcPr>
            <w:tcW w:w="550" w:type="dxa"/>
          </w:tcPr>
          <w:p w:rsidR="00367F47" w:rsidRPr="00DF6E1A" w:rsidRDefault="00367F47" w:rsidP="00533AD1">
            <w:pPr>
              <w:pStyle w:val="naiskr"/>
              <w:spacing w:before="0" w:after="0"/>
              <w:rPr>
                <w:sz w:val="28"/>
                <w:szCs w:val="28"/>
              </w:rPr>
            </w:pPr>
            <w:r w:rsidRPr="00DF6E1A">
              <w:rPr>
                <w:sz w:val="28"/>
                <w:szCs w:val="28"/>
              </w:rPr>
              <w:t>7.</w:t>
            </w:r>
          </w:p>
        </w:tc>
        <w:tc>
          <w:tcPr>
            <w:tcW w:w="2290" w:type="dxa"/>
          </w:tcPr>
          <w:p w:rsidR="00367F47" w:rsidRPr="00DF6E1A" w:rsidRDefault="00367F47" w:rsidP="00533AD1">
            <w:pPr>
              <w:pStyle w:val="naiskr"/>
              <w:spacing w:before="0" w:after="0"/>
              <w:rPr>
                <w:sz w:val="28"/>
                <w:szCs w:val="28"/>
              </w:rPr>
            </w:pPr>
            <w:r w:rsidRPr="00DF6E1A">
              <w:rPr>
                <w:sz w:val="28"/>
                <w:szCs w:val="28"/>
              </w:rPr>
              <w:t>Cita informācija</w:t>
            </w:r>
          </w:p>
        </w:tc>
        <w:tc>
          <w:tcPr>
            <w:tcW w:w="6885" w:type="dxa"/>
          </w:tcPr>
          <w:p w:rsidR="00367F47" w:rsidRPr="00DF6E1A" w:rsidRDefault="00367F47" w:rsidP="00533AD1">
            <w:pPr>
              <w:pStyle w:val="naiskr"/>
              <w:spacing w:before="0" w:after="0"/>
              <w:rPr>
                <w:sz w:val="28"/>
                <w:szCs w:val="28"/>
              </w:rPr>
            </w:pPr>
            <w:r w:rsidRPr="00DF6E1A">
              <w:rPr>
                <w:sz w:val="28"/>
                <w:szCs w:val="28"/>
              </w:rPr>
              <w:t>Nav</w:t>
            </w:r>
          </w:p>
        </w:tc>
      </w:tr>
    </w:tbl>
    <w:p w:rsidR="00367F47" w:rsidRPr="00D36D0D" w:rsidRDefault="00367F47" w:rsidP="00367F47">
      <w:pPr>
        <w:pStyle w:val="naisf"/>
        <w:spacing w:before="0" w:after="0"/>
        <w:rPr>
          <w:sz w:val="26"/>
          <w:szCs w:val="26"/>
          <w:highlight w:val="yellow"/>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72"/>
        <w:gridCol w:w="3119"/>
        <w:gridCol w:w="6067"/>
      </w:tblGrid>
      <w:tr w:rsidR="00367F47" w:rsidRPr="00DF6E1A" w:rsidTr="00533AD1">
        <w:tc>
          <w:tcPr>
            <w:tcW w:w="9758" w:type="dxa"/>
            <w:gridSpan w:val="3"/>
            <w:vAlign w:val="center"/>
          </w:tcPr>
          <w:p w:rsidR="00367F47" w:rsidRPr="00DF6E1A" w:rsidRDefault="00367F47" w:rsidP="00533AD1">
            <w:pPr>
              <w:pStyle w:val="naisnod"/>
              <w:spacing w:before="0" w:after="0"/>
              <w:rPr>
                <w:sz w:val="28"/>
                <w:szCs w:val="28"/>
              </w:rPr>
            </w:pPr>
            <w:r w:rsidRPr="00DF6E1A">
              <w:rPr>
                <w:sz w:val="28"/>
                <w:szCs w:val="28"/>
              </w:rPr>
              <w:t>II. Tiesību akta projekta ietekme uz sabiedrību</w:t>
            </w:r>
          </w:p>
          <w:p w:rsidR="00D36D0D" w:rsidRPr="00DF6E1A" w:rsidRDefault="00D36D0D" w:rsidP="00533AD1">
            <w:pPr>
              <w:pStyle w:val="naisnod"/>
              <w:spacing w:before="0" w:after="0"/>
              <w:rPr>
                <w:sz w:val="28"/>
                <w:szCs w:val="28"/>
                <w:highlight w:val="yellow"/>
              </w:rPr>
            </w:pPr>
          </w:p>
        </w:tc>
      </w:tr>
      <w:tr w:rsidR="00367F47" w:rsidRPr="00DF6E1A" w:rsidTr="00533AD1">
        <w:trPr>
          <w:trHeight w:val="467"/>
        </w:trPr>
        <w:tc>
          <w:tcPr>
            <w:tcW w:w="572" w:type="dxa"/>
          </w:tcPr>
          <w:p w:rsidR="00367F47" w:rsidRPr="00DF6E1A" w:rsidRDefault="00367F47" w:rsidP="00533AD1">
            <w:pPr>
              <w:pStyle w:val="naiskr"/>
              <w:spacing w:before="0" w:after="0"/>
              <w:rPr>
                <w:sz w:val="28"/>
                <w:szCs w:val="28"/>
              </w:rPr>
            </w:pPr>
            <w:r w:rsidRPr="00DF6E1A">
              <w:rPr>
                <w:sz w:val="28"/>
                <w:szCs w:val="28"/>
              </w:rPr>
              <w:t>1.</w:t>
            </w:r>
          </w:p>
        </w:tc>
        <w:tc>
          <w:tcPr>
            <w:tcW w:w="3119" w:type="dxa"/>
          </w:tcPr>
          <w:p w:rsidR="00367F47" w:rsidRPr="00DF6E1A" w:rsidRDefault="00367F47" w:rsidP="00533AD1">
            <w:pPr>
              <w:pStyle w:val="naiskr"/>
              <w:spacing w:before="0" w:after="0"/>
              <w:rPr>
                <w:sz w:val="28"/>
                <w:szCs w:val="28"/>
              </w:rPr>
            </w:pPr>
            <w:r w:rsidRPr="00DF6E1A">
              <w:rPr>
                <w:sz w:val="28"/>
                <w:szCs w:val="28"/>
              </w:rPr>
              <w:t>Sabiedrības mērķgrupa</w:t>
            </w:r>
          </w:p>
        </w:tc>
        <w:tc>
          <w:tcPr>
            <w:tcW w:w="6067" w:type="dxa"/>
          </w:tcPr>
          <w:p w:rsidR="00367F47" w:rsidRPr="00DF6E1A" w:rsidRDefault="00367F47" w:rsidP="00533AD1">
            <w:pPr>
              <w:pStyle w:val="naiskr"/>
              <w:spacing w:before="0" w:after="0"/>
              <w:jc w:val="both"/>
              <w:rPr>
                <w:iCs/>
                <w:sz w:val="28"/>
                <w:szCs w:val="28"/>
              </w:rPr>
            </w:pPr>
            <w:r w:rsidRPr="00DF6E1A">
              <w:rPr>
                <w:iCs/>
                <w:sz w:val="28"/>
                <w:szCs w:val="28"/>
              </w:rPr>
              <w:t>Ikviena persona (fiziskā vai juridiskā), kura savu strīdu vēlēsies risināt tiesā.</w:t>
            </w:r>
          </w:p>
          <w:p w:rsidR="00367F47" w:rsidRPr="00DF6E1A" w:rsidRDefault="00367F47" w:rsidP="00533AD1">
            <w:pPr>
              <w:pStyle w:val="naiskr"/>
              <w:spacing w:before="0" w:after="0"/>
              <w:jc w:val="both"/>
              <w:rPr>
                <w:sz w:val="28"/>
                <w:szCs w:val="28"/>
              </w:rPr>
            </w:pPr>
            <w:r w:rsidRPr="00DF6E1A">
              <w:rPr>
                <w:sz w:val="28"/>
                <w:szCs w:val="28"/>
              </w:rPr>
              <w:t>Attiecībā uz atalgojuma palielināšanu tiesu darbiniekiem</w:t>
            </w:r>
            <w:r w:rsidR="000C25E6" w:rsidRPr="00DF6E1A">
              <w:rPr>
                <w:sz w:val="28"/>
                <w:szCs w:val="28"/>
              </w:rPr>
              <w:t> </w:t>
            </w:r>
            <w:r w:rsidRPr="00DF6E1A">
              <w:rPr>
                <w:sz w:val="28"/>
                <w:szCs w:val="28"/>
              </w:rPr>
              <w:t>–</w:t>
            </w:r>
            <w:r w:rsidR="000C25E6" w:rsidRPr="00DF6E1A">
              <w:rPr>
                <w:sz w:val="28"/>
                <w:szCs w:val="28"/>
              </w:rPr>
              <w:t> </w:t>
            </w:r>
            <w:r w:rsidRPr="00DF6E1A">
              <w:rPr>
                <w:sz w:val="28"/>
                <w:szCs w:val="28"/>
              </w:rPr>
              <w:t>1690 persona. Attiecībā uz obligāto veselības apdrošināšanas nodrošināšanu tiesu darbiniekiem – 1690 personas.</w:t>
            </w:r>
          </w:p>
          <w:p w:rsidR="00D36D0D" w:rsidRDefault="00367F47" w:rsidP="000C25E6">
            <w:pPr>
              <w:pStyle w:val="naiskr"/>
              <w:spacing w:before="0" w:after="0"/>
              <w:jc w:val="both"/>
              <w:rPr>
                <w:sz w:val="28"/>
                <w:szCs w:val="28"/>
              </w:rPr>
            </w:pPr>
            <w:r w:rsidRPr="00DF6E1A">
              <w:rPr>
                <w:sz w:val="28"/>
                <w:szCs w:val="28"/>
              </w:rPr>
              <w:t>Attiecībā uz Valsts tiesu ekspertīžu biroja kapacitātes paaugstināšanu</w:t>
            </w:r>
            <w:r w:rsidR="000C25E6" w:rsidRPr="00DF6E1A">
              <w:rPr>
                <w:sz w:val="28"/>
                <w:szCs w:val="28"/>
              </w:rPr>
              <w:t> </w:t>
            </w:r>
            <w:r w:rsidRPr="00DF6E1A">
              <w:rPr>
                <w:sz w:val="28"/>
                <w:szCs w:val="28"/>
              </w:rPr>
              <w:t>–</w:t>
            </w:r>
            <w:r w:rsidR="000C25E6" w:rsidRPr="00DF6E1A">
              <w:rPr>
                <w:sz w:val="28"/>
                <w:szCs w:val="28"/>
              </w:rPr>
              <w:t> </w:t>
            </w:r>
            <w:r w:rsidRPr="00DF6E1A">
              <w:rPr>
                <w:sz w:val="28"/>
                <w:szCs w:val="28"/>
              </w:rPr>
              <w:t>jebkura persona, kurai tiesvedības ietvaros nepieciešams veikt ekspertīzi.</w:t>
            </w:r>
          </w:p>
          <w:p w:rsidR="002566E2" w:rsidRPr="00DF6E1A" w:rsidRDefault="002566E2" w:rsidP="000C25E6">
            <w:pPr>
              <w:pStyle w:val="naiskr"/>
              <w:spacing w:before="0" w:after="0"/>
              <w:jc w:val="both"/>
              <w:rPr>
                <w:iCs/>
                <w:sz w:val="28"/>
                <w:szCs w:val="28"/>
              </w:rPr>
            </w:pPr>
          </w:p>
        </w:tc>
      </w:tr>
      <w:tr w:rsidR="00367F47" w:rsidRPr="00DF6E1A" w:rsidTr="00533AD1">
        <w:trPr>
          <w:trHeight w:val="523"/>
        </w:trPr>
        <w:tc>
          <w:tcPr>
            <w:tcW w:w="572" w:type="dxa"/>
          </w:tcPr>
          <w:p w:rsidR="00367F47" w:rsidRPr="00DF6E1A" w:rsidRDefault="00367F47" w:rsidP="00533AD1">
            <w:pPr>
              <w:pStyle w:val="naiskr"/>
              <w:spacing w:before="0" w:after="0"/>
              <w:rPr>
                <w:sz w:val="28"/>
                <w:szCs w:val="28"/>
              </w:rPr>
            </w:pPr>
            <w:r w:rsidRPr="00DF6E1A">
              <w:rPr>
                <w:sz w:val="28"/>
                <w:szCs w:val="28"/>
              </w:rPr>
              <w:t>2.</w:t>
            </w:r>
          </w:p>
        </w:tc>
        <w:tc>
          <w:tcPr>
            <w:tcW w:w="3119" w:type="dxa"/>
          </w:tcPr>
          <w:p w:rsidR="00367F47" w:rsidRPr="00DF6E1A" w:rsidRDefault="00367F47" w:rsidP="00533AD1">
            <w:pPr>
              <w:pStyle w:val="naiskr"/>
              <w:spacing w:before="0" w:after="0"/>
              <w:rPr>
                <w:sz w:val="28"/>
                <w:szCs w:val="28"/>
              </w:rPr>
            </w:pPr>
            <w:r w:rsidRPr="00DF6E1A">
              <w:rPr>
                <w:sz w:val="28"/>
                <w:szCs w:val="28"/>
              </w:rPr>
              <w:t>Citas sabiedrības grupas (bez mērķgrupas), kuras tiesiskais regulējums arī ietekmē vai varētu ietekmēt</w:t>
            </w:r>
          </w:p>
        </w:tc>
        <w:tc>
          <w:tcPr>
            <w:tcW w:w="6067" w:type="dxa"/>
          </w:tcPr>
          <w:p w:rsidR="00367F47" w:rsidRPr="00DF6E1A" w:rsidRDefault="00367F47" w:rsidP="00533AD1">
            <w:pPr>
              <w:jc w:val="both"/>
              <w:rPr>
                <w:sz w:val="28"/>
                <w:szCs w:val="28"/>
              </w:rPr>
            </w:pPr>
            <w:r w:rsidRPr="00DF6E1A">
              <w:rPr>
                <w:sz w:val="28"/>
                <w:szCs w:val="28"/>
              </w:rPr>
              <w:t>Nav attiecināms</w:t>
            </w:r>
          </w:p>
          <w:p w:rsidR="00367F47" w:rsidRPr="00DF6E1A" w:rsidRDefault="00367F47" w:rsidP="00533AD1">
            <w:pPr>
              <w:pStyle w:val="naiskr"/>
              <w:spacing w:before="0" w:after="0"/>
              <w:ind w:left="57" w:firstLine="720"/>
              <w:jc w:val="both"/>
              <w:rPr>
                <w:sz w:val="28"/>
                <w:szCs w:val="28"/>
              </w:rPr>
            </w:pPr>
          </w:p>
        </w:tc>
      </w:tr>
      <w:tr w:rsidR="00367F47" w:rsidRPr="00DF6E1A" w:rsidTr="00533AD1">
        <w:trPr>
          <w:trHeight w:val="517"/>
        </w:trPr>
        <w:tc>
          <w:tcPr>
            <w:tcW w:w="572" w:type="dxa"/>
          </w:tcPr>
          <w:p w:rsidR="00367F47" w:rsidRPr="00DF6E1A" w:rsidRDefault="00367F47" w:rsidP="00533AD1">
            <w:pPr>
              <w:pStyle w:val="naiskr"/>
              <w:spacing w:before="0" w:after="0"/>
              <w:rPr>
                <w:sz w:val="28"/>
                <w:szCs w:val="28"/>
              </w:rPr>
            </w:pPr>
            <w:r w:rsidRPr="00DF6E1A">
              <w:rPr>
                <w:sz w:val="28"/>
                <w:szCs w:val="28"/>
              </w:rPr>
              <w:t>3.</w:t>
            </w:r>
          </w:p>
        </w:tc>
        <w:tc>
          <w:tcPr>
            <w:tcW w:w="3119" w:type="dxa"/>
          </w:tcPr>
          <w:p w:rsidR="00367F47" w:rsidRPr="00DF6E1A" w:rsidRDefault="00367F47" w:rsidP="00533AD1">
            <w:pPr>
              <w:pStyle w:val="naiskr"/>
              <w:spacing w:before="0" w:after="0"/>
              <w:rPr>
                <w:sz w:val="28"/>
                <w:szCs w:val="28"/>
              </w:rPr>
            </w:pPr>
            <w:r w:rsidRPr="00DF6E1A">
              <w:rPr>
                <w:sz w:val="28"/>
                <w:szCs w:val="28"/>
              </w:rPr>
              <w:t>Tiesiskā regulējuma finansiālā ietekme</w:t>
            </w:r>
          </w:p>
        </w:tc>
        <w:tc>
          <w:tcPr>
            <w:tcW w:w="6067" w:type="dxa"/>
          </w:tcPr>
          <w:p w:rsidR="00D36D0D" w:rsidRDefault="00367F47" w:rsidP="000F0D5A">
            <w:pPr>
              <w:pStyle w:val="naiskr"/>
              <w:spacing w:before="0" w:after="0"/>
              <w:ind w:left="57"/>
              <w:jc w:val="both"/>
              <w:rPr>
                <w:sz w:val="28"/>
                <w:szCs w:val="28"/>
              </w:rPr>
            </w:pPr>
            <w:r w:rsidRPr="00DF6E1A">
              <w:rPr>
                <w:sz w:val="28"/>
                <w:szCs w:val="28"/>
              </w:rPr>
              <w:t>Ņemot vērā iepriekš minēto, paredzama ietekme uz valsts budžetu. Tiesību akta projekta ietekme uz valsts un pašvaldību budžetiem atspoguļota anotācijas III sadaļā.</w:t>
            </w:r>
          </w:p>
          <w:p w:rsidR="002566E2" w:rsidRPr="00DF6E1A" w:rsidRDefault="002566E2" w:rsidP="000F0D5A">
            <w:pPr>
              <w:pStyle w:val="naiskr"/>
              <w:spacing w:before="0" w:after="0"/>
              <w:ind w:left="57"/>
              <w:jc w:val="both"/>
              <w:rPr>
                <w:sz w:val="28"/>
                <w:szCs w:val="28"/>
              </w:rPr>
            </w:pPr>
          </w:p>
        </w:tc>
      </w:tr>
      <w:tr w:rsidR="00367F47" w:rsidRPr="00DF6E1A" w:rsidTr="00533AD1">
        <w:trPr>
          <w:trHeight w:val="517"/>
        </w:trPr>
        <w:tc>
          <w:tcPr>
            <w:tcW w:w="572" w:type="dxa"/>
          </w:tcPr>
          <w:p w:rsidR="00367F47" w:rsidRPr="00DF6E1A" w:rsidRDefault="00367F47" w:rsidP="00533AD1">
            <w:pPr>
              <w:pStyle w:val="naiskr"/>
              <w:spacing w:before="0" w:after="0"/>
              <w:rPr>
                <w:sz w:val="28"/>
                <w:szCs w:val="28"/>
              </w:rPr>
            </w:pPr>
            <w:r w:rsidRPr="00DF6E1A">
              <w:rPr>
                <w:sz w:val="28"/>
                <w:szCs w:val="28"/>
              </w:rPr>
              <w:t>4.</w:t>
            </w:r>
          </w:p>
        </w:tc>
        <w:tc>
          <w:tcPr>
            <w:tcW w:w="3119" w:type="dxa"/>
          </w:tcPr>
          <w:p w:rsidR="00367F47" w:rsidRPr="00DF6E1A" w:rsidRDefault="00367F47" w:rsidP="00533AD1">
            <w:pPr>
              <w:pStyle w:val="naiskr"/>
              <w:spacing w:before="0" w:after="0"/>
              <w:rPr>
                <w:sz w:val="28"/>
                <w:szCs w:val="28"/>
              </w:rPr>
            </w:pPr>
            <w:r w:rsidRPr="00DF6E1A">
              <w:rPr>
                <w:sz w:val="28"/>
                <w:szCs w:val="28"/>
              </w:rPr>
              <w:t>Tiesiskā regulējuma nefinansiālā ietekme</w:t>
            </w:r>
          </w:p>
        </w:tc>
        <w:tc>
          <w:tcPr>
            <w:tcW w:w="6067" w:type="dxa"/>
          </w:tcPr>
          <w:p w:rsidR="00367F47" w:rsidRPr="00DF6E1A" w:rsidRDefault="00367F47" w:rsidP="00533AD1">
            <w:pPr>
              <w:jc w:val="both"/>
              <w:rPr>
                <w:sz w:val="28"/>
                <w:szCs w:val="28"/>
              </w:rPr>
            </w:pPr>
            <w:r w:rsidRPr="00DF6E1A">
              <w:rPr>
                <w:sz w:val="28"/>
                <w:szCs w:val="28"/>
              </w:rPr>
              <w:t xml:space="preserve">Likumprojektā ietvertie grozījumi vērsti uz tiesas procesa </w:t>
            </w:r>
            <w:proofErr w:type="spellStart"/>
            <w:r w:rsidRPr="00DF6E1A">
              <w:rPr>
                <w:sz w:val="28"/>
                <w:szCs w:val="28"/>
              </w:rPr>
              <w:t>efektivizēšanu</w:t>
            </w:r>
            <w:proofErr w:type="spellEnd"/>
            <w:r w:rsidRPr="00DF6E1A">
              <w:rPr>
                <w:sz w:val="28"/>
                <w:szCs w:val="28"/>
              </w:rPr>
              <w:t xml:space="preserve"> un procesuālās ekonomijas sekmēšanu (</w:t>
            </w:r>
            <w:proofErr w:type="spellStart"/>
            <w:r w:rsidRPr="00DF6E1A">
              <w:rPr>
                <w:sz w:val="28"/>
                <w:szCs w:val="28"/>
              </w:rPr>
              <w:t>citastarp</w:t>
            </w:r>
            <w:proofErr w:type="spellEnd"/>
            <w:r w:rsidRPr="00DF6E1A">
              <w:rPr>
                <w:sz w:val="28"/>
                <w:szCs w:val="28"/>
              </w:rPr>
              <w:t xml:space="preserve"> samazinot lietu izskatīšanas termiņus un tiesu noslodzi), kā arī tiesas pienācīgas darbības nodrošināšanu. Tāpat atzīstams, ka likumprojektā ietvertās normas veicinātu to personu interešu aizsardzību, kuras varētu tikt aizskartas bezmērķīgas tiesāšanās rezultātā.</w:t>
            </w:r>
            <w:r w:rsidRPr="00DF6E1A">
              <w:rPr>
                <w:iCs/>
                <w:sz w:val="28"/>
                <w:szCs w:val="28"/>
              </w:rPr>
              <w:t xml:space="preserve"> </w:t>
            </w:r>
            <w:r w:rsidRPr="00DF6E1A">
              <w:rPr>
                <w:sz w:val="28"/>
                <w:szCs w:val="28"/>
              </w:rPr>
              <w:t>Tādējādi likumprojektā paredzētā grozījuma kopējais labums jeb labums, ko iegūtu sabiedrība, ir ievērojami lielāks nekā varbūtējais indivīda interešu ierobežojums.</w:t>
            </w:r>
          </w:p>
          <w:p w:rsidR="00367F47" w:rsidRPr="00DF6E1A" w:rsidRDefault="00367F47" w:rsidP="00533AD1">
            <w:pPr>
              <w:jc w:val="both"/>
              <w:rPr>
                <w:sz w:val="28"/>
                <w:szCs w:val="28"/>
              </w:rPr>
            </w:pPr>
            <w:r w:rsidRPr="00DF6E1A">
              <w:rPr>
                <w:sz w:val="28"/>
                <w:szCs w:val="28"/>
              </w:rPr>
              <w:t>Tāpat tiesu darbinieku atalgojuma palielinājums uzlabos tiesvedības kvalitāti un tiesu darbiniekiem būs lielāka motivācija uzticēto pienākumu kvalitatīvai izpildei.</w:t>
            </w:r>
          </w:p>
          <w:p w:rsidR="00D36D0D" w:rsidRDefault="00367F47" w:rsidP="00B96743">
            <w:pPr>
              <w:jc w:val="both"/>
              <w:rPr>
                <w:iCs/>
                <w:sz w:val="28"/>
                <w:szCs w:val="28"/>
              </w:rPr>
            </w:pPr>
            <w:r w:rsidRPr="00DF6E1A">
              <w:rPr>
                <w:sz w:val="28"/>
                <w:szCs w:val="28"/>
              </w:rPr>
              <w:t>Tāpat Valsts tiesu ekspertīžu biroja</w:t>
            </w:r>
            <w:r w:rsidRPr="00DF6E1A">
              <w:rPr>
                <w:iCs/>
                <w:sz w:val="28"/>
                <w:szCs w:val="28"/>
              </w:rPr>
              <w:t xml:space="preserve"> kapacitātes paaugstināšana paātrinās tiesu ekspertīžu veikšanu, tādējādi arī tiks paātrināta tiesvedība kopumā.</w:t>
            </w:r>
          </w:p>
          <w:p w:rsidR="002566E2" w:rsidRPr="00DF6E1A" w:rsidRDefault="002566E2" w:rsidP="00B96743">
            <w:pPr>
              <w:jc w:val="both"/>
              <w:rPr>
                <w:iCs/>
                <w:sz w:val="28"/>
                <w:szCs w:val="28"/>
              </w:rPr>
            </w:pPr>
          </w:p>
        </w:tc>
      </w:tr>
      <w:tr w:rsidR="00367F47" w:rsidRPr="00DF6E1A" w:rsidTr="00533AD1">
        <w:trPr>
          <w:trHeight w:val="531"/>
        </w:trPr>
        <w:tc>
          <w:tcPr>
            <w:tcW w:w="572" w:type="dxa"/>
          </w:tcPr>
          <w:p w:rsidR="00367F47" w:rsidRPr="00DF6E1A" w:rsidRDefault="00367F47" w:rsidP="00533AD1">
            <w:pPr>
              <w:pStyle w:val="naiskr"/>
              <w:spacing w:before="0" w:after="0"/>
              <w:rPr>
                <w:sz w:val="28"/>
                <w:szCs w:val="28"/>
              </w:rPr>
            </w:pPr>
            <w:r w:rsidRPr="00DF6E1A">
              <w:rPr>
                <w:sz w:val="28"/>
                <w:szCs w:val="28"/>
              </w:rPr>
              <w:t>5.</w:t>
            </w:r>
          </w:p>
        </w:tc>
        <w:tc>
          <w:tcPr>
            <w:tcW w:w="3119" w:type="dxa"/>
          </w:tcPr>
          <w:p w:rsidR="00367F47" w:rsidRPr="00DF6E1A" w:rsidRDefault="00367F47" w:rsidP="00533AD1">
            <w:pPr>
              <w:pStyle w:val="naiskr"/>
              <w:spacing w:before="0" w:after="0"/>
              <w:rPr>
                <w:sz w:val="28"/>
                <w:szCs w:val="28"/>
              </w:rPr>
            </w:pPr>
            <w:r w:rsidRPr="00DF6E1A">
              <w:rPr>
                <w:sz w:val="28"/>
                <w:szCs w:val="28"/>
              </w:rPr>
              <w:t>Administratīvās procedūras raksturojums</w:t>
            </w:r>
          </w:p>
        </w:tc>
        <w:tc>
          <w:tcPr>
            <w:tcW w:w="6067" w:type="dxa"/>
          </w:tcPr>
          <w:p w:rsidR="00367F47" w:rsidRPr="00DF6E1A" w:rsidRDefault="00367F47" w:rsidP="00533AD1">
            <w:pPr>
              <w:pStyle w:val="naiskr"/>
              <w:spacing w:before="0" w:after="0"/>
              <w:jc w:val="both"/>
              <w:rPr>
                <w:sz w:val="28"/>
                <w:szCs w:val="28"/>
              </w:rPr>
            </w:pPr>
            <w:r w:rsidRPr="00DF6E1A">
              <w:rPr>
                <w:sz w:val="28"/>
                <w:szCs w:val="28"/>
              </w:rPr>
              <w:t>Projekts šo jomu neskar</w:t>
            </w:r>
          </w:p>
        </w:tc>
      </w:tr>
      <w:tr w:rsidR="00367F47" w:rsidRPr="00DF6E1A" w:rsidTr="00533AD1">
        <w:trPr>
          <w:trHeight w:val="357"/>
        </w:trPr>
        <w:tc>
          <w:tcPr>
            <w:tcW w:w="572" w:type="dxa"/>
          </w:tcPr>
          <w:p w:rsidR="00367F47" w:rsidRPr="00DF6E1A" w:rsidRDefault="00367F47" w:rsidP="00533AD1">
            <w:pPr>
              <w:pStyle w:val="naiskr"/>
              <w:spacing w:before="0" w:after="0"/>
              <w:rPr>
                <w:sz w:val="28"/>
                <w:szCs w:val="28"/>
              </w:rPr>
            </w:pPr>
            <w:r w:rsidRPr="00DF6E1A">
              <w:rPr>
                <w:sz w:val="28"/>
                <w:szCs w:val="28"/>
              </w:rPr>
              <w:t>6.</w:t>
            </w:r>
          </w:p>
        </w:tc>
        <w:tc>
          <w:tcPr>
            <w:tcW w:w="3119" w:type="dxa"/>
          </w:tcPr>
          <w:p w:rsidR="00367F47" w:rsidRPr="00DF6E1A" w:rsidRDefault="00367F47" w:rsidP="00533AD1">
            <w:pPr>
              <w:pStyle w:val="naiskr"/>
              <w:spacing w:before="0" w:after="0"/>
              <w:rPr>
                <w:sz w:val="28"/>
                <w:szCs w:val="28"/>
              </w:rPr>
            </w:pPr>
            <w:r w:rsidRPr="00DF6E1A">
              <w:rPr>
                <w:sz w:val="28"/>
                <w:szCs w:val="28"/>
              </w:rPr>
              <w:t>Administratīvo izmaksu monetārs novērtējums</w:t>
            </w:r>
          </w:p>
        </w:tc>
        <w:tc>
          <w:tcPr>
            <w:tcW w:w="6067" w:type="dxa"/>
          </w:tcPr>
          <w:p w:rsidR="00367F47" w:rsidRPr="00DF6E1A" w:rsidRDefault="00367F47" w:rsidP="00533AD1">
            <w:pPr>
              <w:pStyle w:val="naiskr"/>
              <w:spacing w:before="0" w:after="0"/>
              <w:rPr>
                <w:sz w:val="28"/>
                <w:szCs w:val="28"/>
              </w:rPr>
            </w:pPr>
            <w:r w:rsidRPr="00DF6E1A">
              <w:rPr>
                <w:iCs/>
                <w:sz w:val="28"/>
                <w:szCs w:val="28"/>
              </w:rPr>
              <w:t>Projekts šo jomu neskar</w:t>
            </w:r>
          </w:p>
        </w:tc>
      </w:tr>
      <w:tr w:rsidR="00367F47" w:rsidRPr="00DF6E1A" w:rsidTr="00533AD1">
        <w:tc>
          <w:tcPr>
            <w:tcW w:w="572" w:type="dxa"/>
          </w:tcPr>
          <w:p w:rsidR="00367F47" w:rsidRPr="00DF6E1A" w:rsidRDefault="00367F47" w:rsidP="00533AD1">
            <w:pPr>
              <w:pStyle w:val="naiskr"/>
              <w:spacing w:before="0" w:after="0"/>
              <w:rPr>
                <w:sz w:val="28"/>
                <w:szCs w:val="28"/>
              </w:rPr>
            </w:pPr>
            <w:r w:rsidRPr="00DF6E1A">
              <w:rPr>
                <w:sz w:val="28"/>
                <w:szCs w:val="28"/>
              </w:rPr>
              <w:t>7.</w:t>
            </w:r>
          </w:p>
        </w:tc>
        <w:tc>
          <w:tcPr>
            <w:tcW w:w="3119" w:type="dxa"/>
          </w:tcPr>
          <w:p w:rsidR="00367F47" w:rsidRPr="00DF6E1A" w:rsidRDefault="00367F47" w:rsidP="00533AD1">
            <w:pPr>
              <w:pStyle w:val="naiskr"/>
              <w:spacing w:before="0" w:after="0"/>
              <w:rPr>
                <w:sz w:val="28"/>
                <w:szCs w:val="28"/>
              </w:rPr>
            </w:pPr>
            <w:r w:rsidRPr="00DF6E1A">
              <w:rPr>
                <w:sz w:val="28"/>
                <w:szCs w:val="28"/>
              </w:rPr>
              <w:t>Cita informācija</w:t>
            </w:r>
          </w:p>
        </w:tc>
        <w:tc>
          <w:tcPr>
            <w:tcW w:w="6067" w:type="dxa"/>
          </w:tcPr>
          <w:p w:rsidR="00367F47" w:rsidRPr="00DF6E1A" w:rsidRDefault="00367F47" w:rsidP="00533AD1">
            <w:pPr>
              <w:pStyle w:val="naiskr"/>
              <w:spacing w:before="0" w:after="0"/>
              <w:rPr>
                <w:sz w:val="28"/>
                <w:szCs w:val="28"/>
              </w:rPr>
            </w:pPr>
            <w:r w:rsidRPr="00DF6E1A">
              <w:rPr>
                <w:sz w:val="28"/>
                <w:szCs w:val="28"/>
              </w:rPr>
              <w:t>Nav</w:t>
            </w:r>
          </w:p>
        </w:tc>
      </w:tr>
    </w:tbl>
    <w:p w:rsidR="00D36D0D" w:rsidRDefault="00D36D0D" w:rsidP="00367F47">
      <w:pPr>
        <w:pStyle w:val="naiskr"/>
        <w:tabs>
          <w:tab w:val="left" w:pos="2628"/>
        </w:tabs>
        <w:spacing w:before="0" w:after="0"/>
        <w:rPr>
          <w:i/>
          <w:sz w:val="28"/>
          <w:szCs w:val="28"/>
          <w:highlight w:val="yellow"/>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1331"/>
        <w:gridCol w:w="1354"/>
        <w:gridCol w:w="1354"/>
        <w:gridCol w:w="1355"/>
        <w:gridCol w:w="1406"/>
      </w:tblGrid>
      <w:tr w:rsidR="00367F47" w:rsidRPr="00DF6E1A" w:rsidTr="00533AD1">
        <w:trPr>
          <w:trHeight w:val="652"/>
          <w:jc w:val="center"/>
        </w:trPr>
        <w:tc>
          <w:tcPr>
            <w:tcW w:w="10124" w:type="dxa"/>
            <w:gridSpan w:val="6"/>
          </w:tcPr>
          <w:p w:rsidR="00367F47" w:rsidRPr="00DF6E1A" w:rsidRDefault="00367F47" w:rsidP="00533AD1">
            <w:pPr>
              <w:pStyle w:val="naisnod"/>
              <w:spacing w:before="0" w:after="0"/>
              <w:rPr>
                <w:i/>
                <w:sz w:val="28"/>
                <w:szCs w:val="28"/>
              </w:rPr>
            </w:pPr>
            <w:r w:rsidRPr="00DF6E1A">
              <w:rPr>
                <w:sz w:val="28"/>
                <w:szCs w:val="28"/>
              </w:rPr>
              <w:br w:type="page"/>
              <w:t>III. Tiesību akta projekta ietekme uz valsts budžetu un pašvaldību budžetiem</w:t>
            </w:r>
          </w:p>
        </w:tc>
      </w:tr>
      <w:tr w:rsidR="00367F47" w:rsidRPr="007C0F2C" w:rsidTr="00533AD1">
        <w:trPr>
          <w:jc w:val="center"/>
        </w:trPr>
        <w:tc>
          <w:tcPr>
            <w:tcW w:w="3324" w:type="dxa"/>
            <w:vMerge w:val="restart"/>
            <w:vAlign w:val="center"/>
          </w:tcPr>
          <w:p w:rsidR="00367F47" w:rsidRPr="007C0F2C" w:rsidRDefault="00367F47" w:rsidP="00533AD1">
            <w:pPr>
              <w:pStyle w:val="naisf"/>
              <w:spacing w:before="0" w:after="0"/>
              <w:ind w:firstLine="0"/>
              <w:jc w:val="center"/>
              <w:rPr>
                <w:b/>
              </w:rPr>
            </w:pPr>
            <w:r w:rsidRPr="007C0F2C">
              <w:rPr>
                <w:b/>
                <w:sz w:val="22"/>
                <w:szCs w:val="22"/>
              </w:rPr>
              <w:t>Rādītāji</w:t>
            </w:r>
          </w:p>
        </w:tc>
        <w:tc>
          <w:tcPr>
            <w:tcW w:w="2685" w:type="dxa"/>
            <w:gridSpan w:val="2"/>
            <w:vMerge w:val="restart"/>
            <w:vAlign w:val="center"/>
          </w:tcPr>
          <w:p w:rsidR="00367F47" w:rsidRPr="007C0F2C" w:rsidRDefault="00367F47" w:rsidP="00533AD1">
            <w:pPr>
              <w:pStyle w:val="naisf"/>
              <w:spacing w:before="0" w:after="0"/>
              <w:ind w:firstLine="0"/>
              <w:jc w:val="center"/>
              <w:rPr>
                <w:b/>
              </w:rPr>
            </w:pPr>
            <w:r>
              <w:rPr>
                <w:b/>
                <w:sz w:val="22"/>
                <w:szCs w:val="22"/>
              </w:rPr>
              <w:t>2012</w:t>
            </w:r>
          </w:p>
        </w:tc>
        <w:tc>
          <w:tcPr>
            <w:tcW w:w="4115" w:type="dxa"/>
            <w:gridSpan w:val="3"/>
            <w:vAlign w:val="center"/>
          </w:tcPr>
          <w:p w:rsidR="00367F47" w:rsidRPr="007C0F2C" w:rsidRDefault="00367F47" w:rsidP="00533AD1">
            <w:pPr>
              <w:pStyle w:val="naisf"/>
              <w:spacing w:before="0" w:after="0"/>
              <w:ind w:firstLine="0"/>
              <w:jc w:val="center"/>
              <w:rPr>
                <w:b/>
                <w:i/>
              </w:rPr>
            </w:pPr>
            <w:r w:rsidRPr="007C0F2C">
              <w:rPr>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7C0F2C">
                <w:rPr>
                  <w:sz w:val="22"/>
                  <w:szCs w:val="22"/>
                </w:rPr>
                <w:t>. latu</w:t>
              </w:r>
            </w:smartTag>
            <w:r w:rsidRPr="007C0F2C">
              <w:rPr>
                <w:sz w:val="22"/>
                <w:szCs w:val="22"/>
              </w:rPr>
              <w:t>)</w:t>
            </w:r>
          </w:p>
        </w:tc>
      </w:tr>
      <w:tr w:rsidR="00367F47" w:rsidRPr="007C0F2C" w:rsidTr="00533AD1">
        <w:trPr>
          <w:jc w:val="center"/>
        </w:trPr>
        <w:tc>
          <w:tcPr>
            <w:tcW w:w="3324" w:type="dxa"/>
            <w:vMerge/>
            <w:vAlign w:val="center"/>
          </w:tcPr>
          <w:p w:rsidR="00367F47" w:rsidRPr="007C0F2C" w:rsidRDefault="00367F47" w:rsidP="00533AD1">
            <w:pPr>
              <w:pStyle w:val="naisf"/>
              <w:spacing w:before="0" w:after="0"/>
              <w:ind w:firstLine="0"/>
              <w:jc w:val="center"/>
              <w:rPr>
                <w:b/>
                <w:i/>
              </w:rPr>
            </w:pPr>
          </w:p>
        </w:tc>
        <w:tc>
          <w:tcPr>
            <w:tcW w:w="2685" w:type="dxa"/>
            <w:gridSpan w:val="2"/>
            <w:vMerge/>
            <w:vAlign w:val="center"/>
          </w:tcPr>
          <w:p w:rsidR="00367F47" w:rsidRPr="007C0F2C" w:rsidRDefault="00367F47" w:rsidP="00533AD1">
            <w:pPr>
              <w:pStyle w:val="naisf"/>
              <w:spacing w:before="0" w:after="0"/>
              <w:ind w:firstLine="0"/>
              <w:jc w:val="center"/>
              <w:rPr>
                <w:b/>
                <w:i/>
              </w:rPr>
            </w:pPr>
          </w:p>
        </w:tc>
        <w:tc>
          <w:tcPr>
            <w:tcW w:w="1354" w:type="dxa"/>
            <w:vAlign w:val="center"/>
          </w:tcPr>
          <w:p w:rsidR="00367F47" w:rsidRPr="007C0F2C" w:rsidRDefault="00367F47" w:rsidP="00533AD1">
            <w:pPr>
              <w:pStyle w:val="naisf"/>
              <w:spacing w:before="0" w:after="0"/>
              <w:ind w:firstLine="0"/>
              <w:jc w:val="center"/>
              <w:rPr>
                <w:b/>
                <w:i/>
              </w:rPr>
            </w:pPr>
            <w:r>
              <w:rPr>
                <w:b/>
                <w:bCs/>
                <w:sz w:val="22"/>
                <w:szCs w:val="22"/>
              </w:rPr>
              <w:t>2013</w:t>
            </w:r>
          </w:p>
        </w:tc>
        <w:tc>
          <w:tcPr>
            <w:tcW w:w="1355" w:type="dxa"/>
            <w:vAlign w:val="center"/>
          </w:tcPr>
          <w:p w:rsidR="00367F47" w:rsidRPr="007C0F2C" w:rsidRDefault="00367F47" w:rsidP="00533AD1">
            <w:pPr>
              <w:pStyle w:val="naisf"/>
              <w:spacing w:before="0" w:after="0"/>
              <w:ind w:firstLine="0"/>
              <w:jc w:val="center"/>
              <w:rPr>
                <w:b/>
                <w:i/>
              </w:rPr>
            </w:pPr>
            <w:r>
              <w:rPr>
                <w:b/>
                <w:bCs/>
                <w:sz w:val="22"/>
                <w:szCs w:val="22"/>
              </w:rPr>
              <w:t>2014</w:t>
            </w:r>
          </w:p>
        </w:tc>
        <w:tc>
          <w:tcPr>
            <w:tcW w:w="1406" w:type="dxa"/>
            <w:vAlign w:val="center"/>
          </w:tcPr>
          <w:p w:rsidR="00367F47" w:rsidRPr="007C0F2C" w:rsidRDefault="00367F47" w:rsidP="00533AD1">
            <w:pPr>
              <w:pStyle w:val="naisf"/>
              <w:spacing w:before="0" w:after="0"/>
              <w:ind w:firstLine="0"/>
              <w:jc w:val="center"/>
              <w:rPr>
                <w:b/>
                <w:i/>
              </w:rPr>
            </w:pPr>
            <w:r>
              <w:rPr>
                <w:b/>
                <w:bCs/>
                <w:sz w:val="22"/>
                <w:szCs w:val="22"/>
              </w:rPr>
              <w:t>2015</w:t>
            </w:r>
          </w:p>
        </w:tc>
      </w:tr>
      <w:tr w:rsidR="00367F47" w:rsidRPr="007C0F2C" w:rsidTr="00533AD1">
        <w:trPr>
          <w:jc w:val="center"/>
        </w:trPr>
        <w:tc>
          <w:tcPr>
            <w:tcW w:w="3324" w:type="dxa"/>
            <w:vMerge/>
            <w:vAlign w:val="center"/>
          </w:tcPr>
          <w:p w:rsidR="00367F47" w:rsidRPr="007C0F2C" w:rsidRDefault="00367F47" w:rsidP="00533AD1">
            <w:pPr>
              <w:pStyle w:val="naisf"/>
              <w:spacing w:before="0" w:after="0"/>
              <w:ind w:firstLine="0"/>
              <w:jc w:val="center"/>
              <w:rPr>
                <w:b/>
                <w:i/>
              </w:rPr>
            </w:pPr>
          </w:p>
        </w:tc>
        <w:tc>
          <w:tcPr>
            <w:tcW w:w="1331" w:type="dxa"/>
            <w:vAlign w:val="center"/>
          </w:tcPr>
          <w:p w:rsidR="00367F47" w:rsidRPr="007C0F2C" w:rsidRDefault="00367F47" w:rsidP="00533AD1">
            <w:pPr>
              <w:pStyle w:val="naisf"/>
              <w:spacing w:before="0" w:after="0"/>
              <w:ind w:firstLine="0"/>
              <w:jc w:val="center"/>
              <w:rPr>
                <w:b/>
                <w:i/>
              </w:rPr>
            </w:pPr>
            <w:r w:rsidRPr="007C0F2C">
              <w:rPr>
                <w:sz w:val="22"/>
                <w:szCs w:val="22"/>
              </w:rPr>
              <w:t>Saskaņā ar valsts budžetu kārtējam gadam</w:t>
            </w:r>
          </w:p>
        </w:tc>
        <w:tc>
          <w:tcPr>
            <w:tcW w:w="1354" w:type="dxa"/>
            <w:vAlign w:val="center"/>
          </w:tcPr>
          <w:p w:rsidR="00367F47" w:rsidRPr="007C0F2C" w:rsidRDefault="00367F47" w:rsidP="00533AD1">
            <w:pPr>
              <w:pStyle w:val="naisf"/>
              <w:spacing w:before="0" w:after="0"/>
              <w:ind w:firstLine="0"/>
              <w:jc w:val="center"/>
              <w:rPr>
                <w:b/>
                <w:i/>
              </w:rPr>
            </w:pPr>
            <w:r w:rsidRPr="007C0F2C">
              <w:rPr>
                <w:sz w:val="22"/>
                <w:szCs w:val="22"/>
              </w:rPr>
              <w:t>Izmaiņas kārtējā gadā, salīdzinot ar budžetu kārtējam gadam</w:t>
            </w:r>
          </w:p>
        </w:tc>
        <w:tc>
          <w:tcPr>
            <w:tcW w:w="1354" w:type="dxa"/>
            <w:vAlign w:val="center"/>
          </w:tcPr>
          <w:p w:rsidR="00367F47" w:rsidRPr="007C0F2C" w:rsidRDefault="00367F47" w:rsidP="00533AD1">
            <w:pPr>
              <w:pStyle w:val="naisf"/>
              <w:spacing w:before="0" w:after="0"/>
              <w:ind w:firstLine="0"/>
              <w:jc w:val="center"/>
              <w:rPr>
                <w:b/>
                <w:i/>
              </w:rPr>
            </w:pPr>
            <w:r w:rsidRPr="007C0F2C">
              <w:rPr>
                <w:sz w:val="22"/>
                <w:szCs w:val="22"/>
              </w:rPr>
              <w:t>Izmaiņas, salīdzinot ar kārtējo (n) gadu</w:t>
            </w:r>
          </w:p>
        </w:tc>
        <w:tc>
          <w:tcPr>
            <w:tcW w:w="1355" w:type="dxa"/>
            <w:vAlign w:val="center"/>
          </w:tcPr>
          <w:p w:rsidR="00367F47" w:rsidRPr="007C0F2C" w:rsidRDefault="00367F47" w:rsidP="00533AD1">
            <w:pPr>
              <w:pStyle w:val="naisf"/>
              <w:spacing w:before="0" w:after="0"/>
              <w:ind w:firstLine="0"/>
              <w:jc w:val="center"/>
              <w:rPr>
                <w:b/>
                <w:i/>
              </w:rPr>
            </w:pPr>
            <w:r w:rsidRPr="007C0F2C">
              <w:rPr>
                <w:sz w:val="22"/>
                <w:szCs w:val="22"/>
              </w:rPr>
              <w:t>Izmaiņas, salīdzinot ar kārtējo (n) gadu</w:t>
            </w:r>
          </w:p>
        </w:tc>
        <w:tc>
          <w:tcPr>
            <w:tcW w:w="1406" w:type="dxa"/>
            <w:vAlign w:val="center"/>
          </w:tcPr>
          <w:p w:rsidR="00367F47" w:rsidRPr="007C0F2C" w:rsidRDefault="00367F47" w:rsidP="00533AD1">
            <w:pPr>
              <w:pStyle w:val="naisf"/>
              <w:spacing w:before="0" w:after="0"/>
              <w:ind w:firstLine="0"/>
              <w:jc w:val="center"/>
              <w:rPr>
                <w:b/>
                <w:i/>
              </w:rPr>
            </w:pPr>
            <w:r w:rsidRPr="007C0F2C">
              <w:rPr>
                <w:sz w:val="22"/>
                <w:szCs w:val="22"/>
              </w:rPr>
              <w:t>Izmaiņas, salīdzinot ar kārtējo (n) gadu</w:t>
            </w:r>
          </w:p>
        </w:tc>
      </w:tr>
      <w:tr w:rsidR="00367F47" w:rsidRPr="007C0F2C" w:rsidTr="00533AD1">
        <w:trPr>
          <w:jc w:val="center"/>
        </w:trPr>
        <w:tc>
          <w:tcPr>
            <w:tcW w:w="3324" w:type="dxa"/>
            <w:vAlign w:val="center"/>
          </w:tcPr>
          <w:p w:rsidR="00367F47" w:rsidRPr="007C0F2C" w:rsidRDefault="00367F47" w:rsidP="00533AD1">
            <w:pPr>
              <w:pStyle w:val="naisf"/>
              <w:spacing w:before="0" w:after="0"/>
              <w:ind w:firstLine="0"/>
              <w:jc w:val="center"/>
              <w:rPr>
                <w:bCs/>
              </w:rPr>
            </w:pPr>
            <w:r w:rsidRPr="007C0F2C">
              <w:rPr>
                <w:bCs/>
                <w:sz w:val="22"/>
                <w:szCs w:val="22"/>
              </w:rPr>
              <w:t>1</w:t>
            </w:r>
          </w:p>
        </w:tc>
        <w:tc>
          <w:tcPr>
            <w:tcW w:w="1331" w:type="dxa"/>
            <w:vAlign w:val="center"/>
          </w:tcPr>
          <w:p w:rsidR="00367F47" w:rsidRPr="007C0F2C" w:rsidRDefault="00367F47" w:rsidP="00533AD1">
            <w:pPr>
              <w:pStyle w:val="naisf"/>
              <w:spacing w:before="0" w:after="0"/>
              <w:ind w:firstLine="0"/>
              <w:jc w:val="center"/>
              <w:rPr>
                <w:bCs/>
              </w:rPr>
            </w:pPr>
            <w:r w:rsidRPr="007C0F2C">
              <w:rPr>
                <w:bCs/>
                <w:sz w:val="22"/>
                <w:szCs w:val="22"/>
              </w:rPr>
              <w:t>2</w:t>
            </w:r>
          </w:p>
        </w:tc>
        <w:tc>
          <w:tcPr>
            <w:tcW w:w="1354" w:type="dxa"/>
            <w:vAlign w:val="center"/>
          </w:tcPr>
          <w:p w:rsidR="00367F47" w:rsidRPr="007C0F2C" w:rsidRDefault="00367F47" w:rsidP="00533AD1">
            <w:pPr>
              <w:pStyle w:val="naisf"/>
              <w:spacing w:before="0" w:after="0"/>
              <w:ind w:firstLine="0"/>
              <w:jc w:val="center"/>
              <w:rPr>
                <w:bCs/>
              </w:rPr>
            </w:pPr>
            <w:r w:rsidRPr="007C0F2C">
              <w:rPr>
                <w:bCs/>
                <w:sz w:val="22"/>
                <w:szCs w:val="22"/>
              </w:rPr>
              <w:t>3</w:t>
            </w:r>
          </w:p>
        </w:tc>
        <w:tc>
          <w:tcPr>
            <w:tcW w:w="1354" w:type="dxa"/>
            <w:vAlign w:val="center"/>
          </w:tcPr>
          <w:p w:rsidR="00367F47" w:rsidRPr="007C0F2C" w:rsidRDefault="00367F47" w:rsidP="00533AD1">
            <w:pPr>
              <w:pStyle w:val="naisf"/>
              <w:spacing w:before="0" w:after="0"/>
              <w:ind w:firstLine="0"/>
              <w:jc w:val="center"/>
              <w:rPr>
                <w:bCs/>
              </w:rPr>
            </w:pPr>
            <w:r w:rsidRPr="007C0F2C">
              <w:rPr>
                <w:bCs/>
                <w:sz w:val="22"/>
                <w:szCs w:val="22"/>
              </w:rPr>
              <w:t>4</w:t>
            </w:r>
          </w:p>
        </w:tc>
        <w:tc>
          <w:tcPr>
            <w:tcW w:w="1355" w:type="dxa"/>
            <w:vAlign w:val="center"/>
          </w:tcPr>
          <w:p w:rsidR="00367F47" w:rsidRPr="007C0F2C" w:rsidRDefault="00367F47" w:rsidP="00533AD1">
            <w:pPr>
              <w:pStyle w:val="naisf"/>
              <w:spacing w:before="0" w:after="0"/>
              <w:ind w:firstLine="0"/>
              <w:jc w:val="center"/>
              <w:rPr>
                <w:bCs/>
              </w:rPr>
            </w:pPr>
            <w:r w:rsidRPr="007C0F2C">
              <w:rPr>
                <w:bCs/>
                <w:sz w:val="22"/>
                <w:szCs w:val="22"/>
              </w:rPr>
              <w:t>5</w:t>
            </w:r>
          </w:p>
        </w:tc>
        <w:tc>
          <w:tcPr>
            <w:tcW w:w="1406" w:type="dxa"/>
            <w:vAlign w:val="center"/>
          </w:tcPr>
          <w:p w:rsidR="00367F47" w:rsidRPr="007C0F2C" w:rsidRDefault="00367F47" w:rsidP="00533AD1">
            <w:pPr>
              <w:pStyle w:val="naisf"/>
              <w:spacing w:before="0" w:after="0"/>
              <w:ind w:firstLine="0"/>
              <w:jc w:val="center"/>
              <w:rPr>
                <w:bCs/>
              </w:rPr>
            </w:pPr>
            <w:r w:rsidRPr="007C0F2C">
              <w:rPr>
                <w:bCs/>
                <w:sz w:val="22"/>
                <w:szCs w:val="22"/>
              </w:rPr>
              <w:t>6</w:t>
            </w:r>
          </w:p>
        </w:tc>
      </w:tr>
      <w:tr w:rsidR="00367F47" w:rsidRPr="007C0F2C" w:rsidTr="00533AD1">
        <w:trPr>
          <w:jc w:val="center"/>
        </w:trPr>
        <w:tc>
          <w:tcPr>
            <w:tcW w:w="3324" w:type="dxa"/>
          </w:tcPr>
          <w:p w:rsidR="00367F47" w:rsidRPr="007C0F2C" w:rsidRDefault="00367F47" w:rsidP="00533AD1">
            <w:pPr>
              <w:pStyle w:val="naisf"/>
              <w:spacing w:before="0" w:after="0"/>
              <w:ind w:firstLine="0"/>
              <w:rPr>
                <w:i/>
              </w:rPr>
            </w:pPr>
            <w:r w:rsidRPr="007C0F2C">
              <w:rPr>
                <w:sz w:val="22"/>
                <w:szCs w:val="22"/>
              </w:rPr>
              <w:t>1. Budžeta ieņēmumi:</w:t>
            </w:r>
          </w:p>
        </w:tc>
        <w:tc>
          <w:tcPr>
            <w:tcW w:w="1331" w:type="dxa"/>
          </w:tcPr>
          <w:p w:rsidR="00367F47" w:rsidRPr="00A12AC3" w:rsidRDefault="00367F47" w:rsidP="00533AD1">
            <w:pPr>
              <w:pStyle w:val="naisf"/>
              <w:spacing w:before="0" w:after="0"/>
              <w:ind w:firstLine="0"/>
              <w:jc w:val="center"/>
            </w:pPr>
            <w:r w:rsidRPr="00A12AC3">
              <w:rPr>
                <w:sz w:val="22"/>
                <w:szCs w:val="22"/>
              </w:rPr>
              <w:t>2601,1</w:t>
            </w:r>
          </w:p>
        </w:tc>
        <w:tc>
          <w:tcPr>
            <w:tcW w:w="1354"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sidRPr="00A12AC3">
              <w:rPr>
                <w:sz w:val="22"/>
                <w:szCs w:val="22"/>
              </w:rPr>
              <w:t>1546,6</w:t>
            </w:r>
          </w:p>
        </w:tc>
        <w:tc>
          <w:tcPr>
            <w:tcW w:w="1355" w:type="dxa"/>
          </w:tcPr>
          <w:p w:rsidR="00367F47" w:rsidRPr="00A12AC3" w:rsidRDefault="00367F47" w:rsidP="00533AD1">
            <w:pPr>
              <w:pStyle w:val="naisf"/>
              <w:spacing w:before="0" w:after="0"/>
              <w:ind w:firstLine="0"/>
              <w:jc w:val="center"/>
            </w:pPr>
            <w:r w:rsidRPr="00A12AC3">
              <w:rPr>
                <w:sz w:val="22"/>
                <w:szCs w:val="22"/>
              </w:rPr>
              <w:t>1546,6</w:t>
            </w:r>
          </w:p>
        </w:tc>
        <w:tc>
          <w:tcPr>
            <w:tcW w:w="1406" w:type="dxa"/>
          </w:tcPr>
          <w:p w:rsidR="00367F47" w:rsidRPr="00A12AC3" w:rsidRDefault="00367F47" w:rsidP="00533AD1">
            <w:pPr>
              <w:pStyle w:val="naisf"/>
              <w:spacing w:before="0" w:after="0"/>
              <w:ind w:firstLine="0"/>
              <w:jc w:val="center"/>
            </w:pPr>
            <w:r w:rsidRPr="00A12AC3">
              <w:rPr>
                <w:sz w:val="22"/>
                <w:szCs w:val="22"/>
              </w:rPr>
              <w:t>1546,6</w:t>
            </w:r>
          </w:p>
        </w:tc>
      </w:tr>
      <w:tr w:rsidR="00367F47" w:rsidRPr="007C0F2C" w:rsidTr="00533AD1">
        <w:trPr>
          <w:jc w:val="center"/>
        </w:trPr>
        <w:tc>
          <w:tcPr>
            <w:tcW w:w="3324" w:type="dxa"/>
          </w:tcPr>
          <w:p w:rsidR="00367F47" w:rsidRPr="007C0F2C" w:rsidRDefault="00367F47" w:rsidP="00533AD1">
            <w:pPr>
              <w:pStyle w:val="naisf"/>
              <w:spacing w:before="0" w:after="0"/>
              <w:ind w:firstLine="0"/>
              <w:rPr>
                <w:i/>
              </w:rPr>
            </w:pPr>
            <w:r w:rsidRPr="007C0F2C">
              <w:rPr>
                <w:sz w:val="22"/>
                <w:szCs w:val="22"/>
              </w:rPr>
              <w:t>1.1. valsts pamatbudžets, tai skaitā ieņēmumi no maksas pakalpo-</w:t>
            </w:r>
            <w:proofErr w:type="spellStart"/>
            <w:r w:rsidRPr="007C0F2C">
              <w:rPr>
                <w:sz w:val="22"/>
                <w:szCs w:val="22"/>
              </w:rPr>
              <w:t>jumiem</w:t>
            </w:r>
            <w:proofErr w:type="spellEnd"/>
            <w:r w:rsidRPr="007C0F2C">
              <w:rPr>
                <w:sz w:val="22"/>
                <w:szCs w:val="22"/>
              </w:rPr>
              <w:t xml:space="preserve"> un citi pašu ieņēmumi</w:t>
            </w:r>
          </w:p>
        </w:tc>
        <w:tc>
          <w:tcPr>
            <w:tcW w:w="1331" w:type="dxa"/>
          </w:tcPr>
          <w:p w:rsidR="00367F47" w:rsidRPr="00A12AC3" w:rsidRDefault="00367F47" w:rsidP="00533AD1">
            <w:pPr>
              <w:pStyle w:val="naisf"/>
              <w:spacing w:before="0" w:after="0"/>
              <w:ind w:firstLine="0"/>
              <w:jc w:val="center"/>
            </w:pPr>
            <w:r w:rsidRPr="00A12AC3">
              <w:rPr>
                <w:sz w:val="22"/>
                <w:szCs w:val="22"/>
              </w:rPr>
              <w:t>2601,1</w:t>
            </w:r>
          </w:p>
        </w:tc>
        <w:tc>
          <w:tcPr>
            <w:tcW w:w="1354"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sidRPr="00A12AC3">
              <w:rPr>
                <w:sz w:val="22"/>
                <w:szCs w:val="22"/>
              </w:rPr>
              <w:t>1546,6</w:t>
            </w:r>
          </w:p>
        </w:tc>
        <w:tc>
          <w:tcPr>
            <w:tcW w:w="1355" w:type="dxa"/>
          </w:tcPr>
          <w:p w:rsidR="00367F47" w:rsidRPr="00A12AC3" w:rsidRDefault="00367F47" w:rsidP="00533AD1">
            <w:pPr>
              <w:pStyle w:val="naisf"/>
              <w:spacing w:before="0" w:after="0"/>
              <w:ind w:firstLine="0"/>
              <w:jc w:val="center"/>
            </w:pPr>
            <w:r w:rsidRPr="00A12AC3">
              <w:rPr>
                <w:sz w:val="22"/>
                <w:szCs w:val="22"/>
              </w:rPr>
              <w:t>1546,6</w:t>
            </w:r>
          </w:p>
        </w:tc>
        <w:tc>
          <w:tcPr>
            <w:tcW w:w="1406" w:type="dxa"/>
          </w:tcPr>
          <w:p w:rsidR="00367F47" w:rsidRPr="00A12AC3" w:rsidRDefault="00367F47" w:rsidP="00533AD1">
            <w:pPr>
              <w:pStyle w:val="naisf"/>
              <w:spacing w:before="0" w:after="0"/>
              <w:ind w:firstLine="0"/>
              <w:jc w:val="center"/>
            </w:pPr>
            <w:r w:rsidRPr="00A12AC3">
              <w:rPr>
                <w:sz w:val="22"/>
                <w:szCs w:val="22"/>
              </w:rPr>
              <w:t>1546,6</w:t>
            </w:r>
          </w:p>
        </w:tc>
      </w:tr>
      <w:tr w:rsidR="00367F47" w:rsidRPr="007C0F2C" w:rsidTr="00533AD1">
        <w:trPr>
          <w:jc w:val="center"/>
        </w:trPr>
        <w:tc>
          <w:tcPr>
            <w:tcW w:w="3324" w:type="dxa"/>
          </w:tcPr>
          <w:p w:rsidR="00367F47" w:rsidRPr="007C0F2C" w:rsidRDefault="00367F47" w:rsidP="00533AD1">
            <w:pPr>
              <w:pStyle w:val="naisf"/>
              <w:spacing w:before="0" w:after="0"/>
              <w:ind w:firstLine="0"/>
              <w:rPr>
                <w:i/>
              </w:rPr>
            </w:pPr>
            <w:r w:rsidRPr="007C0F2C">
              <w:rPr>
                <w:sz w:val="22"/>
                <w:szCs w:val="22"/>
              </w:rPr>
              <w:t>1.2. valsts speciālais budžets</w:t>
            </w:r>
          </w:p>
        </w:tc>
        <w:tc>
          <w:tcPr>
            <w:tcW w:w="1331"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5" w:type="dxa"/>
          </w:tcPr>
          <w:p w:rsidR="00367F47" w:rsidRPr="00A12AC3" w:rsidRDefault="00367F47" w:rsidP="00533AD1">
            <w:pPr>
              <w:pStyle w:val="naisf"/>
              <w:spacing w:before="0" w:after="0"/>
              <w:ind w:firstLine="0"/>
              <w:jc w:val="center"/>
            </w:pPr>
          </w:p>
        </w:tc>
        <w:tc>
          <w:tcPr>
            <w:tcW w:w="1406" w:type="dxa"/>
          </w:tcPr>
          <w:p w:rsidR="00367F47" w:rsidRPr="00A12AC3" w:rsidRDefault="00367F47" w:rsidP="00533AD1">
            <w:pPr>
              <w:pStyle w:val="naisf"/>
              <w:spacing w:before="0" w:after="0"/>
              <w:ind w:firstLine="0"/>
              <w:jc w:val="center"/>
            </w:pPr>
          </w:p>
        </w:tc>
      </w:tr>
      <w:tr w:rsidR="00367F47" w:rsidRPr="007C0F2C" w:rsidTr="00533AD1">
        <w:trPr>
          <w:jc w:val="center"/>
        </w:trPr>
        <w:tc>
          <w:tcPr>
            <w:tcW w:w="3324" w:type="dxa"/>
          </w:tcPr>
          <w:p w:rsidR="00367F47" w:rsidRPr="007C0F2C" w:rsidRDefault="00367F47" w:rsidP="00533AD1">
            <w:pPr>
              <w:pStyle w:val="naisf"/>
              <w:spacing w:before="0" w:after="0"/>
              <w:ind w:firstLine="0"/>
              <w:rPr>
                <w:i/>
              </w:rPr>
            </w:pPr>
            <w:r w:rsidRPr="007C0F2C">
              <w:rPr>
                <w:sz w:val="22"/>
                <w:szCs w:val="22"/>
              </w:rPr>
              <w:t>1.3. pašvaldību budžets</w:t>
            </w:r>
          </w:p>
        </w:tc>
        <w:tc>
          <w:tcPr>
            <w:tcW w:w="1331"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5" w:type="dxa"/>
          </w:tcPr>
          <w:p w:rsidR="00367F47" w:rsidRPr="00A12AC3" w:rsidRDefault="00367F47" w:rsidP="00533AD1">
            <w:pPr>
              <w:pStyle w:val="naisf"/>
              <w:spacing w:before="0" w:after="0"/>
              <w:ind w:firstLine="0"/>
              <w:jc w:val="center"/>
            </w:pPr>
          </w:p>
        </w:tc>
        <w:tc>
          <w:tcPr>
            <w:tcW w:w="1406" w:type="dxa"/>
          </w:tcPr>
          <w:p w:rsidR="00367F47" w:rsidRPr="00A12AC3" w:rsidRDefault="00367F47" w:rsidP="00533AD1">
            <w:pPr>
              <w:pStyle w:val="naisf"/>
              <w:spacing w:before="0" w:after="0"/>
              <w:ind w:firstLine="0"/>
              <w:jc w:val="center"/>
            </w:pPr>
          </w:p>
        </w:tc>
      </w:tr>
      <w:tr w:rsidR="00367F47" w:rsidRPr="007C0F2C" w:rsidTr="00533AD1">
        <w:trPr>
          <w:jc w:val="center"/>
        </w:trPr>
        <w:tc>
          <w:tcPr>
            <w:tcW w:w="3324" w:type="dxa"/>
          </w:tcPr>
          <w:p w:rsidR="00367F47" w:rsidRPr="007C0F2C" w:rsidRDefault="00367F47" w:rsidP="00533AD1">
            <w:pPr>
              <w:jc w:val="both"/>
            </w:pPr>
            <w:r w:rsidRPr="007C0F2C">
              <w:rPr>
                <w:sz w:val="22"/>
                <w:szCs w:val="22"/>
              </w:rPr>
              <w:t>2. Budžeta izdevumi:</w:t>
            </w:r>
          </w:p>
        </w:tc>
        <w:tc>
          <w:tcPr>
            <w:tcW w:w="1331"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Pr>
                <w:sz w:val="22"/>
                <w:szCs w:val="22"/>
              </w:rPr>
              <w:t>1345,2</w:t>
            </w:r>
          </w:p>
        </w:tc>
        <w:tc>
          <w:tcPr>
            <w:tcW w:w="1355" w:type="dxa"/>
          </w:tcPr>
          <w:p w:rsidR="00367F47" w:rsidRPr="00A12AC3" w:rsidRDefault="00367F47" w:rsidP="00533AD1">
            <w:pPr>
              <w:pStyle w:val="naisf"/>
              <w:spacing w:before="0" w:after="0"/>
              <w:ind w:firstLine="0"/>
              <w:jc w:val="center"/>
            </w:pPr>
            <w:r>
              <w:rPr>
                <w:sz w:val="22"/>
                <w:szCs w:val="22"/>
              </w:rPr>
              <w:t>1345,2</w:t>
            </w:r>
          </w:p>
        </w:tc>
        <w:tc>
          <w:tcPr>
            <w:tcW w:w="1406" w:type="dxa"/>
          </w:tcPr>
          <w:p w:rsidR="00367F47" w:rsidRPr="00A12AC3" w:rsidRDefault="00367F47" w:rsidP="00533AD1">
            <w:pPr>
              <w:pStyle w:val="naisf"/>
              <w:spacing w:before="0" w:after="0"/>
              <w:ind w:firstLine="0"/>
              <w:jc w:val="center"/>
            </w:pPr>
            <w:r>
              <w:rPr>
                <w:sz w:val="22"/>
                <w:szCs w:val="22"/>
              </w:rPr>
              <w:t>1345,2</w:t>
            </w:r>
          </w:p>
        </w:tc>
      </w:tr>
      <w:tr w:rsidR="00367F47" w:rsidRPr="007C0F2C" w:rsidTr="00533AD1">
        <w:trPr>
          <w:jc w:val="center"/>
        </w:trPr>
        <w:tc>
          <w:tcPr>
            <w:tcW w:w="3324" w:type="dxa"/>
          </w:tcPr>
          <w:p w:rsidR="00367F47" w:rsidRPr="007C0F2C" w:rsidRDefault="00367F47" w:rsidP="00533AD1">
            <w:pPr>
              <w:jc w:val="both"/>
            </w:pPr>
            <w:r w:rsidRPr="007C0F2C">
              <w:rPr>
                <w:sz w:val="22"/>
                <w:szCs w:val="22"/>
              </w:rPr>
              <w:t>2.1. valsts pamatbudžets</w:t>
            </w:r>
          </w:p>
        </w:tc>
        <w:tc>
          <w:tcPr>
            <w:tcW w:w="1331"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Pr>
                <w:sz w:val="22"/>
                <w:szCs w:val="22"/>
              </w:rPr>
              <w:t>0</w:t>
            </w:r>
          </w:p>
        </w:tc>
        <w:tc>
          <w:tcPr>
            <w:tcW w:w="1354" w:type="dxa"/>
          </w:tcPr>
          <w:p w:rsidR="00367F47" w:rsidRPr="00A12AC3" w:rsidRDefault="00367F47" w:rsidP="00533AD1">
            <w:pPr>
              <w:pStyle w:val="naisf"/>
              <w:spacing w:before="0" w:after="0"/>
              <w:ind w:firstLine="0"/>
              <w:jc w:val="center"/>
            </w:pPr>
            <w:r>
              <w:rPr>
                <w:sz w:val="22"/>
                <w:szCs w:val="22"/>
              </w:rPr>
              <w:t>1345,2</w:t>
            </w:r>
          </w:p>
        </w:tc>
        <w:tc>
          <w:tcPr>
            <w:tcW w:w="1355" w:type="dxa"/>
          </w:tcPr>
          <w:p w:rsidR="00367F47" w:rsidRPr="00A12AC3" w:rsidRDefault="00367F47" w:rsidP="00533AD1">
            <w:pPr>
              <w:pStyle w:val="naisf"/>
              <w:spacing w:before="0" w:after="0"/>
              <w:ind w:firstLine="0"/>
              <w:jc w:val="center"/>
            </w:pPr>
            <w:r>
              <w:rPr>
                <w:sz w:val="22"/>
                <w:szCs w:val="22"/>
              </w:rPr>
              <w:t>1345,2</w:t>
            </w:r>
          </w:p>
        </w:tc>
        <w:tc>
          <w:tcPr>
            <w:tcW w:w="1406" w:type="dxa"/>
          </w:tcPr>
          <w:p w:rsidR="00367F47" w:rsidRPr="00A12AC3" w:rsidRDefault="00367F47" w:rsidP="00533AD1">
            <w:pPr>
              <w:pStyle w:val="naisf"/>
              <w:spacing w:before="0" w:after="0"/>
              <w:ind w:firstLine="0"/>
              <w:jc w:val="center"/>
            </w:pPr>
            <w:r>
              <w:rPr>
                <w:sz w:val="22"/>
                <w:szCs w:val="22"/>
              </w:rPr>
              <w:t>1345,2</w:t>
            </w:r>
          </w:p>
        </w:tc>
      </w:tr>
      <w:tr w:rsidR="00367F47" w:rsidRPr="007C0F2C" w:rsidTr="00533AD1">
        <w:trPr>
          <w:jc w:val="center"/>
        </w:trPr>
        <w:tc>
          <w:tcPr>
            <w:tcW w:w="3324" w:type="dxa"/>
          </w:tcPr>
          <w:p w:rsidR="00367F47" w:rsidRPr="007C0F2C" w:rsidRDefault="00367F47" w:rsidP="00533AD1">
            <w:pPr>
              <w:jc w:val="both"/>
            </w:pPr>
            <w:r w:rsidRPr="007C0F2C">
              <w:rPr>
                <w:sz w:val="22"/>
                <w:szCs w:val="22"/>
              </w:rPr>
              <w:t>2.2. valsts speciālais budžets</w:t>
            </w:r>
          </w:p>
        </w:tc>
        <w:tc>
          <w:tcPr>
            <w:tcW w:w="1331"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5" w:type="dxa"/>
          </w:tcPr>
          <w:p w:rsidR="00367F47" w:rsidRPr="00A12AC3" w:rsidRDefault="00367F47" w:rsidP="00533AD1">
            <w:pPr>
              <w:pStyle w:val="naisf"/>
              <w:spacing w:before="0" w:after="0"/>
              <w:ind w:firstLine="0"/>
              <w:jc w:val="center"/>
            </w:pPr>
          </w:p>
        </w:tc>
        <w:tc>
          <w:tcPr>
            <w:tcW w:w="1406" w:type="dxa"/>
          </w:tcPr>
          <w:p w:rsidR="00367F47" w:rsidRPr="00A12AC3" w:rsidRDefault="00367F47" w:rsidP="00533AD1">
            <w:pPr>
              <w:pStyle w:val="naisf"/>
              <w:spacing w:before="0" w:after="0"/>
              <w:ind w:firstLine="0"/>
              <w:jc w:val="center"/>
            </w:pPr>
          </w:p>
        </w:tc>
      </w:tr>
      <w:tr w:rsidR="00367F47" w:rsidRPr="007C0F2C" w:rsidTr="00533AD1">
        <w:trPr>
          <w:jc w:val="center"/>
        </w:trPr>
        <w:tc>
          <w:tcPr>
            <w:tcW w:w="3324" w:type="dxa"/>
          </w:tcPr>
          <w:p w:rsidR="00367F47" w:rsidRPr="007C0F2C" w:rsidRDefault="00367F47" w:rsidP="00533AD1">
            <w:pPr>
              <w:jc w:val="both"/>
            </w:pPr>
            <w:r w:rsidRPr="007C0F2C">
              <w:rPr>
                <w:sz w:val="22"/>
                <w:szCs w:val="22"/>
              </w:rPr>
              <w:t xml:space="preserve">2.3. pašvaldību budžets </w:t>
            </w:r>
          </w:p>
        </w:tc>
        <w:tc>
          <w:tcPr>
            <w:tcW w:w="1331"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4" w:type="dxa"/>
          </w:tcPr>
          <w:p w:rsidR="00367F47" w:rsidRPr="00A12AC3" w:rsidRDefault="00367F47" w:rsidP="00533AD1">
            <w:pPr>
              <w:pStyle w:val="naisf"/>
              <w:spacing w:before="0" w:after="0"/>
              <w:ind w:firstLine="0"/>
              <w:jc w:val="center"/>
            </w:pPr>
          </w:p>
        </w:tc>
        <w:tc>
          <w:tcPr>
            <w:tcW w:w="1355" w:type="dxa"/>
          </w:tcPr>
          <w:p w:rsidR="00367F47" w:rsidRPr="00A12AC3" w:rsidRDefault="00367F47" w:rsidP="00533AD1">
            <w:pPr>
              <w:pStyle w:val="naisf"/>
              <w:spacing w:before="0" w:after="0"/>
              <w:ind w:firstLine="0"/>
              <w:jc w:val="center"/>
            </w:pPr>
          </w:p>
        </w:tc>
        <w:tc>
          <w:tcPr>
            <w:tcW w:w="1406" w:type="dxa"/>
          </w:tcPr>
          <w:p w:rsidR="00367F47" w:rsidRPr="00A12AC3" w:rsidRDefault="00367F47" w:rsidP="00533AD1">
            <w:pPr>
              <w:pStyle w:val="naisf"/>
              <w:spacing w:before="0" w:after="0"/>
              <w:ind w:firstLine="0"/>
              <w:jc w:val="center"/>
            </w:pP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3. Finansiālā ietekme:</w:t>
            </w:r>
          </w:p>
        </w:tc>
        <w:tc>
          <w:tcPr>
            <w:tcW w:w="1331" w:type="dxa"/>
            <w:shd w:val="clear" w:color="auto" w:fill="auto"/>
          </w:tcPr>
          <w:p w:rsidR="00826316" w:rsidRPr="00A12AC3" w:rsidRDefault="00826316" w:rsidP="00533AD1">
            <w:pPr>
              <w:pStyle w:val="naisf"/>
              <w:spacing w:before="0" w:after="0"/>
              <w:ind w:firstLine="0"/>
              <w:jc w:val="center"/>
            </w:pPr>
            <w:r w:rsidRPr="00A12AC3">
              <w:rPr>
                <w:sz w:val="22"/>
                <w:szCs w:val="22"/>
              </w:rPr>
              <w:t>2601,1</w:t>
            </w:r>
          </w:p>
        </w:tc>
        <w:tc>
          <w:tcPr>
            <w:tcW w:w="1354" w:type="dxa"/>
          </w:tcPr>
          <w:p w:rsidR="00826316" w:rsidRPr="00A12AC3" w:rsidRDefault="00826316" w:rsidP="00533AD1">
            <w:pPr>
              <w:pStyle w:val="naisf"/>
              <w:spacing w:before="0" w:after="0"/>
              <w:ind w:firstLine="0"/>
              <w:jc w:val="center"/>
            </w:pPr>
            <w:r>
              <w:rPr>
                <w:sz w:val="22"/>
                <w:szCs w:val="22"/>
              </w:rPr>
              <w:t>0</w:t>
            </w:r>
          </w:p>
        </w:tc>
        <w:tc>
          <w:tcPr>
            <w:tcW w:w="1354" w:type="dxa"/>
          </w:tcPr>
          <w:p w:rsidR="00826316" w:rsidRPr="004A708F" w:rsidRDefault="00826316" w:rsidP="00745CA0">
            <w:pPr>
              <w:pStyle w:val="naisf"/>
              <w:spacing w:before="0" w:after="0"/>
              <w:ind w:firstLine="0"/>
              <w:jc w:val="center"/>
            </w:pPr>
            <w:r w:rsidRPr="004A708F">
              <w:rPr>
                <w:sz w:val="22"/>
                <w:szCs w:val="22"/>
              </w:rPr>
              <w:t>201,4</w:t>
            </w:r>
          </w:p>
        </w:tc>
        <w:tc>
          <w:tcPr>
            <w:tcW w:w="1355" w:type="dxa"/>
          </w:tcPr>
          <w:p w:rsidR="00826316" w:rsidRPr="004A708F" w:rsidRDefault="00826316" w:rsidP="00745CA0">
            <w:pPr>
              <w:pStyle w:val="naisf"/>
              <w:spacing w:before="0" w:after="0"/>
              <w:ind w:firstLine="0"/>
              <w:jc w:val="center"/>
            </w:pPr>
            <w:r w:rsidRPr="004A708F">
              <w:rPr>
                <w:sz w:val="22"/>
                <w:szCs w:val="22"/>
              </w:rPr>
              <w:t>201,4</w:t>
            </w:r>
          </w:p>
        </w:tc>
        <w:tc>
          <w:tcPr>
            <w:tcW w:w="1406" w:type="dxa"/>
          </w:tcPr>
          <w:p w:rsidR="00826316" w:rsidRPr="004A708F" w:rsidRDefault="00826316" w:rsidP="00745CA0">
            <w:pPr>
              <w:pStyle w:val="naisf"/>
              <w:spacing w:before="0" w:after="0"/>
              <w:ind w:firstLine="0"/>
              <w:jc w:val="center"/>
            </w:pPr>
            <w:r w:rsidRPr="004A708F">
              <w:rPr>
                <w:sz w:val="22"/>
                <w:szCs w:val="22"/>
              </w:rPr>
              <w:t>201,4</w:t>
            </w: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3.1. valsts pamatbudžets</w:t>
            </w:r>
          </w:p>
        </w:tc>
        <w:tc>
          <w:tcPr>
            <w:tcW w:w="1331" w:type="dxa"/>
            <w:shd w:val="clear" w:color="auto" w:fill="auto"/>
          </w:tcPr>
          <w:p w:rsidR="00826316" w:rsidRPr="00A12AC3" w:rsidRDefault="00826316" w:rsidP="00533AD1">
            <w:pPr>
              <w:pStyle w:val="naisf"/>
              <w:spacing w:before="0" w:after="0"/>
              <w:ind w:firstLine="0"/>
              <w:jc w:val="center"/>
            </w:pPr>
            <w:r w:rsidRPr="00A12AC3">
              <w:rPr>
                <w:sz w:val="22"/>
                <w:szCs w:val="22"/>
              </w:rPr>
              <w:t>2601,1</w:t>
            </w:r>
          </w:p>
        </w:tc>
        <w:tc>
          <w:tcPr>
            <w:tcW w:w="1354" w:type="dxa"/>
          </w:tcPr>
          <w:p w:rsidR="00826316" w:rsidRPr="00A12AC3" w:rsidRDefault="00826316" w:rsidP="00533AD1">
            <w:pPr>
              <w:pStyle w:val="naisf"/>
              <w:spacing w:before="0" w:after="0"/>
              <w:ind w:firstLine="0"/>
              <w:jc w:val="center"/>
            </w:pPr>
            <w:r>
              <w:rPr>
                <w:sz w:val="22"/>
                <w:szCs w:val="22"/>
              </w:rPr>
              <w:t>0</w:t>
            </w:r>
          </w:p>
        </w:tc>
        <w:tc>
          <w:tcPr>
            <w:tcW w:w="1354" w:type="dxa"/>
          </w:tcPr>
          <w:p w:rsidR="00826316" w:rsidRPr="004A708F" w:rsidRDefault="00826316" w:rsidP="00745CA0">
            <w:pPr>
              <w:pStyle w:val="naisf"/>
              <w:spacing w:before="0" w:after="0"/>
              <w:ind w:firstLine="0"/>
              <w:jc w:val="center"/>
            </w:pPr>
            <w:r w:rsidRPr="004A708F">
              <w:rPr>
                <w:sz w:val="22"/>
                <w:szCs w:val="22"/>
              </w:rPr>
              <w:t>201,4</w:t>
            </w:r>
          </w:p>
        </w:tc>
        <w:tc>
          <w:tcPr>
            <w:tcW w:w="1355" w:type="dxa"/>
          </w:tcPr>
          <w:p w:rsidR="00826316" w:rsidRPr="004A708F" w:rsidRDefault="00826316" w:rsidP="00745CA0">
            <w:pPr>
              <w:pStyle w:val="naisf"/>
              <w:spacing w:before="0" w:after="0"/>
              <w:ind w:firstLine="0"/>
              <w:jc w:val="center"/>
            </w:pPr>
            <w:r w:rsidRPr="004A708F">
              <w:rPr>
                <w:sz w:val="22"/>
                <w:szCs w:val="22"/>
              </w:rPr>
              <w:t>201,4</w:t>
            </w:r>
          </w:p>
        </w:tc>
        <w:tc>
          <w:tcPr>
            <w:tcW w:w="1406" w:type="dxa"/>
          </w:tcPr>
          <w:p w:rsidR="00826316" w:rsidRPr="004A708F" w:rsidRDefault="00826316" w:rsidP="00745CA0">
            <w:pPr>
              <w:pStyle w:val="naisf"/>
              <w:spacing w:before="0" w:after="0"/>
              <w:ind w:firstLine="0"/>
              <w:jc w:val="center"/>
            </w:pPr>
            <w:r w:rsidRPr="004A708F">
              <w:rPr>
                <w:sz w:val="22"/>
                <w:szCs w:val="22"/>
              </w:rPr>
              <w:t>201,4</w:t>
            </w: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3.2. speciālais budžets</w:t>
            </w:r>
          </w:p>
        </w:tc>
        <w:tc>
          <w:tcPr>
            <w:tcW w:w="1331" w:type="dxa"/>
            <w:shd w:val="clear" w:color="auto" w:fill="auto"/>
          </w:tcPr>
          <w:p w:rsidR="00826316" w:rsidRPr="00A12AC3" w:rsidRDefault="00826316" w:rsidP="00533AD1">
            <w:pPr>
              <w:pStyle w:val="naisf"/>
              <w:spacing w:before="0" w:after="0"/>
              <w:ind w:firstLine="0"/>
              <w:jc w:val="center"/>
            </w:pPr>
          </w:p>
        </w:tc>
        <w:tc>
          <w:tcPr>
            <w:tcW w:w="1354" w:type="dxa"/>
          </w:tcPr>
          <w:p w:rsidR="00826316" w:rsidRPr="00A12AC3" w:rsidRDefault="00826316" w:rsidP="00533AD1">
            <w:pPr>
              <w:pStyle w:val="naisf"/>
              <w:spacing w:before="0" w:after="0"/>
              <w:ind w:firstLine="0"/>
              <w:jc w:val="center"/>
            </w:pPr>
          </w:p>
        </w:tc>
        <w:tc>
          <w:tcPr>
            <w:tcW w:w="1354" w:type="dxa"/>
          </w:tcPr>
          <w:p w:rsidR="00826316" w:rsidRPr="00A12AC3" w:rsidRDefault="00826316" w:rsidP="00533AD1">
            <w:pPr>
              <w:pStyle w:val="naisf"/>
              <w:spacing w:before="0" w:after="0"/>
              <w:ind w:firstLine="0"/>
              <w:jc w:val="center"/>
            </w:pPr>
          </w:p>
        </w:tc>
        <w:tc>
          <w:tcPr>
            <w:tcW w:w="1355" w:type="dxa"/>
          </w:tcPr>
          <w:p w:rsidR="00826316" w:rsidRPr="00A12AC3" w:rsidRDefault="00826316" w:rsidP="00533AD1">
            <w:pPr>
              <w:pStyle w:val="naisf"/>
              <w:spacing w:before="0" w:after="0"/>
              <w:ind w:firstLine="0"/>
              <w:jc w:val="center"/>
            </w:pPr>
          </w:p>
        </w:tc>
        <w:tc>
          <w:tcPr>
            <w:tcW w:w="1406" w:type="dxa"/>
          </w:tcPr>
          <w:p w:rsidR="00826316" w:rsidRPr="00A12AC3" w:rsidRDefault="00826316" w:rsidP="00533AD1">
            <w:pPr>
              <w:pStyle w:val="naisf"/>
              <w:spacing w:before="0" w:after="0"/>
              <w:ind w:firstLine="0"/>
              <w:jc w:val="center"/>
            </w:pP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 xml:space="preserve">3.3. pašvaldību budžets </w:t>
            </w:r>
          </w:p>
        </w:tc>
        <w:tc>
          <w:tcPr>
            <w:tcW w:w="1331" w:type="dxa"/>
            <w:shd w:val="clear" w:color="auto" w:fill="auto"/>
          </w:tcPr>
          <w:p w:rsidR="00826316" w:rsidRPr="00A12AC3" w:rsidRDefault="00826316" w:rsidP="00533AD1">
            <w:pPr>
              <w:pStyle w:val="naisf"/>
              <w:spacing w:before="0" w:after="0"/>
              <w:ind w:firstLine="0"/>
              <w:jc w:val="center"/>
            </w:pPr>
          </w:p>
        </w:tc>
        <w:tc>
          <w:tcPr>
            <w:tcW w:w="1354" w:type="dxa"/>
          </w:tcPr>
          <w:p w:rsidR="00826316" w:rsidRPr="00A12AC3" w:rsidRDefault="00826316" w:rsidP="00533AD1">
            <w:pPr>
              <w:pStyle w:val="naisf"/>
              <w:spacing w:before="0" w:after="0"/>
              <w:ind w:firstLine="0"/>
              <w:jc w:val="center"/>
            </w:pPr>
          </w:p>
        </w:tc>
        <w:tc>
          <w:tcPr>
            <w:tcW w:w="1354" w:type="dxa"/>
          </w:tcPr>
          <w:p w:rsidR="00826316" w:rsidRPr="00A12AC3" w:rsidRDefault="00826316" w:rsidP="00533AD1">
            <w:pPr>
              <w:pStyle w:val="naisf"/>
              <w:spacing w:before="0" w:after="0"/>
              <w:ind w:firstLine="0"/>
              <w:jc w:val="center"/>
            </w:pPr>
          </w:p>
        </w:tc>
        <w:tc>
          <w:tcPr>
            <w:tcW w:w="1355" w:type="dxa"/>
          </w:tcPr>
          <w:p w:rsidR="00826316" w:rsidRPr="00A12AC3" w:rsidRDefault="00826316" w:rsidP="00533AD1">
            <w:pPr>
              <w:pStyle w:val="naisf"/>
              <w:spacing w:before="0" w:after="0"/>
              <w:ind w:firstLine="0"/>
              <w:jc w:val="center"/>
            </w:pPr>
          </w:p>
        </w:tc>
        <w:tc>
          <w:tcPr>
            <w:tcW w:w="1406" w:type="dxa"/>
          </w:tcPr>
          <w:p w:rsidR="00826316" w:rsidRPr="00A12AC3" w:rsidRDefault="00826316" w:rsidP="00533AD1">
            <w:pPr>
              <w:pStyle w:val="naisf"/>
              <w:spacing w:before="0" w:after="0"/>
              <w:ind w:firstLine="0"/>
              <w:jc w:val="center"/>
            </w:pPr>
          </w:p>
        </w:tc>
      </w:tr>
      <w:tr w:rsidR="00826316" w:rsidRPr="007C0F2C" w:rsidTr="00533AD1">
        <w:trPr>
          <w:jc w:val="center"/>
        </w:trPr>
        <w:tc>
          <w:tcPr>
            <w:tcW w:w="3324" w:type="dxa"/>
            <w:vMerge w:val="restart"/>
          </w:tcPr>
          <w:p w:rsidR="00826316" w:rsidRPr="007C0F2C" w:rsidRDefault="00826316" w:rsidP="00533AD1">
            <w:pPr>
              <w:jc w:val="both"/>
            </w:pPr>
            <w:r w:rsidRPr="007C0F2C">
              <w:rPr>
                <w:sz w:val="22"/>
                <w:szCs w:val="22"/>
              </w:rPr>
              <w:t>4. Finanšu līdzekļi papildu izde</w:t>
            </w:r>
            <w:r w:rsidRPr="007C0F2C">
              <w:rPr>
                <w:sz w:val="22"/>
                <w:szCs w:val="22"/>
              </w:rPr>
              <w:softHyphen/>
              <w:t xml:space="preserve">vumu finansēšanai </w:t>
            </w:r>
          </w:p>
        </w:tc>
        <w:tc>
          <w:tcPr>
            <w:tcW w:w="1331" w:type="dxa"/>
            <w:vMerge w:val="restart"/>
          </w:tcPr>
          <w:p w:rsidR="00826316" w:rsidRPr="007C0F2C" w:rsidRDefault="00826316" w:rsidP="00533AD1">
            <w:pPr>
              <w:pStyle w:val="naisf"/>
              <w:spacing w:before="0" w:after="0"/>
              <w:ind w:firstLine="0"/>
              <w:jc w:val="center"/>
              <w:rPr>
                <w:i/>
              </w:rPr>
            </w:pPr>
            <w:r w:rsidRPr="007C0F2C">
              <w:t>X</w:t>
            </w:r>
          </w:p>
        </w:tc>
        <w:tc>
          <w:tcPr>
            <w:tcW w:w="1354" w:type="dxa"/>
          </w:tcPr>
          <w:p w:rsidR="00826316" w:rsidRPr="00A12AC3" w:rsidRDefault="00826316" w:rsidP="00533AD1">
            <w:pPr>
              <w:pStyle w:val="naisf"/>
              <w:spacing w:before="0" w:after="0"/>
              <w:ind w:firstLine="0"/>
              <w:jc w:val="center"/>
            </w:pPr>
            <w:r w:rsidRPr="00A12AC3">
              <w:rPr>
                <w:sz w:val="22"/>
                <w:szCs w:val="22"/>
              </w:rPr>
              <w:t>0</w:t>
            </w:r>
          </w:p>
        </w:tc>
        <w:tc>
          <w:tcPr>
            <w:tcW w:w="1354" w:type="dxa"/>
          </w:tcPr>
          <w:p w:rsidR="00826316" w:rsidRPr="00A12AC3" w:rsidRDefault="00826316" w:rsidP="00533AD1">
            <w:pPr>
              <w:pStyle w:val="naisf"/>
              <w:spacing w:before="0" w:after="0"/>
              <w:ind w:firstLine="0"/>
              <w:jc w:val="center"/>
            </w:pPr>
            <w:r w:rsidRPr="00A12AC3">
              <w:rPr>
                <w:sz w:val="22"/>
                <w:szCs w:val="22"/>
              </w:rPr>
              <w:t>0</w:t>
            </w:r>
          </w:p>
        </w:tc>
        <w:tc>
          <w:tcPr>
            <w:tcW w:w="1355" w:type="dxa"/>
          </w:tcPr>
          <w:p w:rsidR="00826316" w:rsidRPr="00A12AC3" w:rsidRDefault="00826316" w:rsidP="00533AD1">
            <w:pPr>
              <w:pStyle w:val="naisf"/>
              <w:spacing w:before="0" w:after="0"/>
              <w:ind w:firstLine="0"/>
              <w:jc w:val="center"/>
            </w:pPr>
            <w:r w:rsidRPr="00A12AC3">
              <w:rPr>
                <w:sz w:val="22"/>
                <w:szCs w:val="22"/>
              </w:rPr>
              <w:t>0</w:t>
            </w:r>
          </w:p>
        </w:tc>
        <w:tc>
          <w:tcPr>
            <w:tcW w:w="1406" w:type="dxa"/>
          </w:tcPr>
          <w:p w:rsidR="00826316" w:rsidRPr="00A12AC3" w:rsidRDefault="00826316" w:rsidP="00533AD1">
            <w:pPr>
              <w:pStyle w:val="naisf"/>
              <w:spacing w:before="0" w:after="0"/>
              <w:ind w:firstLine="0"/>
              <w:jc w:val="center"/>
            </w:pPr>
            <w:r w:rsidRPr="00A12AC3">
              <w:rPr>
                <w:sz w:val="22"/>
                <w:szCs w:val="22"/>
              </w:rPr>
              <w:t>0</w:t>
            </w:r>
          </w:p>
        </w:tc>
      </w:tr>
      <w:tr w:rsidR="00826316" w:rsidRPr="007C0F2C" w:rsidTr="00533AD1">
        <w:trPr>
          <w:jc w:val="center"/>
        </w:trPr>
        <w:tc>
          <w:tcPr>
            <w:tcW w:w="3324" w:type="dxa"/>
            <w:vMerge/>
          </w:tcPr>
          <w:p w:rsidR="00826316" w:rsidRPr="007C0F2C" w:rsidRDefault="00826316" w:rsidP="00533AD1">
            <w:pPr>
              <w:jc w:val="both"/>
            </w:pPr>
          </w:p>
        </w:tc>
        <w:tc>
          <w:tcPr>
            <w:tcW w:w="1331" w:type="dxa"/>
            <w:vMerge/>
          </w:tcPr>
          <w:p w:rsidR="00826316" w:rsidRPr="007C0F2C" w:rsidRDefault="00826316" w:rsidP="00533AD1">
            <w:pPr>
              <w:pStyle w:val="naisf"/>
              <w:spacing w:before="0" w:after="0"/>
              <w:ind w:firstLine="0"/>
              <w:jc w:val="center"/>
              <w:rPr>
                <w:i/>
                <w:sz w:val="40"/>
                <w:szCs w:val="40"/>
              </w:rPr>
            </w:pPr>
          </w:p>
        </w:tc>
        <w:tc>
          <w:tcPr>
            <w:tcW w:w="1354" w:type="dxa"/>
          </w:tcPr>
          <w:p w:rsidR="00826316" w:rsidRPr="007C0F2C" w:rsidRDefault="00826316" w:rsidP="00533AD1">
            <w:pPr>
              <w:pStyle w:val="naisf"/>
              <w:spacing w:before="0" w:after="0"/>
              <w:ind w:firstLine="0"/>
              <w:jc w:val="left"/>
              <w:rPr>
                <w:b/>
                <w:i/>
              </w:rPr>
            </w:pPr>
          </w:p>
        </w:tc>
        <w:tc>
          <w:tcPr>
            <w:tcW w:w="1354" w:type="dxa"/>
          </w:tcPr>
          <w:p w:rsidR="00826316" w:rsidRPr="007C0F2C" w:rsidRDefault="00826316" w:rsidP="00533AD1">
            <w:pPr>
              <w:pStyle w:val="naisf"/>
              <w:spacing w:before="0" w:after="0"/>
              <w:ind w:firstLine="0"/>
              <w:jc w:val="left"/>
              <w:rPr>
                <w:b/>
                <w:i/>
              </w:rPr>
            </w:pPr>
          </w:p>
        </w:tc>
        <w:tc>
          <w:tcPr>
            <w:tcW w:w="1355" w:type="dxa"/>
          </w:tcPr>
          <w:p w:rsidR="00826316" w:rsidRPr="007C0F2C" w:rsidRDefault="00826316" w:rsidP="00533AD1">
            <w:pPr>
              <w:pStyle w:val="naisf"/>
              <w:spacing w:before="0" w:after="0"/>
              <w:ind w:firstLine="0"/>
              <w:jc w:val="left"/>
              <w:rPr>
                <w:b/>
                <w:i/>
              </w:rPr>
            </w:pPr>
          </w:p>
        </w:tc>
        <w:tc>
          <w:tcPr>
            <w:tcW w:w="1406" w:type="dxa"/>
          </w:tcPr>
          <w:p w:rsidR="00826316" w:rsidRPr="007C0F2C" w:rsidRDefault="00826316" w:rsidP="00533AD1">
            <w:pPr>
              <w:pStyle w:val="naisf"/>
              <w:spacing w:before="0" w:after="0"/>
              <w:ind w:firstLine="0"/>
              <w:jc w:val="left"/>
              <w:rPr>
                <w:b/>
                <w:i/>
              </w:rPr>
            </w:pPr>
          </w:p>
        </w:tc>
      </w:tr>
      <w:tr w:rsidR="00826316" w:rsidRPr="007C0F2C" w:rsidTr="00533AD1">
        <w:trPr>
          <w:jc w:val="center"/>
        </w:trPr>
        <w:tc>
          <w:tcPr>
            <w:tcW w:w="3324" w:type="dxa"/>
            <w:vMerge/>
          </w:tcPr>
          <w:p w:rsidR="00826316" w:rsidRPr="007C0F2C" w:rsidRDefault="00826316" w:rsidP="00533AD1">
            <w:pPr>
              <w:jc w:val="both"/>
            </w:pPr>
          </w:p>
        </w:tc>
        <w:tc>
          <w:tcPr>
            <w:tcW w:w="1331" w:type="dxa"/>
            <w:vMerge/>
          </w:tcPr>
          <w:p w:rsidR="00826316" w:rsidRPr="007C0F2C" w:rsidRDefault="00826316" w:rsidP="00533AD1">
            <w:pPr>
              <w:pStyle w:val="naisf"/>
              <w:spacing w:before="0" w:after="0"/>
              <w:ind w:firstLine="0"/>
              <w:jc w:val="center"/>
              <w:rPr>
                <w:i/>
                <w:sz w:val="40"/>
                <w:szCs w:val="40"/>
              </w:rPr>
            </w:pPr>
          </w:p>
        </w:tc>
        <w:tc>
          <w:tcPr>
            <w:tcW w:w="1354" w:type="dxa"/>
          </w:tcPr>
          <w:p w:rsidR="00826316" w:rsidRPr="007C0F2C" w:rsidRDefault="00826316" w:rsidP="00533AD1">
            <w:pPr>
              <w:pStyle w:val="naisf"/>
              <w:spacing w:before="0" w:after="0"/>
              <w:ind w:firstLine="0"/>
              <w:jc w:val="left"/>
              <w:rPr>
                <w:b/>
                <w:i/>
              </w:rPr>
            </w:pPr>
          </w:p>
        </w:tc>
        <w:tc>
          <w:tcPr>
            <w:tcW w:w="1354" w:type="dxa"/>
          </w:tcPr>
          <w:p w:rsidR="00826316" w:rsidRPr="007C0F2C" w:rsidRDefault="00826316" w:rsidP="00533AD1">
            <w:pPr>
              <w:pStyle w:val="naisf"/>
              <w:spacing w:before="0" w:after="0"/>
              <w:ind w:firstLine="0"/>
              <w:jc w:val="left"/>
              <w:rPr>
                <w:b/>
                <w:i/>
              </w:rPr>
            </w:pPr>
          </w:p>
        </w:tc>
        <w:tc>
          <w:tcPr>
            <w:tcW w:w="1355" w:type="dxa"/>
          </w:tcPr>
          <w:p w:rsidR="00826316" w:rsidRPr="007C0F2C" w:rsidRDefault="00826316" w:rsidP="00533AD1">
            <w:pPr>
              <w:pStyle w:val="naisf"/>
              <w:spacing w:before="0" w:after="0"/>
              <w:ind w:firstLine="0"/>
              <w:jc w:val="left"/>
              <w:rPr>
                <w:b/>
                <w:i/>
              </w:rPr>
            </w:pPr>
          </w:p>
        </w:tc>
        <w:tc>
          <w:tcPr>
            <w:tcW w:w="1406" w:type="dxa"/>
          </w:tcPr>
          <w:p w:rsidR="00826316" w:rsidRPr="007C0F2C" w:rsidRDefault="00826316" w:rsidP="00533AD1">
            <w:pPr>
              <w:pStyle w:val="naisf"/>
              <w:spacing w:before="0" w:after="0"/>
              <w:ind w:firstLine="0"/>
              <w:jc w:val="left"/>
              <w:rPr>
                <w:b/>
                <w:i/>
              </w:rPr>
            </w:pP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5. Precizēta finansiālā ietekme:</w:t>
            </w:r>
          </w:p>
        </w:tc>
        <w:tc>
          <w:tcPr>
            <w:tcW w:w="1331" w:type="dxa"/>
            <w:vMerge w:val="restart"/>
          </w:tcPr>
          <w:p w:rsidR="00826316" w:rsidRPr="007C0F2C" w:rsidRDefault="00826316" w:rsidP="00533AD1">
            <w:pPr>
              <w:pStyle w:val="naisf"/>
              <w:spacing w:before="0" w:after="0"/>
              <w:ind w:firstLine="0"/>
              <w:jc w:val="center"/>
              <w:rPr>
                <w:i/>
              </w:rPr>
            </w:pPr>
            <w:r w:rsidRPr="007C0F2C">
              <w:t>X</w:t>
            </w:r>
          </w:p>
        </w:tc>
        <w:tc>
          <w:tcPr>
            <w:tcW w:w="1354" w:type="dxa"/>
          </w:tcPr>
          <w:p w:rsidR="00826316" w:rsidRPr="007C0F2C" w:rsidRDefault="00826316" w:rsidP="00533AD1">
            <w:pPr>
              <w:pStyle w:val="naisf"/>
              <w:spacing w:before="0" w:after="0"/>
              <w:ind w:firstLine="0"/>
              <w:rPr>
                <w:b/>
                <w:i/>
              </w:rPr>
            </w:pPr>
          </w:p>
        </w:tc>
        <w:tc>
          <w:tcPr>
            <w:tcW w:w="1354" w:type="dxa"/>
          </w:tcPr>
          <w:p w:rsidR="00826316" w:rsidRPr="004A708F" w:rsidRDefault="00826316" w:rsidP="00533AD1">
            <w:pPr>
              <w:pStyle w:val="naisf"/>
              <w:spacing w:before="0" w:after="0"/>
              <w:ind w:firstLine="0"/>
              <w:jc w:val="center"/>
            </w:pPr>
            <w:r w:rsidRPr="004A708F">
              <w:rPr>
                <w:sz w:val="22"/>
                <w:szCs w:val="22"/>
              </w:rPr>
              <w:t>201,4</w:t>
            </w:r>
          </w:p>
        </w:tc>
        <w:tc>
          <w:tcPr>
            <w:tcW w:w="1355" w:type="dxa"/>
          </w:tcPr>
          <w:p w:rsidR="00826316" w:rsidRPr="004A708F" w:rsidRDefault="00826316" w:rsidP="00533AD1">
            <w:pPr>
              <w:pStyle w:val="naisf"/>
              <w:spacing w:before="0" w:after="0"/>
              <w:ind w:firstLine="0"/>
              <w:jc w:val="center"/>
            </w:pPr>
            <w:r w:rsidRPr="004A708F">
              <w:rPr>
                <w:sz w:val="22"/>
                <w:szCs w:val="22"/>
              </w:rPr>
              <w:t>201,4</w:t>
            </w:r>
          </w:p>
        </w:tc>
        <w:tc>
          <w:tcPr>
            <w:tcW w:w="1406" w:type="dxa"/>
          </w:tcPr>
          <w:p w:rsidR="00826316" w:rsidRPr="004A708F" w:rsidRDefault="00826316" w:rsidP="00533AD1">
            <w:pPr>
              <w:pStyle w:val="naisf"/>
              <w:spacing w:before="0" w:after="0"/>
              <w:ind w:firstLine="0"/>
              <w:jc w:val="center"/>
            </w:pPr>
            <w:r w:rsidRPr="004A708F">
              <w:rPr>
                <w:sz w:val="22"/>
                <w:szCs w:val="22"/>
              </w:rPr>
              <w:t>201,4</w:t>
            </w: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5.1. valsts pamatbudžets</w:t>
            </w:r>
          </w:p>
        </w:tc>
        <w:tc>
          <w:tcPr>
            <w:tcW w:w="1331" w:type="dxa"/>
            <w:vMerge/>
            <w:vAlign w:val="center"/>
          </w:tcPr>
          <w:p w:rsidR="00826316" w:rsidRPr="007C0F2C" w:rsidRDefault="00826316" w:rsidP="00533AD1">
            <w:pPr>
              <w:pStyle w:val="naisf"/>
              <w:spacing w:before="0" w:after="0"/>
              <w:ind w:firstLine="0"/>
              <w:jc w:val="center"/>
              <w:rPr>
                <w:i/>
                <w:sz w:val="40"/>
                <w:szCs w:val="40"/>
              </w:rPr>
            </w:pPr>
          </w:p>
        </w:tc>
        <w:tc>
          <w:tcPr>
            <w:tcW w:w="1354" w:type="dxa"/>
          </w:tcPr>
          <w:p w:rsidR="00826316" w:rsidRPr="007C0F2C" w:rsidRDefault="00826316" w:rsidP="00533AD1">
            <w:pPr>
              <w:pStyle w:val="naisf"/>
              <w:spacing w:before="0" w:after="0"/>
              <w:ind w:firstLine="0"/>
              <w:rPr>
                <w:b/>
                <w:i/>
              </w:rPr>
            </w:pPr>
          </w:p>
        </w:tc>
        <w:tc>
          <w:tcPr>
            <w:tcW w:w="1354" w:type="dxa"/>
          </w:tcPr>
          <w:p w:rsidR="00826316" w:rsidRPr="004A708F" w:rsidRDefault="00826316" w:rsidP="00533AD1">
            <w:pPr>
              <w:pStyle w:val="naisf"/>
              <w:spacing w:before="0" w:after="0"/>
              <w:ind w:firstLine="0"/>
              <w:jc w:val="center"/>
            </w:pPr>
            <w:r w:rsidRPr="004A708F">
              <w:rPr>
                <w:sz w:val="22"/>
                <w:szCs w:val="22"/>
              </w:rPr>
              <w:t>201,4</w:t>
            </w:r>
          </w:p>
        </w:tc>
        <w:tc>
          <w:tcPr>
            <w:tcW w:w="1355" w:type="dxa"/>
          </w:tcPr>
          <w:p w:rsidR="00826316" w:rsidRPr="004A708F" w:rsidRDefault="00826316" w:rsidP="00533AD1">
            <w:pPr>
              <w:pStyle w:val="naisf"/>
              <w:spacing w:before="0" w:after="0"/>
              <w:ind w:firstLine="0"/>
              <w:jc w:val="center"/>
            </w:pPr>
            <w:r w:rsidRPr="004A708F">
              <w:rPr>
                <w:sz w:val="22"/>
                <w:szCs w:val="22"/>
              </w:rPr>
              <w:t>201,4</w:t>
            </w:r>
          </w:p>
        </w:tc>
        <w:tc>
          <w:tcPr>
            <w:tcW w:w="1406" w:type="dxa"/>
          </w:tcPr>
          <w:p w:rsidR="00826316" w:rsidRPr="004A708F" w:rsidRDefault="00826316" w:rsidP="00533AD1">
            <w:pPr>
              <w:pStyle w:val="naisf"/>
              <w:spacing w:before="0" w:after="0"/>
              <w:ind w:firstLine="0"/>
              <w:jc w:val="center"/>
            </w:pPr>
            <w:r w:rsidRPr="004A708F">
              <w:rPr>
                <w:sz w:val="22"/>
                <w:szCs w:val="22"/>
              </w:rPr>
              <w:t>201,4</w:t>
            </w: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5.2. speciālais budžets</w:t>
            </w:r>
          </w:p>
        </w:tc>
        <w:tc>
          <w:tcPr>
            <w:tcW w:w="1331" w:type="dxa"/>
            <w:vMerge/>
            <w:vAlign w:val="center"/>
          </w:tcPr>
          <w:p w:rsidR="00826316" w:rsidRPr="007C0F2C" w:rsidRDefault="00826316" w:rsidP="00533AD1">
            <w:pPr>
              <w:pStyle w:val="naisf"/>
              <w:spacing w:before="0" w:after="0"/>
              <w:ind w:firstLine="0"/>
              <w:jc w:val="center"/>
              <w:rPr>
                <w:i/>
                <w:sz w:val="40"/>
                <w:szCs w:val="40"/>
              </w:rPr>
            </w:pPr>
          </w:p>
        </w:tc>
        <w:tc>
          <w:tcPr>
            <w:tcW w:w="1354" w:type="dxa"/>
          </w:tcPr>
          <w:p w:rsidR="00826316" w:rsidRPr="007C0F2C" w:rsidRDefault="00826316" w:rsidP="00533AD1">
            <w:pPr>
              <w:pStyle w:val="naisf"/>
              <w:spacing w:before="0" w:after="0"/>
              <w:ind w:firstLine="0"/>
              <w:rPr>
                <w:b/>
                <w:i/>
              </w:rPr>
            </w:pPr>
          </w:p>
        </w:tc>
        <w:tc>
          <w:tcPr>
            <w:tcW w:w="1354" w:type="dxa"/>
          </w:tcPr>
          <w:p w:rsidR="00826316" w:rsidRPr="007C0F2C" w:rsidRDefault="00826316" w:rsidP="00533AD1">
            <w:pPr>
              <w:pStyle w:val="naisf"/>
              <w:spacing w:before="0" w:after="0"/>
              <w:ind w:firstLine="0"/>
              <w:rPr>
                <w:b/>
                <w:i/>
              </w:rPr>
            </w:pPr>
          </w:p>
        </w:tc>
        <w:tc>
          <w:tcPr>
            <w:tcW w:w="1355" w:type="dxa"/>
          </w:tcPr>
          <w:p w:rsidR="00826316" w:rsidRPr="007C0F2C" w:rsidRDefault="00826316" w:rsidP="00533AD1">
            <w:pPr>
              <w:pStyle w:val="naisf"/>
              <w:spacing w:before="0" w:after="0"/>
              <w:ind w:firstLine="0"/>
              <w:rPr>
                <w:b/>
                <w:i/>
              </w:rPr>
            </w:pPr>
          </w:p>
        </w:tc>
        <w:tc>
          <w:tcPr>
            <w:tcW w:w="1406" w:type="dxa"/>
          </w:tcPr>
          <w:p w:rsidR="00826316" w:rsidRPr="007C0F2C" w:rsidRDefault="00826316" w:rsidP="00533AD1">
            <w:pPr>
              <w:pStyle w:val="naisf"/>
              <w:spacing w:before="0" w:after="0"/>
              <w:ind w:firstLine="0"/>
              <w:rPr>
                <w:b/>
                <w:i/>
              </w:rPr>
            </w:pP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 xml:space="preserve">5.3. pašvaldību budžets </w:t>
            </w:r>
          </w:p>
        </w:tc>
        <w:tc>
          <w:tcPr>
            <w:tcW w:w="1331" w:type="dxa"/>
            <w:vMerge/>
            <w:vAlign w:val="center"/>
          </w:tcPr>
          <w:p w:rsidR="00826316" w:rsidRPr="007C0F2C" w:rsidRDefault="00826316" w:rsidP="00533AD1">
            <w:pPr>
              <w:pStyle w:val="naisf"/>
              <w:spacing w:before="0" w:after="0"/>
              <w:ind w:firstLine="0"/>
              <w:jc w:val="center"/>
              <w:rPr>
                <w:i/>
                <w:sz w:val="40"/>
                <w:szCs w:val="40"/>
              </w:rPr>
            </w:pPr>
          </w:p>
        </w:tc>
        <w:tc>
          <w:tcPr>
            <w:tcW w:w="1354" w:type="dxa"/>
          </w:tcPr>
          <w:p w:rsidR="00826316" w:rsidRPr="007C0F2C" w:rsidRDefault="00826316" w:rsidP="00533AD1">
            <w:pPr>
              <w:pStyle w:val="naisf"/>
              <w:spacing w:before="0" w:after="0"/>
              <w:ind w:firstLine="0"/>
              <w:rPr>
                <w:b/>
                <w:i/>
              </w:rPr>
            </w:pPr>
          </w:p>
        </w:tc>
        <w:tc>
          <w:tcPr>
            <w:tcW w:w="1354" w:type="dxa"/>
          </w:tcPr>
          <w:p w:rsidR="00826316" w:rsidRPr="007C0F2C" w:rsidRDefault="00826316" w:rsidP="00533AD1">
            <w:pPr>
              <w:pStyle w:val="naisf"/>
              <w:spacing w:before="0" w:after="0"/>
              <w:ind w:firstLine="0"/>
              <w:rPr>
                <w:b/>
                <w:i/>
              </w:rPr>
            </w:pPr>
          </w:p>
        </w:tc>
        <w:tc>
          <w:tcPr>
            <w:tcW w:w="1355" w:type="dxa"/>
          </w:tcPr>
          <w:p w:rsidR="00826316" w:rsidRPr="007C0F2C" w:rsidRDefault="00826316" w:rsidP="00533AD1">
            <w:pPr>
              <w:pStyle w:val="naisf"/>
              <w:spacing w:before="0" w:after="0"/>
              <w:ind w:firstLine="0"/>
              <w:rPr>
                <w:b/>
                <w:i/>
              </w:rPr>
            </w:pPr>
          </w:p>
        </w:tc>
        <w:tc>
          <w:tcPr>
            <w:tcW w:w="1406" w:type="dxa"/>
          </w:tcPr>
          <w:p w:rsidR="00826316" w:rsidRPr="007C0F2C" w:rsidRDefault="00826316" w:rsidP="00533AD1">
            <w:pPr>
              <w:pStyle w:val="naisf"/>
              <w:spacing w:before="0" w:after="0"/>
              <w:ind w:firstLine="0"/>
              <w:rPr>
                <w:b/>
                <w:i/>
              </w:rPr>
            </w:pPr>
          </w:p>
        </w:tc>
      </w:tr>
      <w:tr w:rsidR="00826316" w:rsidRPr="007C0F2C" w:rsidTr="00533AD1">
        <w:trPr>
          <w:jc w:val="center"/>
        </w:trPr>
        <w:tc>
          <w:tcPr>
            <w:tcW w:w="10124" w:type="dxa"/>
            <w:gridSpan w:val="6"/>
          </w:tcPr>
          <w:p w:rsidR="00826316" w:rsidRDefault="00826316" w:rsidP="00533AD1">
            <w:pPr>
              <w:jc w:val="both"/>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p w:rsidR="00826316" w:rsidRPr="004A708F" w:rsidRDefault="00826316" w:rsidP="00533AD1">
            <w:pPr>
              <w:jc w:val="both"/>
              <w:rPr>
                <w:i/>
              </w:rPr>
            </w:pPr>
            <w:r w:rsidRPr="004A708F">
              <w:rPr>
                <w:i/>
                <w:sz w:val="22"/>
                <w:szCs w:val="22"/>
              </w:rPr>
              <w:t>6.1. Detalizēts ieņēmumu aprēķins</w:t>
            </w:r>
          </w:p>
          <w:p w:rsidR="00826316" w:rsidRDefault="00826316" w:rsidP="00533AD1">
            <w:pPr>
              <w:jc w:val="both"/>
              <w:rPr>
                <w:b/>
              </w:rPr>
            </w:pPr>
          </w:p>
          <w:p w:rsidR="00826316" w:rsidRPr="00D17629" w:rsidRDefault="00826316" w:rsidP="00533AD1">
            <w:pPr>
              <w:jc w:val="both"/>
              <w:rPr>
                <w:b/>
              </w:rPr>
            </w:pPr>
            <w:r w:rsidRPr="00D17629">
              <w:rPr>
                <w:b/>
                <w:sz w:val="22"/>
                <w:szCs w:val="22"/>
              </w:rPr>
              <w:t>2012.gads</w:t>
            </w:r>
          </w:p>
          <w:p w:rsidR="00826316" w:rsidRDefault="00826316" w:rsidP="00533AD1">
            <w:pPr>
              <w:jc w:val="both"/>
            </w:pPr>
            <w:r>
              <w:rPr>
                <w:sz w:val="22"/>
                <w:szCs w:val="22"/>
              </w:rPr>
              <w:t xml:space="preserve">Saskaņā ar likumu „Par valsts budžetu 2012.gadam” ieņēmumi no valsts nodevām par prasību, kas novērtējama naudas summā plānoti 2 601 113 Ls apmērā.    </w:t>
            </w:r>
          </w:p>
          <w:p w:rsidR="00826316" w:rsidRDefault="00826316" w:rsidP="00533AD1">
            <w:pPr>
              <w:jc w:val="both"/>
            </w:pPr>
          </w:p>
          <w:tbl>
            <w:tblPr>
              <w:tblW w:w="9770" w:type="dxa"/>
              <w:tblLayout w:type="fixed"/>
              <w:tblCellMar>
                <w:left w:w="57" w:type="dxa"/>
                <w:right w:w="57" w:type="dxa"/>
              </w:tblCellMar>
              <w:tblLook w:val="04A0"/>
            </w:tblPr>
            <w:tblGrid>
              <w:gridCol w:w="1123"/>
              <w:gridCol w:w="1134"/>
              <w:gridCol w:w="1417"/>
              <w:gridCol w:w="1843"/>
              <w:gridCol w:w="1417"/>
              <w:gridCol w:w="1418"/>
              <w:gridCol w:w="1418"/>
            </w:tblGrid>
            <w:tr w:rsidR="00826316" w:rsidRPr="002D1CDC" w:rsidTr="00B5556C">
              <w:trPr>
                <w:trHeight w:val="300"/>
              </w:trPr>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2D1CDC">
                  <w:pPr>
                    <w:jc w:val="center"/>
                    <w:rPr>
                      <w:b/>
                      <w:bCs/>
                      <w:sz w:val="20"/>
                      <w:szCs w:val="20"/>
                    </w:rPr>
                  </w:pPr>
                  <w:r w:rsidRPr="002D1CDC">
                    <w:rPr>
                      <w:b/>
                      <w:bCs/>
                      <w:sz w:val="20"/>
                      <w:szCs w:val="20"/>
                    </w:rPr>
                    <w:t xml:space="preserve">Vidējā prasības summa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2D1CDC">
                  <w:pPr>
                    <w:jc w:val="center"/>
                    <w:rPr>
                      <w:b/>
                      <w:bCs/>
                      <w:sz w:val="20"/>
                      <w:szCs w:val="20"/>
                    </w:rPr>
                  </w:pPr>
                  <w:r w:rsidRPr="002D1CDC">
                    <w:rPr>
                      <w:b/>
                      <w:bCs/>
                      <w:sz w:val="20"/>
                      <w:szCs w:val="20"/>
                    </w:rPr>
                    <w:t xml:space="preserve">Vidējais lietu skaits </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826316" w:rsidRPr="002D1CDC" w:rsidRDefault="00826316" w:rsidP="00533AD1">
                  <w:pPr>
                    <w:jc w:val="center"/>
                    <w:rPr>
                      <w:b/>
                      <w:bCs/>
                      <w:sz w:val="20"/>
                      <w:szCs w:val="20"/>
                    </w:rPr>
                  </w:pPr>
                  <w:r w:rsidRPr="002D1CDC">
                    <w:rPr>
                      <w:b/>
                      <w:bCs/>
                      <w:sz w:val="20"/>
                      <w:szCs w:val="20"/>
                    </w:rPr>
                    <w:t>Pašreizējā CPL redakcijā</w:t>
                  </w:r>
                </w:p>
              </w:tc>
            </w:tr>
            <w:tr w:rsidR="00826316" w:rsidRPr="002D1CDC" w:rsidTr="00B5556C">
              <w:trPr>
                <w:trHeight w:val="1215"/>
              </w:trPr>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Prasības summa</w:t>
                  </w:r>
                </w:p>
              </w:tc>
              <w:tc>
                <w:tcPr>
                  <w:tcW w:w="1843"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Nodevas apmērs</w:t>
                  </w:r>
                </w:p>
              </w:tc>
              <w:tc>
                <w:tcPr>
                  <w:tcW w:w="1417"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Valsts nodevas summa</w:t>
                  </w:r>
                </w:p>
              </w:tc>
              <w:tc>
                <w:tcPr>
                  <w:tcW w:w="1418"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Procentuālā likme</w:t>
                  </w:r>
                </w:p>
              </w:tc>
              <w:tc>
                <w:tcPr>
                  <w:tcW w:w="1418"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Budžeta ieņēmumi</w:t>
                  </w:r>
                </w:p>
              </w:tc>
            </w:tr>
            <w:tr w:rsidR="00826316" w:rsidRPr="002D1CDC" w:rsidTr="00B5556C">
              <w:trPr>
                <w:trHeight w:val="705"/>
              </w:trPr>
              <w:tc>
                <w:tcPr>
                  <w:tcW w:w="1123"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502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5 317</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Līdz 1 000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15 % no prasības summas, bet ne mazāk par 50 latiem</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50 – 150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400 370</w:t>
                  </w:r>
                </w:p>
              </w:tc>
            </w:tr>
            <w:tr w:rsidR="00826316" w:rsidRPr="002D1CDC" w:rsidTr="00B5556C">
              <w:trPr>
                <w:trHeight w:val="269"/>
              </w:trPr>
              <w:tc>
                <w:tcPr>
                  <w:tcW w:w="1123"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r>
            <w:tr w:rsidR="00826316" w:rsidRPr="002D1CDC" w:rsidTr="00B5556C">
              <w:trPr>
                <w:trHeight w:val="555"/>
              </w:trPr>
              <w:tc>
                <w:tcPr>
                  <w:tcW w:w="1123"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1 227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1 370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1 001 -1 500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150 Ls + 2,5 % no prasības summas, kas pārsniedz Ls 1000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150,03 -250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213 275</w:t>
                  </w:r>
                </w:p>
              </w:tc>
            </w:tr>
            <w:tr w:rsidR="00826316" w:rsidRPr="002D1CDC" w:rsidTr="00B5556C">
              <w:trPr>
                <w:trHeight w:val="269"/>
              </w:trPr>
              <w:tc>
                <w:tcPr>
                  <w:tcW w:w="1123"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r>
            <w:tr w:rsidR="00826316" w:rsidRPr="002D1CDC" w:rsidTr="00B5556C">
              <w:trPr>
                <w:trHeight w:val="870"/>
              </w:trPr>
              <w:tc>
                <w:tcPr>
                  <w:tcW w:w="1123"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2 691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2 555</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1 501 – 5 000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150 Ls + 2,5 % no prasības summas, kas pārsniedz Ls 1000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150,03 – 250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2.5 %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491 263</w:t>
                  </w:r>
                </w:p>
              </w:tc>
            </w:tr>
            <w:tr w:rsidR="00826316" w:rsidRPr="002D1CDC" w:rsidTr="00B5556C">
              <w:trPr>
                <w:trHeight w:val="269"/>
              </w:trPr>
              <w:tc>
                <w:tcPr>
                  <w:tcW w:w="1123"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p>
              </w:tc>
            </w:tr>
            <w:tr w:rsidR="00826316" w:rsidRPr="002D1CDC" w:rsidTr="00B5556C">
              <w:trPr>
                <w:trHeight w:val="795"/>
              </w:trPr>
              <w:tc>
                <w:tcPr>
                  <w:tcW w:w="1123"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12 350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1 174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5 001 – 20 000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250Ls + 1,6 % no prasības summas, kas pārsniedz Ls 5000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250,02 -490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1.6 %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826316" w:rsidRPr="002D1CDC" w:rsidRDefault="00826316" w:rsidP="00533AD1">
                  <w:pPr>
                    <w:jc w:val="center"/>
                    <w:rPr>
                      <w:sz w:val="20"/>
                      <w:szCs w:val="20"/>
                    </w:rPr>
                  </w:pPr>
                  <w:r w:rsidRPr="002D1CDC">
                    <w:rPr>
                      <w:sz w:val="20"/>
                      <w:szCs w:val="20"/>
                    </w:rPr>
                    <w:t>431 562</w:t>
                  </w:r>
                </w:p>
              </w:tc>
            </w:tr>
            <w:tr w:rsidR="00826316" w:rsidRPr="002D1CDC" w:rsidTr="00B5556C">
              <w:trPr>
                <w:trHeight w:val="269"/>
              </w:trPr>
              <w:tc>
                <w:tcPr>
                  <w:tcW w:w="1123"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290"/>
              </w:trPr>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45 772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872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20 001 – 100 000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490 Ls + 1 % no prasības summas, kas pārsniedz Ls 20`000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490,01 - 1290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652 012</w:t>
                  </w:r>
                </w:p>
              </w:tc>
            </w:tr>
            <w:tr w:rsidR="00826316" w:rsidRPr="002D1CDC" w:rsidTr="00B5556C">
              <w:trPr>
                <w:trHeight w:val="269"/>
              </w:trPr>
              <w:tc>
                <w:tcPr>
                  <w:tcW w:w="112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095"/>
              </w:trPr>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179 084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218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100 001 – 500 000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1290 Ls plus 0,3 % no prasības summas, kas pārsniedz Ls 100`000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1290,003 - 2490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0.3 %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332 941</w:t>
                  </w:r>
                </w:p>
              </w:tc>
            </w:tr>
            <w:tr w:rsidR="00826316" w:rsidRPr="002D1CDC" w:rsidTr="00B5556C">
              <w:trPr>
                <w:trHeight w:val="269"/>
              </w:trPr>
              <w:tc>
                <w:tcPr>
                  <w:tcW w:w="112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260"/>
              </w:trPr>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1 895 232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vairāk par 500 000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2490 Ls plus 0,05 % no prasības summas, kas pārsniedz Ls 500`000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vairāk par 2490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0.05 %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79 690</w:t>
                  </w:r>
                </w:p>
              </w:tc>
            </w:tr>
            <w:tr w:rsidR="00826316" w:rsidRPr="002D1CDC" w:rsidTr="00B5556C">
              <w:trPr>
                <w:trHeight w:val="269"/>
              </w:trPr>
              <w:tc>
                <w:tcPr>
                  <w:tcW w:w="112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300"/>
              </w:trPr>
              <w:tc>
                <w:tcPr>
                  <w:tcW w:w="83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316" w:rsidRPr="002D1CDC" w:rsidRDefault="00826316" w:rsidP="00533AD1">
                  <w:pPr>
                    <w:jc w:val="center"/>
                    <w:rPr>
                      <w:b/>
                      <w:bCs/>
                      <w:sz w:val="20"/>
                      <w:szCs w:val="20"/>
                    </w:rPr>
                  </w:pPr>
                  <w:r w:rsidRPr="002D1CDC">
                    <w:rPr>
                      <w:b/>
                      <w:bCs/>
                      <w:sz w:val="20"/>
                      <w:szCs w:val="20"/>
                    </w:rPr>
                    <w:t>KOPĀ</w:t>
                  </w:r>
                </w:p>
              </w:tc>
              <w:tc>
                <w:tcPr>
                  <w:tcW w:w="1418" w:type="dxa"/>
                  <w:tcBorders>
                    <w:top w:val="nil"/>
                    <w:left w:val="nil"/>
                    <w:bottom w:val="single" w:sz="4" w:space="0" w:color="auto"/>
                    <w:right w:val="single" w:sz="4" w:space="0" w:color="auto"/>
                  </w:tcBorders>
                  <w:shd w:val="clear" w:color="auto" w:fill="auto"/>
                  <w:noWrap/>
                  <w:vAlign w:val="bottom"/>
                  <w:hideMark/>
                </w:tcPr>
                <w:p w:rsidR="00826316" w:rsidRPr="002D1CDC" w:rsidRDefault="00826316" w:rsidP="00533AD1">
                  <w:pPr>
                    <w:jc w:val="right"/>
                    <w:rPr>
                      <w:b/>
                      <w:bCs/>
                      <w:sz w:val="20"/>
                      <w:szCs w:val="20"/>
                    </w:rPr>
                  </w:pPr>
                  <w:r w:rsidRPr="002D1CDC">
                    <w:rPr>
                      <w:b/>
                      <w:bCs/>
                      <w:sz w:val="20"/>
                      <w:szCs w:val="20"/>
                    </w:rPr>
                    <w:t>2 601 113</w:t>
                  </w:r>
                </w:p>
              </w:tc>
            </w:tr>
          </w:tbl>
          <w:p w:rsidR="00826316" w:rsidRDefault="00826316" w:rsidP="00533AD1">
            <w:pPr>
              <w:jc w:val="both"/>
            </w:pPr>
          </w:p>
          <w:p w:rsidR="00826316" w:rsidRDefault="00826316" w:rsidP="00533AD1">
            <w:pPr>
              <w:jc w:val="both"/>
              <w:rPr>
                <w:b/>
              </w:rPr>
            </w:pPr>
            <w:r w:rsidRPr="00D17629">
              <w:rPr>
                <w:b/>
                <w:sz w:val="22"/>
                <w:szCs w:val="22"/>
              </w:rPr>
              <w:t>2013.gads un turpmāk</w:t>
            </w:r>
            <w:r>
              <w:rPr>
                <w:b/>
                <w:sz w:val="22"/>
                <w:szCs w:val="22"/>
              </w:rPr>
              <w:t xml:space="preserve"> </w:t>
            </w:r>
          </w:p>
          <w:p w:rsidR="00826316" w:rsidRDefault="00826316" w:rsidP="00533AD1">
            <w:pPr>
              <w:jc w:val="both"/>
            </w:pPr>
            <w:r w:rsidRPr="00D17629">
              <w:rPr>
                <w:sz w:val="22"/>
                <w:szCs w:val="22"/>
              </w:rPr>
              <w:t xml:space="preserve">Ieņēmumi </w:t>
            </w:r>
            <w:r>
              <w:rPr>
                <w:sz w:val="22"/>
                <w:szCs w:val="22"/>
              </w:rPr>
              <w:t xml:space="preserve">no valsts nodevām par prasību, kas novērtējama naudas summā plānoti 4 147 686 Ls apmērā.    </w:t>
            </w:r>
          </w:p>
          <w:p w:rsidR="00826316" w:rsidRPr="00D17629" w:rsidRDefault="00826316" w:rsidP="00533AD1">
            <w:pPr>
              <w:jc w:val="both"/>
              <w:rPr>
                <w:b/>
              </w:rPr>
            </w:pPr>
          </w:p>
          <w:p w:rsidR="00826316" w:rsidRDefault="00826316" w:rsidP="00533AD1">
            <w:pPr>
              <w:jc w:val="both"/>
            </w:pPr>
          </w:p>
          <w:tbl>
            <w:tblPr>
              <w:tblW w:w="9912" w:type="dxa"/>
              <w:tblLayout w:type="fixed"/>
              <w:tblCellMar>
                <w:left w:w="57" w:type="dxa"/>
                <w:right w:w="57" w:type="dxa"/>
              </w:tblCellMar>
              <w:tblLook w:val="04A0"/>
            </w:tblPr>
            <w:tblGrid>
              <w:gridCol w:w="1200"/>
              <w:gridCol w:w="960"/>
              <w:gridCol w:w="1656"/>
              <w:gridCol w:w="1276"/>
              <w:gridCol w:w="1134"/>
              <w:gridCol w:w="1276"/>
              <w:gridCol w:w="1134"/>
              <w:gridCol w:w="1276"/>
            </w:tblGrid>
            <w:tr w:rsidR="00826316" w:rsidRPr="002D1CDC" w:rsidTr="00B5556C">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2D1CDC">
                  <w:pPr>
                    <w:jc w:val="center"/>
                    <w:rPr>
                      <w:b/>
                      <w:bCs/>
                      <w:sz w:val="20"/>
                      <w:szCs w:val="20"/>
                    </w:rPr>
                  </w:pPr>
                  <w:r w:rsidRPr="002D1CDC">
                    <w:rPr>
                      <w:b/>
                      <w:bCs/>
                      <w:sz w:val="20"/>
                      <w:szCs w:val="20"/>
                    </w:rPr>
                    <w:t xml:space="preserve">Vidējā prasības summa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2D1CDC">
                  <w:pPr>
                    <w:jc w:val="center"/>
                    <w:rPr>
                      <w:b/>
                      <w:bCs/>
                      <w:sz w:val="20"/>
                      <w:szCs w:val="20"/>
                    </w:rPr>
                  </w:pPr>
                  <w:r w:rsidRPr="002D1CDC">
                    <w:rPr>
                      <w:b/>
                      <w:bCs/>
                      <w:sz w:val="20"/>
                      <w:szCs w:val="20"/>
                    </w:rPr>
                    <w:t xml:space="preserve">Vidējais lietu skaits </w:t>
                  </w:r>
                </w:p>
              </w:tc>
              <w:tc>
                <w:tcPr>
                  <w:tcW w:w="6476" w:type="dxa"/>
                  <w:gridSpan w:val="5"/>
                  <w:tcBorders>
                    <w:top w:val="single" w:sz="4" w:space="0" w:color="auto"/>
                    <w:left w:val="nil"/>
                    <w:bottom w:val="single" w:sz="4" w:space="0" w:color="auto"/>
                    <w:right w:val="single" w:sz="4" w:space="0" w:color="auto"/>
                  </w:tcBorders>
                  <w:shd w:val="clear" w:color="auto" w:fill="auto"/>
                  <w:noWrap/>
                  <w:vAlign w:val="bottom"/>
                  <w:hideMark/>
                </w:tcPr>
                <w:p w:rsidR="00826316" w:rsidRPr="002D1CDC" w:rsidRDefault="00826316" w:rsidP="00533AD1">
                  <w:pPr>
                    <w:jc w:val="center"/>
                    <w:rPr>
                      <w:b/>
                      <w:bCs/>
                      <w:sz w:val="20"/>
                      <w:szCs w:val="20"/>
                    </w:rPr>
                  </w:pPr>
                  <w:r w:rsidRPr="002D1CDC">
                    <w:rPr>
                      <w:b/>
                      <w:bCs/>
                      <w:sz w:val="20"/>
                      <w:szCs w:val="20"/>
                    </w:rPr>
                    <w:t xml:space="preserve">Ar plānotajām izmaiņām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Plānotās izmaiņas budžeta ieņēmumos</w:t>
                  </w:r>
                </w:p>
              </w:tc>
            </w:tr>
            <w:tr w:rsidR="00826316" w:rsidRPr="002D1CDC" w:rsidTr="00B5556C">
              <w:trPr>
                <w:trHeight w:val="1215"/>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b/>
                      <w:bCs/>
                      <w:sz w:val="20"/>
                      <w:szCs w:val="20"/>
                    </w:rPr>
                  </w:pPr>
                </w:p>
              </w:tc>
              <w:tc>
                <w:tcPr>
                  <w:tcW w:w="1656"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Prasības summa</w:t>
                  </w:r>
                </w:p>
              </w:tc>
              <w:tc>
                <w:tcPr>
                  <w:tcW w:w="1276"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Nodevas apmērs</w:t>
                  </w:r>
                </w:p>
              </w:tc>
              <w:tc>
                <w:tcPr>
                  <w:tcW w:w="1134"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Valsts nodevas summa</w:t>
                  </w:r>
                </w:p>
              </w:tc>
              <w:tc>
                <w:tcPr>
                  <w:tcW w:w="1276"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Procentuālā likme</w:t>
                  </w:r>
                </w:p>
              </w:tc>
              <w:tc>
                <w:tcPr>
                  <w:tcW w:w="1134" w:type="dxa"/>
                  <w:tcBorders>
                    <w:top w:val="nil"/>
                    <w:left w:val="nil"/>
                    <w:bottom w:val="single" w:sz="4" w:space="0" w:color="auto"/>
                    <w:right w:val="single" w:sz="4" w:space="0" w:color="auto"/>
                  </w:tcBorders>
                  <w:shd w:val="clear" w:color="auto" w:fill="auto"/>
                  <w:vAlign w:val="center"/>
                  <w:hideMark/>
                </w:tcPr>
                <w:p w:rsidR="00826316" w:rsidRPr="002D1CDC" w:rsidRDefault="00826316" w:rsidP="00533AD1">
                  <w:pPr>
                    <w:jc w:val="center"/>
                    <w:rPr>
                      <w:b/>
                      <w:bCs/>
                      <w:sz w:val="20"/>
                      <w:szCs w:val="20"/>
                    </w:rPr>
                  </w:pPr>
                  <w:r w:rsidRPr="002D1CDC">
                    <w:rPr>
                      <w:b/>
                      <w:bCs/>
                      <w:sz w:val="20"/>
                      <w:szCs w:val="20"/>
                    </w:rPr>
                    <w:t>Budžeta ieņēmumi</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b/>
                      <w:bCs/>
                      <w:sz w:val="20"/>
                      <w:szCs w:val="20"/>
                    </w:rPr>
                  </w:pPr>
                </w:p>
              </w:tc>
            </w:tr>
            <w:tr w:rsidR="00826316" w:rsidRPr="002D1CDC" w:rsidTr="00B5556C">
              <w:trPr>
                <w:trHeight w:val="705"/>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502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5 317</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Līdz 1500 (vidējā prasības summa 650, vid. lietu skaits 6687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15 % no prasības summas, bet ne mazāk par 50 latiem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50 – 225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15 %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651 983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38 338</w:t>
                  </w:r>
                </w:p>
              </w:tc>
            </w:tr>
            <w:tr w:rsidR="00826316" w:rsidRPr="002D1CDC" w:rsidTr="00B5556C">
              <w:trPr>
                <w:trHeight w:val="55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230"/>
              </w:trPr>
              <w:tc>
                <w:tcPr>
                  <w:tcW w:w="120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870"/>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2 691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2 555</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1501 - 5000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225 Ls + 4 % no prasības summas, kas pārsniedz Ls 1500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225,04 –365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696 595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205 333</w:t>
                  </w:r>
                </w:p>
              </w:tc>
            </w:tr>
            <w:tr w:rsidR="00826316" w:rsidRPr="002D1CDC" w:rsidTr="00B5556C">
              <w:trPr>
                <w:trHeight w:val="390"/>
              </w:trPr>
              <w:tc>
                <w:tcPr>
                  <w:tcW w:w="120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795"/>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12 350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1 174</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5001 – 20`000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365 Ls +3,2 % no prasības summas, kas pārsniedz Ls 5000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365,03 –845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3,2 %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704 635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273 072</w:t>
                  </w:r>
                </w:p>
              </w:tc>
            </w:tr>
            <w:tr w:rsidR="00826316" w:rsidRPr="002D1CDC" w:rsidTr="00B5556C">
              <w:trPr>
                <w:trHeight w:val="360"/>
              </w:trPr>
              <w:tc>
                <w:tcPr>
                  <w:tcW w:w="120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29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45 772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872</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20 001 – 100`000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845Ls + 1.6 % no prasības summas, kas pārsniedz Ls 20`000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845,02 – 2125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1.6 %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1 096 411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444 399</w:t>
                  </w:r>
                </w:p>
              </w:tc>
            </w:tr>
            <w:tr w:rsidR="00826316" w:rsidRPr="002D1CDC" w:rsidTr="00B5556C">
              <w:trPr>
                <w:trHeight w:val="269"/>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095"/>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179 084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218</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100`001 – 500`000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2125 Ls plus 1 % no prasības summas, kas pārsniedz Ls 100`000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2125,01 – 6125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635 653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302 712</w:t>
                  </w:r>
                </w:p>
              </w:tc>
            </w:tr>
            <w:tr w:rsidR="00826316" w:rsidRPr="002D1CDC" w:rsidTr="00B5556C">
              <w:trPr>
                <w:trHeight w:val="40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126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1 895 232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25</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vairāk par 500`000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r w:rsidRPr="002D1CDC">
                    <w:rPr>
                      <w:sz w:val="20"/>
                      <w:szCs w:val="20"/>
                    </w:rPr>
                    <w:t>6125 Ls plus 0,6 % no prasības summas, kas pārsniedz Ls 500`000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vairāk par 6125,01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0.6 %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362 410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jc w:val="center"/>
                    <w:rPr>
                      <w:sz w:val="20"/>
                      <w:szCs w:val="20"/>
                    </w:rPr>
                  </w:pPr>
                  <w:r w:rsidRPr="002D1CDC">
                    <w:rPr>
                      <w:sz w:val="20"/>
                      <w:szCs w:val="20"/>
                    </w:rPr>
                    <w:t>282 719</w:t>
                  </w:r>
                </w:p>
              </w:tc>
            </w:tr>
            <w:tr w:rsidR="00826316" w:rsidRPr="002D1CDC" w:rsidTr="00B5556C">
              <w:trPr>
                <w:trHeight w:val="269"/>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65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826316" w:rsidRPr="002D1CDC" w:rsidRDefault="00826316" w:rsidP="00533AD1">
                  <w:pPr>
                    <w:rPr>
                      <w:sz w:val="20"/>
                      <w:szCs w:val="20"/>
                    </w:rPr>
                  </w:pPr>
                </w:p>
              </w:tc>
            </w:tr>
            <w:tr w:rsidR="00826316" w:rsidRPr="002D1CDC" w:rsidTr="00B5556C">
              <w:trPr>
                <w:trHeight w:val="300"/>
              </w:trPr>
              <w:tc>
                <w:tcPr>
                  <w:tcW w:w="75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316" w:rsidRPr="002D1CDC" w:rsidRDefault="00826316" w:rsidP="00533AD1">
                  <w:pPr>
                    <w:jc w:val="center"/>
                    <w:rPr>
                      <w:b/>
                      <w:bCs/>
                      <w:sz w:val="20"/>
                      <w:szCs w:val="20"/>
                    </w:rPr>
                  </w:pPr>
                  <w:r w:rsidRPr="002D1CDC">
                    <w:rPr>
                      <w:b/>
                      <w:bCs/>
                      <w:sz w:val="20"/>
                      <w:szCs w:val="20"/>
                    </w:rPr>
                    <w:t>KOPĀ </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2D1CDC" w:rsidRDefault="00826316" w:rsidP="00533AD1">
                  <w:pPr>
                    <w:jc w:val="right"/>
                    <w:rPr>
                      <w:b/>
                      <w:bCs/>
                      <w:sz w:val="20"/>
                      <w:szCs w:val="20"/>
                    </w:rPr>
                  </w:pPr>
                  <w:r w:rsidRPr="002D1CDC">
                    <w:rPr>
                      <w:b/>
                      <w:bCs/>
                      <w:sz w:val="20"/>
                      <w:szCs w:val="20"/>
                    </w:rPr>
                    <w:t>4 147 686</w:t>
                  </w:r>
                </w:p>
              </w:tc>
              <w:tc>
                <w:tcPr>
                  <w:tcW w:w="1276" w:type="dxa"/>
                  <w:tcBorders>
                    <w:top w:val="nil"/>
                    <w:left w:val="nil"/>
                    <w:bottom w:val="single" w:sz="4" w:space="0" w:color="auto"/>
                    <w:right w:val="single" w:sz="4" w:space="0" w:color="auto"/>
                  </w:tcBorders>
                  <w:shd w:val="clear" w:color="auto" w:fill="auto"/>
                  <w:noWrap/>
                  <w:vAlign w:val="bottom"/>
                  <w:hideMark/>
                </w:tcPr>
                <w:p w:rsidR="00826316" w:rsidRPr="002D1CDC" w:rsidRDefault="00826316" w:rsidP="00533AD1">
                  <w:pPr>
                    <w:jc w:val="right"/>
                    <w:rPr>
                      <w:b/>
                      <w:bCs/>
                      <w:sz w:val="20"/>
                      <w:szCs w:val="20"/>
                    </w:rPr>
                  </w:pPr>
                  <w:r w:rsidRPr="002D1CDC">
                    <w:rPr>
                      <w:b/>
                      <w:bCs/>
                      <w:sz w:val="20"/>
                      <w:szCs w:val="20"/>
                    </w:rPr>
                    <w:t>1 546 573</w:t>
                  </w:r>
                </w:p>
              </w:tc>
            </w:tr>
          </w:tbl>
          <w:p w:rsidR="00826316" w:rsidRDefault="00826316" w:rsidP="00533AD1">
            <w:pPr>
              <w:jc w:val="both"/>
            </w:pPr>
          </w:p>
          <w:p w:rsidR="00826316" w:rsidRPr="004A708F" w:rsidRDefault="00826316" w:rsidP="00533AD1">
            <w:pPr>
              <w:jc w:val="both"/>
              <w:rPr>
                <w:i/>
              </w:rPr>
            </w:pPr>
            <w:r w:rsidRPr="004A708F">
              <w:rPr>
                <w:i/>
                <w:sz w:val="22"/>
                <w:szCs w:val="22"/>
              </w:rPr>
              <w:t>6.2. Detalizēts izdevumu aprēķins:</w:t>
            </w:r>
          </w:p>
          <w:p w:rsidR="00826316" w:rsidRDefault="00826316" w:rsidP="00533AD1">
            <w:pPr>
              <w:jc w:val="both"/>
            </w:pPr>
          </w:p>
          <w:p w:rsidR="00826316" w:rsidRPr="00231166" w:rsidRDefault="00826316" w:rsidP="00533AD1">
            <w:pPr>
              <w:jc w:val="both"/>
              <w:rPr>
                <w:b/>
              </w:rPr>
            </w:pPr>
            <w:r w:rsidRPr="00231166">
              <w:rPr>
                <w:b/>
                <w:sz w:val="22"/>
                <w:szCs w:val="22"/>
              </w:rPr>
              <w:t xml:space="preserve">2013.gads un turpmāk: </w:t>
            </w:r>
          </w:p>
          <w:p w:rsidR="00826316" w:rsidRPr="00BA6D73" w:rsidRDefault="00826316" w:rsidP="00533AD1">
            <w:pPr>
              <w:pStyle w:val="naisf"/>
              <w:spacing w:before="0" w:after="0"/>
              <w:ind w:firstLine="0"/>
              <w:jc w:val="left"/>
            </w:pPr>
            <w:r w:rsidRPr="00E711C1">
              <w:rPr>
                <w:sz w:val="22"/>
                <w:szCs w:val="22"/>
              </w:rPr>
              <w:t xml:space="preserve">Šobrīd lielākā daļa (~70%) Valsts tiesu ekspertīžu biroja darbinieku strādā nepilnu darba nedēļu </w:t>
            </w:r>
            <w:proofErr w:type="spellStart"/>
            <w:r w:rsidRPr="00E711C1">
              <w:t>t.i</w:t>
            </w:r>
            <w:proofErr w:type="spellEnd"/>
            <w:r w:rsidRPr="00E711C1">
              <w:t xml:space="preserve"> 20-38h nedēļā,</w:t>
            </w:r>
            <w:r w:rsidRPr="00E711C1">
              <w:rPr>
                <w:sz w:val="22"/>
                <w:szCs w:val="22"/>
              </w:rPr>
              <w:t xml:space="preserve"> lai paātrinātu tiesu ekspertīžu veikšanu un tādējādi arī tiesvedību kopumā nepieciešams paaugstināt biroja kapacitāti darbiniekus nodarbinot pilnu darba nedēļu t.i. 40h.</w:t>
            </w:r>
          </w:p>
          <w:p w:rsidR="00826316" w:rsidRDefault="00826316" w:rsidP="00533AD1">
            <w:pPr>
              <w:pStyle w:val="naisf"/>
              <w:spacing w:before="0" w:after="0"/>
              <w:ind w:firstLine="0"/>
              <w:jc w:val="left"/>
              <w:rPr>
                <w:b/>
                <w:i/>
              </w:rPr>
            </w:pPr>
            <w:r>
              <w:rPr>
                <w:b/>
                <w:i/>
                <w:sz w:val="22"/>
                <w:szCs w:val="22"/>
              </w:rPr>
              <w:t xml:space="preserve">Lai nodrošinātu pilnu darba nedēļu Valsts tiesu ekspertīžu birojam (Tieslietu ministrijas programma 11.00.00)  papildus nepieciešami </w:t>
            </w:r>
            <w:r w:rsidRPr="00A12AC3">
              <w:rPr>
                <w:b/>
                <w:i/>
                <w:sz w:val="22"/>
                <w:szCs w:val="22"/>
              </w:rPr>
              <w:t>85 058 Ls t.sk.:</w:t>
            </w:r>
          </w:p>
          <w:p w:rsidR="00826316" w:rsidRDefault="00826316" w:rsidP="00533AD1">
            <w:pPr>
              <w:pStyle w:val="naisf"/>
              <w:spacing w:before="0" w:after="0"/>
              <w:ind w:firstLine="0"/>
              <w:jc w:val="left"/>
              <w:rPr>
                <w:b/>
                <w:i/>
              </w:rPr>
            </w:pPr>
            <w:r>
              <w:rPr>
                <w:b/>
                <w:i/>
                <w:sz w:val="22"/>
                <w:szCs w:val="22"/>
              </w:rPr>
              <w:t>Atlīdzībai 72 035 Ls t.sk.:</w:t>
            </w:r>
          </w:p>
          <w:p w:rsidR="00826316" w:rsidRDefault="00826316" w:rsidP="00533AD1">
            <w:pPr>
              <w:pStyle w:val="naisf"/>
              <w:spacing w:before="0" w:after="0"/>
              <w:ind w:firstLine="0"/>
              <w:jc w:val="left"/>
              <w:rPr>
                <w:b/>
                <w:i/>
              </w:rPr>
            </w:pPr>
            <w:r>
              <w:rPr>
                <w:b/>
                <w:i/>
                <w:sz w:val="22"/>
                <w:szCs w:val="22"/>
              </w:rPr>
              <w:t>- Atalgojumam 58 050 Ls;</w:t>
            </w:r>
          </w:p>
          <w:p w:rsidR="00826316" w:rsidRDefault="00826316" w:rsidP="00533AD1">
            <w:pPr>
              <w:pStyle w:val="naisf"/>
              <w:spacing w:before="0" w:after="0"/>
              <w:ind w:firstLine="0"/>
              <w:jc w:val="left"/>
              <w:rPr>
                <w:b/>
                <w:i/>
              </w:rPr>
            </w:pPr>
            <w:r>
              <w:rPr>
                <w:b/>
                <w:i/>
                <w:sz w:val="22"/>
                <w:szCs w:val="22"/>
              </w:rPr>
              <w:t>- VSAOI 13 985Ls.</w:t>
            </w:r>
          </w:p>
          <w:tbl>
            <w:tblPr>
              <w:tblW w:w="9768" w:type="dxa"/>
              <w:tblLayout w:type="fixed"/>
              <w:tblLook w:val="04A0"/>
            </w:tblPr>
            <w:tblGrid>
              <w:gridCol w:w="2115"/>
              <w:gridCol w:w="851"/>
              <w:gridCol w:w="1134"/>
              <w:gridCol w:w="992"/>
              <w:gridCol w:w="1276"/>
              <w:gridCol w:w="1660"/>
              <w:gridCol w:w="1740"/>
            </w:tblGrid>
            <w:tr w:rsidR="00826316" w:rsidRPr="0073486B" w:rsidTr="0073486B">
              <w:trPr>
                <w:trHeight w:val="1050"/>
              </w:trPr>
              <w:tc>
                <w:tcPr>
                  <w:tcW w:w="2115"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26316" w:rsidRPr="0073486B" w:rsidRDefault="00826316" w:rsidP="0073486B">
                  <w:pPr>
                    <w:jc w:val="center"/>
                    <w:rPr>
                      <w:sz w:val="20"/>
                      <w:szCs w:val="20"/>
                    </w:rPr>
                  </w:pPr>
                  <w:r w:rsidRPr="0073486B">
                    <w:rPr>
                      <w:sz w:val="20"/>
                      <w:szCs w:val="20"/>
                    </w:rPr>
                    <w:t>Amata nosaukums</w:t>
                  </w:r>
                </w:p>
              </w:tc>
              <w:tc>
                <w:tcPr>
                  <w:tcW w:w="851"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73486B">
                  <w:pPr>
                    <w:jc w:val="center"/>
                    <w:rPr>
                      <w:sz w:val="20"/>
                      <w:szCs w:val="20"/>
                    </w:rPr>
                  </w:pPr>
                  <w:r w:rsidRPr="0073486B">
                    <w:rPr>
                      <w:sz w:val="20"/>
                      <w:szCs w:val="20"/>
                    </w:rPr>
                    <w:t xml:space="preserve">Amata vietu skaits </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73486B">
                  <w:pPr>
                    <w:ind w:left="-108" w:right="-108"/>
                    <w:jc w:val="center"/>
                    <w:rPr>
                      <w:sz w:val="20"/>
                      <w:szCs w:val="20"/>
                    </w:rPr>
                  </w:pPr>
                  <w:r w:rsidRPr="0073486B">
                    <w:rPr>
                      <w:sz w:val="20"/>
                      <w:szCs w:val="20"/>
                    </w:rPr>
                    <w:t>Faktiskā vidējā alga (20-38h darba nedēļai)</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73486B">
                  <w:pPr>
                    <w:ind w:left="-108" w:right="-108"/>
                    <w:jc w:val="center"/>
                    <w:rPr>
                      <w:sz w:val="20"/>
                      <w:szCs w:val="20"/>
                    </w:rPr>
                  </w:pPr>
                  <w:r w:rsidRPr="0073486B">
                    <w:rPr>
                      <w:sz w:val="20"/>
                      <w:szCs w:val="20"/>
                    </w:rPr>
                    <w:t>Plānotā vidējā alga (40h darba nedēļai)</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73486B">
                  <w:pPr>
                    <w:ind w:left="-108" w:right="-108"/>
                    <w:jc w:val="center"/>
                    <w:rPr>
                      <w:sz w:val="20"/>
                      <w:szCs w:val="20"/>
                    </w:rPr>
                  </w:pPr>
                  <w:r w:rsidRPr="0073486B">
                    <w:rPr>
                      <w:sz w:val="20"/>
                      <w:szCs w:val="20"/>
                    </w:rPr>
                    <w:t>Papildus nepieciešamais</w:t>
                  </w:r>
                  <w:r w:rsidRPr="0073486B">
                    <w:rPr>
                      <w:sz w:val="20"/>
                      <w:szCs w:val="20"/>
                    </w:rPr>
                    <w:br/>
                    <w:t xml:space="preserve">(40h darba nedēļai) </w:t>
                  </w:r>
                </w:p>
              </w:tc>
              <w:tc>
                <w:tcPr>
                  <w:tcW w:w="1660"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73486B">
                  <w:pPr>
                    <w:jc w:val="center"/>
                    <w:rPr>
                      <w:sz w:val="20"/>
                      <w:szCs w:val="20"/>
                    </w:rPr>
                  </w:pPr>
                  <w:r w:rsidRPr="0073486B">
                    <w:rPr>
                      <w:sz w:val="20"/>
                      <w:szCs w:val="20"/>
                    </w:rPr>
                    <w:t>Papildus nepieciešamais</w:t>
                  </w:r>
                  <w:r w:rsidRPr="0073486B">
                    <w:rPr>
                      <w:sz w:val="20"/>
                      <w:szCs w:val="20"/>
                    </w:rPr>
                    <w:br/>
                    <w:t>(40h darba nedēļai) visiem darbiniekiem</w:t>
                  </w:r>
                </w:p>
              </w:tc>
              <w:tc>
                <w:tcPr>
                  <w:tcW w:w="1740" w:type="dxa"/>
                  <w:tcBorders>
                    <w:top w:val="single" w:sz="4" w:space="0" w:color="auto"/>
                    <w:left w:val="nil"/>
                    <w:bottom w:val="double" w:sz="6" w:space="0" w:color="auto"/>
                    <w:right w:val="single" w:sz="4" w:space="0" w:color="auto"/>
                  </w:tcBorders>
                  <w:shd w:val="clear" w:color="auto" w:fill="auto"/>
                  <w:vAlign w:val="center"/>
                  <w:hideMark/>
                </w:tcPr>
                <w:p w:rsidR="00826316" w:rsidRPr="0073486B" w:rsidRDefault="00826316" w:rsidP="00904E70">
                  <w:pPr>
                    <w:ind w:left="-67"/>
                    <w:jc w:val="center"/>
                    <w:rPr>
                      <w:sz w:val="20"/>
                      <w:szCs w:val="20"/>
                    </w:rPr>
                  </w:pPr>
                  <w:r w:rsidRPr="0073486B">
                    <w:rPr>
                      <w:sz w:val="20"/>
                      <w:szCs w:val="20"/>
                    </w:rPr>
                    <w:t>Papildus nepieciešamais (40h darba nedēļai) visiem darbiniekiem gadā</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Iestādes vadītājs</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1357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1357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Vadītāja vietnieki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858.11</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939.00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80.89</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161.78</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1941.36</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Kvalitātes vadības sistēmu vadītājs</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648.85</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683.00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34.15</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34.15</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409.80</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Personāla vadītājs</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522.38</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597.00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74.62</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74.62</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895.44</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Departamenta direktori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720.55</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752.25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31.70</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126.80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1521.60</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Departamenta direktora vietnieki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636.88</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713.33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76.45</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229.35</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2752.20</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Vecākais grāmatvedis</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619.00</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619.00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0.00</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Vecākie lietveži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395.06</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451.50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56.44</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112.88</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1354.56</w:t>
                  </w:r>
                </w:p>
              </w:tc>
            </w:tr>
            <w:tr w:rsidR="00826316" w:rsidRPr="0073486B" w:rsidTr="0073486B">
              <w:trPr>
                <w:trHeight w:val="24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Saimniecības pārzinis</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333.20</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476.00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142.80</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142.80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1713.60</w:t>
                  </w:r>
                </w:p>
              </w:tc>
            </w:tr>
            <w:tr w:rsidR="00826316" w:rsidRPr="0073486B" w:rsidTr="0073486B">
              <w:trPr>
                <w:trHeight w:val="24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Vecākie tiesu eksperti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15</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542.14</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648.07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105.93</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1588.95</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19067.40</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Tiesu eksperti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359.54</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489.33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129.79</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1557.48</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18689.76</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Tiesu ekspertu palīgi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7</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246.43</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53.57</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374.99</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4499.88</w:t>
                  </w:r>
                </w:p>
              </w:tc>
            </w:tr>
            <w:tr w:rsidR="00826316" w:rsidRPr="0073486B" w:rsidTr="0073486B">
              <w:trPr>
                <w:trHeight w:val="255"/>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826316" w:rsidRPr="0073486B" w:rsidRDefault="00826316" w:rsidP="0073486B">
                  <w:pPr>
                    <w:rPr>
                      <w:sz w:val="20"/>
                      <w:szCs w:val="20"/>
                    </w:rPr>
                  </w:pPr>
                  <w:r w:rsidRPr="0073486B">
                    <w:rPr>
                      <w:sz w:val="20"/>
                      <w:szCs w:val="20"/>
                    </w:rPr>
                    <w:t>Referents</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307.30</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439.00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131.70</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131.70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1580.40</w:t>
                  </w:r>
                </w:p>
              </w:tc>
            </w:tr>
            <w:tr w:rsidR="00826316" w:rsidRPr="0073486B" w:rsidTr="0073486B">
              <w:trPr>
                <w:trHeight w:val="270"/>
              </w:trPr>
              <w:tc>
                <w:tcPr>
                  <w:tcW w:w="2115" w:type="dxa"/>
                  <w:tcBorders>
                    <w:top w:val="nil"/>
                    <w:left w:val="single" w:sz="4" w:space="0" w:color="auto"/>
                    <w:bottom w:val="nil"/>
                    <w:right w:val="single" w:sz="4" w:space="0" w:color="auto"/>
                  </w:tcBorders>
                  <w:shd w:val="clear" w:color="auto" w:fill="auto"/>
                  <w:noWrap/>
                  <w:vAlign w:val="center"/>
                  <w:hideMark/>
                </w:tcPr>
                <w:p w:rsidR="00826316" w:rsidRPr="0073486B" w:rsidRDefault="00826316" w:rsidP="0073486B">
                  <w:pPr>
                    <w:rPr>
                      <w:sz w:val="20"/>
                      <w:szCs w:val="20"/>
                    </w:rPr>
                  </w:pPr>
                  <w:r w:rsidRPr="0073486B">
                    <w:rPr>
                      <w:sz w:val="20"/>
                      <w:szCs w:val="20"/>
                    </w:rPr>
                    <w:t>Apkopēji</w:t>
                  </w:r>
                </w:p>
              </w:tc>
              <w:tc>
                <w:tcPr>
                  <w:tcW w:w="851"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151.00</w:t>
                  </w:r>
                </w:p>
              </w:tc>
              <w:tc>
                <w:tcPr>
                  <w:tcW w:w="992" w:type="dxa"/>
                  <w:tcBorders>
                    <w:top w:val="nil"/>
                    <w:left w:val="nil"/>
                    <w:bottom w:val="single" w:sz="4" w:space="0" w:color="auto"/>
                    <w:right w:val="single" w:sz="4" w:space="0" w:color="auto"/>
                  </w:tcBorders>
                  <w:shd w:val="clear" w:color="auto" w:fill="auto"/>
                  <w:vAlign w:val="bottom"/>
                  <w:hideMark/>
                </w:tcPr>
                <w:p w:rsidR="00826316" w:rsidRPr="0073486B" w:rsidRDefault="00826316" w:rsidP="0073486B">
                  <w:pPr>
                    <w:jc w:val="center"/>
                    <w:rPr>
                      <w:sz w:val="20"/>
                      <w:szCs w:val="20"/>
                    </w:rPr>
                  </w:pPr>
                  <w:r w:rsidRPr="0073486B">
                    <w:rPr>
                      <w:sz w:val="20"/>
                      <w:szCs w:val="20"/>
                    </w:rPr>
                    <w:t>302.00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151.00</w:t>
                  </w:r>
                </w:p>
              </w:tc>
              <w:tc>
                <w:tcPr>
                  <w:tcW w:w="166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302.00</w:t>
                  </w:r>
                </w:p>
              </w:tc>
              <w:tc>
                <w:tcPr>
                  <w:tcW w:w="1740" w:type="dxa"/>
                  <w:tcBorders>
                    <w:top w:val="nil"/>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sz w:val="20"/>
                      <w:szCs w:val="20"/>
                    </w:rPr>
                  </w:pPr>
                  <w:r w:rsidRPr="0073486B">
                    <w:rPr>
                      <w:sz w:val="20"/>
                      <w:szCs w:val="20"/>
                    </w:rPr>
                    <w:t>3624.00</w:t>
                  </w:r>
                </w:p>
              </w:tc>
            </w:tr>
            <w:tr w:rsidR="00826316" w:rsidRPr="0073486B" w:rsidTr="0073486B">
              <w:trPr>
                <w:trHeight w:val="270"/>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Kopā</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 </w:t>
                  </w:r>
                </w:p>
              </w:tc>
              <w:tc>
                <w:tcPr>
                  <w:tcW w:w="1660" w:type="dxa"/>
                  <w:tcBorders>
                    <w:top w:val="single" w:sz="4" w:space="0" w:color="auto"/>
                    <w:left w:val="nil"/>
                    <w:bottom w:val="single" w:sz="4" w:space="0" w:color="auto"/>
                    <w:right w:val="nil"/>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 </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58050</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VSAOI</w:t>
                  </w:r>
                </w:p>
              </w:tc>
              <w:tc>
                <w:tcPr>
                  <w:tcW w:w="851"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134"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992"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276"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660"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13985</w:t>
                  </w:r>
                </w:p>
              </w:tc>
            </w:tr>
            <w:tr w:rsidR="00826316" w:rsidRPr="0073486B" w:rsidTr="0073486B">
              <w:trPr>
                <w:trHeight w:val="270"/>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Kopā ar VSAOI</w:t>
                  </w:r>
                </w:p>
              </w:tc>
              <w:tc>
                <w:tcPr>
                  <w:tcW w:w="851"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134"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992"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276"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660" w:type="dxa"/>
                  <w:tcBorders>
                    <w:top w:val="nil"/>
                    <w:left w:val="nil"/>
                    <w:bottom w:val="nil"/>
                    <w:right w:val="nil"/>
                  </w:tcBorders>
                  <w:shd w:val="clear" w:color="auto" w:fill="auto"/>
                  <w:noWrap/>
                  <w:vAlign w:val="bottom"/>
                  <w:hideMark/>
                </w:tcPr>
                <w:p w:rsidR="00826316" w:rsidRPr="0073486B" w:rsidRDefault="00826316" w:rsidP="0073486B">
                  <w:pPr>
                    <w:jc w:val="center"/>
                    <w:rPr>
                      <w:b/>
                      <w:bCs/>
                      <w:sz w:val="20"/>
                      <w:szCs w:val="20"/>
                    </w:rPr>
                  </w:pP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826316" w:rsidRPr="0073486B" w:rsidRDefault="00826316" w:rsidP="0073486B">
                  <w:pPr>
                    <w:jc w:val="center"/>
                    <w:rPr>
                      <w:b/>
                      <w:bCs/>
                      <w:sz w:val="20"/>
                      <w:szCs w:val="20"/>
                    </w:rPr>
                  </w:pPr>
                  <w:r w:rsidRPr="0073486B">
                    <w:rPr>
                      <w:b/>
                      <w:bCs/>
                      <w:sz w:val="20"/>
                      <w:szCs w:val="20"/>
                    </w:rPr>
                    <w:t>72035</w:t>
                  </w:r>
                </w:p>
              </w:tc>
            </w:tr>
          </w:tbl>
          <w:p w:rsidR="00826316" w:rsidRDefault="00826316" w:rsidP="00533AD1">
            <w:pPr>
              <w:pStyle w:val="naisf"/>
              <w:spacing w:before="0" w:after="0"/>
              <w:ind w:firstLine="0"/>
              <w:jc w:val="left"/>
              <w:rPr>
                <w:b/>
                <w:i/>
              </w:rPr>
            </w:pPr>
          </w:p>
          <w:p w:rsidR="00826316" w:rsidRDefault="00826316" w:rsidP="00533AD1">
            <w:pPr>
              <w:pStyle w:val="naisf"/>
              <w:spacing w:before="0" w:after="0"/>
              <w:ind w:firstLine="0"/>
              <w:jc w:val="left"/>
              <w:rPr>
                <w:b/>
                <w:i/>
              </w:rPr>
            </w:pPr>
            <w:r>
              <w:rPr>
                <w:b/>
                <w:i/>
                <w:sz w:val="22"/>
                <w:szCs w:val="22"/>
              </w:rPr>
              <w:t xml:space="preserve">Precēm un pakalpojumiem 13 023 Ls </w:t>
            </w:r>
          </w:p>
          <w:p w:rsidR="00826316" w:rsidRDefault="00826316" w:rsidP="00533AD1">
            <w:pPr>
              <w:pStyle w:val="naisf"/>
              <w:ind w:firstLine="0"/>
            </w:pPr>
            <w:r>
              <w:t>-8021 Ls, tehnoloģiju infrastruktūru uzturēšana (datorizēto darba vietu uzturēšana; operētājsistēmu uzturēšana un administrēšana; informācijas sistēmas darbības nodrošināšana). Pakalpojuma sniegšana mēnesī izmaksā Ls 668.37, gadā - Ls 8020.44.</w:t>
            </w:r>
          </w:p>
          <w:p w:rsidR="00826316" w:rsidRPr="00E54924" w:rsidRDefault="00826316" w:rsidP="00533AD1">
            <w:pPr>
              <w:pStyle w:val="naisf"/>
              <w:spacing w:before="0" w:after="0"/>
              <w:ind w:firstLine="0"/>
              <w:jc w:val="left"/>
            </w:pPr>
            <w:r w:rsidRPr="006E21D9">
              <w:t>-2448 Ls ķimikālijām, lai nodrošinātu iezīmētās naudas ekspertīzi</w:t>
            </w:r>
            <w:r w:rsidRPr="006E21D9">
              <w:br/>
              <w:t xml:space="preserve">Hēlijs ( viena balona(50Litri) cena 281 Ls) viens balons tiek izlietots pusotrā mēnesī. Gadā nepieciešami 8 baloni t.i. 2248LVL. </w:t>
            </w:r>
            <w:proofErr w:type="spellStart"/>
            <w:r w:rsidRPr="006E21D9">
              <w:t>Izpropanols</w:t>
            </w:r>
            <w:proofErr w:type="spellEnd"/>
            <w:r w:rsidRPr="006E21D9">
              <w:t xml:space="preserve">  100LVL Etilspirts  100LVL </w:t>
            </w:r>
            <w:r w:rsidRPr="006E21D9">
              <w:br/>
              <w:t xml:space="preserve">-1610 Ls rezerves daļām (MSP </w:t>
            </w:r>
            <w:proofErr w:type="spellStart"/>
            <w:r w:rsidRPr="006E21D9">
              <w:t>Spekordam</w:t>
            </w:r>
            <w:proofErr w:type="spellEnd"/>
            <w:r w:rsidRPr="006E21D9">
              <w:t xml:space="preserve"> rezerves daļas nomaiņa,  Biezumu filtrs un kolonnas DB-1MS un DB- 35MS)</w:t>
            </w:r>
            <w:r w:rsidRPr="006E21D9">
              <w:br/>
              <w:t>944 Ls</w:t>
            </w:r>
            <w:r w:rsidRPr="006E21D9">
              <w:rPr>
                <w:sz w:val="27"/>
                <w:szCs w:val="27"/>
              </w:rPr>
              <w:t xml:space="preserve"> </w:t>
            </w:r>
            <w:r w:rsidRPr="006E21D9">
              <w:t xml:space="preserve">iekārtu apkopei - iekārtas noslogojumu  rezultātā nepieciešama apkope un </w:t>
            </w:r>
            <w:proofErr w:type="spellStart"/>
            <w:r w:rsidRPr="006E21D9">
              <w:t>kalibrācija</w:t>
            </w:r>
            <w:proofErr w:type="spellEnd"/>
            <w:r w:rsidRPr="006E21D9">
              <w:t xml:space="preserve"> ( mērījumiem).1x gadā </w:t>
            </w:r>
          </w:p>
          <w:p w:rsidR="00826316" w:rsidRDefault="00826316" w:rsidP="00533AD1">
            <w:pPr>
              <w:pStyle w:val="naisf"/>
              <w:spacing w:before="0" w:after="0"/>
              <w:ind w:firstLine="0"/>
              <w:jc w:val="left"/>
              <w:rPr>
                <w:b/>
                <w:i/>
              </w:rPr>
            </w:pPr>
          </w:p>
          <w:p w:rsidR="00826316" w:rsidRDefault="00826316" w:rsidP="00533AD1">
            <w:pPr>
              <w:pStyle w:val="naisf"/>
              <w:spacing w:before="0" w:after="0"/>
              <w:ind w:firstLine="0"/>
              <w:jc w:val="left"/>
              <w:rPr>
                <w:b/>
                <w:i/>
              </w:rPr>
            </w:pPr>
            <w:r>
              <w:rPr>
                <w:b/>
                <w:i/>
                <w:sz w:val="22"/>
                <w:szCs w:val="22"/>
              </w:rPr>
              <w:t>Papildus nepieciešamais finansējums Apgabaltiesām un (rajona) pilsētu tiesām  (Tieslietu ministrijas apakšprogramma 36.02.00) 1 260 118 Ls t.sk.:</w:t>
            </w:r>
          </w:p>
          <w:p w:rsidR="00826316" w:rsidRDefault="00826316" w:rsidP="00533AD1">
            <w:pPr>
              <w:pStyle w:val="naisf"/>
              <w:spacing w:before="0" w:after="0"/>
              <w:ind w:firstLine="0"/>
              <w:jc w:val="left"/>
              <w:rPr>
                <w:b/>
                <w:i/>
              </w:rPr>
            </w:pPr>
            <w:r>
              <w:rPr>
                <w:b/>
                <w:i/>
                <w:sz w:val="22"/>
                <w:szCs w:val="22"/>
              </w:rPr>
              <w:t>Tiesu darbinieku mēnešalgas palielināšanai par 40 Ls nepieciešami 1 006 618 Ls t.sk.:</w:t>
            </w:r>
          </w:p>
          <w:p w:rsidR="00826316" w:rsidRDefault="00826316" w:rsidP="00533AD1">
            <w:pPr>
              <w:pStyle w:val="naisf"/>
              <w:spacing w:before="0" w:after="0"/>
              <w:ind w:firstLine="0"/>
              <w:jc w:val="left"/>
              <w:rPr>
                <w:b/>
                <w:i/>
              </w:rPr>
            </w:pPr>
            <w:r>
              <w:rPr>
                <w:b/>
                <w:i/>
                <w:sz w:val="22"/>
                <w:szCs w:val="22"/>
              </w:rPr>
              <w:t>-Atalgojumam 811 200 Ls</w:t>
            </w:r>
          </w:p>
          <w:p w:rsidR="00826316" w:rsidRDefault="00826316" w:rsidP="00533AD1">
            <w:pPr>
              <w:pStyle w:val="naisf"/>
              <w:spacing w:before="0" w:after="0"/>
              <w:ind w:firstLine="0"/>
              <w:jc w:val="left"/>
              <w:rPr>
                <w:b/>
                <w:i/>
              </w:rPr>
            </w:pPr>
            <w:r>
              <w:rPr>
                <w:b/>
                <w:i/>
                <w:sz w:val="22"/>
                <w:szCs w:val="22"/>
              </w:rPr>
              <w:t xml:space="preserve">-VSAOI 195 418 Ls </w:t>
            </w:r>
          </w:p>
          <w:tbl>
            <w:tblPr>
              <w:tblW w:w="9423" w:type="dxa"/>
              <w:tblInd w:w="93" w:type="dxa"/>
              <w:tblLayout w:type="fixed"/>
              <w:tblLook w:val="04A0"/>
            </w:tblPr>
            <w:tblGrid>
              <w:gridCol w:w="2000"/>
              <w:gridCol w:w="1134"/>
              <w:gridCol w:w="1134"/>
              <w:gridCol w:w="1298"/>
              <w:gridCol w:w="1240"/>
              <w:gridCol w:w="1379"/>
              <w:gridCol w:w="1238"/>
            </w:tblGrid>
            <w:tr w:rsidR="00826316" w:rsidRPr="00600476" w:rsidTr="00533AD1">
              <w:trPr>
                <w:trHeight w:val="765"/>
              </w:trPr>
              <w:tc>
                <w:tcPr>
                  <w:tcW w:w="2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316" w:rsidRPr="00600476" w:rsidRDefault="00826316" w:rsidP="00533AD1">
                  <w:pPr>
                    <w:jc w:val="center"/>
                    <w:rPr>
                      <w:b/>
                      <w:bCs/>
                      <w:sz w:val="20"/>
                      <w:szCs w:val="20"/>
                    </w:rPr>
                  </w:pPr>
                  <w:r w:rsidRPr="00600476">
                    <w:rPr>
                      <w:b/>
                      <w:bCs/>
                      <w:sz w:val="20"/>
                      <w:szCs w:val="20"/>
                    </w:rPr>
                    <w:t>Amata nosaukums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ind w:left="-86" w:right="-130"/>
                    <w:jc w:val="center"/>
                    <w:rPr>
                      <w:b/>
                      <w:bCs/>
                      <w:sz w:val="20"/>
                      <w:szCs w:val="20"/>
                    </w:rPr>
                  </w:pPr>
                  <w:r w:rsidRPr="00600476">
                    <w:rPr>
                      <w:b/>
                      <w:bCs/>
                      <w:sz w:val="20"/>
                      <w:szCs w:val="20"/>
                    </w:rPr>
                    <w:t>Darbinieku skaits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jc w:val="center"/>
                    <w:rPr>
                      <w:b/>
                      <w:bCs/>
                      <w:sz w:val="20"/>
                      <w:szCs w:val="20"/>
                    </w:rPr>
                  </w:pPr>
                  <w:r w:rsidRPr="00600476">
                    <w:rPr>
                      <w:b/>
                      <w:bCs/>
                      <w:sz w:val="20"/>
                      <w:szCs w:val="20"/>
                    </w:rPr>
                    <w:t>Vidējā mēnešalga</w:t>
                  </w:r>
                </w:p>
              </w:tc>
              <w:tc>
                <w:tcPr>
                  <w:tcW w:w="1298"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jc w:val="center"/>
                    <w:rPr>
                      <w:b/>
                      <w:bCs/>
                      <w:sz w:val="20"/>
                      <w:szCs w:val="20"/>
                    </w:rPr>
                  </w:pPr>
                  <w:r w:rsidRPr="00600476">
                    <w:rPr>
                      <w:b/>
                      <w:bCs/>
                      <w:sz w:val="20"/>
                      <w:szCs w:val="20"/>
                    </w:rPr>
                    <w:t>Summa gadam,</w:t>
                  </w:r>
                  <w:r>
                    <w:rPr>
                      <w:b/>
                      <w:bCs/>
                      <w:sz w:val="20"/>
                      <w:szCs w:val="20"/>
                    </w:rPr>
                    <w:t xml:space="preserve"> Ls</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jc w:val="center"/>
                    <w:rPr>
                      <w:b/>
                      <w:bCs/>
                      <w:sz w:val="20"/>
                      <w:szCs w:val="20"/>
                    </w:rPr>
                  </w:pPr>
                  <w:r w:rsidRPr="00600476">
                    <w:rPr>
                      <w:b/>
                      <w:bCs/>
                      <w:sz w:val="20"/>
                      <w:szCs w:val="20"/>
                    </w:rPr>
                    <w:t>Plānotā vidējā mēnešalga</w:t>
                  </w:r>
                </w:p>
              </w:tc>
              <w:tc>
                <w:tcPr>
                  <w:tcW w:w="1379"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jc w:val="center"/>
                    <w:rPr>
                      <w:b/>
                      <w:bCs/>
                      <w:sz w:val="20"/>
                      <w:szCs w:val="20"/>
                    </w:rPr>
                  </w:pPr>
                  <w:r>
                    <w:rPr>
                      <w:b/>
                      <w:bCs/>
                      <w:sz w:val="20"/>
                      <w:szCs w:val="20"/>
                    </w:rPr>
                    <w:t>Summa gadam, Ls</w:t>
                  </w:r>
                </w:p>
              </w:tc>
              <w:tc>
                <w:tcPr>
                  <w:tcW w:w="1238" w:type="dxa"/>
                  <w:tcBorders>
                    <w:top w:val="single" w:sz="4" w:space="0" w:color="auto"/>
                    <w:left w:val="nil"/>
                    <w:bottom w:val="single" w:sz="4" w:space="0" w:color="auto"/>
                    <w:right w:val="single" w:sz="4" w:space="0" w:color="auto"/>
                  </w:tcBorders>
                  <w:shd w:val="clear" w:color="000000" w:fill="FFFFFF"/>
                  <w:vAlign w:val="bottom"/>
                  <w:hideMark/>
                </w:tcPr>
                <w:p w:rsidR="00826316" w:rsidRPr="00600476" w:rsidRDefault="00826316" w:rsidP="00533AD1">
                  <w:pPr>
                    <w:ind w:right="-78"/>
                    <w:jc w:val="center"/>
                    <w:rPr>
                      <w:b/>
                      <w:bCs/>
                      <w:sz w:val="20"/>
                      <w:szCs w:val="20"/>
                    </w:rPr>
                  </w:pPr>
                  <w:r>
                    <w:rPr>
                      <w:b/>
                      <w:bCs/>
                      <w:sz w:val="20"/>
                      <w:szCs w:val="20"/>
                    </w:rPr>
                    <w:t>Starpība, Ls</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Priekšsēdētāja palīgs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430.38</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206 580.00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470.38</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225 780.00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19 200.00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Tiesneša palīgs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535</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422.66</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2 713 500.00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462.66</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2 970 300.00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256 800.00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Kancelejas vadītājs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424.67</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305 760.00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464.67</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334 560.00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28 800.00</w:t>
                  </w:r>
                </w:p>
              </w:tc>
            </w:tr>
            <w:tr w:rsidR="00826316" w:rsidRPr="00600476" w:rsidTr="00533AD1">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Kancelejas vadītāja vietnieks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407.00</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ind w:left="-47"/>
                    <w:jc w:val="center"/>
                    <w:rPr>
                      <w:sz w:val="20"/>
                      <w:szCs w:val="20"/>
                    </w:rPr>
                  </w:pPr>
                  <w:r w:rsidRPr="00600476">
                    <w:rPr>
                      <w:sz w:val="20"/>
                      <w:szCs w:val="20"/>
                    </w:rPr>
                    <w:t>73 260.00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447.00</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ind w:left="-75"/>
                    <w:jc w:val="center"/>
                    <w:rPr>
                      <w:sz w:val="20"/>
                      <w:szCs w:val="20"/>
                    </w:rPr>
                  </w:pPr>
                  <w:r w:rsidRPr="00600476">
                    <w:rPr>
                      <w:sz w:val="20"/>
                      <w:szCs w:val="20"/>
                    </w:rPr>
                    <w:t>80 460.00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7 200.00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konsultants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98</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348.22</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409 512.00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388.22</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456 552.00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47 040.00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sēžu sekretārs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441</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317.66</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1 681 080.00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357.66</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1 892 760.00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211 680.00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sekretārs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309.89</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360 708.00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349.89</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407 268.00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46 560.00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tulks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123</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318.94</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470 760.00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358.94</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529 800.00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59 040.00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arhivārs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277.92</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176 760.00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317.92</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202 200.00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25 440.00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26316" w:rsidRPr="00600476" w:rsidRDefault="00826316" w:rsidP="00533AD1">
                  <w:pPr>
                    <w:rPr>
                      <w:sz w:val="20"/>
                      <w:szCs w:val="20"/>
                    </w:rPr>
                  </w:pPr>
                  <w:r w:rsidRPr="00600476">
                    <w:rPr>
                      <w:sz w:val="20"/>
                      <w:szCs w:val="20"/>
                    </w:rPr>
                    <w:t>Tiesas administrators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329.03</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73 044.00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369.03</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81 924.00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8 880.00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826316" w:rsidRPr="00600476" w:rsidRDefault="00826316" w:rsidP="00533AD1">
                  <w:pPr>
                    <w:rPr>
                      <w:sz w:val="20"/>
                      <w:szCs w:val="20"/>
                    </w:rPr>
                  </w:pPr>
                  <w:r w:rsidRPr="00600476">
                    <w:rPr>
                      <w:sz w:val="20"/>
                      <w:szCs w:val="20"/>
                    </w:rPr>
                    <w:t>Speciālists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33.5</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267.63</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107 586.00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307.63</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123 666.00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16 080.00</w:t>
                  </w:r>
                </w:p>
              </w:tc>
            </w:tr>
            <w:tr w:rsidR="00826316" w:rsidRPr="00600476" w:rsidTr="00533AD1">
              <w:trPr>
                <w:trHeight w:val="2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826316" w:rsidRPr="00600476" w:rsidRDefault="00826316" w:rsidP="00533AD1">
                  <w:pPr>
                    <w:rPr>
                      <w:sz w:val="20"/>
                      <w:szCs w:val="20"/>
                    </w:rPr>
                  </w:pPr>
                  <w:r w:rsidRPr="00600476">
                    <w:rPr>
                      <w:sz w:val="20"/>
                      <w:szCs w:val="20"/>
                    </w:rPr>
                    <w:t>Tiesas ziņnesis (kurjers)</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26.5</w:t>
                  </w:r>
                </w:p>
              </w:tc>
              <w:tc>
                <w:tcPr>
                  <w:tcW w:w="1134"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195.85</w:t>
                  </w:r>
                </w:p>
              </w:tc>
              <w:tc>
                <w:tcPr>
                  <w:tcW w:w="129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62 280.00</w:t>
                  </w:r>
                </w:p>
              </w:tc>
              <w:tc>
                <w:tcPr>
                  <w:tcW w:w="1240"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235.85</w:t>
                  </w:r>
                </w:p>
              </w:tc>
              <w:tc>
                <w:tcPr>
                  <w:tcW w:w="1379"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75 000.00</w:t>
                  </w:r>
                </w:p>
              </w:tc>
              <w:tc>
                <w:tcPr>
                  <w:tcW w:w="1238" w:type="dxa"/>
                  <w:tcBorders>
                    <w:top w:val="nil"/>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12 720.00</w:t>
                  </w:r>
                </w:p>
              </w:tc>
            </w:tr>
            <w:tr w:rsidR="00826316" w:rsidRPr="00600476" w:rsidTr="00533AD1">
              <w:trPr>
                <w:trHeight w:val="255"/>
              </w:trPr>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826316" w:rsidRPr="00600476" w:rsidRDefault="00826316" w:rsidP="00533AD1">
                  <w:pPr>
                    <w:jc w:val="center"/>
                    <w:rPr>
                      <w:b/>
                      <w:bCs/>
                      <w:sz w:val="20"/>
                      <w:szCs w:val="20"/>
                    </w:rPr>
                  </w:pPr>
                  <w:r w:rsidRPr="00600476">
                    <w:rPr>
                      <w:b/>
                      <w:bCs/>
                      <w:sz w:val="20"/>
                      <w:szCs w:val="20"/>
                    </w:rPr>
                    <w:t>Kopā</w:t>
                  </w:r>
                </w:p>
              </w:tc>
              <w:tc>
                <w:tcPr>
                  <w:tcW w:w="1134" w:type="dxa"/>
                  <w:tcBorders>
                    <w:top w:val="single" w:sz="8" w:space="0" w:color="auto"/>
                    <w:left w:val="nil"/>
                    <w:bottom w:val="nil"/>
                    <w:right w:val="single" w:sz="4" w:space="0" w:color="auto"/>
                  </w:tcBorders>
                  <w:shd w:val="clear" w:color="auto" w:fill="auto"/>
                  <w:noWrap/>
                  <w:vAlign w:val="bottom"/>
                  <w:hideMark/>
                </w:tcPr>
                <w:p w:rsidR="00826316" w:rsidRPr="00600476" w:rsidRDefault="00826316" w:rsidP="00533AD1">
                  <w:pPr>
                    <w:jc w:val="center"/>
                    <w:rPr>
                      <w:b/>
                      <w:bCs/>
                      <w:sz w:val="20"/>
                      <w:szCs w:val="20"/>
                    </w:rPr>
                  </w:pPr>
                  <w:r w:rsidRPr="00600476">
                    <w:rPr>
                      <w:b/>
                      <w:bCs/>
                      <w:sz w:val="20"/>
                      <w:szCs w:val="20"/>
                    </w:rPr>
                    <w:t>1540.5</w:t>
                  </w:r>
                </w:p>
              </w:tc>
              <w:tc>
                <w:tcPr>
                  <w:tcW w:w="1134" w:type="dxa"/>
                  <w:tcBorders>
                    <w:top w:val="single" w:sz="8" w:space="0" w:color="auto"/>
                    <w:left w:val="nil"/>
                    <w:bottom w:val="nil"/>
                    <w:right w:val="single" w:sz="4" w:space="0" w:color="auto"/>
                  </w:tcBorders>
                  <w:shd w:val="clear" w:color="auto" w:fill="auto"/>
                  <w:noWrap/>
                  <w:vAlign w:val="bottom"/>
                  <w:hideMark/>
                </w:tcPr>
                <w:p w:rsidR="00826316" w:rsidRPr="00600476" w:rsidRDefault="00826316" w:rsidP="00533AD1">
                  <w:pPr>
                    <w:jc w:val="center"/>
                    <w:rPr>
                      <w:sz w:val="20"/>
                      <w:szCs w:val="20"/>
                    </w:rPr>
                  </w:pPr>
                </w:p>
              </w:tc>
              <w:tc>
                <w:tcPr>
                  <w:tcW w:w="1298" w:type="dxa"/>
                  <w:tcBorders>
                    <w:top w:val="single" w:sz="8" w:space="0" w:color="auto"/>
                    <w:left w:val="nil"/>
                    <w:bottom w:val="nil"/>
                    <w:right w:val="single" w:sz="4" w:space="0" w:color="auto"/>
                  </w:tcBorders>
                  <w:shd w:val="clear" w:color="000000" w:fill="FFFFFF"/>
                  <w:noWrap/>
                  <w:vAlign w:val="bottom"/>
                  <w:hideMark/>
                </w:tcPr>
                <w:p w:rsidR="00826316" w:rsidRPr="00600476" w:rsidRDefault="00826316" w:rsidP="00533AD1">
                  <w:pPr>
                    <w:jc w:val="center"/>
                    <w:rPr>
                      <w:b/>
                      <w:bCs/>
                      <w:sz w:val="20"/>
                      <w:szCs w:val="20"/>
                    </w:rPr>
                  </w:pPr>
                  <w:r w:rsidRPr="00600476">
                    <w:rPr>
                      <w:b/>
                      <w:bCs/>
                      <w:sz w:val="20"/>
                      <w:szCs w:val="20"/>
                    </w:rPr>
                    <w:t>6 640 830.00</w:t>
                  </w:r>
                </w:p>
              </w:tc>
              <w:tc>
                <w:tcPr>
                  <w:tcW w:w="1240" w:type="dxa"/>
                  <w:tcBorders>
                    <w:top w:val="single" w:sz="8" w:space="0" w:color="auto"/>
                    <w:left w:val="nil"/>
                    <w:bottom w:val="nil"/>
                    <w:right w:val="single" w:sz="4" w:space="0" w:color="auto"/>
                  </w:tcBorders>
                  <w:shd w:val="clear" w:color="000000" w:fill="FFFFFF"/>
                  <w:noWrap/>
                  <w:vAlign w:val="bottom"/>
                  <w:hideMark/>
                </w:tcPr>
                <w:p w:rsidR="00826316" w:rsidRPr="00600476" w:rsidRDefault="00826316" w:rsidP="00533AD1">
                  <w:pPr>
                    <w:jc w:val="center"/>
                    <w:rPr>
                      <w:b/>
                      <w:bCs/>
                      <w:sz w:val="20"/>
                      <w:szCs w:val="20"/>
                    </w:rPr>
                  </w:pPr>
                </w:p>
              </w:tc>
              <w:tc>
                <w:tcPr>
                  <w:tcW w:w="1379" w:type="dxa"/>
                  <w:tcBorders>
                    <w:top w:val="single" w:sz="8" w:space="0" w:color="auto"/>
                    <w:left w:val="nil"/>
                    <w:bottom w:val="nil"/>
                    <w:right w:val="single" w:sz="4" w:space="0" w:color="auto"/>
                  </w:tcBorders>
                  <w:shd w:val="clear" w:color="000000" w:fill="FFFFFF"/>
                  <w:noWrap/>
                  <w:vAlign w:val="bottom"/>
                  <w:hideMark/>
                </w:tcPr>
                <w:p w:rsidR="00826316" w:rsidRPr="00600476" w:rsidRDefault="00826316" w:rsidP="00533AD1">
                  <w:pPr>
                    <w:jc w:val="center"/>
                    <w:rPr>
                      <w:b/>
                      <w:bCs/>
                      <w:sz w:val="20"/>
                      <w:szCs w:val="20"/>
                    </w:rPr>
                  </w:pPr>
                  <w:r w:rsidRPr="00600476">
                    <w:rPr>
                      <w:b/>
                      <w:bCs/>
                      <w:sz w:val="20"/>
                      <w:szCs w:val="20"/>
                    </w:rPr>
                    <w:t>7 380 270.00</w:t>
                  </w:r>
                </w:p>
              </w:tc>
              <w:tc>
                <w:tcPr>
                  <w:tcW w:w="1238" w:type="dxa"/>
                  <w:tcBorders>
                    <w:top w:val="single" w:sz="8" w:space="0" w:color="auto"/>
                    <w:left w:val="nil"/>
                    <w:bottom w:val="nil"/>
                    <w:right w:val="single" w:sz="4" w:space="0" w:color="auto"/>
                  </w:tcBorders>
                  <w:shd w:val="clear" w:color="000000" w:fill="FFFFFF"/>
                  <w:noWrap/>
                  <w:vAlign w:val="bottom"/>
                  <w:hideMark/>
                </w:tcPr>
                <w:p w:rsidR="00826316" w:rsidRPr="00600476" w:rsidRDefault="00826316" w:rsidP="00533AD1">
                  <w:pPr>
                    <w:jc w:val="center"/>
                    <w:rPr>
                      <w:b/>
                      <w:bCs/>
                      <w:sz w:val="20"/>
                      <w:szCs w:val="20"/>
                    </w:rPr>
                  </w:pPr>
                  <w:r w:rsidRPr="00600476">
                    <w:rPr>
                      <w:b/>
                      <w:bCs/>
                      <w:sz w:val="20"/>
                      <w:szCs w:val="20"/>
                    </w:rPr>
                    <w:t>739 440.00</w:t>
                  </w:r>
                </w:p>
              </w:tc>
            </w:tr>
            <w:tr w:rsidR="00826316" w:rsidRPr="00600476" w:rsidTr="00533AD1">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316" w:rsidRPr="00600476" w:rsidRDefault="00826316" w:rsidP="00533AD1">
                  <w:pPr>
                    <w:rPr>
                      <w:sz w:val="20"/>
                      <w:szCs w:val="20"/>
                    </w:rPr>
                  </w:pPr>
                  <w:r w:rsidRPr="00600476">
                    <w:rPr>
                      <w:sz w:val="20"/>
                      <w:szCs w:val="20"/>
                    </w:rPr>
                    <w:t>Fiziskā darba veicēji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149.5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185.84</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333 390.00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225.84</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405 150.00</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826316" w:rsidRPr="00600476" w:rsidRDefault="00826316" w:rsidP="00533AD1">
                  <w:pPr>
                    <w:jc w:val="center"/>
                    <w:rPr>
                      <w:sz w:val="20"/>
                      <w:szCs w:val="20"/>
                    </w:rPr>
                  </w:pPr>
                  <w:r w:rsidRPr="00600476">
                    <w:rPr>
                      <w:sz w:val="20"/>
                      <w:szCs w:val="20"/>
                    </w:rPr>
                    <w:t>71 760.00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rPr>
                      <w:b/>
                      <w:bCs/>
                      <w:sz w:val="20"/>
                      <w:szCs w:val="20"/>
                    </w:rPr>
                  </w:pPr>
                  <w:r w:rsidRPr="00231166">
                    <w:rPr>
                      <w:b/>
                      <w:bCs/>
                      <w:sz w:val="20"/>
                      <w:szCs w:val="20"/>
                    </w:rPr>
                    <w:t xml:space="preserve">  Pavisam kopā</w:t>
                  </w:r>
                </w:p>
              </w:tc>
              <w:tc>
                <w:tcPr>
                  <w:tcW w:w="1134"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1690</w:t>
                  </w:r>
                </w:p>
              </w:tc>
              <w:tc>
                <w:tcPr>
                  <w:tcW w:w="1134"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p>
              </w:tc>
              <w:tc>
                <w:tcPr>
                  <w:tcW w:w="129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6 974 220.00</w:t>
                  </w:r>
                </w:p>
              </w:tc>
              <w:tc>
                <w:tcPr>
                  <w:tcW w:w="1240"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p>
              </w:tc>
              <w:tc>
                <w:tcPr>
                  <w:tcW w:w="1379"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7 785 420.00</w:t>
                  </w:r>
                </w:p>
              </w:tc>
              <w:tc>
                <w:tcPr>
                  <w:tcW w:w="123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811 200.00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rPr>
                      <w:b/>
                      <w:bCs/>
                      <w:sz w:val="20"/>
                      <w:szCs w:val="20"/>
                    </w:rPr>
                  </w:pPr>
                  <w:r w:rsidRPr="00231166">
                    <w:rPr>
                      <w:b/>
                      <w:bCs/>
                      <w:sz w:val="20"/>
                      <w:szCs w:val="20"/>
                    </w:rPr>
                    <w:t>VSAOI</w:t>
                  </w:r>
                </w:p>
              </w:tc>
              <w:tc>
                <w:tcPr>
                  <w:tcW w:w="1134"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p>
              </w:tc>
              <w:tc>
                <w:tcPr>
                  <w:tcW w:w="129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1 680 089.60</w:t>
                  </w:r>
                </w:p>
              </w:tc>
              <w:tc>
                <w:tcPr>
                  <w:tcW w:w="1240"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p>
              </w:tc>
              <w:tc>
                <w:tcPr>
                  <w:tcW w:w="1379"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1 875 507.68</w:t>
                  </w:r>
                </w:p>
              </w:tc>
              <w:tc>
                <w:tcPr>
                  <w:tcW w:w="123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195 418.00</w:t>
                  </w:r>
                </w:p>
              </w:tc>
            </w:tr>
            <w:tr w:rsidR="00826316" w:rsidRPr="00600476" w:rsidTr="00533AD1">
              <w:trPr>
                <w:trHeight w:val="255"/>
              </w:trPr>
              <w:tc>
                <w:tcPr>
                  <w:tcW w:w="2000"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rPr>
                      <w:b/>
                      <w:bCs/>
                      <w:sz w:val="20"/>
                      <w:szCs w:val="20"/>
                    </w:rPr>
                  </w:pPr>
                  <w:r w:rsidRPr="00231166">
                    <w:rPr>
                      <w:b/>
                      <w:bCs/>
                      <w:sz w:val="20"/>
                      <w:szCs w:val="20"/>
                    </w:rPr>
                    <w:t>KOPĀ ATLĪDZĪBA</w:t>
                  </w:r>
                </w:p>
              </w:tc>
              <w:tc>
                <w:tcPr>
                  <w:tcW w:w="1134"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p>
              </w:tc>
              <w:tc>
                <w:tcPr>
                  <w:tcW w:w="129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8 654 309.60</w:t>
                  </w:r>
                </w:p>
              </w:tc>
              <w:tc>
                <w:tcPr>
                  <w:tcW w:w="1240" w:type="dxa"/>
                  <w:tcBorders>
                    <w:top w:val="nil"/>
                    <w:left w:val="nil"/>
                    <w:bottom w:val="single" w:sz="4" w:space="0" w:color="auto"/>
                    <w:right w:val="nil"/>
                  </w:tcBorders>
                  <w:shd w:val="clear" w:color="000000" w:fill="FFCC99"/>
                  <w:noWrap/>
                  <w:vAlign w:val="bottom"/>
                  <w:hideMark/>
                </w:tcPr>
                <w:p w:rsidR="00826316" w:rsidRPr="00231166" w:rsidRDefault="00826316" w:rsidP="00533AD1">
                  <w:pPr>
                    <w:jc w:val="center"/>
                    <w:rPr>
                      <w:b/>
                      <w:bCs/>
                      <w:sz w:val="20"/>
                      <w:szCs w:val="20"/>
                    </w:rPr>
                  </w:pPr>
                </w:p>
              </w:tc>
              <w:tc>
                <w:tcPr>
                  <w:tcW w:w="1379" w:type="dxa"/>
                  <w:tcBorders>
                    <w:top w:val="nil"/>
                    <w:left w:val="single" w:sz="4" w:space="0" w:color="auto"/>
                    <w:bottom w:val="single" w:sz="4" w:space="0" w:color="auto"/>
                    <w:right w:val="single" w:sz="4" w:space="0" w:color="auto"/>
                  </w:tcBorders>
                  <w:shd w:val="clear" w:color="000000" w:fill="FFCC99"/>
                  <w:noWrap/>
                  <w:vAlign w:val="bottom"/>
                  <w:hideMark/>
                </w:tcPr>
                <w:p w:rsidR="00826316" w:rsidRPr="00231166" w:rsidRDefault="00826316" w:rsidP="00533AD1">
                  <w:pPr>
                    <w:jc w:val="center"/>
                    <w:rPr>
                      <w:b/>
                      <w:bCs/>
                      <w:sz w:val="20"/>
                      <w:szCs w:val="20"/>
                    </w:rPr>
                  </w:pPr>
                  <w:r w:rsidRPr="00231166">
                    <w:rPr>
                      <w:b/>
                      <w:bCs/>
                      <w:sz w:val="20"/>
                      <w:szCs w:val="20"/>
                    </w:rPr>
                    <w:t>9 660 927.68</w:t>
                  </w:r>
                </w:p>
              </w:tc>
              <w:tc>
                <w:tcPr>
                  <w:tcW w:w="1238" w:type="dxa"/>
                  <w:tcBorders>
                    <w:top w:val="nil"/>
                    <w:left w:val="nil"/>
                    <w:bottom w:val="single" w:sz="4" w:space="0" w:color="auto"/>
                    <w:right w:val="single" w:sz="4" w:space="0" w:color="auto"/>
                  </w:tcBorders>
                  <w:shd w:val="clear" w:color="000000" w:fill="FFCC99"/>
                  <w:noWrap/>
                  <w:vAlign w:val="bottom"/>
                  <w:hideMark/>
                </w:tcPr>
                <w:p w:rsidR="00826316" w:rsidRPr="00231166" w:rsidRDefault="00826316" w:rsidP="00533AD1">
                  <w:pPr>
                    <w:ind w:right="-108"/>
                    <w:jc w:val="center"/>
                    <w:rPr>
                      <w:b/>
                      <w:bCs/>
                      <w:sz w:val="20"/>
                      <w:szCs w:val="20"/>
                    </w:rPr>
                  </w:pPr>
                  <w:r w:rsidRPr="00231166">
                    <w:rPr>
                      <w:b/>
                      <w:bCs/>
                      <w:sz w:val="20"/>
                      <w:szCs w:val="20"/>
                    </w:rPr>
                    <w:t>1 006 618.00</w:t>
                  </w:r>
                </w:p>
              </w:tc>
            </w:tr>
          </w:tbl>
          <w:p w:rsidR="00826316" w:rsidRDefault="00826316" w:rsidP="00533AD1">
            <w:pPr>
              <w:pStyle w:val="naisf"/>
              <w:tabs>
                <w:tab w:val="left" w:pos="4644"/>
              </w:tabs>
              <w:spacing w:before="0" w:after="0"/>
              <w:ind w:firstLine="0"/>
              <w:rPr>
                <w:b/>
                <w:i/>
              </w:rPr>
            </w:pPr>
          </w:p>
          <w:p w:rsidR="00826316" w:rsidRDefault="00826316" w:rsidP="00533AD1">
            <w:pPr>
              <w:pStyle w:val="naisf"/>
              <w:tabs>
                <w:tab w:val="left" w:pos="4644"/>
              </w:tabs>
              <w:spacing w:before="0" w:after="0"/>
              <w:ind w:firstLine="0"/>
              <w:rPr>
                <w:b/>
                <w:i/>
              </w:rPr>
            </w:pPr>
            <w:r>
              <w:rPr>
                <w:b/>
                <w:i/>
                <w:sz w:val="22"/>
                <w:szCs w:val="22"/>
              </w:rPr>
              <w:t xml:space="preserve">Tiesu darbinieku veselības apdrošināšanai (Tieslietu ministrijas apakšprogramma 36.04.00) 253 500 Ls </w:t>
            </w:r>
          </w:p>
          <w:p w:rsidR="00826316" w:rsidRDefault="00826316" w:rsidP="00533AD1">
            <w:pPr>
              <w:pStyle w:val="naisf"/>
              <w:tabs>
                <w:tab w:val="left" w:pos="4644"/>
              </w:tabs>
              <w:spacing w:before="0" w:after="0"/>
              <w:ind w:firstLine="0"/>
              <w:rPr>
                <w:i/>
              </w:rPr>
            </w:pPr>
            <w:r w:rsidRPr="00CA62C3">
              <w:rPr>
                <w:i/>
                <w:sz w:val="22"/>
                <w:szCs w:val="22"/>
              </w:rPr>
              <w:t>1690 tiesu darbinieki x 150 Ls = 253</w:t>
            </w:r>
            <w:r>
              <w:rPr>
                <w:i/>
                <w:sz w:val="22"/>
                <w:szCs w:val="22"/>
              </w:rPr>
              <w:t> </w:t>
            </w:r>
            <w:r w:rsidRPr="00CA62C3">
              <w:rPr>
                <w:i/>
                <w:sz w:val="22"/>
                <w:szCs w:val="22"/>
              </w:rPr>
              <w:t>500</w:t>
            </w:r>
            <w:r>
              <w:rPr>
                <w:i/>
                <w:sz w:val="22"/>
                <w:szCs w:val="22"/>
              </w:rPr>
              <w:t xml:space="preserve"> Ls</w:t>
            </w:r>
          </w:p>
          <w:p w:rsidR="00826316" w:rsidRDefault="00826316" w:rsidP="00533AD1">
            <w:pPr>
              <w:pStyle w:val="naisf"/>
              <w:tabs>
                <w:tab w:val="left" w:pos="4644"/>
              </w:tabs>
              <w:spacing w:before="0" w:after="0"/>
              <w:ind w:firstLine="0"/>
              <w:rPr>
                <w:i/>
              </w:rPr>
            </w:pPr>
          </w:p>
          <w:p w:rsidR="00826316" w:rsidRDefault="00826316" w:rsidP="00533AD1">
            <w:pPr>
              <w:pStyle w:val="naisf"/>
              <w:tabs>
                <w:tab w:val="left" w:pos="4644"/>
              </w:tabs>
              <w:spacing w:before="0" w:after="0"/>
              <w:ind w:firstLine="0"/>
              <w:rPr>
                <w:b/>
              </w:rPr>
            </w:pPr>
          </w:p>
          <w:p w:rsidR="00826316" w:rsidRDefault="00826316" w:rsidP="00533AD1">
            <w:pPr>
              <w:pStyle w:val="naisf"/>
              <w:tabs>
                <w:tab w:val="left" w:pos="4644"/>
              </w:tabs>
              <w:spacing w:before="0" w:after="0"/>
              <w:ind w:firstLine="0"/>
              <w:rPr>
                <w:b/>
              </w:rPr>
            </w:pPr>
            <w:r>
              <w:rPr>
                <w:b/>
              </w:rPr>
              <w:t xml:space="preserve">2013. gadā </w:t>
            </w:r>
            <w:r w:rsidRPr="004A708F">
              <w:rPr>
                <w:b/>
              </w:rPr>
              <w:t>un turpmāk</w:t>
            </w:r>
            <w:r>
              <w:rPr>
                <w:b/>
              </w:rPr>
              <w:t xml:space="preserve"> ieņēmumi 4 147 686 Ls</w:t>
            </w:r>
            <w:r w:rsidRPr="004A708F">
              <w:rPr>
                <w:b/>
              </w:rPr>
              <w:t xml:space="preserve"> </w:t>
            </w:r>
            <w:r>
              <w:rPr>
                <w:b/>
              </w:rPr>
              <w:t>apmērā (</w:t>
            </w:r>
            <w:r w:rsidRPr="004A708F">
              <w:rPr>
                <w:b/>
              </w:rPr>
              <w:t>nodevu palielinājums salīdzinājumā ar 2012.</w:t>
            </w:r>
            <w:r>
              <w:rPr>
                <w:b/>
              </w:rPr>
              <w:t> </w:t>
            </w:r>
            <w:r w:rsidRPr="004A708F">
              <w:rPr>
                <w:b/>
              </w:rPr>
              <w:t>gadu 1 546 573 Ls</w:t>
            </w:r>
            <w:r>
              <w:rPr>
                <w:b/>
              </w:rPr>
              <w:t>).</w:t>
            </w:r>
          </w:p>
          <w:p w:rsidR="00826316" w:rsidRPr="00CA62C3" w:rsidRDefault="00826316" w:rsidP="00533AD1">
            <w:pPr>
              <w:pStyle w:val="naisf"/>
              <w:tabs>
                <w:tab w:val="left" w:pos="4644"/>
              </w:tabs>
              <w:spacing w:before="0" w:after="0"/>
              <w:ind w:firstLine="0"/>
              <w:rPr>
                <w:i/>
              </w:rPr>
            </w:pPr>
            <w:r>
              <w:rPr>
                <w:b/>
              </w:rPr>
              <w:t xml:space="preserve">2013.gadā un turpmāk izdevumi 1 345 176 Ls (izdevumu </w:t>
            </w:r>
            <w:r w:rsidRPr="004A708F">
              <w:rPr>
                <w:b/>
              </w:rPr>
              <w:t>palielinājums V</w:t>
            </w:r>
            <w:r>
              <w:rPr>
                <w:b/>
              </w:rPr>
              <w:t xml:space="preserve">alsts tiesu ekspertīžu birojam </w:t>
            </w:r>
            <w:r w:rsidRPr="004A708F">
              <w:rPr>
                <w:b/>
              </w:rPr>
              <w:t>85</w:t>
            </w:r>
            <w:r>
              <w:rPr>
                <w:b/>
              </w:rPr>
              <w:t> </w:t>
            </w:r>
            <w:r w:rsidRPr="004A708F">
              <w:rPr>
                <w:b/>
              </w:rPr>
              <w:t>058</w:t>
            </w:r>
            <w:r>
              <w:rPr>
                <w:b/>
              </w:rPr>
              <w:t xml:space="preserve"> Ls, </w:t>
            </w:r>
            <w:r w:rsidRPr="004A708F">
              <w:rPr>
                <w:b/>
              </w:rPr>
              <w:t xml:space="preserve"> </w:t>
            </w:r>
            <w:r>
              <w:rPr>
                <w:b/>
              </w:rPr>
              <w:t xml:space="preserve">Tiesām </w:t>
            </w:r>
            <w:r w:rsidRPr="004A708F">
              <w:rPr>
                <w:b/>
              </w:rPr>
              <w:t xml:space="preserve">1 260 118 </w:t>
            </w:r>
            <w:r>
              <w:rPr>
                <w:b/>
              </w:rPr>
              <w:t>Ls</w:t>
            </w:r>
            <w:r w:rsidRPr="004A708F">
              <w:rPr>
                <w:b/>
              </w:rPr>
              <w:t>)</w:t>
            </w:r>
          </w:p>
        </w:tc>
      </w:tr>
      <w:tr w:rsidR="00826316" w:rsidRPr="007C0F2C" w:rsidTr="00533AD1">
        <w:trPr>
          <w:jc w:val="center"/>
        </w:trPr>
        <w:tc>
          <w:tcPr>
            <w:tcW w:w="3324" w:type="dxa"/>
          </w:tcPr>
          <w:p w:rsidR="00826316" w:rsidRPr="007C0F2C" w:rsidRDefault="00826316" w:rsidP="00533AD1">
            <w:pPr>
              <w:jc w:val="both"/>
            </w:pPr>
            <w:r w:rsidRPr="007C0F2C">
              <w:rPr>
                <w:sz w:val="22"/>
                <w:szCs w:val="22"/>
              </w:rPr>
              <w:t>7. Cita informācija</w:t>
            </w:r>
          </w:p>
        </w:tc>
        <w:tc>
          <w:tcPr>
            <w:tcW w:w="6800" w:type="dxa"/>
            <w:gridSpan w:val="5"/>
          </w:tcPr>
          <w:p w:rsidR="00E711C1" w:rsidRDefault="00E711C1" w:rsidP="00E711C1">
            <w:pPr>
              <w:pStyle w:val="naisf"/>
              <w:ind w:firstLine="0"/>
            </w:pPr>
            <w:r>
              <w:t>Ministru kabinets 2012.gada 16.augusta sēdē a</w:t>
            </w:r>
            <w:r w:rsidRPr="00E711C1">
              <w:t>tbalstī</w:t>
            </w:r>
            <w:r>
              <w:t>ja</w:t>
            </w:r>
            <w:r w:rsidRPr="00E711C1">
              <w:t xml:space="preserve"> Tieslietu ministrijas priekšlikumu palielināt valsts pamatbudžetā iemaksājamo ieņēmumu no nodevas par darbību veikšanu tiesu iestādēs prognozi 2013.-2015.gadā par 1 546 573 latiem katru gadu, un paredzēt Tieslietu ministrijai papildu izdevumus no dotācijas no vispārējiem ieņēmumiem 2013.-2015.gadam  1 345 176  latu apmērā katru gadu, tai skaitā 1 260 118 latu apmērā tiesu darbinieku mēnešalgas palielināšanai par 40 latiem un tiesu darbinieku veselības apdrošināšanas nodrošināšanai, un 85 058 latu apmērā Valsts tiesu ekspertīžu biroja kapacitātes paaugstināšanai, nodrošinot 40 stundu darba nedēļu tiesu ekspertīžu veikšanas paātrināšanai. </w:t>
            </w:r>
          </w:p>
          <w:p w:rsidR="002566E2" w:rsidRPr="00E711C1" w:rsidRDefault="00E711C1" w:rsidP="00E711C1">
            <w:pPr>
              <w:pStyle w:val="naisf"/>
              <w:ind w:firstLine="0"/>
            </w:pPr>
            <w:r>
              <w:t>Kā arī p</w:t>
            </w:r>
            <w:r w:rsidRPr="00E711C1">
              <w:t>ieņ</w:t>
            </w:r>
            <w:r>
              <w:t>ēma</w:t>
            </w:r>
            <w:r w:rsidRPr="00E711C1">
              <w:t xml:space="preserve"> zināšanai, ka valsts pamatbudžeta ieņēmumu un izdevumu palielinājums veido pozitīvu finansiālo ietekmi uz valsts budžetu 2013.-2015.gadā 201 397 latu katru gadu, kas tiek novirzīts Tieslietu ministrijas prioritārā pasākuma ”Ieslodzījuma vietu pārvaldes darbības nodrošināšana” daļējai finansēšanai.</w:t>
            </w:r>
          </w:p>
        </w:tc>
      </w:tr>
    </w:tbl>
    <w:p w:rsidR="00367F47" w:rsidRPr="00DF6E1A" w:rsidRDefault="00367F47" w:rsidP="00367F47">
      <w:pPr>
        <w:pStyle w:val="naiskr"/>
        <w:tabs>
          <w:tab w:val="left" w:pos="2628"/>
        </w:tabs>
        <w:spacing w:before="0" w:after="0"/>
        <w:rPr>
          <w:i/>
          <w:sz w:val="28"/>
          <w:szCs w:val="28"/>
          <w:highlight w:val="yellow"/>
        </w:rPr>
      </w:pPr>
    </w:p>
    <w:tbl>
      <w:tblPr>
        <w:tblW w:w="9868"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9868"/>
      </w:tblGrid>
      <w:tr w:rsidR="00CE1B53" w:rsidRPr="00DF6E1A" w:rsidTr="00E929AD">
        <w:trPr>
          <w:jc w:val="center"/>
        </w:trPr>
        <w:tc>
          <w:tcPr>
            <w:tcW w:w="9868" w:type="dxa"/>
          </w:tcPr>
          <w:p w:rsidR="00CE1B53" w:rsidRPr="00DF6E1A" w:rsidRDefault="00CE1B53" w:rsidP="00E929AD">
            <w:pPr>
              <w:pStyle w:val="naisnod"/>
              <w:spacing w:before="0" w:after="0"/>
              <w:rPr>
                <w:sz w:val="28"/>
                <w:szCs w:val="28"/>
              </w:rPr>
            </w:pPr>
            <w:r w:rsidRPr="00DF6E1A">
              <w:rPr>
                <w:sz w:val="28"/>
                <w:szCs w:val="28"/>
              </w:rPr>
              <w:t>IV. Tiesību akta projekta ietekme uz spēkā esošo tiesību normu sistēmu</w:t>
            </w:r>
          </w:p>
        </w:tc>
      </w:tr>
      <w:tr w:rsidR="00CE1B53" w:rsidRPr="00DF6E1A" w:rsidTr="00E929AD">
        <w:trPr>
          <w:jc w:val="center"/>
        </w:trPr>
        <w:tc>
          <w:tcPr>
            <w:tcW w:w="9868" w:type="dxa"/>
          </w:tcPr>
          <w:p w:rsidR="00CE1B53" w:rsidRPr="00DF6E1A" w:rsidRDefault="00CE1B53" w:rsidP="00E929AD">
            <w:pPr>
              <w:jc w:val="center"/>
              <w:rPr>
                <w:sz w:val="28"/>
                <w:szCs w:val="28"/>
              </w:rPr>
            </w:pPr>
            <w:r w:rsidRPr="00DF6E1A">
              <w:rPr>
                <w:sz w:val="28"/>
                <w:szCs w:val="28"/>
              </w:rPr>
              <w:t>Projekts šo jomu neskar</w:t>
            </w:r>
          </w:p>
        </w:tc>
      </w:tr>
    </w:tbl>
    <w:p w:rsidR="00CE1B53" w:rsidRPr="00DF6E1A" w:rsidRDefault="00CE1B53" w:rsidP="00CE1B53">
      <w:pPr>
        <w:ind w:firstLine="720"/>
        <w:jc w:val="both"/>
        <w:rPr>
          <w:sz w:val="28"/>
          <w:szCs w:val="28"/>
          <w:highlight w:val="yellow"/>
        </w:rPr>
      </w:pPr>
    </w:p>
    <w:tbl>
      <w:tblPr>
        <w:tblW w:w="9924" w:type="dxa"/>
        <w:tblInd w:w="-36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9924"/>
      </w:tblGrid>
      <w:tr w:rsidR="00CE1B53" w:rsidRPr="00DF6E1A" w:rsidTr="00E929AD">
        <w:tc>
          <w:tcPr>
            <w:tcW w:w="9924" w:type="dxa"/>
            <w:tcBorders>
              <w:top w:val="outset" w:sz="6" w:space="0" w:color="auto"/>
              <w:left w:val="outset" w:sz="6" w:space="0" w:color="auto"/>
              <w:bottom w:val="outset" w:sz="6" w:space="0" w:color="auto"/>
              <w:right w:val="outset" w:sz="6" w:space="0" w:color="auto"/>
            </w:tcBorders>
            <w:vAlign w:val="center"/>
          </w:tcPr>
          <w:p w:rsidR="00CE1B53" w:rsidRPr="00DF6E1A" w:rsidRDefault="00CE1B53" w:rsidP="00E929AD">
            <w:pPr>
              <w:jc w:val="center"/>
              <w:rPr>
                <w:b/>
                <w:sz w:val="28"/>
                <w:szCs w:val="28"/>
              </w:rPr>
            </w:pPr>
            <w:r w:rsidRPr="00DF6E1A">
              <w:rPr>
                <w:b/>
                <w:sz w:val="28"/>
                <w:szCs w:val="28"/>
              </w:rPr>
              <w:t>V. Tiesību akta projekta atbilstība Latvijas Republikas starptautiskajām saistībām</w:t>
            </w:r>
          </w:p>
        </w:tc>
      </w:tr>
      <w:tr w:rsidR="00CE1B53" w:rsidRPr="00DF6E1A" w:rsidTr="00E929AD">
        <w:tc>
          <w:tcPr>
            <w:tcW w:w="9924" w:type="dxa"/>
            <w:tcBorders>
              <w:top w:val="outset" w:sz="6" w:space="0" w:color="auto"/>
              <w:left w:val="outset" w:sz="6" w:space="0" w:color="auto"/>
              <w:bottom w:val="outset" w:sz="6" w:space="0" w:color="auto"/>
              <w:right w:val="outset" w:sz="6" w:space="0" w:color="auto"/>
            </w:tcBorders>
          </w:tcPr>
          <w:p w:rsidR="00CE1B53" w:rsidRPr="00DF6E1A" w:rsidRDefault="00CE1B53" w:rsidP="00E929AD">
            <w:pPr>
              <w:pStyle w:val="naisf"/>
              <w:tabs>
                <w:tab w:val="left" w:pos="4644"/>
              </w:tabs>
              <w:spacing w:before="0" w:after="0"/>
              <w:ind w:firstLine="0"/>
              <w:jc w:val="center"/>
              <w:rPr>
                <w:sz w:val="28"/>
                <w:szCs w:val="28"/>
              </w:rPr>
            </w:pPr>
            <w:r w:rsidRPr="00DF6E1A">
              <w:rPr>
                <w:sz w:val="28"/>
                <w:szCs w:val="28"/>
              </w:rPr>
              <w:t>Projekts šo jomu neskar</w:t>
            </w:r>
          </w:p>
        </w:tc>
      </w:tr>
    </w:tbl>
    <w:p w:rsidR="00CE1B53" w:rsidRPr="00DF6E1A" w:rsidRDefault="00CE1B53" w:rsidP="00CE1B53">
      <w:pPr>
        <w:pStyle w:val="naisf"/>
        <w:spacing w:before="0" w:after="0"/>
        <w:jc w:val="center"/>
        <w:rPr>
          <w:b/>
          <w:sz w:val="28"/>
          <w:szCs w:val="28"/>
          <w:highlight w:val="yellow"/>
        </w:rPr>
      </w:pPr>
    </w:p>
    <w:tbl>
      <w:tblPr>
        <w:tblW w:w="990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909"/>
      </w:tblGrid>
      <w:tr w:rsidR="00CE1B53" w:rsidRPr="00DF6E1A" w:rsidTr="00E929AD">
        <w:trPr>
          <w:jc w:val="center"/>
        </w:trPr>
        <w:tc>
          <w:tcPr>
            <w:tcW w:w="9909" w:type="dxa"/>
          </w:tcPr>
          <w:p w:rsidR="00CE1B53" w:rsidRPr="00DF6E1A" w:rsidRDefault="00CE1B53" w:rsidP="00CE1B53">
            <w:pPr>
              <w:pStyle w:val="naisnod"/>
              <w:spacing w:before="0" w:after="0"/>
              <w:ind w:left="57" w:right="57"/>
              <w:rPr>
                <w:sz w:val="28"/>
                <w:szCs w:val="28"/>
              </w:rPr>
            </w:pPr>
            <w:r w:rsidRPr="00DF6E1A">
              <w:rPr>
                <w:sz w:val="28"/>
                <w:szCs w:val="28"/>
              </w:rPr>
              <w:t>VI. Sabiedrības līdzdalība un šīs līdzdalības rezultāti</w:t>
            </w:r>
          </w:p>
        </w:tc>
      </w:tr>
      <w:tr w:rsidR="00CE1B53" w:rsidRPr="00DF6E1A" w:rsidTr="00CE1B53">
        <w:trPr>
          <w:trHeight w:val="255"/>
          <w:jc w:val="center"/>
        </w:trPr>
        <w:tc>
          <w:tcPr>
            <w:tcW w:w="9909" w:type="dxa"/>
          </w:tcPr>
          <w:p w:rsidR="00CE1B53" w:rsidRPr="00DF6E1A" w:rsidRDefault="00CE1B53" w:rsidP="00CE1B53">
            <w:pPr>
              <w:pStyle w:val="naiskr"/>
              <w:spacing w:before="0" w:after="0"/>
              <w:ind w:right="57"/>
              <w:jc w:val="center"/>
              <w:rPr>
                <w:sz w:val="28"/>
                <w:szCs w:val="28"/>
              </w:rPr>
            </w:pPr>
            <w:r w:rsidRPr="00DF6E1A">
              <w:rPr>
                <w:sz w:val="28"/>
                <w:szCs w:val="28"/>
              </w:rPr>
              <w:t>Projekts šo jomu neskar</w:t>
            </w:r>
          </w:p>
        </w:tc>
      </w:tr>
    </w:tbl>
    <w:p w:rsidR="00D36D0D" w:rsidRPr="00DF6E1A" w:rsidRDefault="00D36D0D" w:rsidP="00367F47">
      <w:pPr>
        <w:pStyle w:val="naisf"/>
        <w:spacing w:before="0" w:after="0"/>
        <w:rPr>
          <w:sz w:val="28"/>
          <w:szCs w:val="28"/>
          <w:highlight w:val="yellow"/>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4398"/>
        <w:gridCol w:w="5100"/>
      </w:tblGrid>
      <w:tr w:rsidR="00367F47" w:rsidRPr="00DF6E1A" w:rsidTr="00533AD1">
        <w:tc>
          <w:tcPr>
            <w:tcW w:w="9924" w:type="dxa"/>
            <w:gridSpan w:val="3"/>
            <w:tcBorders>
              <w:top w:val="single" w:sz="4" w:space="0" w:color="auto"/>
            </w:tcBorders>
          </w:tcPr>
          <w:p w:rsidR="00367F47" w:rsidRPr="00DF6E1A" w:rsidRDefault="00367F47" w:rsidP="00533AD1">
            <w:pPr>
              <w:pStyle w:val="naisnod"/>
              <w:spacing w:before="0" w:after="0"/>
              <w:ind w:left="57" w:right="57"/>
              <w:rPr>
                <w:sz w:val="28"/>
                <w:szCs w:val="28"/>
              </w:rPr>
            </w:pPr>
            <w:r w:rsidRPr="00DF6E1A">
              <w:rPr>
                <w:sz w:val="28"/>
                <w:szCs w:val="28"/>
              </w:rPr>
              <w:t>VII. Tiesību akta projekta izpildes nodrošināšana un tās ietekme uz institūcijām</w:t>
            </w:r>
          </w:p>
          <w:p w:rsidR="00D36D0D" w:rsidRPr="00DF6E1A" w:rsidRDefault="00D36D0D" w:rsidP="00533AD1">
            <w:pPr>
              <w:pStyle w:val="naisnod"/>
              <w:spacing w:before="0" w:after="0"/>
              <w:ind w:left="57" w:right="57"/>
              <w:rPr>
                <w:sz w:val="28"/>
                <w:szCs w:val="28"/>
              </w:rPr>
            </w:pPr>
          </w:p>
        </w:tc>
      </w:tr>
      <w:tr w:rsidR="00367F47" w:rsidRPr="00DF6E1A" w:rsidTr="00533AD1">
        <w:trPr>
          <w:trHeight w:val="427"/>
        </w:trPr>
        <w:tc>
          <w:tcPr>
            <w:tcW w:w="426" w:type="dxa"/>
          </w:tcPr>
          <w:p w:rsidR="00367F47" w:rsidRPr="00DF6E1A" w:rsidRDefault="00367F47" w:rsidP="00533AD1">
            <w:pPr>
              <w:pStyle w:val="naisnod"/>
              <w:spacing w:before="0" w:after="0"/>
              <w:ind w:left="57" w:right="57"/>
              <w:jc w:val="left"/>
              <w:rPr>
                <w:b w:val="0"/>
                <w:sz w:val="28"/>
                <w:szCs w:val="28"/>
              </w:rPr>
            </w:pPr>
            <w:r w:rsidRPr="00DF6E1A">
              <w:rPr>
                <w:b w:val="0"/>
                <w:sz w:val="28"/>
                <w:szCs w:val="28"/>
              </w:rPr>
              <w:t>1.</w:t>
            </w:r>
          </w:p>
        </w:tc>
        <w:tc>
          <w:tcPr>
            <w:tcW w:w="4398" w:type="dxa"/>
          </w:tcPr>
          <w:p w:rsidR="00367F47" w:rsidRPr="00DF6E1A" w:rsidRDefault="00367F47" w:rsidP="00533AD1">
            <w:pPr>
              <w:pStyle w:val="naisf"/>
              <w:spacing w:before="0" w:after="0"/>
              <w:ind w:left="57" w:right="57" w:firstLine="0"/>
              <w:jc w:val="left"/>
              <w:rPr>
                <w:sz w:val="28"/>
                <w:szCs w:val="28"/>
              </w:rPr>
            </w:pPr>
            <w:r w:rsidRPr="00DF6E1A">
              <w:rPr>
                <w:sz w:val="28"/>
                <w:szCs w:val="28"/>
              </w:rPr>
              <w:t xml:space="preserve">Projekta izpildē iesaistītās institūcijas </w:t>
            </w:r>
          </w:p>
        </w:tc>
        <w:tc>
          <w:tcPr>
            <w:tcW w:w="5100" w:type="dxa"/>
          </w:tcPr>
          <w:p w:rsidR="00D36D0D" w:rsidRDefault="00367F47" w:rsidP="00B96743">
            <w:pPr>
              <w:pStyle w:val="naisnod"/>
              <w:spacing w:before="0" w:after="0"/>
              <w:ind w:left="57" w:right="57"/>
              <w:jc w:val="both"/>
              <w:rPr>
                <w:b w:val="0"/>
                <w:iCs/>
                <w:sz w:val="28"/>
                <w:szCs w:val="28"/>
              </w:rPr>
            </w:pPr>
            <w:r w:rsidRPr="00DF6E1A">
              <w:rPr>
                <w:b w:val="0"/>
                <w:iCs/>
                <w:sz w:val="28"/>
                <w:szCs w:val="28"/>
              </w:rPr>
              <w:t>Projekta izpildi nodrošinās Tiesu administrācija un tiesas.</w:t>
            </w:r>
          </w:p>
          <w:p w:rsidR="002566E2" w:rsidRPr="00DF6E1A" w:rsidRDefault="002566E2" w:rsidP="00B96743">
            <w:pPr>
              <w:pStyle w:val="naisnod"/>
              <w:spacing w:before="0" w:after="0"/>
              <w:ind w:left="57" w:right="57"/>
              <w:jc w:val="both"/>
              <w:rPr>
                <w:b w:val="0"/>
                <w:sz w:val="28"/>
                <w:szCs w:val="28"/>
              </w:rPr>
            </w:pPr>
          </w:p>
        </w:tc>
      </w:tr>
      <w:tr w:rsidR="00367F47" w:rsidRPr="00DF6E1A" w:rsidTr="00533AD1">
        <w:trPr>
          <w:trHeight w:val="327"/>
        </w:trPr>
        <w:tc>
          <w:tcPr>
            <w:tcW w:w="426" w:type="dxa"/>
            <w:shd w:val="clear" w:color="auto" w:fill="auto"/>
          </w:tcPr>
          <w:p w:rsidR="00367F47" w:rsidRPr="00DF6E1A" w:rsidRDefault="00367F47" w:rsidP="00533AD1">
            <w:pPr>
              <w:pStyle w:val="naisnod"/>
              <w:spacing w:before="0" w:after="0"/>
              <w:ind w:left="57" w:right="57"/>
              <w:jc w:val="left"/>
              <w:rPr>
                <w:b w:val="0"/>
                <w:sz w:val="28"/>
                <w:szCs w:val="28"/>
              </w:rPr>
            </w:pPr>
            <w:r w:rsidRPr="00DF6E1A">
              <w:rPr>
                <w:b w:val="0"/>
                <w:sz w:val="28"/>
                <w:szCs w:val="28"/>
              </w:rPr>
              <w:t>2.</w:t>
            </w:r>
          </w:p>
        </w:tc>
        <w:tc>
          <w:tcPr>
            <w:tcW w:w="4398" w:type="dxa"/>
            <w:shd w:val="clear" w:color="auto" w:fill="auto"/>
          </w:tcPr>
          <w:p w:rsidR="00367F47" w:rsidRPr="00DF6E1A" w:rsidRDefault="00367F47" w:rsidP="00533AD1">
            <w:pPr>
              <w:pStyle w:val="naisf"/>
              <w:spacing w:before="0" w:after="0"/>
              <w:ind w:left="57" w:right="57" w:firstLine="0"/>
              <w:jc w:val="left"/>
              <w:rPr>
                <w:sz w:val="28"/>
                <w:szCs w:val="28"/>
              </w:rPr>
            </w:pPr>
            <w:r w:rsidRPr="00DF6E1A">
              <w:rPr>
                <w:sz w:val="28"/>
                <w:szCs w:val="28"/>
              </w:rPr>
              <w:t xml:space="preserve">Projekta izpildes ietekme uz pārvaldes funkcijām </w:t>
            </w:r>
          </w:p>
        </w:tc>
        <w:tc>
          <w:tcPr>
            <w:tcW w:w="5100" w:type="dxa"/>
          </w:tcPr>
          <w:p w:rsidR="00367F47" w:rsidRPr="00DF6E1A" w:rsidRDefault="00367F47" w:rsidP="00533AD1">
            <w:pPr>
              <w:pStyle w:val="naisnod"/>
              <w:spacing w:before="0" w:after="0"/>
              <w:ind w:right="57"/>
              <w:jc w:val="both"/>
              <w:rPr>
                <w:b w:val="0"/>
                <w:sz w:val="28"/>
                <w:szCs w:val="28"/>
              </w:rPr>
            </w:pPr>
            <w:r w:rsidRPr="00DF6E1A">
              <w:rPr>
                <w:b w:val="0"/>
                <w:iCs/>
                <w:sz w:val="28"/>
                <w:szCs w:val="28"/>
              </w:rPr>
              <w:t>Projekts šo jomu neskar.</w:t>
            </w:r>
          </w:p>
        </w:tc>
      </w:tr>
      <w:tr w:rsidR="00367F47" w:rsidRPr="00DF6E1A" w:rsidTr="00533AD1">
        <w:trPr>
          <w:trHeight w:val="725"/>
        </w:trPr>
        <w:tc>
          <w:tcPr>
            <w:tcW w:w="426" w:type="dxa"/>
          </w:tcPr>
          <w:p w:rsidR="00367F47" w:rsidRPr="00DF6E1A" w:rsidRDefault="00367F47" w:rsidP="00533AD1">
            <w:pPr>
              <w:pStyle w:val="naisnod"/>
              <w:spacing w:before="0" w:after="0"/>
              <w:ind w:left="57" w:right="57"/>
              <w:jc w:val="left"/>
              <w:rPr>
                <w:b w:val="0"/>
                <w:sz w:val="28"/>
                <w:szCs w:val="28"/>
              </w:rPr>
            </w:pPr>
            <w:r w:rsidRPr="00DF6E1A">
              <w:rPr>
                <w:b w:val="0"/>
                <w:sz w:val="28"/>
                <w:szCs w:val="28"/>
              </w:rPr>
              <w:t>3.</w:t>
            </w:r>
          </w:p>
        </w:tc>
        <w:tc>
          <w:tcPr>
            <w:tcW w:w="4398" w:type="dxa"/>
          </w:tcPr>
          <w:p w:rsidR="00367F47" w:rsidRPr="00DF6E1A" w:rsidRDefault="00367F47" w:rsidP="00533AD1">
            <w:pPr>
              <w:pStyle w:val="naisf"/>
              <w:spacing w:before="0" w:after="0"/>
              <w:ind w:left="57" w:right="57" w:firstLine="0"/>
              <w:jc w:val="left"/>
              <w:rPr>
                <w:sz w:val="28"/>
                <w:szCs w:val="28"/>
              </w:rPr>
            </w:pPr>
            <w:r w:rsidRPr="00DF6E1A">
              <w:rPr>
                <w:sz w:val="28"/>
                <w:szCs w:val="28"/>
              </w:rPr>
              <w:t>Projekta izpildes ietekme uz pārvaldes institucionālo struktūru.</w:t>
            </w:r>
          </w:p>
          <w:p w:rsidR="00367F47" w:rsidRPr="00DF6E1A" w:rsidRDefault="00367F47" w:rsidP="00533AD1">
            <w:pPr>
              <w:pStyle w:val="naisf"/>
              <w:spacing w:before="0" w:after="0"/>
              <w:ind w:left="57" w:right="57" w:firstLine="0"/>
              <w:jc w:val="left"/>
              <w:rPr>
                <w:sz w:val="28"/>
                <w:szCs w:val="28"/>
              </w:rPr>
            </w:pPr>
            <w:r w:rsidRPr="00DF6E1A">
              <w:rPr>
                <w:sz w:val="28"/>
                <w:szCs w:val="28"/>
              </w:rPr>
              <w:t>Jaunu institūciju izveide</w:t>
            </w:r>
          </w:p>
        </w:tc>
        <w:tc>
          <w:tcPr>
            <w:tcW w:w="5100" w:type="dxa"/>
          </w:tcPr>
          <w:p w:rsidR="00367F47" w:rsidRPr="00DF6E1A" w:rsidRDefault="00367F47" w:rsidP="00533AD1">
            <w:pPr>
              <w:pStyle w:val="naisnod"/>
              <w:spacing w:before="0" w:after="0"/>
              <w:ind w:left="57" w:right="57"/>
              <w:jc w:val="both"/>
              <w:rPr>
                <w:b w:val="0"/>
                <w:sz w:val="28"/>
                <w:szCs w:val="28"/>
              </w:rPr>
            </w:pPr>
            <w:r w:rsidRPr="00DF6E1A">
              <w:rPr>
                <w:b w:val="0"/>
                <w:iCs/>
                <w:sz w:val="28"/>
                <w:szCs w:val="28"/>
              </w:rPr>
              <w:t>Projekts neparedz veidot jaunas valsts institūcijas.</w:t>
            </w:r>
          </w:p>
        </w:tc>
      </w:tr>
      <w:tr w:rsidR="00367F47" w:rsidRPr="00DF6E1A" w:rsidTr="00533AD1">
        <w:trPr>
          <w:trHeight w:val="780"/>
        </w:trPr>
        <w:tc>
          <w:tcPr>
            <w:tcW w:w="426" w:type="dxa"/>
          </w:tcPr>
          <w:p w:rsidR="00367F47" w:rsidRPr="00DF6E1A" w:rsidRDefault="00367F47" w:rsidP="00533AD1">
            <w:pPr>
              <w:pStyle w:val="naisnod"/>
              <w:spacing w:before="0" w:after="0"/>
              <w:ind w:left="57" w:right="57"/>
              <w:jc w:val="left"/>
              <w:rPr>
                <w:b w:val="0"/>
                <w:sz w:val="28"/>
                <w:szCs w:val="28"/>
              </w:rPr>
            </w:pPr>
            <w:r w:rsidRPr="00DF6E1A">
              <w:rPr>
                <w:b w:val="0"/>
                <w:sz w:val="28"/>
                <w:szCs w:val="28"/>
              </w:rPr>
              <w:t>4.</w:t>
            </w:r>
          </w:p>
        </w:tc>
        <w:tc>
          <w:tcPr>
            <w:tcW w:w="4398" w:type="dxa"/>
          </w:tcPr>
          <w:p w:rsidR="00367F47" w:rsidRPr="00DF6E1A" w:rsidRDefault="00367F47" w:rsidP="00533AD1">
            <w:pPr>
              <w:pStyle w:val="naisf"/>
              <w:spacing w:before="0" w:after="0"/>
              <w:ind w:left="57" w:right="57" w:firstLine="0"/>
              <w:jc w:val="left"/>
              <w:rPr>
                <w:sz w:val="28"/>
                <w:szCs w:val="28"/>
              </w:rPr>
            </w:pPr>
            <w:r w:rsidRPr="00DF6E1A">
              <w:rPr>
                <w:sz w:val="28"/>
                <w:szCs w:val="28"/>
              </w:rPr>
              <w:t>Projekta izpildes ietekme uz pārvaldes institucionālo struktūru.</w:t>
            </w:r>
          </w:p>
          <w:p w:rsidR="00367F47" w:rsidRPr="00DF6E1A" w:rsidRDefault="00367F47" w:rsidP="00533AD1">
            <w:pPr>
              <w:pStyle w:val="naisf"/>
              <w:spacing w:before="0" w:after="0"/>
              <w:ind w:left="57" w:right="57" w:firstLine="0"/>
              <w:jc w:val="left"/>
              <w:rPr>
                <w:sz w:val="28"/>
                <w:szCs w:val="28"/>
              </w:rPr>
            </w:pPr>
            <w:r w:rsidRPr="00DF6E1A">
              <w:rPr>
                <w:sz w:val="28"/>
                <w:szCs w:val="28"/>
              </w:rPr>
              <w:t>Esošu institūciju likvidācija</w:t>
            </w:r>
          </w:p>
        </w:tc>
        <w:tc>
          <w:tcPr>
            <w:tcW w:w="5100" w:type="dxa"/>
          </w:tcPr>
          <w:p w:rsidR="00367F47" w:rsidRPr="00DF6E1A" w:rsidRDefault="00367F47" w:rsidP="00533AD1">
            <w:pPr>
              <w:pStyle w:val="naisnod"/>
              <w:spacing w:before="0" w:after="0"/>
              <w:ind w:right="57"/>
              <w:jc w:val="left"/>
              <w:rPr>
                <w:b w:val="0"/>
                <w:sz w:val="28"/>
                <w:szCs w:val="28"/>
              </w:rPr>
            </w:pPr>
            <w:r w:rsidRPr="00DF6E1A">
              <w:rPr>
                <w:b w:val="0"/>
                <w:iCs/>
                <w:sz w:val="28"/>
                <w:szCs w:val="28"/>
              </w:rPr>
              <w:t>Projekts šo jomu neskar.</w:t>
            </w:r>
          </w:p>
        </w:tc>
      </w:tr>
      <w:tr w:rsidR="00367F47" w:rsidRPr="00DF6E1A" w:rsidTr="00533AD1">
        <w:trPr>
          <w:trHeight w:val="703"/>
        </w:trPr>
        <w:tc>
          <w:tcPr>
            <w:tcW w:w="426" w:type="dxa"/>
          </w:tcPr>
          <w:p w:rsidR="00367F47" w:rsidRPr="00DF6E1A" w:rsidRDefault="00367F47" w:rsidP="00533AD1">
            <w:pPr>
              <w:pStyle w:val="naisnod"/>
              <w:spacing w:before="0" w:after="0"/>
              <w:ind w:left="57" w:right="57"/>
              <w:jc w:val="left"/>
              <w:rPr>
                <w:b w:val="0"/>
                <w:sz w:val="28"/>
                <w:szCs w:val="28"/>
              </w:rPr>
            </w:pPr>
            <w:r w:rsidRPr="00DF6E1A">
              <w:rPr>
                <w:b w:val="0"/>
                <w:sz w:val="28"/>
                <w:szCs w:val="28"/>
              </w:rPr>
              <w:t>5.</w:t>
            </w:r>
          </w:p>
        </w:tc>
        <w:tc>
          <w:tcPr>
            <w:tcW w:w="4398" w:type="dxa"/>
          </w:tcPr>
          <w:p w:rsidR="00367F47" w:rsidRPr="00DF6E1A" w:rsidRDefault="00367F47" w:rsidP="00533AD1">
            <w:pPr>
              <w:pStyle w:val="naisf"/>
              <w:spacing w:before="0" w:after="0"/>
              <w:ind w:left="57" w:right="57" w:firstLine="0"/>
              <w:jc w:val="left"/>
              <w:rPr>
                <w:sz w:val="28"/>
                <w:szCs w:val="28"/>
              </w:rPr>
            </w:pPr>
            <w:r w:rsidRPr="00DF6E1A">
              <w:rPr>
                <w:sz w:val="28"/>
                <w:szCs w:val="28"/>
              </w:rPr>
              <w:t>Projekta izpildes ietekme uz pārvaldes institucionālo struktūru.</w:t>
            </w:r>
          </w:p>
          <w:p w:rsidR="00367F47" w:rsidRPr="00DF6E1A" w:rsidRDefault="00367F47" w:rsidP="00533AD1">
            <w:pPr>
              <w:pStyle w:val="naisf"/>
              <w:spacing w:before="0" w:after="0"/>
              <w:ind w:left="57" w:right="57" w:firstLine="0"/>
              <w:jc w:val="left"/>
              <w:rPr>
                <w:sz w:val="28"/>
                <w:szCs w:val="28"/>
              </w:rPr>
            </w:pPr>
            <w:r w:rsidRPr="00DF6E1A">
              <w:rPr>
                <w:sz w:val="28"/>
                <w:szCs w:val="28"/>
              </w:rPr>
              <w:t>Esošu institūciju reorganizācija</w:t>
            </w:r>
          </w:p>
        </w:tc>
        <w:tc>
          <w:tcPr>
            <w:tcW w:w="5100" w:type="dxa"/>
          </w:tcPr>
          <w:p w:rsidR="00367F47" w:rsidRPr="00DF6E1A" w:rsidRDefault="00367F47" w:rsidP="00533AD1">
            <w:pPr>
              <w:pStyle w:val="naisnod"/>
              <w:spacing w:before="0" w:after="0"/>
              <w:ind w:right="57"/>
              <w:jc w:val="left"/>
              <w:rPr>
                <w:b w:val="0"/>
                <w:sz w:val="28"/>
                <w:szCs w:val="28"/>
              </w:rPr>
            </w:pPr>
            <w:r w:rsidRPr="00DF6E1A">
              <w:rPr>
                <w:b w:val="0"/>
                <w:iCs/>
                <w:sz w:val="28"/>
                <w:szCs w:val="28"/>
              </w:rPr>
              <w:t>Projekts šo jomu neskar.</w:t>
            </w:r>
          </w:p>
        </w:tc>
      </w:tr>
      <w:tr w:rsidR="00367F47" w:rsidRPr="00DF6E1A" w:rsidTr="00533AD1">
        <w:trPr>
          <w:trHeight w:val="476"/>
        </w:trPr>
        <w:tc>
          <w:tcPr>
            <w:tcW w:w="426" w:type="dxa"/>
          </w:tcPr>
          <w:p w:rsidR="00367F47" w:rsidRPr="00DF6E1A" w:rsidRDefault="00367F47" w:rsidP="00533AD1">
            <w:pPr>
              <w:pStyle w:val="naiskr"/>
              <w:spacing w:before="0" w:after="0"/>
              <w:ind w:left="57" w:right="57"/>
              <w:rPr>
                <w:sz w:val="28"/>
                <w:szCs w:val="28"/>
              </w:rPr>
            </w:pPr>
            <w:r w:rsidRPr="00DF6E1A">
              <w:rPr>
                <w:sz w:val="28"/>
                <w:szCs w:val="28"/>
              </w:rPr>
              <w:t>6.</w:t>
            </w:r>
          </w:p>
        </w:tc>
        <w:tc>
          <w:tcPr>
            <w:tcW w:w="4398" w:type="dxa"/>
          </w:tcPr>
          <w:p w:rsidR="00367F47" w:rsidRPr="00DF6E1A" w:rsidRDefault="00367F47" w:rsidP="00533AD1">
            <w:pPr>
              <w:pStyle w:val="naiskr"/>
              <w:spacing w:before="0" w:after="0"/>
              <w:ind w:left="57" w:right="57"/>
              <w:rPr>
                <w:sz w:val="28"/>
                <w:szCs w:val="28"/>
              </w:rPr>
            </w:pPr>
            <w:r w:rsidRPr="00DF6E1A">
              <w:rPr>
                <w:sz w:val="28"/>
                <w:szCs w:val="28"/>
              </w:rPr>
              <w:t>Cita informācija</w:t>
            </w:r>
          </w:p>
        </w:tc>
        <w:tc>
          <w:tcPr>
            <w:tcW w:w="5100" w:type="dxa"/>
          </w:tcPr>
          <w:p w:rsidR="00367F47" w:rsidRPr="00DF6E1A" w:rsidRDefault="00367F47" w:rsidP="00533AD1">
            <w:pPr>
              <w:pStyle w:val="naiskr"/>
              <w:spacing w:before="0" w:after="0"/>
              <w:ind w:right="57"/>
              <w:rPr>
                <w:sz w:val="28"/>
                <w:szCs w:val="28"/>
              </w:rPr>
            </w:pPr>
            <w:r w:rsidRPr="00DF6E1A">
              <w:rPr>
                <w:sz w:val="28"/>
                <w:szCs w:val="28"/>
              </w:rPr>
              <w:t>Nav</w:t>
            </w:r>
          </w:p>
        </w:tc>
      </w:tr>
    </w:tbl>
    <w:p w:rsidR="00367F47" w:rsidRDefault="00367F47" w:rsidP="00367F47">
      <w:pPr>
        <w:pStyle w:val="naisf"/>
        <w:tabs>
          <w:tab w:val="left" w:pos="5760"/>
        </w:tabs>
        <w:spacing w:before="0" w:after="0"/>
        <w:ind w:firstLine="720"/>
        <w:rPr>
          <w:sz w:val="26"/>
          <w:szCs w:val="26"/>
          <w:highlight w:val="yellow"/>
        </w:rPr>
      </w:pPr>
    </w:p>
    <w:p w:rsidR="006B5CC6" w:rsidRDefault="006B5CC6" w:rsidP="00367F47">
      <w:pPr>
        <w:pStyle w:val="naisf"/>
        <w:tabs>
          <w:tab w:val="left" w:pos="5760"/>
        </w:tabs>
        <w:spacing w:before="0" w:after="0"/>
        <w:ind w:firstLine="720"/>
        <w:rPr>
          <w:sz w:val="26"/>
          <w:szCs w:val="26"/>
          <w:highlight w:val="yellow"/>
        </w:rPr>
      </w:pPr>
    </w:p>
    <w:p w:rsidR="00367F47" w:rsidRPr="00D36D0D" w:rsidRDefault="00367F47" w:rsidP="00367F47">
      <w:pPr>
        <w:pStyle w:val="naisf"/>
        <w:tabs>
          <w:tab w:val="left" w:pos="6804"/>
        </w:tabs>
        <w:spacing w:before="0" w:after="0"/>
        <w:ind w:firstLine="0"/>
        <w:rPr>
          <w:sz w:val="26"/>
          <w:szCs w:val="26"/>
          <w:highlight w:val="yellow"/>
        </w:rPr>
      </w:pPr>
    </w:p>
    <w:p w:rsidR="00367F47" w:rsidRPr="00BF4CA6" w:rsidRDefault="00367F47" w:rsidP="000C25E6">
      <w:pPr>
        <w:pStyle w:val="naisf"/>
        <w:tabs>
          <w:tab w:val="left" w:pos="6804"/>
        </w:tabs>
        <w:spacing w:before="0" w:after="0"/>
        <w:ind w:firstLine="0"/>
        <w:rPr>
          <w:sz w:val="28"/>
          <w:szCs w:val="28"/>
        </w:rPr>
      </w:pPr>
      <w:r w:rsidRPr="00BF4CA6">
        <w:rPr>
          <w:sz w:val="28"/>
          <w:szCs w:val="28"/>
        </w:rPr>
        <w:t>Tieslietu ministr</w:t>
      </w:r>
      <w:r w:rsidR="00970933" w:rsidRPr="00BF4CA6">
        <w:rPr>
          <w:sz w:val="28"/>
          <w:szCs w:val="28"/>
        </w:rPr>
        <w:t xml:space="preserve">a </w:t>
      </w:r>
      <w:proofErr w:type="spellStart"/>
      <w:r w:rsidR="000C25E6" w:rsidRPr="00BF4CA6">
        <w:rPr>
          <w:sz w:val="28"/>
          <w:szCs w:val="28"/>
        </w:rPr>
        <w:t>p.i</w:t>
      </w:r>
      <w:proofErr w:type="spellEnd"/>
      <w:r w:rsidR="000C25E6" w:rsidRPr="00BF4CA6">
        <w:rPr>
          <w:sz w:val="28"/>
          <w:szCs w:val="28"/>
        </w:rPr>
        <w:t>.</w:t>
      </w:r>
      <w:r w:rsidR="000C25E6" w:rsidRPr="00BF4CA6">
        <w:rPr>
          <w:sz w:val="28"/>
          <w:szCs w:val="28"/>
        </w:rPr>
        <w:tab/>
      </w:r>
      <w:r w:rsidRPr="00BF4CA6">
        <w:rPr>
          <w:sz w:val="28"/>
          <w:szCs w:val="28"/>
        </w:rPr>
        <w:tab/>
      </w:r>
      <w:r w:rsidR="00970933" w:rsidRPr="00BF4CA6">
        <w:rPr>
          <w:sz w:val="28"/>
          <w:szCs w:val="28"/>
        </w:rPr>
        <w:t>L.Straujuma</w:t>
      </w:r>
    </w:p>
    <w:p w:rsidR="00367F47" w:rsidRPr="00D36D0D" w:rsidRDefault="00367F47" w:rsidP="00367F47">
      <w:pPr>
        <w:pStyle w:val="naisf"/>
        <w:tabs>
          <w:tab w:val="left" w:pos="6804"/>
        </w:tabs>
        <w:spacing w:before="0" w:after="0"/>
        <w:ind w:firstLine="720"/>
        <w:rPr>
          <w:sz w:val="26"/>
          <w:szCs w:val="26"/>
        </w:rPr>
      </w:pPr>
    </w:p>
    <w:p w:rsidR="00367F47" w:rsidRDefault="00367F47"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6B5CC6" w:rsidRDefault="006B5CC6" w:rsidP="00367F47">
      <w:pPr>
        <w:pStyle w:val="naisf"/>
        <w:tabs>
          <w:tab w:val="left" w:pos="6804"/>
        </w:tabs>
        <w:spacing w:before="0" w:after="0"/>
        <w:ind w:firstLine="0"/>
        <w:rPr>
          <w:sz w:val="28"/>
          <w:szCs w:val="28"/>
        </w:rPr>
      </w:pPr>
    </w:p>
    <w:p w:rsidR="0085751C" w:rsidRDefault="0085751C" w:rsidP="00367F47">
      <w:pPr>
        <w:pStyle w:val="naisf"/>
        <w:tabs>
          <w:tab w:val="left" w:pos="6804"/>
        </w:tabs>
        <w:spacing w:before="0" w:after="0"/>
        <w:ind w:firstLine="0"/>
        <w:rPr>
          <w:sz w:val="20"/>
          <w:szCs w:val="20"/>
        </w:rPr>
      </w:pPr>
    </w:p>
    <w:p w:rsidR="00367F47" w:rsidRPr="00D236FC" w:rsidRDefault="00DF6E1A" w:rsidP="00367F47">
      <w:pPr>
        <w:pStyle w:val="naisf"/>
        <w:tabs>
          <w:tab w:val="left" w:pos="6804"/>
        </w:tabs>
        <w:spacing w:before="0" w:after="0"/>
        <w:ind w:firstLine="0"/>
        <w:rPr>
          <w:sz w:val="20"/>
          <w:szCs w:val="20"/>
        </w:rPr>
      </w:pPr>
      <w:r>
        <w:rPr>
          <w:sz w:val="20"/>
          <w:szCs w:val="20"/>
        </w:rPr>
        <w:t>23</w:t>
      </w:r>
      <w:r w:rsidR="00367F47">
        <w:rPr>
          <w:sz w:val="20"/>
          <w:szCs w:val="20"/>
        </w:rPr>
        <w:t>.</w:t>
      </w:r>
      <w:r w:rsidR="00367F47" w:rsidRPr="00D236FC">
        <w:rPr>
          <w:sz w:val="20"/>
          <w:szCs w:val="20"/>
        </w:rPr>
        <w:t>0</w:t>
      </w:r>
      <w:r w:rsidR="00367F47">
        <w:rPr>
          <w:sz w:val="20"/>
          <w:szCs w:val="20"/>
        </w:rPr>
        <w:t>8</w:t>
      </w:r>
      <w:r w:rsidR="00367F47" w:rsidRPr="00D236FC">
        <w:rPr>
          <w:sz w:val="20"/>
          <w:szCs w:val="20"/>
        </w:rPr>
        <w:t>.2012. </w:t>
      </w:r>
      <w:r w:rsidR="00367F47">
        <w:rPr>
          <w:sz w:val="20"/>
          <w:szCs w:val="20"/>
        </w:rPr>
        <w:t>1</w:t>
      </w:r>
      <w:r>
        <w:rPr>
          <w:sz w:val="20"/>
          <w:szCs w:val="20"/>
        </w:rPr>
        <w:t>0</w:t>
      </w:r>
      <w:r w:rsidR="00367F47" w:rsidRPr="00D236FC">
        <w:rPr>
          <w:sz w:val="20"/>
          <w:szCs w:val="20"/>
        </w:rPr>
        <w:t>:</w:t>
      </w:r>
      <w:r>
        <w:rPr>
          <w:sz w:val="20"/>
          <w:szCs w:val="20"/>
        </w:rPr>
        <w:t>1</w:t>
      </w:r>
      <w:r w:rsidR="002D1CDC">
        <w:rPr>
          <w:sz w:val="20"/>
          <w:szCs w:val="20"/>
        </w:rPr>
        <w:t>2</w:t>
      </w:r>
    </w:p>
    <w:p w:rsidR="00367F47" w:rsidRDefault="00B96743" w:rsidP="00367F47">
      <w:pPr>
        <w:pStyle w:val="naisf"/>
        <w:tabs>
          <w:tab w:val="left" w:pos="6804"/>
        </w:tabs>
        <w:spacing w:before="0" w:after="0"/>
        <w:ind w:firstLine="0"/>
        <w:rPr>
          <w:sz w:val="20"/>
          <w:szCs w:val="20"/>
        </w:rPr>
      </w:pPr>
      <w:r>
        <w:rPr>
          <w:sz w:val="20"/>
          <w:szCs w:val="20"/>
        </w:rPr>
        <w:t>3</w:t>
      </w:r>
      <w:r w:rsidR="00DF6E1A">
        <w:rPr>
          <w:sz w:val="20"/>
          <w:szCs w:val="20"/>
        </w:rPr>
        <w:t>827</w:t>
      </w:r>
    </w:p>
    <w:p w:rsidR="00367F47" w:rsidRDefault="00B5556C" w:rsidP="00367F47">
      <w:pPr>
        <w:tabs>
          <w:tab w:val="num" w:pos="0"/>
        </w:tabs>
        <w:jc w:val="both"/>
        <w:rPr>
          <w:sz w:val="20"/>
          <w:szCs w:val="20"/>
        </w:rPr>
      </w:pPr>
      <w:r>
        <w:rPr>
          <w:sz w:val="20"/>
          <w:szCs w:val="20"/>
        </w:rPr>
        <w:t>U.</w:t>
      </w:r>
      <w:r w:rsidR="00367F47">
        <w:rPr>
          <w:sz w:val="20"/>
          <w:szCs w:val="20"/>
        </w:rPr>
        <w:t>Dreimanis, 67036827</w:t>
      </w:r>
    </w:p>
    <w:p w:rsidR="00EF30E8" w:rsidRDefault="00DA6643" w:rsidP="00B96743">
      <w:pPr>
        <w:tabs>
          <w:tab w:val="num" w:pos="0"/>
        </w:tabs>
        <w:jc w:val="both"/>
      </w:pPr>
      <w:hyperlink r:id="rId7" w:history="1">
        <w:r w:rsidR="00367F47" w:rsidRPr="00C6319C">
          <w:rPr>
            <w:rStyle w:val="Hipersaite"/>
            <w:sz w:val="20"/>
            <w:szCs w:val="20"/>
          </w:rPr>
          <w:t>Uldis.Dreimanis@tm.gov.lv</w:t>
        </w:r>
      </w:hyperlink>
    </w:p>
    <w:sectPr w:rsidR="00EF30E8" w:rsidSect="00DF6E1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23" w:rsidRDefault="00993B23" w:rsidP="00367F47">
      <w:r>
        <w:separator/>
      </w:r>
    </w:p>
  </w:endnote>
  <w:endnote w:type="continuationSeparator" w:id="0">
    <w:p w:rsidR="00993B23" w:rsidRDefault="00993B23" w:rsidP="00367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9E" w:rsidRPr="00104268" w:rsidRDefault="008B539E" w:rsidP="00533AD1">
    <w:pPr>
      <w:pStyle w:val="Kjene"/>
      <w:rPr>
        <w:sz w:val="20"/>
        <w:szCs w:val="20"/>
      </w:rPr>
    </w:pPr>
    <w:r w:rsidRPr="00104268">
      <w:rPr>
        <w:sz w:val="20"/>
        <w:szCs w:val="20"/>
      </w:rPr>
      <w:t>TMAnot_</w:t>
    </w:r>
    <w:r w:rsidR="00DF6E1A">
      <w:rPr>
        <w:sz w:val="20"/>
        <w:szCs w:val="20"/>
      </w:rPr>
      <w:t>23</w:t>
    </w:r>
    <w:r>
      <w:rPr>
        <w:sz w:val="20"/>
        <w:szCs w:val="20"/>
      </w:rPr>
      <w:t>0812_nod_CPL</w:t>
    </w:r>
    <w:r w:rsidRPr="00104268">
      <w:rPr>
        <w:sz w:val="20"/>
        <w:szCs w:val="20"/>
      </w:rPr>
      <w:t>; </w:t>
    </w:r>
    <w:bookmarkStart w:id="2" w:name="OLE_LINK3"/>
    <w:bookmarkStart w:id="3" w:name="OLE_LINK4"/>
    <w:bookmarkStart w:id="4" w:name="_Hlk332707040"/>
    <w:r w:rsidR="000C25E6">
      <w:rPr>
        <w:sz w:val="20"/>
        <w:szCs w:val="20"/>
      </w:rPr>
      <w:t>L</w:t>
    </w:r>
    <w:r w:rsidRPr="00104268">
      <w:rPr>
        <w:sz w:val="20"/>
        <w:szCs w:val="20"/>
      </w:rPr>
      <w:t>ikumprojekta „</w:t>
    </w:r>
    <w:r>
      <w:rPr>
        <w:sz w:val="20"/>
        <w:szCs w:val="20"/>
      </w:rPr>
      <w:t>Grozījumi</w:t>
    </w:r>
    <w:r w:rsidRPr="001B525E">
      <w:rPr>
        <w:sz w:val="20"/>
        <w:szCs w:val="20"/>
      </w:rPr>
      <w:t xml:space="preserve"> Civilprocesa likumā”</w:t>
    </w:r>
    <w:r w:rsidRPr="00104268">
      <w:rPr>
        <w:sz w:val="20"/>
        <w:szCs w:val="20"/>
      </w:rPr>
      <w:t xml:space="preserve"> </w:t>
    </w:r>
    <w:r>
      <w:rPr>
        <w:sz w:val="20"/>
        <w:szCs w:val="20"/>
      </w:rPr>
      <w:t>sākotnējās ietekmes novērtējuma ziņojums (anotācija)</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9E" w:rsidRPr="001B525E" w:rsidRDefault="008B539E" w:rsidP="00533AD1">
    <w:pPr>
      <w:pStyle w:val="Kjene"/>
      <w:rPr>
        <w:sz w:val="20"/>
        <w:szCs w:val="20"/>
      </w:rPr>
    </w:pPr>
    <w:r>
      <w:rPr>
        <w:sz w:val="20"/>
        <w:szCs w:val="20"/>
      </w:rPr>
      <w:t>TMAnot_230</w:t>
    </w:r>
    <w:r w:rsidR="005A45CA">
      <w:rPr>
        <w:sz w:val="20"/>
        <w:szCs w:val="20"/>
      </w:rPr>
      <w:t>8</w:t>
    </w:r>
    <w:r>
      <w:rPr>
        <w:sz w:val="20"/>
        <w:szCs w:val="20"/>
      </w:rPr>
      <w:t>12_</w:t>
    </w:r>
    <w:r w:rsidR="005A45CA">
      <w:rPr>
        <w:sz w:val="20"/>
        <w:szCs w:val="20"/>
      </w:rPr>
      <w:t>nod_CPL</w:t>
    </w:r>
    <w:r w:rsidRPr="00104268">
      <w:rPr>
        <w:sz w:val="20"/>
        <w:szCs w:val="20"/>
      </w:rPr>
      <w:t>; </w:t>
    </w:r>
    <w:r w:rsidR="005A45CA">
      <w:rPr>
        <w:sz w:val="20"/>
        <w:szCs w:val="20"/>
      </w:rPr>
      <w:t>L</w:t>
    </w:r>
    <w:r w:rsidRPr="00104268">
      <w:rPr>
        <w:sz w:val="20"/>
        <w:szCs w:val="20"/>
      </w:rPr>
      <w:t>ikumprojekta „</w:t>
    </w:r>
    <w:r w:rsidRPr="001B525E">
      <w:rPr>
        <w:sz w:val="20"/>
        <w:szCs w:val="20"/>
      </w:rPr>
      <w:t>Grozījumi Civilprocesa likumā”</w:t>
    </w:r>
    <w:r>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23" w:rsidRDefault="00993B23" w:rsidP="00367F47">
      <w:r>
        <w:separator/>
      </w:r>
    </w:p>
  </w:footnote>
  <w:footnote w:type="continuationSeparator" w:id="0">
    <w:p w:rsidR="00993B23" w:rsidRDefault="00993B23" w:rsidP="00367F47">
      <w:r>
        <w:continuationSeparator/>
      </w:r>
    </w:p>
  </w:footnote>
  <w:footnote w:id="1">
    <w:p w:rsidR="008B539E" w:rsidRPr="00584BBA" w:rsidRDefault="008B539E" w:rsidP="00367F47">
      <w:pPr>
        <w:jc w:val="both"/>
        <w:rPr>
          <w:sz w:val="20"/>
          <w:szCs w:val="20"/>
        </w:rPr>
      </w:pPr>
      <w:r w:rsidRPr="00584BBA">
        <w:rPr>
          <w:rStyle w:val="Vresatsauce"/>
        </w:rPr>
        <w:footnoteRef/>
      </w:r>
      <w:r w:rsidRPr="00584BBA">
        <w:rPr>
          <w:sz w:val="20"/>
          <w:szCs w:val="20"/>
        </w:rPr>
        <w:t xml:space="preserve"> Satversmes tiesas 2002. gada 5. marta spriedums lietā Nr. 2001-10-01 „“Par Latvijas Kriminālprocesa kodeksa 390. – 392.</w:t>
      </w:r>
      <w:r w:rsidRPr="00584BBA">
        <w:rPr>
          <w:sz w:val="20"/>
          <w:szCs w:val="20"/>
          <w:vertAlign w:val="superscript"/>
        </w:rPr>
        <w:t>2</w:t>
      </w:r>
      <w:r w:rsidRPr="00584BBA">
        <w:rPr>
          <w:sz w:val="20"/>
          <w:szCs w:val="20"/>
        </w:rPr>
        <w:t> panta un 1997. gada 20. februāra likuma “Grozījumi Latvijas Kriminālprocesa kodeksā” pārejas noteikumu 3.punkta atbilstību Latvijas Republikas Satversmes 92. pantam”.”</w:t>
      </w:r>
    </w:p>
  </w:footnote>
  <w:footnote w:id="2">
    <w:p w:rsidR="008B539E" w:rsidRDefault="008B539E" w:rsidP="00367F47">
      <w:pPr>
        <w:pStyle w:val="Vresteksts"/>
      </w:pPr>
      <w:r>
        <w:rPr>
          <w:rStyle w:val="Vresatsauce"/>
        </w:rPr>
        <w:footnoteRef/>
      </w:r>
      <w:r>
        <w:t xml:space="preserve"> </w:t>
      </w:r>
      <w:r w:rsidRPr="00AC3A65">
        <w:t xml:space="preserve">Likums </w:t>
      </w:r>
      <w:r w:rsidRPr="00AC3A65">
        <w:rPr>
          <w:bCs/>
          <w:color w:val="000000"/>
          <w:lang w:val="lt-LT"/>
        </w:rPr>
        <w:t xml:space="preserve">lietuviski pieejams </w:t>
      </w:r>
      <w:hyperlink r:id="rId1" w:history="1">
        <w:r w:rsidRPr="00AC3A65">
          <w:rPr>
            <w:rStyle w:val="Hipersaite"/>
            <w:bCs/>
            <w:sz w:val="18"/>
            <w:lang w:val="lt-LT"/>
          </w:rPr>
          <w:t>http://www3.lrs.lt/pls/inter3/dokpaieska.showdoc_e?p_id=425013&amp;p_query=&amp;p_tr2=2</w:t>
        </w:r>
      </w:hyperlink>
      <w:r w:rsidRPr="00AC3A65">
        <w:rPr>
          <w:sz w:val="18"/>
        </w:rPr>
        <w:t>.</w:t>
      </w:r>
      <w:r>
        <w:rPr>
          <w:sz w:val="18"/>
        </w:rPr>
        <w:t xml:space="preserve"> (aplūkots 10.08.2012.).</w:t>
      </w:r>
    </w:p>
  </w:footnote>
  <w:footnote w:id="3">
    <w:p w:rsidR="008B539E" w:rsidRDefault="008B539E" w:rsidP="00367F47">
      <w:pPr>
        <w:pStyle w:val="Vresteksts"/>
      </w:pPr>
      <w:r>
        <w:rPr>
          <w:rStyle w:val="Vresatsauce"/>
        </w:rPr>
        <w:footnoteRef/>
      </w:r>
      <w:r>
        <w:t xml:space="preserve"> </w:t>
      </w:r>
      <w:r w:rsidRPr="00AC3A65">
        <w:t xml:space="preserve">Likums </w:t>
      </w:r>
      <w:r w:rsidRPr="00AC3A65">
        <w:rPr>
          <w:lang w:val="et-EE"/>
        </w:rPr>
        <w:t xml:space="preserve">igauniski pieejams </w:t>
      </w:r>
      <w:hyperlink r:id="rId2" w:history="1">
        <w:r w:rsidRPr="00AC3A65">
          <w:rPr>
            <w:rStyle w:val="Hipersaite"/>
            <w:lang w:val="et-EE"/>
          </w:rPr>
          <w:t>https://www.riigiteataja.ee/akt/116052012004</w:t>
        </w:r>
      </w:hyperlink>
      <w:r>
        <w:t xml:space="preserve"> (aplūkots 10.08.2012.).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9E" w:rsidRDefault="00DA6643" w:rsidP="00533AD1">
    <w:pPr>
      <w:pStyle w:val="Galvene"/>
      <w:framePr w:wrap="around" w:vAnchor="text" w:hAnchor="margin" w:xAlign="center" w:y="1"/>
      <w:rPr>
        <w:rStyle w:val="Lappusesnumurs"/>
      </w:rPr>
    </w:pPr>
    <w:r>
      <w:rPr>
        <w:rStyle w:val="Lappusesnumurs"/>
      </w:rPr>
      <w:fldChar w:fldCharType="begin"/>
    </w:r>
    <w:r w:rsidR="008B539E">
      <w:rPr>
        <w:rStyle w:val="Lappusesnumurs"/>
      </w:rPr>
      <w:instrText xml:space="preserve">PAGE  </w:instrText>
    </w:r>
    <w:r>
      <w:rPr>
        <w:rStyle w:val="Lappusesnumurs"/>
      </w:rPr>
      <w:fldChar w:fldCharType="end"/>
    </w:r>
  </w:p>
  <w:p w:rsidR="008B539E" w:rsidRDefault="008B539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563"/>
      <w:docPartObj>
        <w:docPartGallery w:val="Page Numbers (Top of Page)"/>
        <w:docPartUnique/>
      </w:docPartObj>
    </w:sdtPr>
    <w:sdtContent>
      <w:p w:rsidR="00DF6E1A" w:rsidRDefault="00DA6643">
        <w:pPr>
          <w:pStyle w:val="Galvene"/>
          <w:jc w:val="center"/>
        </w:pPr>
        <w:r>
          <w:fldChar w:fldCharType="begin"/>
        </w:r>
        <w:r w:rsidR="00090227">
          <w:instrText xml:space="preserve"> PAGE   \* MERGEFORMAT </w:instrText>
        </w:r>
        <w:r>
          <w:fldChar w:fldCharType="separate"/>
        </w:r>
        <w:r w:rsidR="0008066B">
          <w:rPr>
            <w:noProof/>
          </w:rPr>
          <w:t>14</w:t>
        </w:r>
        <w:r>
          <w:rPr>
            <w:noProof/>
          </w:rPr>
          <w:fldChar w:fldCharType="end"/>
        </w:r>
      </w:p>
    </w:sdtContent>
  </w:sdt>
  <w:p w:rsidR="00DF6E1A" w:rsidRDefault="00DF6E1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064CAA"/>
    <w:multiLevelType w:val="hybridMultilevel"/>
    <w:tmpl w:val="9A46D66C"/>
    <w:lvl w:ilvl="0" w:tplc="9B4AE4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E170575"/>
    <w:multiLevelType w:val="hybridMultilevel"/>
    <w:tmpl w:val="305E0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9154CB5"/>
    <w:multiLevelType w:val="hybridMultilevel"/>
    <w:tmpl w:val="F9188F28"/>
    <w:lvl w:ilvl="0" w:tplc="2AB6103A">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5D7B7BED"/>
    <w:multiLevelType w:val="hybridMultilevel"/>
    <w:tmpl w:val="A4D029B4"/>
    <w:lvl w:ilvl="0" w:tplc="6E0675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6"/>
  </w:num>
  <w:num w:numId="3">
    <w:abstractNumId w:val="4"/>
  </w:num>
  <w:num w:numId="4">
    <w:abstractNumId w:val="2"/>
  </w:num>
  <w:num w:numId="5">
    <w:abstractNumId w:val="0"/>
  </w:num>
  <w:num w:numId="6">
    <w:abstractNumId w:val="11"/>
  </w:num>
  <w:num w:numId="7">
    <w:abstractNumId w:val="17"/>
  </w:num>
  <w:num w:numId="8">
    <w:abstractNumId w:val="7"/>
  </w:num>
  <w:num w:numId="9">
    <w:abstractNumId w:val="3"/>
  </w:num>
  <w:num w:numId="10">
    <w:abstractNumId w:val="8"/>
  </w:num>
  <w:num w:numId="11">
    <w:abstractNumId w:val="9"/>
  </w:num>
  <w:num w:numId="12">
    <w:abstractNumId w:val="12"/>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7F47"/>
    <w:rsid w:val="00007B13"/>
    <w:rsid w:val="00013516"/>
    <w:rsid w:val="00040662"/>
    <w:rsid w:val="0004629D"/>
    <w:rsid w:val="00072CC2"/>
    <w:rsid w:val="0008066B"/>
    <w:rsid w:val="00082222"/>
    <w:rsid w:val="000866F3"/>
    <w:rsid w:val="00090227"/>
    <w:rsid w:val="000A28B9"/>
    <w:rsid w:val="000B476E"/>
    <w:rsid w:val="000B6566"/>
    <w:rsid w:val="000C0DEF"/>
    <w:rsid w:val="000C1073"/>
    <w:rsid w:val="000C25E6"/>
    <w:rsid w:val="000D009C"/>
    <w:rsid w:val="000D7309"/>
    <w:rsid w:val="000D7339"/>
    <w:rsid w:val="000E5118"/>
    <w:rsid w:val="000E5CA9"/>
    <w:rsid w:val="000F0638"/>
    <w:rsid w:val="000F0D5A"/>
    <w:rsid w:val="00107D87"/>
    <w:rsid w:val="00146140"/>
    <w:rsid w:val="00160E3B"/>
    <w:rsid w:val="0016309E"/>
    <w:rsid w:val="00170290"/>
    <w:rsid w:val="00191C14"/>
    <w:rsid w:val="001B36CA"/>
    <w:rsid w:val="001B677E"/>
    <w:rsid w:val="001D6AAD"/>
    <w:rsid w:val="001E0D0B"/>
    <w:rsid w:val="001E5158"/>
    <w:rsid w:val="001F4FB9"/>
    <w:rsid w:val="001F6344"/>
    <w:rsid w:val="002238F7"/>
    <w:rsid w:val="00224C1C"/>
    <w:rsid w:val="00240A10"/>
    <w:rsid w:val="0024486F"/>
    <w:rsid w:val="00245CAA"/>
    <w:rsid w:val="002510FF"/>
    <w:rsid w:val="002566E2"/>
    <w:rsid w:val="002671DB"/>
    <w:rsid w:val="00284D09"/>
    <w:rsid w:val="00285135"/>
    <w:rsid w:val="00293170"/>
    <w:rsid w:val="002B273D"/>
    <w:rsid w:val="002C3149"/>
    <w:rsid w:val="002D1CDC"/>
    <w:rsid w:val="00300386"/>
    <w:rsid w:val="003116B5"/>
    <w:rsid w:val="003116EA"/>
    <w:rsid w:val="00316B91"/>
    <w:rsid w:val="00343FE0"/>
    <w:rsid w:val="0035740A"/>
    <w:rsid w:val="00361B43"/>
    <w:rsid w:val="00366937"/>
    <w:rsid w:val="00367F47"/>
    <w:rsid w:val="00390E89"/>
    <w:rsid w:val="003A2D82"/>
    <w:rsid w:val="003B718C"/>
    <w:rsid w:val="003C6947"/>
    <w:rsid w:val="003C6E9A"/>
    <w:rsid w:val="003D4ECE"/>
    <w:rsid w:val="003E2468"/>
    <w:rsid w:val="003F1337"/>
    <w:rsid w:val="003F189D"/>
    <w:rsid w:val="003F3E0B"/>
    <w:rsid w:val="0040062A"/>
    <w:rsid w:val="00400B22"/>
    <w:rsid w:val="004063C7"/>
    <w:rsid w:val="00425DB1"/>
    <w:rsid w:val="0044572B"/>
    <w:rsid w:val="004653A1"/>
    <w:rsid w:val="004741CC"/>
    <w:rsid w:val="00475B14"/>
    <w:rsid w:val="00494167"/>
    <w:rsid w:val="004B6D0D"/>
    <w:rsid w:val="004C4581"/>
    <w:rsid w:val="004F7D14"/>
    <w:rsid w:val="005153FB"/>
    <w:rsid w:val="00516DED"/>
    <w:rsid w:val="00520BE9"/>
    <w:rsid w:val="005213B6"/>
    <w:rsid w:val="00533AD1"/>
    <w:rsid w:val="005348E6"/>
    <w:rsid w:val="005572F3"/>
    <w:rsid w:val="00581248"/>
    <w:rsid w:val="00590C51"/>
    <w:rsid w:val="00597641"/>
    <w:rsid w:val="005A413B"/>
    <w:rsid w:val="005A45CA"/>
    <w:rsid w:val="005B4EEA"/>
    <w:rsid w:val="005C49D2"/>
    <w:rsid w:val="005D4158"/>
    <w:rsid w:val="005E0D3A"/>
    <w:rsid w:val="005E11C9"/>
    <w:rsid w:val="005F3A2D"/>
    <w:rsid w:val="00604FBB"/>
    <w:rsid w:val="00605549"/>
    <w:rsid w:val="006156AE"/>
    <w:rsid w:val="00635E62"/>
    <w:rsid w:val="006442F6"/>
    <w:rsid w:val="00680297"/>
    <w:rsid w:val="00684F3E"/>
    <w:rsid w:val="00690B99"/>
    <w:rsid w:val="006A1BEE"/>
    <w:rsid w:val="006A235A"/>
    <w:rsid w:val="006A26AD"/>
    <w:rsid w:val="006A77AD"/>
    <w:rsid w:val="006B5CC6"/>
    <w:rsid w:val="006E6FF4"/>
    <w:rsid w:val="006E7070"/>
    <w:rsid w:val="006F7201"/>
    <w:rsid w:val="0073486B"/>
    <w:rsid w:val="00740A17"/>
    <w:rsid w:val="007525D1"/>
    <w:rsid w:val="0076691C"/>
    <w:rsid w:val="00771E0F"/>
    <w:rsid w:val="00774AF3"/>
    <w:rsid w:val="007803A7"/>
    <w:rsid w:val="007E45EF"/>
    <w:rsid w:val="00815660"/>
    <w:rsid w:val="00826316"/>
    <w:rsid w:val="008369FE"/>
    <w:rsid w:val="00842B94"/>
    <w:rsid w:val="00846B9D"/>
    <w:rsid w:val="008476F8"/>
    <w:rsid w:val="00851840"/>
    <w:rsid w:val="00852E21"/>
    <w:rsid w:val="00856257"/>
    <w:rsid w:val="0085751C"/>
    <w:rsid w:val="00865B62"/>
    <w:rsid w:val="008669F5"/>
    <w:rsid w:val="008856B4"/>
    <w:rsid w:val="008B3B8F"/>
    <w:rsid w:val="008B539E"/>
    <w:rsid w:val="008B695D"/>
    <w:rsid w:val="008B73AA"/>
    <w:rsid w:val="008C56B8"/>
    <w:rsid w:val="008F4EBB"/>
    <w:rsid w:val="008F5E7A"/>
    <w:rsid w:val="00904E70"/>
    <w:rsid w:val="00912DF5"/>
    <w:rsid w:val="009259BE"/>
    <w:rsid w:val="00950AB9"/>
    <w:rsid w:val="00970933"/>
    <w:rsid w:val="009743C2"/>
    <w:rsid w:val="00976A81"/>
    <w:rsid w:val="00993B23"/>
    <w:rsid w:val="009D6923"/>
    <w:rsid w:val="009E18C0"/>
    <w:rsid w:val="009E2C6D"/>
    <w:rsid w:val="009E4634"/>
    <w:rsid w:val="009F5065"/>
    <w:rsid w:val="00A3564F"/>
    <w:rsid w:val="00A445DA"/>
    <w:rsid w:val="00A647CD"/>
    <w:rsid w:val="00A70D19"/>
    <w:rsid w:val="00A7666C"/>
    <w:rsid w:val="00A9170E"/>
    <w:rsid w:val="00AC6838"/>
    <w:rsid w:val="00AE1DDD"/>
    <w:rsid w:val="00B127E9"/>
    <w:rsid w:val="00B2112E"/>
    <w:rsid w:val="00B4365F"/>
    <w:rsid w:val="00B5556C"/>
    <w:rsid w:val="00B76145"/>
    <w:rsid w:val="00B9149F"/>
    <w:rsid w:val="00B96743"/>
    <w:rsid w:val="00BA2694"/>
    <w:rsid w:val="00BA6D73"/>
    <w:rsid w:val="00BC40CC"/>
    <w:rsid w:val="00BC6971"/>
    <w:rsid w:val="00BC6C96"/>
    <w:rsid w:val="00BD0806"/>
    <w:rsid w:val="00BF4CA6"/>
    <w:rsid w:val="00C1301F"/>
    <w:rsid w:val="00C2057A"/>
    <w:rsid w:val="00C26DA1"/>
    <w:rsid w:val="00C36DED"/>
    <w:rsid w:val="00C41CC4"/>
    <w:rsid w:val="00C52C35"/>
    <w:rsid w:val="00C66423"/>
    <w:rsid w:val="00C74A27"/>
    <w:rsid w:val="00C76BFE"/>
    <w:rsid w:val="00C8705D"/>
    <w:rsid w:val="00C8778D"/>
    <w:rsid w:val="00CB0188"/>
    <w:rsid w:val="00CC21EC"/>
    <w:rsid w:val="00CC359A"/>
    <w:rsid w:val="00CD2009"/>
    <w:rsid w:val="00CE1B53"/>
    <w:rsid w:val="00D17E2C"/>
    <w:rsid w:val="00D21FC6"/>
    <w:rsid w:val="00D36D0D"/>
    <w:rsid w:val="00D455EE"/>
    <w:rsid w:val="00D55542"/>
    <w:rsid w:val="00D74FC5"/>
    <w:rsid w:val="00DA6643"/>
    <w:rsid w:val="00DA75B5"/>
    <w:rsid w:val="00DC16A4"/>
    <w:rsid w:val="00DE17DF"/>
    <w:rsid w:val="00DE422D"/>
    <w:rsid w:val="00DE527F"/>
    <w:rsid w:val="00DF6E1A"/>
    <w:rsid w:val="00E11E0E"/>
    <w:rsid w:val="00E24321"/>
    <w:rsid w:val="00E24E36"/>
    <w:rsid w:val="00E30E48"/>
    <w:rsid w:val="00E31174"/>
    <w:rsid w:val="00E374D2"/>
    <w:rsid w:val="00E43B22"/>
    <w:rsid w:val="00E65D33"/>
    <w:rsid w:val="00E711C1"/>
    <w:rsid w:val="00E83F34"/>
    <w:rsid w:val="00E9095D"/>
    <w:rsid w:val="00E91B6B"/>
    <w:rsid w:val="00EB787E"/>
    <w:rsid w:val="00EC713D"/>
    <w:rsid w:val="00ED2456"/>
    <w:rsid w:val="00ED7C56"/>
    <w:rsid w:val="00EE507D"/>
    <w:rsid w:val="00EF03B2"/>
    <w:rsid w:val="00EF1588"/>
    <w:rsid w:val="00EF30E8"/>
    <w:rsid w:val="00F32A1A"/>
    <w:rsid w:val="00F5518A"/>
    <w:rsid w:val="00F578A8"/>
    <w:rsid w:val="00F65C20"/>
    <w:rsid w:val="00F75976"/>
    <w:rsid w:val="00F870FB"/>
    <w:rsid w:val="00F9163E"/>
    <w:rsid w:val="00FA6376"/>
    <w:rsid w:val="00FD77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67F47"/>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uiPriority w:val="9"/>
    <w:unhideWhenUsed/>
    <w:qFormat/>
    <w:rsid w:val="00367F4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67F47"/>
    <w:rPr>
      <w:rFonts w:asciiTheme="majorHAnsi" w:eastAsiaTheme="majorEastAsia" w:hAnsiTheme="majorHAnsi" w:cstheme="majorBidi"/>
      <w:b/>
      <w:bCs/>
      <w:color w:val="4F81BD" w:themeColor="accent1"/>
      <w:sz w:val="24"/>
      <w:szCs w:val="24"/>
      <w:lang w:eastAsia="lv-LV"/>
    </w:rPr>
  </w:style>
  <w:style w:type="paragraph" w:styleId="Galvene">
    <w:name w:val="header"/>
    <w:basedOn w:val="Parastais"/>
    <w:link w:val="GalveneRakstz"/>
    <w:uiPriority w:val="99"/>
    <w:rsid w:val="00367F47"/>
    <w:pPr>
      <w:tabs>
        <w:tab w:val="center" w:pos="4153"/>
        <w:tab w:val="right" w:pos="8306"/>
      </w:tabs>
    </w:pPr>
  </w:style>
  <w:style w:type="character" w:customStyle="1" w:styleId="GalveneRakstz">
    <w:name w:val="Galvene Rakstz."/>
    <w:basedOn w:val="Noklusjumarindkopasfonts"/>
    <w:link w:val="Galvene"/>
    <w:uiPriority w:val="99"/>
    <w:rsid w:val="00367F47"/>
    <w:rPr>
      <w:rFonts w:ascii="Times New Roman" w:eastAsia="Times New Roman" w:hAnsi="Times New Roman" w:cs="Times New Roman"/>
      <w:sz w:val="24"/>
      <w:szCs w:val="24"/>
      <w:lang w:eastAsia="lv-LV"/>
    </w:rPr>
  </w:style>
  <w:style w:type="character" w:styleId="Lappusesnumurs">
    <w:name w:val="page number"/>
    <w:basedOn w:val="Noklusjumarindkopasfonts"/>
    <w:rsid w:val="00367F47"/>
  </w:style>
  <w:style w:type="paragraph" w:customStyle="1" w:styleId="naisf">
    <w:name w:val="naisf"/>
    <w:basedOn w:val="Parastais"/>
    <w:rsid w:val="00367F47"/>
    <w:pPr>
      <w:spacing w:before="75" w:after="75"/>
      <w:ind w:firstLine="375"/>
      <w:jc w:val="both"/>
    </w:pPr>
  </w:style>
  <w:style w:type="paragraph" w:customStyle="1" w:styleId="naisnod">
    <w:name w:val="naisnod"/>
    <w:basedOn w:val="Parastais"/>
    <w:rsid w:val="00367F47"/>
    <w:pPr>
      <w:spacing w:before="150" w:after="150"/>
      <w:jc w:val="center"/>
    </w:pPr>
    <w:rPr>
      <w:b/>
      <w:bCs/>
    </w:rPr>
  </w:style>
  <w:style w:type="paragraph" w:customStyle="1" w:styleId="naislab">
    <w:name w:val="naislab"/>
    <w:basedOn w:val="Parastais"/>
    <w:rsid w:val="00367F47"/>
    <w:pPr>
      <w:spacing w:before="75" w:after="75"/>
      <w:jc w:val="right"/>
    </w:pPr>
  </w:style>
  <w:style w:type="paragraph" w:customStyle="1" w:styleId="naiskr">
    <w:name w:val="naiskr"/>
    <w:basedOn w:val="Parastais"/>
    <w:rsid w:val="00367F47"/>
    <w:pPr>
      <w:spacing w:before="75" w:after="75"/>
    </w:pPr>
  </w:style>
  <w:style w:type="paragraph" w:customStyle="1" w:styleId="naisc">
    <w:name w:val="naisc"/>
    <w:basedOn w:val="Parastais"/>
    <w:rsid w:val="00367F47"/>
    <w:pPr>
      <w:spacing w:before="75" w:after="75"/>
      <w:jc w:val="center"/>
    </w:pPr>
  </w:style>
  <w:style w:type="character" w:customStyle="1" w:styleId="th1">
    <w:name w:val="th1"/>
    <w:basedOn w:val="Noklusjumarindkopasfonts"/>
    <w:rsid w:val="00367F47"/>
    <w:rPr>
      <w:b/>
      <w:bCs/>
      <w:color w:val="333333"/>
    </w:rPr>
  </w:style>
  <w:style w:type="character" w:styleId="Komentraatsauce">
    <w:name w:val="annotation reference"/>
    <w:basedOn w:val="Noklusjumarindkopasfonts"/>
    <w:rsid w:val="00367F47"/>
    <w:rPr>
      <w:sz w:val="16"/>
      <w:szCs w:val="16"/>
    </w:rPr>
  </w:style>
  <w:style w:type="paragraph" w:styleId="Komentrateksts">
    <w:name w:val="annotation text"/>
    <w:basedOn w:val="Parastais"/>
    <w:link w:val="KomentratekstsRakstz"/>
    <w:rsid w:val="00367F47"/>
    <w:rPr>
      <w:sz w:val="20"/>
      <w:szCs w:val="20"/>
    </w:rPr>
  </w:style>
  <w:style w:type="character" w:customStyle="1" w:styleId="KomentratekstsRakstz">
    <w:name w:val="Komentāra teksts Rakstz."/>
    <w:basedOn w:val="Noklusjumarindkopasfonts"/>
    <w:link w:val="Komentrateksts"/>
    <w:rsid w:val="00367F47"/>
    <w:rPr>
      <w:rFonts w:ascii="Times New Roman" w:eastAsia="Times New Roman" w:hAnsi="Times New Roman" w:cs="Times New Roman"/>
      <w:sz w:val="20"/>
      <w:szCs w:val="20"/>
      <w:lang w:eastAsia="lv-LV"/>
    </w:rPr>
  </w:style>
  <w:style w:type="paragraph" w:styleId="Balonteksts">
    <w:name w:val="Balloon Text"/>
    <w:basedOn w:val="Parastais"/>
    <w:link w:val="BalontekstsRakstz"/>
    <w:semiHidden/>
    <w:rsid w:val="00367F47"/>
    <w:rPr>
      <w:rFonts w:ascii="Tahoma" w:hAnsi="Tahoma" w:cs="Tahoma"/>
      <w:sz w:val="16"/>
      <w:szCs w:val="16"/>
    </w:rPr>
  </w:style>
  <w:style w:type="character" w:customStyle="1" w:styleId="BalontekstsRakstz">
    <w:name w:val="Balonteksts Rakstz."/>
    <w:basedOn w:val="Noklusjumarindkopasfonts"/>
    <w:link w:val="Balonteksts"/>
    <w:semiHidden/>
    <w:rsid w:val="00367F47"/>
    <w:rPr>
      <w:rFonts w:ascii="Tahoma" w:eastAsia="Times New Roman" w:hAnsi="Tahoma" w:cs="Tahoma"/>
      <w:sz w:val="16"/>
      <w:szCs w:val="16"/>
      <w:lang w:eastAsia="lv-LV"/>
    </w:rPr>
  </w:style>
  <w:style w:type="table" w:styleId="Reatabula">
    <w:name w:val="Table Grid"/>
    <w:basedOn w:val="Parastatabula"/>
    <w:rsid w:val="00367F4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uiPriority w:val="99"/>
    <w:rsid w:val="00367F47"/>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367F47"/>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rsid w:val="00367F47"/>
    <w:rPr>
      <w:vertAlign w:val="superscript"/>
    </w:rPr>
  </w:style>
  <w:style w:type="paragraph" w:styleId="Komentratma">
    <w:name w:val="annotation subject"/>
    <w:basedOn w:val="Komentrateksts"/>
    <w:next w:val="Komentrateksts"/>
    <w:link w:val="KomentratmaRakstz"/>
    <w:semiHidden/>
    <w:rsid w:val="00367F47"/>
    <w:rPr>
      <w:b/>
      <w:bCs/>
    </w:rPr>
  </w:style>
  <w:style w:type="character" w:customStyle="1" w:styleId="KomentratmaRakstz">
    <w:name w:val="Komentāra tēma Rakstz."/>
    <w:basedOn w:val="KomentratekstsRakstz"/>
    <w:link w:val="Komentratma"/>
    <w:semiHidden/>
    <w:rsid w:val="00367F47"/>
    <w:rPr>
      <w:rFonts w:ascii="Times New Roman" w:eastAsia="Times New Roman" w:hAnsi="Times New Roman" w:cs="Times New Roman"/>
      <w:b/>
      <w:bCs/>
      <w:sz w:val="20"/>
      <w:szCs w:val="20"/>
      <w:lang w:eastAsia="lv-LV"/>
    </w:rPr>
  </w:style>
  <w:style w:type="paragraph" w:styleId="Kjene">
    <w:name w:val="footer"/>
    <w:basedOn w:val="Parastais"/>
    <w:link w:val="KjeneRakstz"/>
    <w:rsid w:val="00367F47"/>
    <w:pPr>
      <w:tabs>
        <w:tab w:val="center" w:pos="4153"/>
        <w:tab w:val="right" w:pos="8306"/>
      </w:tabs>
    </w:pPr>
  </w:style>
  <w:style w:type="character" w:customStyle="1" w:styleId="KjeneRakstz">
    <w:name w:val="Kājene Rakstz."/>
    <w:basedOn w:val="Noklusjumarindkopasfonts"/>
    <w:link w:val="Kjene"/>
    <w:rsid w:val="00367F47"/>
    <w:rPr>
      <w:rFonts w:ascii="Times New Roman" w:eastAsia="Times New Roman" w:hAnsi="Times New Roman" w:cs="Times New Roman"/>
      <w:sz w:val="24"/>
      <w:szCs w:val="24"/>
      <w:lang w:eastAsia="lv-LV"/>
    </w:rPr>
  </w:style>
  <w:style w:type="character" w:styleId="Hipersaite">
    <w:name w:val="Hyperlink"/>
    <w:basedOn w:val="Noklusjumarindkopasfonts"/>
    <w:rsid w:val="00367F47"/>
    <w:rPr>
      <w:color w:val="0000FF"/>
      <w:u w:val="single"/>
    </w:rPr>
  </w:style>
  <w:style w:type="paragraph" w:styleId="Dokumentakarte">
    <w:name w:val="Document Map"/>
    <w:basedOn w:val="Parastais"/>
    <w:link w:val="DokumentakarteRakstz"/>
    <w:semiHidden/>
    <w:rsid w:val="00367F47"/>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367F47"/>
    <w:rPr>
      <w:rFonts w:ascii="Tahoma" w:eastAsia="Times New Roman" w:hAnsi="Tahoma" w:cs="Tahoma"/>
      <w:sz w:val="20"/>
      <w:szCs w:val="20"/>
      <w:shd w:val="clear" w:color="auto" w:fill="000080"/>
      <w:lang w:eastAsia="lv-LV"/>
    </w:rPr>
  </w:style>
  <w:style w:type="paragraph" w:styleId="Sarakstarindkopa">
    <w:name w:val="List Paragraph"/>
    <w:basedOn w:val="Parastais"/>
    <w:uiPriority w:val="34"/>
    <w:qFormat/>
    <w:rsid w:val="00367F47"/>
    <w:pPr>
      <w:ind w:left="720"/>
    </w:pPr>
    <w:rPr>
      <w:rFonts w:ascii="Calibri" w:eastAsiaTheme="minorHAnsi" w:hAnsi="Calibri"/>
      <w:sz w:val="22"/>
      <w:szCs w:val="22"/>
    </w:rPr>
  </w:style>
  <w:style w:type="character" w:customStyle="1" w:styleId="iil-resultnotpaid1">
    <w:name w:val="iil-resultnotpaid1"/>
    <w:basedOn w:val="Noklusjumarindkopasfonts"/>
    <w:rsid w:val="00367F47"/>
    <w:rPr>
      <w:rFonts w:ascii="Arial" w:hAnsi="Arial" w:cs="Arial" w:hint="default"/>
      <w:color w:val="0F1478"/>
    </w:rPr>
  </w:style>
  <w:style w:type="paragraph" w:styleId="Vienkrsteksts">
    <w:name w:val="Plain Text"/>
    <w:basedOn w:val="Parastais"/>
    <w:link w:val="VienkrstekstsRakstz"/>
    <w:uiPriority w:val="99"/>
    <w:unhideWhenUsed/>
    <w:rsid w:val="00367F47"/>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367F47"/>
    <w:rPr>
      <w:rFonts w:ascii="Consolas" w:hAnsi="Consolas"/>
      <w:sz w:val="21"/>
      <w:szCs w:val="21"/>
    </w:rPr>
  </w:style>
  <w:style w:type="paragraph" w:customStyle="1" w:styleId="CharCharRakstzRakstz">
    <w:name w:val="Char Char Rakstz. Rakstz."/>
    <w:basedOn w:val="Parastais"/>
    <w:rsid w:val="00367F47"/>
    <w:pPr>
      <w:spacing w:after="160" w:line="240" w:lineRule="exact"/>
    </w:pPr>
    <w:rPr>
      <w:rFonts w:ascii="Tahoma" w:hAnsi="Tahoma"/>
      <w:sz w:val="20"/>
      <w:szCs w:val="20"/>
      <w:lang w:val="en-US" w:eastAsia="en-US"/>
    </w:rPr>
  </w:style>
  <w:style w:type="paragraph" w:customStyle="1" w:styleId="RakstzRakstz">
    <w:name w:val="Rakstz. Rakstz."/>
    <w:basedOn w:val="Parastais"/>
    <w:rsid w:val="00367F47"/>
    <w:pPr>
      <w:spacing w:after="160" w:line="240" w:lineRule="exact"/>
    </w:pPr>
    <w:rPr>
      <w:rFonts w:ascii="Tahoma" w:hAnsi="Tahoma"/>
      <w:sz w:val="20"/>
      <w:szCs w:val="20"/>
      <w:lang w:val="en-US" w:eastAsia="en-US"/>
    </w:rPr>
  </w:style>
  <w:style w:type="paragraph" w:styleId="ParastaisWeb">
    <w:name w:val="Normal (Web)"/>
    <w:basedOn w:val="Parastais"/>
    <w:uiPriority w:val="99"/>
    <w:unhideWhenUsed/>
    <w:rsid w:val="00367F47"/>
    <w:pPr>
      <w:spacing w:after="112"/>
    </w:pPr>
    <w:rPr>
      <w:rFonts w:ascii="Tahoma" w:hAnsi="Tahoma" w:cs="Tahoma"/>
      <w:sz w:val="18"/>
      <w:szCs w:val="18"/>
    </w:rPr>
  </w:style>
  <w:style w:type="character" w:styleId="Izteiksmgs">
    <w:name w:val="Strong"/>
    <w:basedOn w:val="Noklusjumarindkopasfonts"/>
    <w:uiPriority w:val="22"/>
    <w:qFormat/>
    <w:rsid w:val="00367F47"/>
    <w:rPr>
      <w:b/>
      <w:bCs/>
    </w:rPr>
  </w:style>
  <w:style w:type="paragraph" w:customStyle="1" w:styleId="Default">
    <w:name w:val="Default"/>
    <w:rsid w:val="00367F47"/>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2">
    <w:name w:val="Body Text 2"/>
    <w:basedOn w:val="Parastais"/>
    <w:link w:val="Pamatteksts2Rakstz"/>
    <w:uiPriority w:val="99"/>
    <w:unhideWhenUsed/>
    <w:rsid w:val="00367F47"/>
    <w:pPr>
      <w:spacing w:after="120" w:line="480" w:lineRule="auto"/>
    </w:pPr>
    <w:rPr>
      <w:lang w:val="en-GB" w:eastAsia="en-US"/>
    </w:rPr>
  </w:style>
  <w:style w:type="character" w:customStyle="1" w:styleId="Pamatteksts2Rakstz">
    <w:name w:val="Pamatteksts 2 Rakstz."/>
    <w:basedOn w:val="Noklusjumarindkopasfonts"/>
    <w:link w:val="Pamatteksts2"/>
    <w:uiPriority w:val="99"/>
    <w:rsid w:val="00367F47"/>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367F47"/>
    <w:rPr>
      <w:color w:val="800080" w:themeColor="followedHyperlink"/>
      <w:u w:val="single"/>
    </w:rPr>
  </w:style>
  <w:style w:type="character" w:customStyle="1" w:styleId="spelle">
    <w:name w:val="spelle"/>
    <w:basedOn w:val="Noklusjumarindkopasfonts"/>
    <w:rsid w:val="00970933"/>
  </w:style>
  <w:style w:type="paragraph" w:styleId="Prskatjums">
    <w:name w:val="Revision"/>
    <w:hidden/>
    <w:uiPriority w:val="99"/>
    <w:semiHidden/>
    <w:rsid w:val="000C25E6"/>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652322">
      <w:bodyDiv w:val="1"/>
      <w:marLeft w:val="0"/>
      <w:marRight w:val="0"/>
      <w:marTop w:val="0"/>
      <w:marBottom w:val="0"/>
      <w:divBdr>
        <w:top w:val="none" w:sz="0" w:space="0" w:color="auto"/>
        <w:left w:val="none" w:sz="0" w:space="0" w:color="auto"/>
        <w:bottom w:val="none" w:sz="0" w:space="0" w:color="auto"/>
        <w:right w:val="none" w:sz="0" w:space="0" w:color="auto"/>
      </w:divBdr>
    </w:div>
    <w:div w:id="766927272">
      <w:bodyDiv w:val="1"/>
      <w:marLeft w:val="0"/>
      <w:marRight w:val="0"/>
      <w:marTop w:val="0"/>
      <w:marBottom w:val="0"/>
      <w:divBdr>
        <w:top w:val="none" w:sz="0" w:space="0" w:color="auto"/>
        <w:left w:val="none" w:sz="0" w:space="0" w:color="auto"/>
        <w:bottom w:val="none" w:sz="0" w:space="0" w:color="auto"/>
        <w:right w:val="none" w:sz="0" w:space="0" w:color="auto"/>
      </w:divBdr>
    </w:div>
    <w:div w:id="1367368401">
      <w:bodyDiv w:val="1"/>
      <w:marLeft w:val="45"/>
      <w:marRight w:val="45"/>
      <w:marTop w:val="90"/>
      <w:marBottom w:val="90"/>
      <w:divBdr>
        <w:top w:val="none" w:sz="0" w:space="0" w:color="auto"/>
        <w:left w:val="none" w:sz="0" w:space="0" w:color="auto"/>
        <w:bottom w:val="none" w:sz="0" w:space="0" w:color="auto"/>
        <w:right w:val="none" w:sz="0" w:space="0" w:color="auto"/>
      </w:divBdr>
      <w:divsChild>
        <w:div w:id="1905026346">
          <w:marLeft w:val="0"/>
          <w:marRight w:val="0"/>
          <w:marTop w:val="240"/>
          <w:marBottom w:val="0"/>
          <w:divBdr>
            <w:top w:val="none" w:sz="0" w:space="0" w:color="auto"/>
            <w:left w:val="none" w:sz="0" w:space="0" w:color="auto"/>
            <w:bottom w:val="none" w:sz="0" w:space="0" w:color="auto"/>
            <w:right w:val="none" w:sz="0" w:space="0" w:color="auto"/>
          </w:divBdr>
        </w:div>
        <w:div w:id="20646693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Dreimanis@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16052012004" TargetMode="External"/><Relationship Id="rId1" Type="http://schemas.openxmlformats.org/officeDocument/2006/relationships/hyperlink" Target="http://www3.lrs.lt/pls/inter3/dokpaieska.showdoc_e?p_id=425013&amp;p_query=&amp;p_tr2=2"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17589</Words>
  <Characters>10027</Characters>
  <Application>Microsoft Office Word</Application>
  <DocSecurity>4</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likumprojektam "Grozījumi Civilprocesa likuma"</vt:lpstr>
      <vt:lpstr>Anotācija likumprojektam "Grozījumi Civilprocesa likuma"</vt:lpstr>
    </vt:vector>
  </TitlesOfParts>
  <Company>Tieslietu Ministrija</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Civilprocesa likuma"</dc:title>
  <dc:subject>Anotācija</dc:subject>
  <dc:creator>Uldis Dreimanis</dc:creator>
  <dc:description>Uldis.Dreimanis@tm.gov.lv
67036827</dc:description>
  <cp:lastModifiedBy>ud1601</cp:lastModifiedBy>
  <cp:revision>2</cp:revision>
  <cp:lastPrinted>2012-08-16T11:09:00Z</cp:lastPrinted>
  <dcterms:created xsi:type="dcterms:W3CDTF">2012-08-23T08:26:00Z</dcterms:created>
  <dcterms:modified xsi:type="dcterms:W3CDTF">2012-08-23T08:26:00Z</dcterms:modified>
</cp:coreProperties>
</file>