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A1" w:rsidRPr="00DD6BB2" w:rsidRDefault="009918A1" w:rsidP="009918A1">
      <w:pPr>
        <w:spacing w:before="100" w:beforeAutospacing="1" w:after="100" w:afterAutospacing="1" w:line="240" w:lineRule="auto"/>
        <w:jc w:val="center"/>
        <w:rPr>
          <w:rFonts w:ascii="Times New Roman" w:hAnsi="Times New Roman" w:cs="Times New Roman"/>
          <w:sz w:val="26"/>
          <w:szCs w:val="26"/>
          <w:lang w:eastAsia="lv-LV"/>
        </w:rPr>
      </w:pPr>
      <w:bookmarkStart w:id="0" w:name="OLE_LINK7"/>
      <w:bookmarkStart w:id="1" w:name="OLE_LINK8"/>
      <w:r w:rsidRPr="00DD6BB2">
        <w:rPr>
          <w:rFonts w:ascii="Times New Roman" w:hAnsi="Times New Roman" w:cs="Times New Roman"/>
          <w:b/>
          <w:bCs/>
          <w:sz w:val="26"/>
          <w:szCs w:val="26"/>
          <w:lang w:eastAsia="lv-LV"/>
        </w:rPr>
        <w:t>Likumprojekta „Grozījumi Latvijas Administratīvo pārkāpumu kodeksā” sākotnējās ietekmes novērtējuma ziņojums (anotācija)</w:t>
      </w:r>
    </w:p>
    <w:tbl>
      <w:tblPr>
        <w:tblW w:w="9227"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26"/>
        <w:gridCol w:w="2322"/>
        <w:gridCol w:w="6379"/>
      </w:tblGrid>
      <w:tr w:rsidR="009918A1" w:rsidRPr="00DD6BB2" w:rsidTr="004E7261">
        <w:trPr>
          <w:tblCellSpacing w:w="0" w:type="dxa"/>
        </w:trPr>
        <w:tc>
          <w:tcPr>
            <w:tcW w:w="9227" w:type="dxa"/>
            <w:gridSpan w:val="3"/>
            <w:tcBorders>
              <w:top w:val="outset" w:sz="6" w:space="0" w:color="auto"/>
              <w:bottom w:val="outset" w:sz="6" w:space="0" w:color="auto"/>
            </w:tcBorders>
            <w:vAlign w:val="center"/>
          </w:tcPr>
          <w:bookmarkEnd w:id="0"/>
          <w:bookmarkEnd w:id="1"/>
          <w:p w:rsidR="009918A1" w:rsidRPr="00DD6BB2" w:rsidRDefault="009918A1" w:rsidP="004E7261">
            <w:pPr>
              <w:spacing w:before="100" w:beforeAutospacing="1" w:after="100" w:afterAutospacing="1" w:line="240" w:lineRule="auto"/>
              <w:jc w:val="center"/>
              <w:rPr>
                <w:rFonts w:ascii="Times New Roman" w:hAnsi="Times New Roman" w:cs="Times New Roman"/>
                <w:sz w:val="26"/>
                <w:szCs w:val="26"/>
                <w:lang w:eastAsia="lv-LV"/>
              </w:rPr>
            </w:pPr>
            <w:r w:rsidRPr="00DD6BB2">
              <w:rPr>
                <w:rFonts w:ascii="Times New Roman" w:hAnsi="Times New Roman" w:cs="Times New Roman"/>
                <w:b/>
                <w:bCs/>
                <w:sz w:val="26"/>
                <w:szCs w:val="26"/>
                <w:lang w:eastAsia="lv-LV"/>
              </w:rPr>
              <w:t>I. Tiesību akta projekta izstrādes nepieciešamība</w:t>
            </w:r>
          </w:p>
        </w:tc>
      </w:tr>
      <w:tr w:rsidR="009918A1" w:rsidRPr="00DD6BB2" w:rsidTr="004E7261">
        <w:trPr>
          <w:trHeight w:val="630"/>
          <w:tblCellSpacing w:w="0" w:type="dxa"/>
        </w:trPr>
        <w:tc>
          <w:tcPr>
            <w:tcW w:w="526" w:type="dxa"/>
            <w:tcBorders>
              <w:top w:val="outset" w:sz="6" w:space="0" w:color="auto"/>
              <w:bottom w:val="outset" w:sz="6" w:space="0" w:color="auto"/>
              <w:right w:val="outset" w:sz="6" w:space="0" w:color="auto"/>
            </w:tcBorders>
          </w:tcPr>
          <w:p w:rsidR="009918A1" w:rsidRPr="00DD6BB2" w:rsidRDefault="009918A1" w:rsidP="004E726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1.</w:t>
            </w:r>
          </w:p>
        </w:tc>
        <w:tc>
          <w:tcPr>
            <w:tcW w:w="2322" w:type="dxa"/>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Pamatojums</w:t>
            </w:r>
          </w:p>
        </w:tc>
        <w:tc>
          <w:tcPr>
            <w:tcW w:w="6379" w:type="dxa"/>
            <w:tcBorders>
              <w:top w:val="outset" w:sz="6" w:space="0" w:color="auto"/>
              <w:left w:val="outset" w:sz="6" w:space="0" w:color="auto"/>
              <w:bottom w:val="outset" w:sz="6" w:space="0" w:color="auto"/>
            </w:tcBorders>
          </w:tcPr>
          <w:p w:rsidR="009918A1" w:rsidRPr="00616A94" w:rsidRDefault="009918A1" w:rsidP="004E7261">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 xml:space="preserve">Ministru kabineta 2011. gada 5. jūlija sēdē tika apstiprināts informatīvais ziņojums „Par Latvijas Administratīvo pārkāpumu kodeksā paredzētās pašvaldību kompetences izvērtēšanu” un tam pievienotais Ministru kabineta sēdes </w:t>
            </w:r>
            <w:proofErr w:type="spellStart"/>
            <w:r w:rsidRPr="00616A94">
              <w:rPr>
                <w:rFonts w:ascii="Times New Roman" w:hAnsi="Times New Roman" w:cs="Times New Roman"/>
                <w:sz w:val="26"/>
                <w:szCs w:val="26"/>
              </w:rPr>
              <w:t>protokollēmums</w:t>
            </w:r>
            <w:proofErr w:type="spellEnd"/>
            <w:r w:rsidRPr="00616A94">
              <w:rPr>
                <w:rFonts w:ascii="Times New Roman" w:hAnsi="Times New Roman" w:cs="Times New Roman"/>
                <w:sz w:val="26"/>
                <w:szCs w:val="26"/>
              </w:rPr>
              <w:t xml:space="preserve"> (Ministru kabineta 2011. gada 5. jūlija sēdes protokols Nr. 41 46. §), kas Tieslietu ministrijai paredz </w:t>
            </w:r>
            <w:r w:rsidRPr="00616A94">
              <w:rPr>
                <w:rStyle w:val="spelle"/>
                <w:rFonts w:ascii="Times New Roman" w:eastAsia="Calibri" w:hAnsi="Times New Roman" w:cs="Times New Roman"/>
                <w:sz w:val="26"/>
                <w:szCs w:val="26"/>
              </w:rPr>
              <w:t xml:space="preserve">Latvijas Administratīvo pārkāpumu kodeksā </w:t>
            </w:r>
            <w:r w:rsidRPr="00616A94">
              <w:rPr>
                <w:rStyle w:val="spelle"/>
                <w:rFonts w:ascii="Times New Roman" w:hAnsi="Times New Roman" w:cs="Times New Roman"/>
                <w:sz w:val="26"/>
                <w:szCs w:val="26"/>
              </w:rPr>
              <w:t xml:space="preserve">(turpmāk – LAPK) </w:t>
            </w:r>
            <w:r w:rsidRPr="00616A94">
              <w:rPr>
                <w:rFonts w:ascii="Times New Roman" w:hAnsi="Times New Roman" w:cs="Times New Roman"/>
                <w:sz w:val="26"/>
                <w:szCs w:val="26"/>
              </w:rPr>
              <w:t xml:space="preserve">veidot iespējami efektīvāku valsts institūciju un pašvaldību kompetences, kā arī LAPK 299. panta ceturtajā daļā paredzēto naudas sodu finanšu ieņēmumu nodalīšanas risinājumu. </w:t>
            </w:r>
          </w:p>
        </w:tc>
      </w:tr>
      <w:tr w:rsidR="009918A1" w:rsidRPr="00DD6BB2" w:rsidTr="004E7261">
        <w:trPr>
          <w:trHeight w:val="472"/>
          <w:tblCellSpacing w:w="0" w:type="dxa"/>
        </w:trPr>
        <w:tc>
          <w:tcPr>
            <w:tcW w:w="526" w:type="dxa"/>
            <w:tcBorders>
              <w:top w:val="outset" w:sz="6" w:space="0" w:color="auto"/>
              <w:bottom w:val="outset" w:sz="6" w:space="0" w:color="auto"/>
              <w:right w:val="outset" w:sz="6" w:space="0" w:color="auto"/>
            </w:tcBorders>
          </w:tcPr>
          <w:p w:rsidR="009918A1" w:rsidRPr="00DD6BB2" w:rsidRDefault="009918A1" w:rsidP="004E726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2.</w:t>
            </w:r>
          </w:p>
        </w:tc>
        <w:tc>
          <w:tcPr>
            <w:tcW w:w="2322" w:type="dxa"/>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Pašreizējā situācija un problēmas</w:t>
            </w:r>
          </w:p>
        </w:tc>
        <w:tc>
          <w:tcPr>
            <w:tcW w:w="6379" w:type="dxa"/>
            <w:tcBorders>
              <w:top w:val="outset" w:sz="6" w:space="0" w:color="auto"/>
              <w:left w:val="outset" w:sz="6" w:space="0" w:color="auto"/>
              <w:bottom w:val="outset" w:sz="6" w:space="0" w:color="auto"/>
            </w:tcBorders>
          </w:tcPr>
          <w:p w:rsidR="009918A1" w:rsidRPr="00616A94" w:rsidRDefault="009918A1" w:rsidP="004E7261">
            <w:pPr>
              <w:pStyle w:val="Bezatstarpm"/>
              <w:jc w:val="both"/>
              <w:rPr>
                <w:rFonts w:ascii="Times New Roman" w:hAnsi="Times New Roman" w:cs="Times New Roman"/>
                <w:sz w:val="26"/>
                <w:szCs w:val="26"/>
                <w:lang w:eastAsia="lv-LV"/>
              </w:rPr>
            </w:pPr>
            <w:r w:rsidRPr="00616A94">
              <w:rPr>
                <w:rFonts w:ascii="Times New Roman" w:hAnsi="Times New Roman" w:cs="Times New Roman"/>
                <w:sz w:val="26"/>
                <w:szCs w:val="26"/>
                <w:lang w:eastAsia="lv-LV"/>
              </w:rPr>
              <w:t xml:space="preserve"> Šobrīd atbilstoši LAPK pārejas noteikumu 18. punktam līdz 2011. gada 31. decembrim </w:t>
            </w:r>
            <w:r w:rsidRPr="00616A94">
              <w:rPr>
                <w:rFonts w:ascii="Times New Roman" w:hAnsi="Times New Roman" w:cs="Times New Roman"/>
                <w:sz w:val="26"/>
                <w:szCs w:val="26"/>
              </w:rPr>
              <w:t>naudas sodi, kas uzlikti atbilstoši LAPK sevišķajā daļā noteiktajam, tiek ieskaitīti valsts budžetā vai pašvaldības budžetā (atkarībā no tā, kas sodu uzlicis), lai gan LAPK 299. panta ceturtā daļa paredz, ka naudas sodus, kas uzlikti par šā kodeksa sevišķajā daļā paredzētajiem administratīvajiem pārkāpumiem, ieskaita valsts budžetā, ja likumā nav paredzēts citādi. Naudas sodus, kas uzlikti par pašvaldību saistošajos noteikumos paredzētajiem administratīvajiem pārkāpumiem, ieskaita pašvaldību budžetos.</w:t>
            </w:r>
            <w:r w:rsidRPr="00616A94">
              <w:rPr>
                <w:rFonts w:ascii="Times New Roman" w:hAnsi="Times New Roman" w:cs="Times New Roman"/>
                <w:sz w:val="26"/>
                <w:szCs w:val="26"/>
                <w:lang w:eastAsia="lv-LV"/>
              </w:rPr>
              <w:t xml:space="preserve"> </w:t>
            </w:r>
          </w:p>
          <w:p w:rsidR="009918A1" w:rsidRPr="00616A94" w:rsidRDefault="009918A1" w:rsidP="004E7261">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 xml:space="preserve">Šādus nosacījumus ir akceptējusi Latvijas Republikas Saeima pieņemot grozījumus par naudas sodu finanšu sadali. Konceptuāla risinājuma nepieciešamība papildus ir apstiprināta arī </w:t>
            </w:r>
            <w:r w:rsidRPr="00616A94">
              <w:rPr>
                <w:rFonts w:ascii="Times New Roman" w:hAnsi="Times New Roman" w:cs="Times New Roman"/>
                <w:bCs/>
                <w:sz w:val="26"/>
                <w:szCs w:val="26"/>
              </w:rPr>
              <w:t xml:space="preserve">Ministru kabineta un Latvijas Pašvaldību savienības 2011. gada vienošanās un domstarpību protokola (2010. gada 2. decembris) VIII. sadaļas 2. punktā, konkrētajā gadījumā paredzot tikai normas spēkā stāšanās termiņa atlikšanu uz vienu gadu – līdz 2012. gada 1. janvārim. </w:t>
            </w:r>
          </w:p>
          <w:p w:rsidR="009918A1" w:rsidRPr="00616A94" w:rsidRDefault="009918A1" w:rsidP="008E006F">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LAPK 210. pantā ir noteikta pašvaldību administratīvo komisiju (turpmāk – PAK) kompetence, bet LAPK 211.</w:t>
            </w:r>
            <w:r w:rsidRPr="00616A94">
              <w:rPr>
                <w:rFonts w:ascii="Times New Roman" w:hAnsi="Times New Roman" w:cs="Times New Roman"/>
                <w:sz w:val="26"/>
                <w:szCs w:val="26"/>
                <w:vertAlign w:val="superscript"/>
              </w:rPr>
              <w:t>1</w:t>
            </w:r>
            <w:r w:rsidRPr="00616A94">
              <w:rPr>
                <w:rFonts w:ascii="Times New Roman" w:hAnsi="Times New Roman" w:cs="Times New Roman"/>
                <w:sz w:val="26"/>
                <w:szCs w:val="26"/>
              </w:rPr>
              <w:t> pantā noteikta r</w:t>
            </w:r>
            <w:r w:rsidRPr="00616A94">
              <w:rPr>
                <w:rFonts w:ascii="Times New Roman" w:hAnsi="Times New Roman" w:cs="Times New Roman"/>
                <w:bCs/>
                <w:sz w:val="26"/>
                <w:szCs w:val="26"/>
              </w:rPr>
              <w:t>epublikas pilsētu domju un novadu domju priekšsēdētāju, viņu vietnieku un izpilddirektoru</w:t>
            </w:r>
            <w:r w:rsidRPr="00616A94">
              <w:rPr>
                <w:rFonts w:ascii="Times New Roman" w:hAnsi="Times New Roman" w:cs="Times New Roman"/>
                <w:sz w:val="26"/>
                <w:szCs w:val="26"/>
              </w:rPr>
              <w:t xml:space="preserve"> kompetence lēmumu pieņemšanā un sodu noteikšanā. R</w:t>
            </w:r>
            <w:r w:rsidRPr="00616A94">
              <w:rPr>
                <w:rFonts w:ascii="Times New Roman" w:hAnsi="Times New Roman" w:cs="Times New Roman"/>
                <w:bCs/>
                <w:sz w:val="26"/>
                <w:szCs w:val="26"/>
              </w:rPr>
              <w:t>epublikas pilsētu domju un novadu domju priekšsēdētāju, viņu vietnieku un izpilddirektoru</w:t>
            </w:r>
            <w:r w:rsidRPr="00616A94">
              <w:rPr>
                <w:rFonts w:ascii="Times New Roman" w:hAnsi="Times New Roman" w:cs="Times New Roman"/>
                <w:sz w:val="26"/>
                <w:szCs w:val="26"/>
              </w:rPr>
              <w:t xml:space="preserve"> izskatāmo LAPK pantu kompetence pārklājas ar PAK kompetenci. Tādejādi</w:t>
            </w:r>
            <w:proofErr w:type="gramStart"/>
            <w:r w:rsidRPr="00616A94">
              <w:rPr>
                <w:rFonts w:ascii="Times New Roman" w:hAnsi="Times New Roman" w:cs="Times New Roman"/>
                <w:sz w:val="26"/>
                <w:szCs w:val="26"/>
              </w:rPr>
              <w:t xml:space="preserve">  </w:t>
            </w:r>
            <w:proofErr w:type="gramEnd"/>
            <w:r w:rsidRPr="00616A94">
              <w:rPr>
                <w:rFonts w:ascii="Times New Roman" w:hAnsi="Times New Roman" w:cs="Times New Roman"/>
                <w:sz w:val="26"/>
                <w:szCs w:val="26"/>
              </w:rPr>
              <w:t xml:space="preserve">PAK ieņem būtisku vietu LAPK paredzēto administratīvo pārkāpumu izskatīšanā, jo to kompetencē ir 82 LAPK panti vai to daļas ar dažādiem administratīvo pārkāpumu sastāviem, no tiem 32 LAPK panti šobrīd ir tādi, kuriem </w:t>
            </w:r>
            <w:r w:rsidRPr="00616A94">
              <w:rPr>
                <w:rFonts w:ascii="Times New Roman" w:hAnsi="Times New Roman" w:cs="Times New Roman"/>
                <w:sz w:val="26"/>
                <w:szCs w:val="26"/>
              </w:rPr>
              <w:lastRenderedPageBreak/>
              <w:t xml:space="preserve">valsts pārvaldes iestāžu kompetence nav paredzēta, proti, šādu pārkāpumu izskatīšana ir paredzēta tikai PAK. </w:t>
            </w:r>
          </w:p>
        </w:tc>
      </w:tr>
      <w:tr w:rsidR="009918A1" w:rsidRPr="00EA03C2" w:rsidTr="004E7261">
        <w:trPr>
          <w:trHeight w:val="1071"/>
          <w:tblCellSpacing w:w="0" w:type="dxa"/>
        </w:trPr>
        <w:tc>
          <w:tcPr>
            <w:tcW w:w="526" w:type="dxa"/>
            <w:tcBorders>
              <w:top w:val="outset" w:sz="6" w:space="0" w:color="auto"/>
              <w:bottom w:val="outset" w:sz="6" w:space="0" w:color="auto"/>
              <w:right w:val="outset" w:sz="6" w:space="0" w:color="auto"/>
            </w:tcBorders>
          </w:tcPr>
          <w:p w:rsidR="009918A1" w:rsidRPr="00EA03C2" w:rsidRDefault="009918A1" w:rsidP="004E7261">
            <w:pPr>
              <w:spacing w:before="100" w:beforeAutospacing="1" w:after="100" w:afterAutospacing="1" w:line="240" w:lineRule="auto"/>
              <w:rPr>
                <w:rFonts w:ascii="Times New Roman" w:hAnsi="Times New Roman" w:cs="Times New Roman"/>
                <w:sz w:val="24"/>
                <w:szCs w:val="24"/>
                <w:lang w:eastAsia="lv-LV"/>
              </w:rPr>
            </w:pPr>
          </w:p>
        </w:tc>
        <w:tc>
          <w:tcPr>
            <w:tcW w:w="2322" w:type="dxa"/>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Saistītie politikas ietekmes novērtējumi un pētījumi</w:t>
            </w:r>
          </w:p>
        </w:tc>
        <w:tc>
          <w:tcPr>
            <w:tcW w:w="6379" w:type="dxa"/>
            <w:tcBorders>
              <w:top w:val="outset" w:sz="6" w:space="0" w:color="auto"/>
              <w:left w:val="outset" w:sz="6" w:space="0" w:color="auto"/>
              <w:bottom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Nav attiecināms</w:t>
            </w:r>
          </w:p>
        </w:tc>
      </w:tr>
      <w:tr w:rsidR="009918A1" w:rsidRPr="00550B5E" w:rsidTr="004E7261">
        <w:trPr>
          <w:trHeight w:val="384"/>
          <w:tblCellSpacing w:w="0" w:type="dxa"/>
        </w:trPr>
        <w:tc>
          <w:tcPr>
            <w:tcW w:w="526" w:type="dxa"/>
            <w:tcBorders>
              <w:top w:val="outset" w:sz="6" w:space="0" w:color="auto"/>
              <w:bottom w:val="outset" w:sz="6" w:space="0" w:color="auto"/>
              <w:right w:val="outset" w:sz="6" w:space="0" w:color="auto"/>
            </w:tcBorders>
          </w:tcPr>
          <w:p w:rsidR="009918A1" w:rsidRPr="00550B5E" w:rsidRDefault="009918A1" w:rsidP="004E7261">
            <w:pPr>
              <w:spacing w:before="100" w:beforeAutospacing="1" w:after="100" w:afterAutospacing="1" w:line="240" w:lineRule="auto"/>
              <w:rPr>
                <w:rFonts w:ascii="Times New Roman" w:hAnsi="Times New Roman" w:cs="Times New Roman"/>
                <w:sz w:val="24"/>
                <w:szCs w:val="24"/>
                <w:lang w:eastAsia="lv-LV"/>
              </w:rPr>
            </w:pPr>
            <w:r w:rsidRPr="00550B5E">
              <w:rPr>
                <w:rFonts w:ascii="Times New Roman" w:hAnsi="Times New Roman" w:cs="Times New Roman"/>
                <w:sz w:val="24"/>
                <w:szCs w:val="24"/>
                <w:lang w:eastAsia="lv-LV"/>
              </w:rPr>
              <w:t> 4.</w:t>
            </w:r>
          </w:p>
        </w:tc>
        <w:tc>
          <w:tcPr>
            <w:tcW w:w="2322" w:type="dxa"/>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Tiesiskā regulējuma mērķis un būtība</w:t>
            </w:r>
          </w:p>
        </w:tc>
        <w:tc>
          <w:tcPr>
            <w:tcW w:w="6379" w:type="dxa"/>
            <w:tcBorders>
              <w:top w:val="outset" w:sz="6" w:space="0" w:color="auto"/>
              <w:left w:val="outset" w:sz="6" w:space="0" w:color="auto"/>
              <w:bottom w:val="outset" w:sz="6" w:space="0" w:color="auto"/>
            </w:tcBorders>
          </w:tcPr>
          <w:p w:rsidR="009918A1" w:rsidRPr="00616A94" w:rsidRDefault="009918A1" w:rsidP="00DA0279">
            <w:pPr>
              <w:pStyle w:val="Bezatstarpm"/>
              <w:ind w:firstLine="268"/>
              <w:jc w:val="both"/>
              <w:rPr>
                <w:rFonts w:ascii="Times New Roman" w:hAnsi="Times New Roman" w:cs="Times New Roman"/>
                <w:sz w:val="26"/>
                <w:szCs w:val="26"/>
              </w:rPr>
            </w:pPr>
            <w:r w:rsidRPr="00616A94">
              <w:rPr>
                <w:rFonts w:ascii="Times New Roman" w:hAnsi="Times New Roman" w:cs="Times New Roman"/>
                <w:sz w:val="26"/>
                <w:szCs w:val="26"/>
              </w:rPr>
              <w:t xml:space="preserve">Projekta mērķis ir atbilstoši esošajai valsts pārvaldes iestāžu kapacitātei samazināt pašvaldību kompetenci LAPK lietu izskatīšanā, lai maksimāli tiktu izpildīts LAPK 299. panta ceturtajā daļā paredzētais regulējums. Projektā tas tiek panākts ar to, ka PAK un republikas pilsētu domju un novadu domju priekšsēdētāju, viņu vietnieku un izpilddirektoru kompetencē esošie aktuālie administratīvie pārkāpumi tiks nodoti kompetentajām valsts pārvaldes iestādēm. Vienlaicīgi projekts paredz LAPK sevišķajā daļā izslēgt pantus, kuri ir morāli novecojuši un zaudējuši aktualitāti, vai ir mazsvarīgi. Tādejādi mazsvarīgu pārkāpumu, kuri ir saistīti ar pašvaldību autonomo funkciju izpildi, izslēgšana no LAPK pašvaldībām dos lielāku iespēju ar pašvaldību saistošajiem noteikumiem veidot tiesisku regulējumu un nedublēt saistošajos noteikumos LAPK paredzētos vispārīgi izteiktos pārkāpumus. </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sz w:val="26"/>
                <w:szCs w:val="26"/>
                <w:u w:val="single"/>
              </w:rPr>
              <w:t>Ar projektu paredzēts izslēgt šādus LAPK pantus</w:t>
            </w:r>
            <w:r w:rsidRPr="00616A94">
              <w:rPr>
                <w:rFonts w:ascii="Times New Roman" w:hAnsi="Times New Roman" w:cs="Times New Roman"/>
                <w:b/>
                <w:sz w:val="26"/>
                <w:szCs w:val="26"/>
              </w:rPr>
              <w:t>:</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sz w:val="26"/>
                <w:szCs w:val="26"/>
              </w:rPr>
              <w:t xml:space="preserve">44. pants. Prasību neievērošana, kuru mērķis ir novērst venerisko slimību izplatīšanos </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Pants nav grozīts kopš 1996. gada. Šobrīd saskaņā ar Pacientu tiesību likumā noteikto regulējumu nav iespējams personu piespiest veikt LAPK pantā minētās darbības, ja pacients pats to nevēlas. Normas piemērošanu ierobežo arī pacienta informācijas aizsardzības nosacījumi.</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bCs/>
                <w:sz w:val="26"/>
                <w:szCs w:val="26"/>
              </w:rPr>
              <w:t>51. pants. Obligāto zemes aizsardzības pasākumu neizpildīšana</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Spēkā esošie normatīvie akti neparedz ūdens vai vēja erozijas pasākumu veikšanas pienākumus. Savukārt par panta otrajā daļā paredzēto zāles appļaušanas pienākumu nepildīšanu, lai novērstu kūlas veidošanos, sodu var paredzēt pašvaldību saistošajos noteikumos.</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sz w:val="26"/>
                <w:szCs w:val="26"/>
              </w:rPr>
              <w:t>52. pants. Uz laiku aizņemtās zemes savlaicīga nenodošana atpakaļ vai zemes nesakārtošana lietošanai atbilstoši tās uzdevumiem</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 xml:space="preserve">Pants nav grozīts kopš 1995. gada un šāda pārkāpuma un soda mērķis kopš Civillikuma atjaunošanas nav saprotams, jo zemes īpašnieka un lietotāja savstarpējās attiecības ir pietiekami precīzi definēts civiltiesisks darījums un tas jārisina civiltiesiskā veidā. </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sz w:val="26"/>
                <w:szCs w:val="26"/>
              </w:rPr>
              <w:t>53. pants. Patvaļīga atkāpšanās no valsts vai iniciatīvās zemes ierīcības projektiem (plāniem)</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lastRenderedPageBreak/>
              <w:t xml:space="preserve">Pants nav grozīts kopš 1995. gada un šāda pārkāpuma un soda mērķis tiesiskajās attiecībās nav saprotams. Normatīvie akti neparedz ierobežojumus īpašnieka tiesībām ar zemes ierīcības projektiem. Turklāt valsts pārvaldes iestādēm ir speciālie LAPK panti par atsevišķu teritoriju aizsardzības noteikumu pārkāpšanu. </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sz w:val="26"/>
                <w:szCs w:val="26"/>
              </w:rPr>
              <w:t>53.</w:t>
            </w:r>
            <w:r w:rsidRPr="00616A94">
              <w:rPr>
                <w:rFonts w:ascii="Times New Roman" w:hAnsi="Times New Roman" w:cs="Times New Roman"/>
                <w:b/>
                <w:sz w:val="26"/>
                <w:szCs w:val="26"/>
                <w:vertAlign w:val="superscript"/>
              </w:rPr>
              <w:t>1</w:t>
            </w:r>
            <w:r w:rsidRPr="00616A94">
              <w:rPr>
                <w:rFonts w:ascii="Times New Roman" w:hAnsi="Times New Roman" w:cs="Times New Roman"/>
                <w:b/>
                <w:sz w:val="26"/>
                <w:szCs w:val="26"/>
              </w:rPr>
              <w:t xml:space="preserve"> pants. Patvaļīga atkāpšanās no zemes reformas īstenošanas</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 xml:space="preserve">Pants nav grozīts kopš 1995. gada un šāda pārkāpuma un soda mērķis nav aktuāls. Zemes reforma praktiski ir pabeigta, bet pants ir bijis izveidots ar mērķi atturēt dažādas amatpersonas (zemes komisiju locekļus, mērniekus) no prettiesiskām darbībām. </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sz w:val="26"/>
                <w:szCs w:val="26"/>
              </w:rPr>
              <w:t>76.pants. Pesticīdu, augšanas stimulatoru, minerālmēslu vai citu vielu transportēšanas, uzglabāšanas vai lietošanas noteikumu pārkāpšana</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 xml:space="preserve">Valsts pārvaldes iestādes piemēro LAPK pantus par ķīmisko vielu aprites nosacījumu pārkāpšanu. LAPK panta izslēgšanas gadījumā pašvaldības nepieciešamo regulējumu, piemēram, par minerālmēslu apriti varēs veidot ar saistošajiem noteikumiem. </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sz w:val="26"/>
                <w:szCs w:val="26"/>
              </w:rPr>
              <w:t xml:space="preserve">95. pants. Gāzes un elektroenerģijas izmantošanas noteikumu un normu pārkāpumi </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 xml:space="preserve">Pants paredz administratīvus sodus par divu privātpersonu civiltiesisku attiecību (līguma nosacījumu) neievērošanu. Valstij nevajadzētu tērēt resursus šādu pārkāpumu izskatīšanai. </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sz w:val="26"/>
                <w:szCs w:val="26"/>
              </w:rPr>
              <w:t xml:space="preserve">97.pants. Rezerves kurināmā saimniecības </w:t>
            </w:r>
            <w:proofErr w:type="spellStart"/>
            <w:r w:rsidRPr="00616A94">
              <w:rPr>
                <w:rFonts w:ascii="Times New Roman" w:hAnsi="Times New Roman" w:cs="Times New Roman"/>
                <w:b/>
                <w:sz w:val="26"/>
                <w:szCs w:val="26"/>
              </w:rPr>
              <w:t>nesagatavotība</w:t>
            </w:r>
            <w:proofErr w:type="spellEnd"/>
            <w:r w:rsidRPr="00616A94">
              <w:rPr>
                <w:rFonts w:ascii="Times New Roman" w:hAnsi="Times New Roman" w:cs="Times New Roman"/>
                <w:b/>
                <w:sz w:val="26"/>
                <w:szCs w:val="26"/>
              </w:rPr>
              <w:t xml:space="preserve"> darbam</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 xml:space="preserve">Normatīvie akti neparedz gāzes lietotāju pienākumu veidot rezerves kurināmā saimniecību un normas mērķis ir deklaratīvs. </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sz w:val="26"/>
                <w:szCs w:val="26"/>
              </w:rPr>
              <w:t>102.</w:t>
            </w:r>
            <w:r w:rsidRPr="00616A94">
              <w:rPr>
                <w:rFonts w:ascii="Times New Roman" w:hAnsi="Times New Roman" w:cs="Times New Roman"/>
                <w:b/>
                <w:sz w:val="26"/>
                <w:szCs w:val="26"/>
                <w:vertAlign w:val="superscript"/>
              </w:rPr>
              <w:t>1</w:t>
            </w:r>
            <w:r w:rsidRPr="00616A94">
              <w:rPr>
                <w:rFonts w:ascii="Times New Roman" w:hAnsi="Times New Roman" w:cs="Times New Roman"/>
                <w:b/>
                <w:sz w:val="26"/>
                <w:szCs w:val="26"/>
              </w:rPr>
              <w:t xml:space="preserve"> pants. Selekcionāra tiesību pārkāpšana</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Augu šķirņu aizsardzības likuma 37.</w:t>
            </w:r>
            <w:r w:rsidRPr="00616A94">
              <w:rPr>
                <w:rFonts w:ascii="Times New Roman" w:hAnsi="Times New Roman" w:cs="Times New Roman"/>
                <w:sz w:val="26"/>
                <w:szCs w:val="26"/>
                <w:vertAlign w:val="superscript"/>
              </w:rPr>
              <w:t>1</w:t>
            </w:r>
            <w:r w:rsidRPr="00616A94">
              <w:rPr>
                <w:rFonts w:ascii="Times New Roman" w:hAnsi="Times New Roman" w:cs="Times New Roman"/>
                <w:sz w:val="26"/>
                <w:szCs w:val="26"/>
              </w:rPr>
              <w:t xml:space="preserve"> pants šobrīd paredz selekcionāra tiesību aizsardzību, iesniedzot pieteikumu tiesā (civiltiesiskā kārtībā) un normas mērķis ir deklaratīvs.</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bCs/>
                <w:sz w:val="26"/>
                <w:szCs w:val="26"/>
              </w:rPr>
              <w:t>103.pants. Zemes īpašnieku (lietotāju) atbildība, ja viņi neveic nezāļu, lauksaimniecības augu kaitēkļu un slimību apkarošanas pasākumus</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Valsts augu aizsardzības dienests izmanto speciālos normatīvos aktus par augu karantīnas pasākumiem, tai skaitā arī LAPK 101. pantu. Citu nepieciešamo regulējumu, piemēram, par nezāļu apkarošanu var paredzēt pašvaldību saistošajos noteikumos.</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sz w:val="26"/>
                <w:szCs w:val="26"/>
              </w:rPr>
              <w:t>103.</w:t>
            </w:r>
            <w:r w:rsidRPr="00616A94">
              <w:rPr>
                <w:rFonts w:ascii="Times New Roman" w:hAnsi="Times New Roman" w:cs="Times New Roman"/>
                <w:b/>
                <w:sz w:val="26"/>
                <w:szCs w:val="26"/>
                <w:vertAlign w:val="superscript"/>
              </w:rPr>
              <w:t>1</w:t>
            </w:r>
            <w:r w:rsidRPr="00616A94">
              <w:rPr>
                <w:rFonts w:ascii="Times New Roman" w:hAnsi="Times New Roman" w:cs="Times New Roman"/>
                <w:b/>
                <w:sz w:val="26"/>
                <w:szCs w:val="26"/>
              </w:rPr>
              <w:t>pants. Narkotiskās vielas saturošu augu sējumu apsardzības nenodrošināšana</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 xml:space="preserve">Pants nav grozīts kopš 1997. gada. Spēkā esošie normatīvie </w:t>
            </w:r>
            <w:r w:rsidRPr="00616A94">
              <w:rPr>
                <w:rFonts w:ascii="Times New Roman" w:hAnsi="Times New Roman" w:cs="Times New Roman"/>
                <w:sz w:val="26"/>
                <w:szCs w:val="26"/>
              </w:rPr>
              <w:lastRenderedPageBreak/>
              <w:t>akti neparedz šādu augu legālas audzēšanas iespēju, tādēļ arī šādu sējumu apsardzība nosacījumi ar ārējo normatīvo aktu nav noteikti. Savukārt par šādu augu nelegālu audzēšanu tiks paredzēta kriminālatbildība.</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sz w:val="26"/>
                <w:szCs w:val="26"/>
              </w:rPr>
              <w:t>137.pants. Autotransporta un elektrotransporta lietošanas noteikumu pārkāpšana</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 xml:space="preserve">Normatīvie akti neparedz šādus lietošanas noteikumus. Faktiski tās ir divu privātpersonu civiltiesiskas attiecības, tādēļ valstij nevajadzētu tērēt resursus šādu pārkāpumu konstatēšanai un lietu izskatīšanai. Nepieciešamības gadījumā pašvaldības varēs izdot saistošos noteikumus par konkrētās pašvaldības autotransporta un elektrotransporta lietošanas nosacījumiem. </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sz w:val="26"/>
                <w:szCs w:val="26"/>
              </w:rPr>
              <w:t>138. pants. Kravu saglabāšanas nodrošināšanas noteikumu pārkāpšana dzelzceļa, jūras, iekšējo ūdeņu un automobiļu transportā</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 xml:space="preserve">Tās ir divu privātpersonu civiltiesisku attiecību pārkāpums. Kravu saglabāšanas nosacījumus paredz Dzelzceļa pārvadājumu likums un Autopārvadājumu likums, ko jārisina civiltiesiskā kārtībā. Savukārt par tīšu svešas mantas bojāšanu, ja to izdarījusi trešā persona, nebūtu pamatoti noteikt administratīvo sodu, jo tas nav samērīgi ar pārkāpumu. </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sz w:val="26"/>
                <w:szCs w:val="26"/>
              </w:rPr>
              <w:t>144. pants. Maģistrālo cauruļvadu aizsardzības noteikumu pārkāpšana</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Pants nav grozīts kopš 1995. gada. Normatīvie akti neparedz atsevišķu regulējumu par maģistrālajiem cauruļvadiem un to aizsardzību, nepieciešamības gadījumā lietderīgāk ir piemērot LAPK un Krimināllikumā paredzētos speciālos pantus par naftas, naftas produktu un gāzes cauruļvadu aizsardzības nosacījumu pārkāpšanu.</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sz w:val="26"/>
                <w:szCs w:val="26"/>
              </w:rPr>
              <w:t>150. pants. Reģistrēšanas un uzskaites noteikumu dzīvokļa jautājumu risināšanai pārkāpšana</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Pants nav grozīts kopš 1995. gada. Normatīvie akti neparedz valsts un pašvaldību amatpersonām un daudzdzīvokļu māju apsaimniekotājiem saistošu regulējumu par dzīvokļu uzskaiti un attiecīgi arī to pārkāpumiem.</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sz w:val="26"/>
                <w:szCs w:val="26"/>
              </w:rPr>
              <w:t>150.</w:t>
            </w:r>
            <w:r w:rsidRPr="00616A94">
              <w:rPr>
                <w:rFonts w:ascii="Times New Roman" w:hAnsi="Times New Roman" w:cs="Times New Roman"/>
                <w:b/>
                <w:sz w:val="26"/>
                <w:szCs w:val="26"/>
                <w:vertAlign w:val="superscript"/>
              </w:rPr>
              <w:t>1</w:t>
            </w:r>
            <w:r w:rsidRPr="00616A94">
              <w:rPr>
                <w:rFonts w:ascii="Times New Roman" w:hAnsi="Times New Roman" w:cs="Times New Roman"/>
                <w:b/>
                <w:sz w:val="26"/>
                <w:szCs w:val="26"/>
              </w:rPr>
              <w:t xml:space="preserve"> pants. Neziņošana par dzīvojamās telpas atbrīvošanu</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Pants nav grozīts kopš 1995. gada. Normatīvie akti neparedz valsts un pašvaldību amatpersonām un daudzdzīvokļu māju apsaimniekotājiem saistošu regulējumu par dzīvokļu uzskaiti un attiecīgi arī to pārkāpumiem.</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sz w:val="26"/>
                <w:szCs w:val="26"/>
              </w:rPr>
              <w:t>176.pants. Patvarība</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 xml:space="preserve">Pants ir ļoti vispārīgs un paredz atbildību par jebkādas darbības izdarīšanu patvaļīgi, apejot likumā noteikto kārtību. Šādas normas saglabāšana ir apšaubāma, jo tās </w:t>
            </w:r>
            <w:r w:rsidRPr="00616A94">
              <w:rPr>
                <w:rFonts w:ascii="Times New Roman" w:hAnsi="Times New Roman" w:cs="Times New Roman"/>
                <w:sz w:val="26"/>
                <w:szCs w:val="26"/>
              </w:rPr>
              <w:lastRenderedPageBreak/>
              <w:t xml:space="preserve">piemērošanas procesā nav iespējams ievērot administratīvajā procesā noteiktos principus, piemēram, likuma atrunas principu. </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sz w:val="26"/>
                <w:szCs w:val="26"/>
              </w:rPr>
              <w:t xml:space="preserve">185.pants. Karatē mācīšanas noteikumu pārkāpšana </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 xml:space="preserve">Pants nav grozīts kopš 1995. gada. Šobrīd normatīvie akti neparedz regulējumu par karatē vai citu līdzīgu cīņas sporta veidu mācīšanas noteikumiem un to pārkāpšanu. </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sz w:val="26"/>
                <w:szCs w:val="26"/>
              </w:rPr>
              <w:t xml:space="preserve">197.pants. Tīša zīmogu vai plombu bojāšana vai noraušana </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Pants ir vispārīgs un nav grozīts kopš 1995. gada. Jebkura valsts iestāde šobrīd var piemērot normas par amatpersonas likumīgo prasību nepildīšanu, jo zīmogs vai plomba ir amatpersonas noteikts nodrošinājums. Tā šobrīd, piemēram, dara Konkurences padome. Vienlaicīgi LAPK ir speciālās normas – LAPK 138. un 139. pants par dažādu kravu nodrošinājumiem, LAPK 201.</w:t>
            </w:r>
            <w:r w:rsidRPr="00616A94">
              <w:rPr>
                <w:rFonts w:ascii="Times New Roman" w:hAnsi="Times New Roman" w:cs="Times New Roman"/>
                <w:sz w:val="26"/>
                <w:szCs w:val="26"/>
                <w:vertAlign w:val="superscript"/>
              </w:rPr>
              <w:t>15</w:t>
            </w:r>
            <w:r w:rsidRPr="00616A94">
              <w:rPr>
                <w:rFonts w:ascii="Times New Roman" w:hAnsi="Times New Roman" w:cs="Times New Roman"/>
                <w:sz w:val="26"/>
                <w:szCs w:val="26"/>
              </w:rPr>
              <w:t> pants par muitas nodrošinājumiem (plombām).</w:t>
            </w:r>
          </w:p>
          <w:p w:rsidR="009918A1" w:rsidRPr="00616A94" w:rsidRDefault="009918A1" w:rsidP="00DA0279">
            <w:pPr>
              <w:pStyle w:val="Bezatstarpm"/>
              <w:jc w:val="both"/>
              <w:rPr>
                <w:rFonts w:ascii="Times New Roman" w:hAnsi="Times New Roman" w:cs="Times New Roman"/>
                <w:b/>
                <w:sz w:val="26"/>
                <w:szCs w:val="26"/>
              </w:rPr>
            </w:pPr>
            <w:r w:rsidRPr="00616A94">
              <w:rPr>
                <w:rFonts w:ascii="Times New Roman" w:hAnsi="Times New Roman" w:cs="Times New Roman"/>
                <w:b/>
                <w:sz w:val="26"/>
                <w:szCs w:val="26"/>
              </w:rPr>
              <w:t>204.pants. Reliģisko rituālu, ceremoniju, sapulču un gājienu organizēšanas vai norises kārtības neievērošana</w:t>
            </w:r>
          </w:p>
          <w:p w:rsidR="009918A1" w:rsidRPr="00616A94" w:rsidRDefault="009918A1" w:rsidP="00DA0279">
            <w:pPr>
              <w:pStyle w:val="Pamattekstsaratkpi"/>
              <w:ind w:hanging="11"/>
              <w:jc w:val="both"/>
              <w:rPr>
                <w:sz w:val="26"/>
                <w:szCs w:val="26"/>
              </w:rPr>
            </w:pPr>
            <w:r w:rsidRPr="00616A94">
              <w:rPr>
                <w:sz w:val="26"/>
                <w:szCs w:val="26"/>
              </w:rPr>
              <w:t xml:space="preserve">Pants nav grozīts kopš 1995. gada. Reliģisko organizāciju likuma 14.p. 3.d. paredz, ka reliģisko darbību publiskās vietās var veikt tikai reliģiskās organizācijas ar pašvaldību piekrišanu un veicot reliģisko darbību, nedrīkst pārkāpt sabiedriskās kārtības noteikumus. Citi nosacījumi šobrīd nav paredzēti. Nepieciešamības gadījumā pašvaldības varēs izdot saistošos noteikumus. </w:t>
            </w:r>
          </w:p>
          <w:p w:rsidR="009918A1" w:rsidRPr="00616A94" w:rsidRDefault="009918A1" w:rsidP="00DA0279">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Projekts paredz arī turpmāk saglabāt PAK kompetenci atsevišķu administratīvo pārkāpumu izskatīšanā, bet vienlaicīgi tas paredz izslēgt LAPK 211.</w:t>
            </w:r>
            <w:r w:rsidRPr="00616A94">
              <w:rPr>
                <w:rFonts w:ascii="Times New Roman" w:hAnsi="Times New Roman" w:cs="Times New Roman"/>
                <w:sz w:val="26"/>
                <w:szCs w:val="26"/>
                <w:vertAlign w:val="superscript"/>
              </w:rPr>
              <w:t>1</w:t>
            </w:r>
            <w:r w:rsidRPr="00616A94">
              <w:rPr>
                <w:rFonts w:ascii="Times New Roman" w:hAnsi="Times New Roman" w:cs="Times New Roman"/>
                <w:sz w:val="26"/>
                <w:szCs w:val="26"/>
              </w:rPr>
              <w:t>pantu, proti, r</w:t>
            </w:r>
            <w:r w:rsidRPr="00616A94">
              <w:rPr>
                <w:rFonts w:ascii="Times New Roman" w:hAnsi="Times New Roman" w:cs="Times New Roman"/>
                <w:bCs/>
                <w:sz w:val="26"/>
                <w:szCs w:val="26"/>
              </w:rPr>
              <w:t>epublikas pilsētu domju un novadu domju priekšsēdētāju, viņu vietnieku un izpilddirektoru</w:t>
            </w:r>
            <w:r w:rsidRPr="00616A94">
              <w:rPr>
                <w:rFonts w:ascii="Times New Roman" w:hAnsi="Times New Roman" w:cs="Times New Roman"/>
                <w:sz w:val="26"/>
                <w:szCs w:val="26"/>
              </w:rPr>
              <w:t xml:space="preserve"> kompetenci LAPK piemērošanā un sodu noteikšanā. Šāds diferencēts regulējums tiek saglabāts, jo valsts pārvaldes iestādēm nav pietiekamas kapacitātes visu PAK kompetencē esošo administratīvo pārkāpumu lietu izskatīšanas pārņemšanai. Ņemot vērā valsts pārvaldes iestāžu kapacitātes trūkumu, šis projekts būtībā neskar LAPK paredzēto pašvaldību autotransporta kontroles institūciju, pašvaldības policijas un būvvaldes kompetenci, tikai paplašina būvvaldes kompetenci, paredzot tām tiesības pašām izskatīt jebkuru pārkāpumu un piemērot atbilstošu sodu. Ņemot vērā LAPK 299. panta ceturtajā daļā noteikto, vienlaicīgi projekts paredz grozījumus PAK, pašvaldības autotransporta kontroles institūciju, pašvaldības policijas un būvvaldes kompetenci nosakošajos pantos, kas paredz, ka šo institūciju uzlikto naudas sodu finanšu ieņēmumi tiek ieskaitīts pašvaldības budžetā, proti, tieši LAPK normās tiek paredzēti naudas </w:t>
            </w:r>
            <w:r w:rsidRPr="00616A94">
              <w:rPr>
                <w:rFonts w:ascii="Times New Roman" w:hAnsi="Times New Roman" w:cs="Times New Roman"/>
                <w:sz w:val="26"/>
                <w:szCs w:val="26"/>
              </w:rPr>
              <w:lastRenderedPageBreak/>
              <w:t xml:space="preserve">sodu finanšu ieņēmumu sadales izņēmumi. </w:t>
            </w:r>
          </w:p>
          <w:p w:rsidR="009918A1" w:rsidRPr="00616A94" w:rsidRDefault="009918A1" w:rsidP="00DA0279">
            <w:pPr>
              <w:spacing w:after="0" w:line="240" w:lineRule="auto"/>
              <w:jc w:val="both"/>
              <w:rPr>
                <w:rFonts w:ascii="Times New Roman" w:hAnsi="Times New Roman" w:cs="Times New Roman"/>
                <w:sz w:val="26"/>
                <w:szCs w:val="26"/>
                <w:lang w:eastAsia="lv-LV"/>
              </w:rPr>
            </w:pPr>
          </w:p>
        </w:tc>
      </w:tr>
      <w:tr w:rsidR="009918A1" w:rsidRPr="00550B5E" w:rsidTr="004E7261">
        <w:trPr>
          <w:trHeight w:val="476"/>
          <w:tblCellSpacing w:w="0" w:type="dxa"/>
        </w:trPr>
        <w:tc>
          <w:tcPr>
            <w:tcW w:w="526" w:type="dxa"/>
            <w:tcBorders>
              <w:top w:val="outset" w:sz="6" w:space="0" w:color="auto"/>
              <w:bottom w:val="outset" w:sz="6" w:space="0" w:color="auto"/>
              <w:right w:val="outset" w:sz="6" w:space="0" w:color="auto"/>
            </w:tcBorders>
          </w:tcPr>
          <w:p w:rsidR="009918A1" w:rsidRPr="00550B5E" w:rsidRDefault="009918A1" w:rsidP="004E7261">
            <w:pPr>
              <w:spacing w:before="100" w:beforeAutospacing="1" w:after="100" w:afterAutospacing="1" w:line="240" w:lineRule="auto"/>
              <w:rPr>
                <w:rFonts w:ascii="Times New Roman" w:hAnsi="Times New Roman" w:cs="Times New Roman"/>
                <w:sz w:val="24"/>
                <w:szCs w:val="24"/>
                <w:lang w:eastAsia="lv-LV"/>
              </w:rPr>
            </w:pPr>
            <w:r w:rsidRPr="00550B5E">
              <w:rPr>
                <w:rFonts w:ascii="Times New Roman" w:hAnsi="Times New Roman" w:cs="Times New Roman"/>
                <w:sz w:val="24"/>
                <w:szCs w:val="24"/>
                <w:lang w:eastAsia="lv-LV"/>
              </w:rPr>
              <w:lastRenderedPageBreak/>
              <w:t> 5.</w:t>
            </w:r>
          </w:p>
        </w:tc>
        <w:tc>
          <w:tcPr>
            <w:tcW w:w="2322" w:type="dxa"/>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Projekta izstrādē iesaistītās institūcijas</w:t>
            </w:r>
          </w:p>
        </w:tc>
        <w:tc>
          <w:tcPr>
            <w:tcW w:w="6379" w:type="dxa"/>
            <w:tcBorders>
              <w:top w:val="outset" w:sz="6" w:space="0" w:color="auto"/>
              <w:left w:val="outset" w:sz="6" w:space="0" w:color="auto"/>
              <w:bottom w:val="outset" w:sz="6" w:space="0" w:color="auto"/>
            </w:tcBorders>
          </w:tcPr>
          <w:p w:rsidR="009918A1" w:rsidRPr="00616A94" w:rsidRDefault="009918A1" w:rsidP="00DA0279">
            <w:pPr>
              <w:spacing w:before="100" w:beforeAutospacing="1" w:after="100" w:afterAutospacing="1" w:line="240" w:lineRule="auto"/>
              <w:jc w:val="both"/>
              <w:rPr>
                <w:rFonts w:ascii="Times New Roman" w:hAnsi="Times New Roman" w:cs="Times New Roman"/>
                <w:sz w:val="26"/>
                <w:szCs w:val="26"/>
                <w:lang w:eastAsia="lv-LV"/>
              </w:rPr>
            </w:pPr>
            <w:r w:rsidRPr="00616A94">
              <w:rPr>
                <w:rFonts w:ascii="Times New Roman" w:hAnsi="Times New Roman" w:cs="Times New Roman"/>
                <w:sz w:val="26"/>
                <w:szCs w:val="26"/>
                <w:lang w:eastAsia="lv-LV"/>
              </w:rPr>
              <w:t xml:space="preserve">Projekta daļā par pašvaldību kompetences maiņu Tieslietu ministrija, Latvijas Pašvaldību savienība, Latvijas Lielo pilsētu asociācija, ministrijas un iestādes, kuras atbilstoši LAPK 17. nodaļai vienlaicīgi ar PAK ir tiesīgas izskatīt PAK kompetencē esošās vai līdzīgas administratīvo pārkāpumu lietas. </w:t>
            </w:r>
          </w:p>
        </w:tc>
      </w:tr>
      <w:tr w:rsidR="009918A1" w:rsidRPr="00550B5E" w:rsidTr="004E7261">
        <w:trPr>
          <w:trHeight w:val="1340"/>
          <w:tblCellSpacing w:w="0" w:type="dxa"/>
        </w:trPr>
        <w:tc>
          <w:tcPr>
            <w:tcW w:w="526" w:type="dxa"/>
            <w:tcBorders>
              <w:top w:val="outset" w:sz="6" w:space="0" w:color="auto"/>
              <w:bottom w:val="outset" w:sz="6" w:space="0" w:color="auto"/>
              <w:right w:val="outset" w:sz="6" w:space="0" w:color="auto"/>
            </w:tcBorders>
          </w:tcPr>
          <w:p w:rsidR="009918A1" w:rsidRPr="00550B5E" w:rsidRDefault="009918A1" w:rsidP="004E7261">
            <w:pPr>
              <w:spacing w:before="100" w:beforeAutospacing="1" w:after="100" w:afterAutospacing="1" w:line="240" w:lineRule="auto"/>
              <w:rPr>
                <w:rFonts w:ascii="Times New Roman" w:hAnsi="Times New Roman" w:cs="Times New Roman"/>
                <w:sz w:val="24"/>
                <w:szCs w:val="24"/>
                <w:lang w:eastAsia="lv-LV"/>
              </w:rPr>
            </w:pPr>
            <w:r w:rsidRPr="00550B5E">
              <w:rPr>
                <w:rFonts w:ascii="Times New Roman" w:hAnsi="Times New Roman" w:cs="Times New Roman"/>
                <w:sz w:val="24"/>
                <w:szCs w:val="24"/>
                <w:lang w:eastAsia="lv-LV"/>
              </w:rPr>
              <w:t> 6.</w:t>
            </w:r>
          </w:p>
        </w:tc>
        <w:tc>
          <w:tcPr>
            <w:tcW w:w="2322" w:type="dxa"/>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Iemesli, kādēļ netika nodrošināta sabiedrības līdzdalība</w:t>
            </w:r>
          </w:p>
        </w:tc>
        <w:tc>
          <w:tcPr>
            <w:tcW w:w="6379" w:type="dxa"/>
            <w:tcBorders>
              <w:top w:val="outset" w:sz="6" w:space="0" w:color="auto"/>
              <w:left w:val="outset" w:sz="6" w:space="0" w:color="auto"/>
              <w:bottom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xml:space="preserve"> Nav attiecināms. </w:t>
            </w:r>
          </w:p>
        </w:tc>
      </w:tr>
      <w:tr w:rsidR="009918A1" w:rsidRPr="00DD6BB2" w:rsidTr="004E7261">
        <w:trPr>
          <w:tblCellSpacing w:w="0" w:type="dxa"/>
        </w:trPr>
        <w:tc>
          <w:tcPr>
            <w:tcW w:w="526" w:type="dxa"/>
            <w:tcBorders>
              <w:top w:val="outset" w:sz="6" w:space="0" w:color="auto"/>
              <w:bottom w:val="outset" w:sz="6" w:space="0" w:color="auto"/>
              <w:right w:val="outset" w:sz="6" w:space="0" w:color="auto"/>
            </w:tcBorders>
          </w:tcPr>
          <w:p w:rsidR="009918A1" w:rsidRPr="00DD6BB2" w:rsidRDefault="009918A1" w:rsidP="004E726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7.</w:t>
            </w:r>
          </w:p>
        </w:tc>
        <w:tc>
          <w:tcPr>
            <w:tcW w:w="2322" w:type="dxa"/>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Cita informācija</w:t>
            </w:r>
          </w:p>
        </w:tc>
        <w:tc>
          <w:tcPr>
            <w:tcW w:w="6379" w:type="dxa"/>
            <w:tcBorders>
              <w:top w:val="outset" w:sz="6" w:space="0" w:color="auto"/>
              <w:left w:val="outset" w:sz="6" w:space="0" w:color="auto"/>
              <w:bottom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Nav</w:t>
            </w:r>
          </w:p>
        </w:tc>
      </w:tr>
    </w:tbl>
    <w:p w:rsidR="009918A1" w:rsidRPr="00DD6BB2" w:rsidRDefault="009918A1" w:rsidP="009918A1">
      <w:pPr>
        <w:spacing w:before="100" w:beforeAutospacing="1" w:after="100" w:afterAutospacing="1" w:line="240" w:lineRule="auto"/>
        <w:rPr>
          <w:rFonts w:ascii="Times New Roman" w:hAnsi="Times New Roman" w:cs="Times New Roman"/>
          <w:sz w:val="26"/>
          <w:szCs w:val="26"/>
          <w:lang w:eastAsia="lv-LV"/>
        </w:rPr>
      </w:pPr>
    </w:p>
    <w:tbl>
      <w:tblPr>
        <w:tblW w:w="9227"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18"/>
        <w:gridCol w:w="2614"/>
        <w:gridCol w:w="6095"/>
      </w:tblGrid>
      <w:tr w:rsidR="009918A1" w:rsidRPr="00DD6BB2" w:rsidTr="004E7261">
        <w:trPr>
          <w:tblCellSpacing w:w="0" w:type="dxa"/>
        </w:trPr>
        <w:tc>
          <w:tcPr>
            <w:tcW w:w="9227" w:type="dxa"/>
            <w:gridSpan w:val="3"/>
            <w:tcBorders>
              <w:top w:val="outset" w:sz="6" w:space="0" w:color="auto"/>
              <w:bottom w:val="outset" w:sz="6" w:space="0" w:color="auto"/>
            </w:tcBorders>
            <w:vAlign w:val="center"/>
          </w:tcPr>
          <w:p w:rsidR="009918A1" w:rsidRPr="00DD6BB2" w:rsidRDefault="009918A1" w:rsidP="004E7261">
            <w:pPr>
              <w:spacing w:before="100" w:beforeAutospacing="1" w:after="100" w:afterAutospacing="1" w:line="240" w:lineRule="auto"/>
              <w:jc w:val="center"/>
              <w:rPr>
                <w:rFonts w:ascii="Times New Roman" w:hAnsi="Times New Roman" w:cs="Times New Roman"/>
                <w:b/>
                <w:bCs/>
                <w:sz w:val="26"/>
                <w:szCs w:val="26"/>
                <w:lang w:eastAsia="lv-LV"/>
              </w:rPr>
            </w:pPr>
            <w:r w:rsidRPr="00DD6BB2">
              <w:rPr>
                <w:rFonts w:ascii="Times New Roman" w:hAnsi="Times New Roman" w:cs="Times New Roman"/>
                <w:b/>
                <w:bCs/>
                <w:sz w:val="26"/>
                <w:szCs w:val="26"/>
                <w:lang w:eastAsia="lv-LV"/>
              </w:rPr>
              <w:t>II. Tiesību akta projekta ietekme uz sabiedrību</w:t>
            </w:r>
          </w:p>
        </w:tc>
      </w:tr>
      <w:tr w:rsidR="009918A1" w:rsidRPr="00DD6BB2" w:rsidTr="004E7261">
        <w:trPr>
          <w:trHeight w:val="467"/>
          <w:tblCellSpacing w:w="0" w:type="dxa"/>
        </w:trPr>
        <w:tc>
          <w:tcPr>
            <w:tcW w:w="518" w:type="dxa"/>
            <w:tcBorders>
              <w:top w:val="outset" w:sz="6" w:space="0" w:color="auto"/>
              <w:bottom w:val="outset" w:sz="6" w:space="0" w:color="auto"/>
              <w:right w:val="outset" w:sz="6" w:space="0" w:color="auto"/>
            </w:tcBorders>
          </w:tcPr>
          <w:p w:rsidR="009918A1" w:rsidRPr="00DD6BB2" w:rsidRDefault="009918A1" w:rsidP="004E726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1.</w:t>
            </w:r>
          </w:p>
        </w:tc>
        <w:tc>
          <w:tcPr>
            <w:tcW w:w="2614" w:type="dxa"/>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Sabiedrības mērķgrupa</w:t>
            </w:r>
          </w:p>
        </w:tc>
        <w:tc>
          <w:tcPr>
            <w:tcW w:w="6095" w:type="dxa"/>
            <w:tcBorders>
              <w:top w:val="outset" w:sz="6" w:space="0" w:color="auto"/>
              <w:left w:val="outset" w:sz="6" w:space="0" w:color="auto"/>
              <w:bottom w:val="outset" w:sz="6" w:space="0" w:color="auto"/>
            </w:tcBorders>
          </w:tcPr>
          <w:p w:rsidR="009918A1" w:rsidRPr="00616A94" w:rsidRDefault="009918A1" w:rsidP="00FF4729">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Personas, kas ir izdarījušas administratīvo pārkāpumu un tiek administratīvi sodītas.</w:t>
            </w:r>
          </w:p>
        </w:tc>
      </w:tr>
      <w:tr w:rsidR="009918A1" w:rsidRPr="00DD6BB2" w:rsidTr="004E7261">
        <w:trPr>
          <w:trHeight w:val="523"/>
          <w:tblCellSpacing w:w="0" w:type="dxa"/>
        </w:trPr>
        <w:tc>
          <w:tcPr>
            <w:tcW w:w="518" w:type="dxa"/>
            <w:tcBorders>
              <w:top w:val="outset" w:sz="6" w:space="0" w:color="auto"/>
              <w:bottom w:val="outset" w:sz="6" w:space="0" w:color="auto"/>
              <w:right w:val="outset" w:sz="6" w:space="0" w:color="auto"/>
            </w:tcBorders>
          </w:tcPr>
          <w:p w:rsidR="009918A1" w:rsidRPr="00DD6BB2" w:rsidRDefault="009918A1" w:rsidP="004E726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2.</w:t>
            </w:r>
          </w:p>
        </w:tc>
        <w:tc>
          <w:tcPr>
            <w:tcW w:w="2614" w:type="dxa"/>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Citas sabiedrības grupas (bez mērķgrupas), kuras tiesiskais regulējums arī ietekmē vai varētu ietekmēt</w:t>
            </w:r>
          </w:p>
        </w:tc>
        <w:tc>
          <w:tcPr>
            <w:tcW w:w="6095" w:type="dxa"/>
            <w:tcBorders>
              <w:top w:val="outset" w:sz="6" w:space="0" w:color="auto"/>
              <w:left w:val="outset" w:sz="6" w:space="0" w:color="auto"/>
              <w:bottom w:val="outset" w:sz="6" w:space="0" w:color="auto"/>
            </w:tcBorders>
          </w:tcPr>
          <w:p w:rsidR="009918A1" w:rsidRPr="00616A94" w:rsidRDefault="009918A1" w:rsidP="00DA0279">
            <w:pPr>
              <w:spacing w:before="100" w:beforeAutospacing="1" w:after="100" w:afterAutospacing="1" w:line="240" w:lineRule="auto"/>
              <w:jc w:val="both"/>
              <w:rPr>
                <w:rFonts w:ascii="Times New Roman" w:hAnsi="Times New Roman" w:cs="Times New Roman"/>
                <w:sz w:val="26"/>
                <w:szCs w:val="26"/>
                <w:lang w:eastAsia="lv-LV"/>
              </w:rPr>
            </w:pPr>
            <w:r w:rsidRPr="00616A94">
              <w:rPr>
                <w:rFonts w:ascii="Times New Roman" w:hAnsi="Times New Roman" w:cs="Times New Roman"/>
                <w:sz w:val="26"/>
                <w:szCs w:val="26"/>
                <w:lang w:eastAsia="lv-LV"/>
              </w:rPr>
              <w:t xml:space="preserve">Paredzams, ka grozījumu izdarīšana radīs valsts pārvaldes iestādēm iespēju efektīvāk vērsties pret personām, kas pārkāpj normatīvajos aktos paredzētos nosacījumus. Vienlaicīgi pašvaldības, veicot savas autonomās funkcijas, ar saistošajiem noteikumiem brīvāk varēs veidot konkrētai vietai nepieciešamo regulējumu, vienlaicīgi paredzot sankcijas par nosacījumu pārkāpšanu. </w:t>
            </w:r>
          </w:p>
        </w:tc>
      </w:tr>
      <w:tr w:rsidR="009918A1" w:rsidRPr="00DD6BB2" w:rsidTr="004E7261">
        <w:trPr>
          <w:trHeight w:val="517"/>
          <w:tblCellSpacing w:w="0" w:type="dxa"/>
        </w:trPr>
        <w:tc>
          <w:tcPr>
            <w:tcW w:w="518" w:type="dxa"/>
            <w:tcBorders>
              <w:top w:val="outset" w:sz="6" w:space="0" w:color="auto"/>
              <w:bottom w:val="outset" w:sz="6" w:space="0" w:color="auto"/>
              <w:right w:val="outset" w:sz="6" w:space="0" w:color="auto"/>
            </w:tcBorders>
          </w:tcPr>
          <w:p w:rsidR="009918A1" w:rsidRPr="00DD6BB2" w:rsidRDefault="009918A1" w:rsidP="004E726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3.</w:t>
            </w:r>
          </w:p>
        </w:tc>
        <w:tc>
          <w:tcPr>
            <w:tcW w:w="2614" w:type="dxa"/>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Tiesiskā regulējuma finansiālā ietekme</w:t>
            </w:r>
          </w:p>
        </w:tc>
        <w:tc>
          <w:tcPr>
            <w:tcW w:w="6095" w:type="dxa"/>
            <w:tcBorders>
              <w:top w:val="outset" w:sz="6" w:space="0" w:color="auto"/>
              <w:left w:val="outset" w:sz="6" w:space="0" w:color="auto"/>
              <w:bottom w:val="outset" w:sz="6" w:space="0" w:color="auto"/>
            </w:tcBorders>
          </w:tcPr>
          <w:p w:rsidR="009918A1" w:rsidRPr="00616A94" w:rsidRDefault="009918A1" w:rsidP="00616A94">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 xml:space="preserve">Tiek prognozēta valstij un pašvaldībām pozitīva finansiālā ietekme naudas sodu iekasēšanas rezultātā. </w:t>
            </w:r>
          </w:p>
          <w:p w:rsidR="009918A1" w:rsidRPr="00616A94" w:rsidRDefault="009918A1" w:rsidP="00616A94">
            <w:pPr>
              <w:pStyle w:val="Bezatstarpm"/>
              <w:jc w:val="both"/>
              <w:rPr>
                <w:rFonts w:ascii="Times New Roman" w:hAnsi="Times New Roman" w:cs="Times New Roman"/>
                <w:sz w:val="26"/>
                <w:szCs w:val="26"/>
              </w:rPr>
            </w:pPr>
            <w:r w:rsidRPr="00616A94">
              <w:rPr>
                <w:rFonts w:ascii="Times New Roman" w:hAnsi="Times New Roman" w:cs="Times New Roman"/>
                <w:sz w:val="26"/>
                <w:szCs w:val="26"/>
              </w:rPr>
              <w:t>Projekts atbilstoši likuma „Par pašvaldībām” 8.pantam paredz finansēšanas nosacījumus LAPK pašvaldībām paredzētā valsts pārvaldes uzdevuma īstenošanai.</w:t>
            </w:r>
            <w:r w:rsidR="00A46079" w:rsidRPr="00616A94">
              <w:rPr>
                <w:rFonts w:ascii="Times New Roman" w:hAnsi="Times New Roman" w:cs="Times New Roman"/>
                <w:sz w:val="26"/>
                <w:szCs w:val="26"/>
              </w:rPr>
              <w:t xml:space="preserve"> Ja projektā piedāvātais naudas sodu ieņēmumu finanšu līdzekļu sadalījums netiek ieviests, pašvaldībām administratīvo pārkāpumu novēršanai un kontrolei var nepietikt līdzekļi, un netiks pienācīgi veikts deleģētais valsts pārvaldes uzdevums. </w:t>
            </w:r>
          </w:p>
        </w:tc>
      </w:tr>
      <w:tr w:rsidR="009918A1" w:rsidRPr="00DD6BB2" w:rsidTr="004E7261">
        <w:trPr>
          <w:trHeight w:val="517"/>
          <w:tblCellSpacing w:w="0" w:type="dxa"/>
        </w:trPr>
        <w:tc>
          <w:tcPr>
            <w:tcW w:w="518" w:type="dxa"/>
            <w:tcBorders>
              <w:top w:val="outset" w:sz="6" w:space="0" w:color="auto"/>
              <w:bottom w:val="outset" w:sz="6" w:space="0" w:color="auto"/>
              <w:right w:val="outset" w:sz="6" w:space="0" w:color="auto"/>
            </w:tcBorders>
          </w:tcPr>
          <w:p w:rsidR="009918A1" w:rsidRPr="00DD6BB2" w:rsidRDefault="009918A1" w:rsidP="004E726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4.</w:t>
            </w:r>
          </w:p>
        </w:tc>
        <w:tc>
          <w:tcPr>
            <w:tcW w:w="2614" w:type="dxa"/>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Tiesiskā regulējuma nefinansiālā ietekme</w:t>
            </w:r>
          </w:p>
        </w:tc>
        <w:tc>
          <w:tcPr>
            <w:tcW w:w="6095" w:type="dxa"/>
            <w:tcBorders>
              <w:top w:val="outset" w:sz="6" w:space="0" w:color="auto"/>
              <w:left w:val="outset" w:sz="6" w:space="0" w:color="auto"/>
              <w:bottom w:val="outset" w:sz="6" w:space="0" w:color="auto"/>
            </w:tcBorders>
          </w:tcPr>
          <w:p w:rsidR="009918A1" w:rsidRPr="00616A94" w:rsidRDefault="009918A1" w:rsidP="00DA0279">
            <w:pPr>
              <w:spacing w:before="100" w:beforeAutospacing="1" w:after="100" w:afterAutospacing="1" w:line="240" w:lineRule="auto"/>
              <w:jc w:val="both"/>
              <w:rPr>
                <w:rFonts w:ascii="Times New Roman" w:hAnsi="Times New Roman" w:cs="Times New Roman"/>
                <w:sz w:val="26"/>
                <w:szCs w:val="26"/>
                <w:lang w:eastAsia="lv-LV"/>
              </w:rPr>
            </w:pPr>
            <w:r w:rsidRPr="00616A94">
              <w:rPr>
                <w:rFonts w:ascii="Times New Roman" w:hAnsi="Times New Roman" w:cs="Times New Roman"/>
                <w:sz w:val="26"/>
                <w:szCs w:val="26"/>
              </w:rPr>
              <w:t>Projektā iekļautais regulējums labvēlīgi ietekmēs pārkāpuma konstatēšanu un soda noteikšanu un izpildi, tādējādi sekmējot soda neizbēgamības principa ievērošanu.</w:t>
            </w:r>
          </w:p>
        </w:tc>
      </w:tr>
      <w:tr w:rsidR="009918A1" w:rsidRPr="00DD6BB2" w:rsidTr="004E7261">
        <w:trPr>
          <w:trHeight w:val="531"/>
          <w:tblCellSpacing w:w="0" w:type="dxa"/>
        </w:trPr>
        <w:tc>
          <w:tcPr>
            <w:tcW w:w="518" w:type="dxa"/>
            <w:tcBorders>
              <w:top w:val="outset" w:sz="6" w:space="0" w:color="auto"/>
              <w:bottom w:val="outset" w:sz="6" w:space="0" w:color="auto"/>
              <w:right w:val="outset" w:sz="6" w:space="0" w:color="auto"/>
            </w:tcBorders>
          </w:tcPr>
          <w:p w:rsidR="009918A1" w:rsidRPr="00DD6BB2" w:rsidRDefault="009918A1" w:rsidP="004E726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5.</w:t>
            </w:r>
          </w:p>
        </w:tc>
        <w:tc>
          <w:tcPr>
            <w:tcW w:w="2614" w:type="dxa"/>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Administratīvās procedūras raksturojums</w:t>
            </w:r>
          </w:p>
        </w:tc>
        <w:tc>
          <w:tcPr>
            <w:tcW w:w="6095" w:type="dxa"/>
            <w:tcBorders>
              <w:top w:val="outset" w:sz="6" w:space="0" w:color="auto"/>
              <w:left w:val="outset" w:sz="6" w:space="0" w:color="auto"/>
              <w:bottom w:val="outset" w:sz="6" w:space="0" w:color="auto"/>
            </w:tcBorders>
          </w:tcPr>
          <w:p w:rsidR="009918A1" w:rsidRPr="00616A94" w:rsidRDefault="009918A1" w:rsidP="00DA0279">
            <w:pPr>
              <w:spacing w:before="100" w:beforeAutospacing="1" w:after="100" w:afterAutospacing="1" w:line="240" w:lineRule="auto"/>
              <w:jc w:val="both"/>
              <w:rPr>
                <w:rFonts w:ascii="Times New Roman" w:hAnsi="Times New Roman" w:cs="Times New Roman"/>
                <w:sz w:val="26"/>
                <w:szCs w:val="26"/>
                <w:lang w:eastAsia="lv-LV"/>
              </w:rPr>
            </w:pPr>
            <w:r w:rsidRPr="00616A94">
              <w:rPr>
                <w:rFonts w:ascii="Times New Roman" w:hAnsi="Times New Roman" w:cs="Times New Roman"/>
                <w:sz w:val="26"/>
                <w:szCs w:val="26"/>
                <w:lang w:eastAsia="lv-LV"/>
              </w:rPr>
              <w:t xml:space="preserve"> Lietas par konkrētiem administratīvajiem pārkāpumiem tiek izskatītas un sodi tiek uzlikti saskaņā ar LAPK noteikto procedūru. </w:t>
            </w:r>
          </w:p>
        </w:tc>
      </w:tr>
      <w:tr w:rsidR="009918A1" w:rsidRPr="00DD6BB2" w:rsidTr="004E7261">
        <w:trPr>
          <w:trHeight w:val="357"/>
          <w:tblCellSpacing w:w="0" w:type="dxa"/>
        </w:trPr>
        <w:tc>
          <w:tcPr>
            <w:tcW w:w="518" w:type="dxa"/>
            <w:tcBorders>
              <w:top w:val="outset" w:sz="6" w:space="0" w:color="auto"/>
              <w:bottom w:val="outset" w:sz="6" w:space="0" w:color="auto"/>
              <w:right w:val="outset" w:sz="6" w:space="0" w:color="auto"/>
            </w:tcBorders>
          </w:tcPr>
          <w:p w:rsidR="009918A1" w:rsidRPr="00DD6BB2" w:rsidRDefault="009918A1" w:rsidP="004E726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6.</w:t>
            </w:r>
          </w:p>
        </w:tc>
        <w:tc>
          <w:tcPr>
            <w:tcW w:w="2614" w:type="dxa"/>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color w:val="000000"/>
                <w:sz w:val="26"/>
                <w:szCs w:val="26"/>
                <w:lang w:eastAsia="lv-LV"/>
              </w:rPr>
            </w:pPr>
            <w:r w:rsidRPr="00616A94">
              <w:rPr>
                <w:rFonts w:ascii="Times New Roman" w:hAnsi="Times New Roman" w:cs="Times New Roman"/>
                <w:sz w:val="26"/>
                <w:szCs w:val="26"/>
                <w:lang w:eastAsia="lv-LV"/>
              </w:rPr>
              <w:t> </w:t>
            </w:r>
            <w:r w:rsidRPr="00616A94">
              <w:rPr>
                <w:rFonts w:ascii="Times New Roman" w:hAnsi="Times New Roman" w:cs="Times New Roman"/>
                <w:color w:val="000000"/>
                <w:sz w:val="26"/>
                <w:szCs w:val="26"/>
                <w:lang w:eastAsia="lv-LV"/>
              </w:rPr>
              <w:t>Administratīvo izmaksu monetārs novērtējums</w:t>
            </w:r>
          </w:p>
        </w:tc>
        <w:tc>
          <w:tcPr>
            <w:tcW w:w="6095" w:type="dxa"/>
            <w:tcBorders>
              <w:top w:val="outset" w:sz="6" w:space="0" w:color="auto"/>
              <w:left w:val="outset" w:sz="6" w:space="0" w:color="auto"/>
              <w:bottom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Nav</w:t>
            </w:r>
          </w:p>
        </w:tc>
      </w:tr>
      <w:tr w:rsidR="009918A1" w:rsidRPr="00DD6BB2" w:rsidTr="004E7261">
        <w:trPr>
          <w:tblCellSpacing w:w="0" w:type="dxa"/>
        </w:trPr>
        <w:tc>
          <w:tcPr>
            <w:tcW w:w="518" w:type="dxa"/>
            <w:tcBorders>
              <w:top w:val="outset" w:sz="6" w:space="0" w:color="auto"/>
              <w:bottom w:val="outset" w:sz="6" w:space="0" w:color="auto"/>
              <w:right w:val="outset" w:sz="6" w:space="0" w:color="auto"/>
            </w:tcBorders>
          </w:tcPr>
          <w:p w:rsidR="009918A1" w:rsidRPr="00DD6BB2" w:rsidRDefault="009918A1" w:rsidP="004E726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7.</w:t>
            </w:r>
          </w:p>
        </w:tc>
        <w:tc>
          <w:tcPr>
            <w:tcW w:w="2614" w:type="dxa"/>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Cita informācija</w:t>
            </w:r>
          </w:p>
        </w:tc>
        <w:tc>
          <w:tcPr>
            <w:tcW w:w="6095" w:type="dxa"/>
            <w:tcBorders>
              <w:top w:val="outset" w:sz="6" w:space="0" w:color="auto"/>
              <w:left w:val="outset" w:sz="6" w:space="0" w:color="auto"/>
              <w:bottom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Nav</w:t>
            </w:r>
          </w:p>
        </w:tc>
      </w:tr>
    </w:tbl>
    <w:p w:rsidR="009918A1" w:rsidRPr="00DD6BB2" w:rsidRDefault="009918A1" w:rsidP="009918A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lastRenderedPageBreak/>
        <w:t> </w:t>
      </w:r>
      <w:r w:rsidRPr="00DD6BB2">
        <w:rPr>
          <w:rFonts w:ascii="Times New Roman" w:hAnsi="Times New Roman" w:cs="Times New Roman"/>
          <w:i/>
          <w:iCs/>
          <w:sz w:val="26"/>
          <w:szCs w:val="26"/>
          <w:lang w:eastAsia="lv-LV"/>
        </w:rPr>
        <w:t> </w:t>
      </w:r>
    </w:p>
    <w:tbl>
      <w:tblPr>
        <w:tblW w:w="9268" w:type="dxa"/>
        <w:tblCellSpacing w:w="0" w:type="dxa"/>
        <w:tblInd w:w="-3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41"/>
        <w:gridCol w:w="9227"/>
      </w:tblGrid>
      <w:tr w:rsidR="009918A1" w:rsidRPr="00DD6BB2" w:rsidTr="004E7261">
        <w:trPr>
          <w:gridBefore w:val="1"/>
          <w:wBefore w:w="41" w:type="dxa"/>
          <w:tblCellSpacing w:w="0" w:type="dxa"/>
        </w:trPr>
        <w:tc>
          <w:tcPr>
            <w:tcW w:w="9227" w:type="dxa"/>
            <w:tcBorders>
              <w:top w:val="outset" w:sz="6" w:space="0" w:color="auto"/>
              <w:bottom w:val="outset" w:sz="6" w:space="0" w:color="auto"/>
            </w:tcBorders>
          </w:tcPr>
          <w:p w:rsidR="009918A1" w:rsidRPr="00DD6BB2" w:rsidRDefault="009918A1" w:rsidP="004E7261">
            <w:pPr>
              <w:spacing w:before="100" w:beforeAutospacing="1" w:after="100" w:afterAutospacing="1" w:line="240" w:lineRule="auto"/>
              <w:jc w:val="center"/>
              <w:rPr>
                <w:rFonts w:ascii="Times New Roman" w:hAnsi="Times New Roman" w:cs="Times New Roman"/>
                <w:b/>
                <w:bCs/>
                <w:sz w:val="26"/>
                <w:szCs w:val="26"/>
                <w:lang w:eastAsia="lv-LV"/>
              </w:rPr>
            </w:pPr>
            <w:r w:rsidRPr="00DD6BB2">
              <w:rPr>
                <w:rFonts w:ascii="Times New Roman" w:hAnsi="Times New Roman" w:cs="Times New Roman"/>
                <w:b/>
                <w:bCs/>
                <w:sz w:val="26"/>
                <w:szCs w:val="26"/>
                <w:lang w:eastAsia="lv-LV"/>
              </w:rPr>
              <w:t>III. Tiesību akta projekta ietekme uz valsts budžetu un pašvaldību budžetiem</w:t>
            </w:r>
          </w:p>
        </w:tc>
      </w:tr>
      <w:tr w:rsidR="009918A1" w:rsidRPr="00DD6BB2" w:rsidTr="004E7261">
        <w:tblPrEx>
          <w:tblCellSpacing w:w="0" w:type="nil"/>
          <w:tblCellMar>
            <w:top w:w="28" w:type="dxa"/>
            <w:left w:w="28" w:type="dxa"/>
            <w:bottom w:w="28" w:type="dxa"/>
            <w:right w:w="28" w:type="dxa"/>
          </w:tblCellMar>
        </w:tblPrEx>
        <w:tc>
          <w:tcPr>
            <w:tcW w:w="9268" w:type="dxa"/>
            <w:gridSpan w:val="2"/>
            <w:tcBorders>
              <w:top w:val="outset" w:sz="6" w:space="0" w:color="auto"/>
              <w:bottom w:val="outset" w:sz="6" w:space="0" w:color="auto"/>
            </w:tcBorders>
            <w:vAlign w:val="center"/>
          </w:tcPr>
          <w:p w:rsidR="009918A1" w:rsidRPr="00BB4C36" w:rsidRDefault="009918A1" w:rsidP="004E7261">
            <w:pPr>
              <w:spacing w:line="240" w:lineRule="auto"/>
              <w:ind w:right="-1"/>
              <w:jc w:val="center"/>
              <w:rPr>
                <w:rFonts w:ascii="Times New Roman" w:hAnsi="Times New Roman" w:cs="Times New Roman"/>
                <w:bCs/>
                <w:i/>
                <w:sz w:val="26"/>
                <w:szCs w:val="26"/>
              </w:rPr>
            </w:pPr>
            <w:r w:rsidRPr="00BB4C36">
              <w:rPr>
                <w:rFonts w:ascii="Times New Roman" w:hAnsi="Times New Roman" w:cs="Times New Roman"/>
                <w:bCs/>
                <w:i/>
                <w:sz w:val="26"/>
                <w:szCs w:val="26"/>
              </w:rPr>
              <w:t>Nav attiecināms</w:t>
            </w:r>
          </w:p>
        </w:tc>
      </w:tr>
    </w:tbl>
    <w:p w:rsidR="009918A1" w:rsidRDefault="009918A1" w:rsidP="009918A1">
      <w:pPr>
        <w:spacing w:before="100" w:beforeAutospacing="1" w:after="100" w:afterAutospacing="1" w:line="240" w:lineRule="auto"/>
        <w:rPr>
          <w:rFonts w:ascii="Times New Roman" w:hAnsi="Times New Roman" w:cs="Times New Roman"/>
          <w:sz w:val="26"/>
          <w:szCs w:val="26"/>
          <w:lang w:eastAsia="lv-LV"/>
        </w:rPr>
      </w:pPr>
    </w:p>
    <w:tbl>
      <w:tblPr>
        <w:tblW w:w="9268" w:type="dxa"/>
        <w:tblInd w:w="-2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9268"/>
      </w:tblGrid>
      <w:tr w:rsidR="009918A1" w:rsidRPr="00DD6BB2" w:rsidTr="004E7261">
        <w:tc>
          <w:tcPr>
            <w:tcW w:w="9268" w:type="dxa"/>
            <w:tcBorders>
              <w:top w:val="outset" w:sz="6" w:space="0" w:color="auto"/>
              <w:bottom w:val="outset" w:sz="6" w:space="0" w:color="auto"/>
            </w:tcBorders>
            <w:vAlign w:val="center"/>
          </w:tcPr>
          <w:p w:rsidR="009918A1" w:rsidRPr="00DD6BB2" w:rsidRDefault="009918A1" w:rsidP="004E7261">
            <w:pPr>
              <w:spacing w:line="240" w:lineRule="auto"/>
              <w:ind w:right="-1"/>
              <w:jc w:val="center"/>
              <w:rPr>
                <w:rFonts w:ascii="Times New Roman" w:hAnsi="Times New Roman" w:cs="Times New Roman"/>
                <w:b/>
                <w:bCs/>
                <w:sz w:val="26"/>
                <w:szCs w:val="26"/>
              </w:rPr>
            </w:pPr>
            <w:r w:rsidRPr="00DD6BB2">
              <w:rPr>
                <w:rFonts w:ascii="Times New Roman" w:hAnsi="Times New Roman" w:cs="Times New Roman"/>
                <w:b/>
                <w:bCs/>
                <w:sz w:val="26"/>
                <w:szCs w:val="26"/>
                <w:lang w:eastAsia="lv-LV"/>
              </w:rPr>
              <w:t>IV. Tiesību akta projekta ietekme uz spēkā esošo tiesību normu sistēmu</w:t>
            </w:r>
          </w:p>
        </w:tc>
      </w:tr>
      <w:tr w:rsidR="009918A1" w:rsidRPr="00DD6BB2" w:rsidTr="004E7261">
        <w:tc>
          <w:tcPr>
            <w:tcW w:w="9268" w:type="dxa"/>
            <w:tcBorders>
              <w:top w:val="outset" w:sz="6" w:space="0" w:color="auto"/>
              <w:bottom w:val="outset" w:sz="6" w:space="0" w:color="auto"/>
            </w:tcBorders>
            <w:vAlign w:val="center"/>
          </w:tcPr>
          <w:p w:rsidR="009918A1" w:rsidRPr="00BB4C36" w:rsidRDefault="009918A1" w:rsidP="004E7261">
            <w:pPr>
              <w:spacing w:line="240" w:lineRule="auto"/>
              <w:ind w:right="-1"/>
              <w:jc w:val="center"/>
              <w:rPr>
                <w:rFonts w:ascii="Times New Roman" w:hAnsi="Times New Roman" w:cs="Times New Roman"/>
                <w:bCs/>
                <w:i/>
                <w:sz w:val="26"/>
                <w:szCs w:val="26"/>
              </w:rPr>
            </w:pPr>
            <w:r w:rsidRPr="00BB4C36">
              <w:rPr>
                <w:rFonts w:ascii="Times New Roman" w:hAnsi="Times New Roman" w:cs="Times New Roman"/>
                <w:bCs/>
                <w:i/>
                <w:sz w:val="26"/>
                <w:szCs w:val="26"/>
              </w:rPr>
              <w:t>Nav attiecināms</w:t>
            </w:r>
          </w:p>
        </w:tc>
      </w:tr>
    </w:tbl>
    <w:p w:rsidR="009918A1" w:rsidRPr="00DD6BB2" w:rsidRDefault="009918A1" w:rsidP="009918A1">
      <w:pPr>
        <w:spacing w:before="100" w:beforeAutospacing="1" w:after="100" w:afterAutospacing="1" w:line="240" w:lineRule="auto"/>
        <w:rPr>
          <w:rFonts w:ascii="Times New Roman" w:hAnsi="Times New Roman" w:cs="Times New Roman"/>
          <w:sz w:val="26"/>
          <w:szCs w:val="26"/>
          <w:lang w:eastAsia="lv-LV"/>
        </w:rPr>
      </w:pPr>
    </w:p>
    <w:tbl>
      <w:tblPr>
        <w:tblW w:w="9268" w:type="dxa"/>
        <w:tblInd w:w="-2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9268"/>
      </w:tblGrid>
      <w:tr w:rsidR="009918A1" w:rsidRPr="00DD6BB2" w:rsidTr="004E7261">
        <w:tc>
          <w:tcPr>
            <w:tcW w:w="9268" w:type="dxa"/>
            <w:tcBorders>
              <w:top w:val="outset" w:sz="6" w:space="0" w:color="auto"/>
              <w:bottom w:val="outset" w:sz="6" w:space="0" w:color="auto"/>
            </w:tcBorders>
            <w:vAlign w:val="center"/>
          </w:tcPr>
          <w:p w:rsidR="009918A1" w:rsidRPr="00DD6BB2" w:rsidRDefault="009918A1" w:rsidP="004E7261">
            <w:pPr>
              <w:spacing w:line="240" w:lineRule="auto"/>
              <w:ind w:right="-1"/>
              <w:jc w:val="center"/>
              <w:rPr>
                <w:rFonts w:ascii="Times New Roman" w:hAnsi="Times New Roman" w:cs="Times New Roman"/>
                <w:b/>
                <w:bCs/>
                <w:sz w:val="26"/>
                <w:szCs w:val="26"/>
              </w:rPr>
            </w:pPr>
            <w:r w:rsidRPr="00DD6BB2">
              <w:rPr>
                <w:rFonts w:ascii="Times New Roman" w:hAnsi="Times New Roman" w:cs="Times New Roman"/>
                <w:b/>
                <w:bCs/>
                <w:sz w:val="26"/>
                <w:szCs w:val="26"/>
              </w:rPr>
              <w:t>V. Tiesību akta projekta atbilstība Latvijas Republikas starptautiskajām saistībām</w:t>
            </w:r>
          </w:p>
        </w:tc>
      </w:tr>
      <w:tr w:rsidR="009918A1" w:rsidRPr="00DD6BB2" w:rsidTr="004E7261">
        <w:tc>
          <w:tcPr>
            <w:tcW w:w="9268" w:type="dxa"/>
            <w:tcBorders>
              <w:top w:val="outset" w:sz="6" w:space="0" w:color="auto"/>
              <w:bottom w:val="outset" w:sz="6" w:space="0" w:color="auto"/>
            </w:tcBorders>
            <w:vAlign w:val="center"/>
          </w:tcPr>
          <w:p w:rsidR="009918A1" w:rsidRPr="00BB4C36" w:rsidRDefault="009918A1" w:rsidP="004E7261">
            <w:pPr>
              <w:spacing w:line="240" w:lineRule="auto"/>
              <w:ind w:right="-1"/>
              <w:jc w:val="center"/>
              <w:rPr>
                <w:rFonts w:ascii="Times New Roman" w:hAnsi="Times New Roman" w:cs="Times New Roman"/>
                <w:bCs/>
                <w:i/>
                <w:sz w:val="26"/>
                <w:szCs w:val="26"/>
              </w:rPr>
            </w:pPr>
            <w:r w:rsidRPr="00BB4C36">
              <w:rPr>
                <w:rFonts w:ascii="Times New Roman" w:hAnsi="Times New Roman" w:cs="Times New Roman"/>
                <w:bCs/>
                <w:i/>
                <w:sz w:val="26"/>
                <w:szCs w:val="26"/>
              </w:rPr>
              <w:t>Nav attiecināms</w:t>
            </w:r>
          </w:p>
        </w:tc>
      </w:tr>
    </w:tbl>
    <w:p w:rsidR="009918A1" w:rsidRPr="00DD6BB2" w:rsidRDefault="009918A1" w:rsidP="009918A1">
      <w:pPr>
        <w:spacing w:before="100" w:beforeAutospacing="1" w:after="100" w:afterAutospacing="1" w:line="240" w:lineRule="auto"/>
        <w:rPr>
          <w:rFonts w:ascii="Times New Roman" w:hAnsi="Times New Roman" w:cs="Times New Roman"/>
          <w:sz w:val="26"/>
          <w:szCs w:val="26"/>
          <w:lang w:eastAsia="lv-LV"/>
        </w:rPr>
      </w:pPr>
    </w:p>
    <w:tbl>
      <w:tblPr>
        <w:tblW w:w="9227"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67"/>
        <w:gridCol w:w="8"/>
        <w:gridCol w:w="2940"/>
        <w:gridCol w:w="5812"/>
      </w:tblGrid>
      <w:tr w:rsidR="009918A1" w:rsidRPr="00DD6BB2" w:rsidTr="004E7261">
        <w:trPr>
          <w:tblCellSpacing w:w="0" w:type="dxa"/>
        </w:trPr>
        <w:tc>
          <w:tcPr>
            <w:tcW w:w="9227" w:type="dxa"/>
            <w:gridSpan w:val="4"/>
            <w:tcBorders>
              <w:top w:val="outset" w:sz="6" w:space="0" w:color="auto"/>
              <w:bottom w:val="outset" w:sz="6" w:space="0" w:color="auto"/>
            </w:tcBorders>
          </w:tcPr>
          <w:p w:rsidR="009918A1" w:rsidRPr="00DD6BB2" w:rsidRDefault="009918A1" w:rsidP="004E7261">
            <w:pPr>
              <w:spacing w:before="100" w:beforeAutospacing="1" w:after="100" w:afterAutospacing="1" w:line="240" w:lineRule="auto"/>
              <w:jc w:val="center"/>
              <w:rPr>
                <w:rFonts w:ascii="Times New Roman" w:hAnsi="Times New Roman" w:cs="Times New Roman"/>
                <w:sz w:val="26"/>
                <w:szCs w:val="26"/>
                <w:lang w:eastAsia="lv-LV"/>
              </w:rPr>
            </w:pPr>
            <w:r w:rsidRPr="00DD6BB2">
              <w:rPr>
                <w:rFonts w:ascii="Times New Roman" w:hAnsi="Times New Roman" w:cs="Times New Roman"/>
                <w:b/>
                <w:bCs/>
                <w:sz w:val="26"/>
                <w:szCs w:val="26"/>
                <w:lang w:eastAsia="lv-LV"/>
              </w:rPr>
              <w:t>VI. Sabiedrības līdzdalība un šīs līdzdalības rezultāti</w:t>
            </w:r>
          </w:p>
        </w:tc>
      </w:tr>
      <w:tr w:rsidR="009918A1" w:rsidRPr="00DD6BB2" w:rsidTr="004E7261">
        <w:trPr>
          <w:trHeight w:val="553"/>
          <w:tblCellSpacing w:w="0" w:type="dxa"/>
        </w:trPr>
        <w:tc>
          <w:tcPr>
            <w:tcW w:w="475" w:type="dxa"/>
            <w:gridSpan w:val="2"/>
            <w:tcBorders>
              <w:top w:val="outset" w:sz="6" w:space="0" w:color="auto"/>
              <w:bottom w:val="outset" w:sz="6" w:space="0" w:color="auto"/>
              <w:right w:val="outset" w:sz="6" w:space="0" w:color="auto"/>
            </w:tcBorders>
          </w:tcPr>
          <w:p w:rsidR="009918A1" w:rsidRPr="00DD6BB2" w:rsidRDefault="009918A1" w:rsidP="004E726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1.</w:t>
            </w:r>
          </w:p>
        </w:tc>
        <w:tc>
          <w:tcPr>
            <w:tcW w:w="2940" w:type="dxa"/>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Sabiedrības informēšana par projekta izstrādes uzsākšanu</w:t>
            </w:r>
          </w:p>
        </w:tc>
        <w:tc>
          <w:tcPr>
            <w:tcW w:w="5812" w:type="dxa"/>
            <w:tcBorders>
              <w:top w:val="outset" w:sz="6" w:space="0" w:color="auto"/>
              <w:left w:val="outset" w:sz="6" w:space="0" w:color="auto"/>
              <w:bottom w:val="outset" w:sz="6" w:space="0" w:color="auto"/>
            </w:tcBorders>
          </w:tcPr>
          <w:p w:rsidR="009918A1" w:rsidRPr="00FF4729" w:rsidRDefault="00FF4729" w:rsidP="00DA0279">
            <w:pPr>
              <w:spacing w:before="100" w:beforeAutospacing="1" w:after="100" w:afterAutospacing="1" w:line="240" w:lineRule="auto"/>
              <w:jc w:val="both"/>
              <w:rPr>
                <w:rFonts w:ascii="Times New Roman" w:hAnsi="Times New Roman" w:cs="Times New Roman"/>
                <w:sz w:val="26"/>
                <w:szCs w:val="26"/>
                <w:lang w:eastAsia="lv-LV"/>
              </w:rPr>
            </w:pPr>
            <w:r w:rsidRPr="00FF4729">
              <w:rPr>
                <w:rFonts w:ascii="Times New Roman" w:hAnsi="Times New Roman" w:cs="Times New Roman"/>
                <w:sz w:val="26"/>
                <w:szCs w:val="26"/>
              </w:rPr>
              <w:t xml:space="preserve">Projekts izstrādāts pēc tam, kad Ministru kabineta 2011. gada 5. jūlija sēdē (prot. Nr. 41 46. §) tika nolemts pilnveidot </w:t>
            </w:r>
            <w:r w:rsidRPr="00FF4729">
              <w:rPr>
                <w:rStyle w:val="spelle"/>
                <w:rFonts w:ascii="Times New Roman" w:hAnsi="Times New Roman" w:cs="Times New Roman"/>
                <w:sz w:val="26"/>
                <w:szCs w:val="26"/>
              </w:rPr>
              <w:t xml:space="preserve">LAPK regulējumu, lai </w:t>
            </w:r>
            <w:r w:rsidRPr="00FF4729">
              <w:rPr>
                <w:rFonts w:ascii="Times New Roman" w:hAnsi="Times New Roman" w:cs="Times New Roman"/>
                <w:sz w:val="26"/>
                <w:szCs w:val="26"/>
              </w:rPr>
              <w:t xml:space="preserve">iespējami efektīvāka būtu valsts institūciju un pašvaldību kompetence administratīvo sodu piemērošanā, kā arī LAPK 299. panta ceturtajā daļā paredzēto naudas sodu finanšu ieņēmumu nodalīšanā. </w:t>
            </w:r>
          </w:p>
        </w:tc>
      </w:tr>
      <w:tr w:rsidR="009918A1" w:rsidRPr="00DD6BB2" w:rsidTr="004E7261">
        <w:trPr>
          <w:trHeight w:val="339"/>
          <w:tblCellSpacing w:w="0" w:type="dxa"/>
        </w:trPr>
        <w:tc>
          <w:tcPr>
            <w:tcW w:w="475" w:type="dxa"/>
            <w:gridSpan w:val="2"/>
            <w:tcBorders>
              <w:top w:val="outset" w:sz="6" w:space="0" w:color="auto"/>
              <w:bottom w:val="outset" w:sz="6" w:space="0" w:color="auto"/>
              <w:right w:val="outset" w:sz="6" w:space="0" w:color="auto"/>
            </w:tcBorders>
          </w:tcPr>
          <w:p w:rsidR="009918A1" w:rsidRPr="00DD6BB2" w:rsidRDefault="009918A1" w:rsidP="004E726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2.</w:t>
            </w:r>
          </w:p>
        </w:tc>
        <w:tc>
          <w:tcPr>
            <w:tcW w:w="2940" w:type="dxa"/>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color w:val="FF0000"/>
                <w:sz w:val="26"/>
                <w:szCs w:val="26"/>
                <w:lang w:eastAsia="lv-LV"/>
              </w:rPr>
              <w:t> </w:t>
            </w:r>
            <w:r w:rsidRPr="00616A94">
              <w:rPr>
                <w:rFonts w:ascii="Times New Roman" w:hAnsi="Times New Roman" w:cs="Times New Roman"/>
                <w:sz w:val="26"/>
                <w:szCs w:val="26"/>
                <w:lang w:eastAsia="lv-LV"/>
              </w:rPr>
              <w:t>Sabiedrības līdzdalība projekta izstrādē</w:t>
            </w:r>
          </w:p>
        </w:tc>
        <w:tc>
          <w:tcPr>
            <w:tcW w:w="5812" w:type="dxa"/>
            <w:tcBorders>
              <w:top w:val="outset" w:sz="6" w:space="0" w:color="auto"/>
              <w:left w:val="outset" w:sz="6" w:space="0" w:color="auto"/>
              <w:bottom w:val="outset" w:sz="6" w:space="0" w:color="auto"/>
            </w:tcBorders>
          </w:tcPr>
          <w:p w:rsidR="009918A1" w:rsidRPr="00FF4729" w:rsidRDefault="00FF4729" w:rsidP="00DA0279">
            <w:pPr>
              <w:spacing w:before="100" w:beforeAutospacing="1" w:after="100" w:afterAutospacing="1" w:line="240" w:lineRule="auto"/>
              <w:jc w:val="both"/>
              <w:rPr>
                <w:rFonts w:ascii="Times New Roman" w:hAnsi="Times New Roman" w:cs="Times New Roman"/>
                <w:sz w:val="26"/>
                <w:szCs w:val="26"/>
              </w:rPr>
            </w:pPr>
            <w:r w:rsidRPr="00FF4729">
              <w:rPr>
                <w:rFonts w:ascii="Times New Roman" w:hAnsi="Times New Roman" w:cs="Times New Roman"/>
                <w:sz w:val="26"/>
                <w:szCs w:val="26"/>
                <w:lang w:eastAsia="lv-LV"/>
              </w:rPr>
              <w:t>Projekta sagatavošanā Tieslietu ministrija iesaistīja Latvijas Pašvaldību savienības, Latvijas Lielo pilsētu asociācijas, citu ministriju un iestāžu, kuras atbilstoši LAPK 17. nodaļai vienlaicīgi ar PAK ir tiesīgas izskatīt PAK kompetencē esošās vai līdzīgas administratīvo pārkāpumu lietas</w:t>
            </w:r>
            <w:r>
              <w:rPr>
                <w:rFonts w:ascii="Times New Roman" w:hAnsi="Times New Roman" w:cs="Times New Roman"/>
                <w:sz w:val="26"/>
                <w:szCs w:val="26"/>
                <w:lang w:eastAsia="lv-LV"/>
              </w:rPr>
              <w:t>, pārstāvjus</w:t>
            </w:r>
            <w:r w:rsidR="009918A1" w:rsidRPr="00FF4729">
              <w:rPr>
                <w:rFonts w:ascii="Times New Roman" w:hAnsi="Times New Roman" w:cs="Times New Roman"/>
                <w:sz w:val="26"/>
                <w:szCs w:val="26"/>
              </w:rPr>
              <w:t>.</w:t>
            </w:r>
          </w:p>
        </w:tc>
      </w:tr>
      <w:tr w:rsidR="009918A1" w:rsidRPr="00DD6BB2" w:rsidTr="004E7261">
        <w:trPr>
          <w:trHeight w:val="375"/>
          <w:tblCellSpacing w:w="0" w:type="dxa"/>
        </w:trPr>
        <w:tc>
          <w:tcPr>
            <w:tcW w:w="475" w:type="dxa"/>
            <w:gridSpan w:val="2"/>
            <w:tcBorders>
              <w:top w:val="outset" w:sz="6" w:space="0" w:color="auto"/>
              <w:bottom w:val="outset" w:sz="6" w:space="0" w:color="auto"/>
              <w:right w:val="outset" w:sz="6" w:space="0" w:color="auto"/>
            </w:tcBorders>
          </w:tcPr>
          <w:p w:rsidR="009918A1" w:rsidRPr="00DD6BB2" w:rsidRDefault="009918A1" w:rsidP="004E726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3.</w:t>
            </w:r>
          </w:p>
        </w:tc>
        <w:tc>
          <w:tcPr>
            <w:tcW w:w="2940" w:type="dxa"/>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Sabiedrības līdzdalības rezultāti</w:t>
            </w:r>
          </w:p>
        </w:tc>
        <w:tc>
          <w:tcPr>
            <w:tcW w:w="5812" w:type="dxa"/>
            <w:tcBorders>
              <w:top w:val="outset" w:sz="6" w:space="0" w:color="auto"/>
              <w:left w:val="outset" w:sz="6" w:space="0" w:color="auto"/>
              <w:bottom w:val="outset" w:sz="6" w:space="0" w:color="auto"/>
            </w:tcBorders>
          </w:tcPr>
          <w:p w:rsidR="009918A1" w:rsidRDefault="00FF4729" w:rsidP="00DA0279">
            <w:pPr>
              <w:spacing w:after="0" w:line="240" w:lineRule="auto"/>
              <w:jc w:val="both"/>
              <w:rPr>
                <w:rFonts w:ascii="Times New Roman" w:hAnsi="Times New Roman" w:cs="Times New Roman"/>
                <w:sz w:val="26"/>
                <w:szCs w:val="26"/>
              </w:rPr>
            </w:pPr>
            <w:r>
              <w:rPr>
                <w:rFonts w:ascii="Times New Roman" w:hAnsi="Times New Roman" w:cs="Times New Roman"/>
                <w:sz w:val="26"/>
                <w:szCs w:val="26"/>
                <w:lang w:eastAsia="lv-LV"/>
              </w:rPr>
              <w:t>Sagatavots ar iesaistītajām institūcijām saskaņots projekts</w:t>
            </w:r>
            <w:r w:rsidRPr="00DD6BB2">
              <w:rPr>
                <w:rFonts w:ascii="Times New Roman" w:hAnsi="Times New Roman" w:cs="Times New Roman"/>
                <w:sz w:val="26"/>
                <w:szCs w:val="26"/>
              </w:rPr>
              <w:t xml:space="preserve">. </w:t>
            </w:r>
          </w:p>
          <w:p w:rsidR="00FF4729" w:rsidRPr="00616A94" w:rsidRDefault="00FF4729" w:rsidP="00FF4729">
            <w:pPr>
              <w:spacing w:after="0" w:line="240" w:lineRule="auto"/>
              <w:rPr>
                <w:rFonts w:ascii="Times New Roman" w:hAnsi="Times New Roman" w:cs="Times New Roman"/>
                <w:sz w:val="26"/>
                <w:szCs w:val="26"/>
              </w:rPr>
            </w:pPr>
          </w:p>
        </w:tc>
      </w:tr>
      <w:tr w:rsidR="009918A1" w:rsidRPr="00550B5E" w:rsidTr="004E7261">
        <w:trPr>
          <w:trHeight w:val="397"/>
          <w:tblCellSpacing w:w="0" w:type="dxa"/>
        </w:trPr>
        <w:tc>
          <w:tcPr>
            <w:tcW w:w="475" w:type="dxa"/>
            <w:gridSpan w:val="2"/>
            <w:tcBorders>
              <w:top w:val="outset" w:sz="6" w:space="0" w:color="auto"/>
              <w:bottom w:val="outset" w:sz="6" w:space="0" w:color="auto"/>
              <w:right w:val="outset" w:sz="6" w:space="0" w:color="auto"/>
            </w:tcBorders>
          </w:tcPr>
          <w:p w:rsidR="009918A1" w:rsidRPr="00550B5E" w:rsidRDefault="009918A1" w:rsidP="004E7261">
            <w:pPr>
              <w:spacing w:before="100" w:beforeAutospacing="1" w:after="100" w:afterAutospacing="1" w:line="240" w:lineRule="auto"/>
              <w:rPr>
                <w:rFonts w:ascii="Times New Roman" w:hAnsi="Times New Roman" w:cs="Times New Roman"/>
                <w:sz w:val="24"/>
                <w:szCs w:val="24"/>
                <w:lang w:eastAsia="lv-LV"/>
              </w:rPr>
            </w:pPr>
            <w:r w:rsidRPr="00550B5E">
              <w:rPr>
                <w:rFonts w:ascii="Times New Roman" w:hAnsi="Times New Roman" w:cs="Times New Roman"/>
                <w:sz w:val="24"/>
                <w:szCs w:val="24"/>
                <w:lang w:eastAsia="lv-LV"/>
              </w:rPr>
              <w:t> 4.</w:t>
            </w:r>
          </w:p>
        </w:tc>
        <w:tc>
          <w:tcPr>
            <w:tcW w:w="2940" w:type="dxa"/>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color w:val="FF0000"/>
                <w:sz w:val="26"/>
                <w:szCs w:val="26"/>
                <w:lang w:eastAsia="lv-LV"/>
              </w:rPr>
              <w:t> </w:t>
            </w:r>
            <w:r w:rsidRPr="00616A94">
              <w:rPr>
                <w:rFonts w:ascii="Times New Roman" w:hAnsi="Times New Roman" w:cs="Times New Roman"/>
                <w:sz w:val="26"/>
                <w:szCs w:val="26"/>
                <w:lang w:eastAsia="lv-LV"/>
              </w:rPr>
              <w:t>Saeimas un ekspertu līdzdalība</w:t>
            </w:r>
          </w:p>
        </w:tc>
        <w:tc>
          <w:tcPr>
            <w:tcW w:w="5812" w:type="dxa"/>
            <w:tcBorders>
              <w:top w:val="outset" w:sz="6" w:space="0" w:color="auto"/>
              <w:left w:val="outset" w:sz="6" w:space="0" w:color="auto"/>
              <w:bottom w:val="outset" w:sz="6" w:space="0" w:color="auto"/>
            </w:tcBorders>
          </w:tcPr>
          <w:p w:rsidR="009918A1" w:rsidRPr="00616A94" w:rsidRDefault="009918A1" w:rsidP="00DA0279">
            <w:pPr>
              <w:pStyle w:val="Virsraksts1"/>
              <w:spacing w:before="0" w:after="0"/>
              <w:jc w:val="both"/>
              <w:rPr>
                <w:rFonts w:ascii="Times New Roman" w:hAnsi="Times New Roman" w:cs="Times New Roman"/>
                <w:sz w:val="26"/>
                <w:szCs w:val="26"/>
                <w:lang w:eastAsia="lv-LV"/>
              </w:rPr>
            </w:pPr>
            <w:r w:rsidRPr="00616A94">
              <w:rPr>
                <w:rFonts w:ascii="Times New Roman" w:hAnsi="Times New Roman" w:cs="Times New Roman"/>
                <w:b w:val="0"/>
                <w:sz w:val="26"/>
                <w:szCs w:val="26"/>
                <w:lang w:eastAsia="lv-LV"/>
              </w:rPr>
              <w:t xml:space="preserve"> Projektā paredzētais regulējums tika skatīts Tieslietu ministrijas LAPK pastāvīgajā darba grupā, kurā ir iesaistīti administratīvo tiesību zinātnieki un normu piemērošanas praktiķi, vienlaicīgi pieaicinot Latvijas Lielo pilsētu asociācijas, kā arī citu pašvaldību pārstāvjus. </w:t>
            </w:r>
          </w:p>
        </w:tc>
      </w:tr>
      <w:tr w:rsidR="009918A1" w:rsidRPr="00DD6BB2" w:rsidTr="004E7261">
        <w:trPr>
          <w:trHeight w:val="476"/>
          <w:tblCellSpacing w:w="0" w:type="dxa"/>
        </w:trPr>
        <w:tc>
          <w:tcPr>
            <w:tcW w:w="475" w:type="dxa"/>
            <w:gridSpan w:val="2"/>
            <w:tcBorders>
              <w:top w:val="outset" w:sz="6" w:space="0" w:color="auto"/>
              <w:bottom w:val="outset" w:sz="6" w:space="0" w:color="auto"/>
              <w:right w:val="outset" w:sz="6" w:space="0" w:color="auto"/>
            </w:tcBorders>
          </w:tcPr>
          <w:p w:rsidR="009918A1" w:rsidRPr="00DD6BB2" w:rsidRDefault="009918A1" w:rsidP="004E726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5.</w:t>
            </w:r>
          </w:p>
        </w:tc>
        <w:tc>
          <w:tcPr>
            <w:tcW w:w="2940" w:type="dxa"/>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color w:val="FF0000"/>
                <w:sz w:val="26"/>
                <w:szCs w:val="26"/>
                <w:lang w:eastAsia="lv-LV"/>
              </w:rPr>
            </w:pPr>
            <w:r w:rsidRPr="00616A94">
              <w:rPr>
                <w:rFonts w:ascii="Times New Roman" w:hAnsi="Times New Roman" w:cs="Times New Roman"/>
                <w:color w:val="FF0000"/>
                <w:sz w:val="26"/>
                <w:szCs w:val="26"/>
                <w:lang w:eastAsia="lv-LV"/>
              </w:rPr>
              <w:t> </w:t>
            </w:r>
            <w:r w:rsidRPr="00616A94">
              <w:rPr>
                <w:rFonts w:ascii="Times New Roman" w:hAnsi="Times New Roman" w:cs="Times New Roman"/>
                <w:sz w:val="26"/>
                <w:szCs w:val="26"/>
                <w:lang w:eastAsia="lv-LV"/>
              </w:rPr>
              <w:t>Cita informācija</w:t>
            </w:r>
            <w:r w:rsidRPr="00616A94">
              <w:rPr>
                <w:rFonts w:ascii="Times New Roman" w:hAnsi="Times New Roman" w:cs="Times New Roman"/>
                <w:color w:val="FF0000"/>
                <w:sz w:val="26"/>
                <w:szCs w:val="26"/>
                <w:lang w:eastAsia="lv-LV"/>
              </w:rPr>
              <w:t> </w:t>
            </w:r>
          </w:p>
        </w:tc>
        <w:tc>
          <w:tcPr>
            <w:tcW w:w="5812" w:type="dxa"/>
            <w:tcBorders>
              <w:top w:val="outset" w:sz="6" w:space="0" w:color="auto"/>
              <w:left w:val="outset" w:sz="6" w:space="0" w:color="auto"/>
              <w:bottom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Nav attiecināms</w:t>
            </w:r>
            <w:r w:rsidRPr="00616A94">
              <w:rPr>
                <w:rFonts w:ascii="Times New Roman" w:hAnsi="Times New Roman" w:cs="Times New Roman"/>
                <w:sz w:val="26"/>
                <w:szCs w:val="26"/>
              </w:rPr>
              <w:t>.</w:t>
            </w:r>
          </w:p>
        </w:tc>
      </w:tr>
      <w:tr w:rsidR="009918A1" w:rsidRPr="00DD6BB2" w:rsidTr="004E7261">
        <w:trPr>
          <w:tblCellSpacing w:w="0" w:type="dxa"/>
        </w:trPr>
        <w:tc>
          <w:tcPr>
            <w:tcW w:w="9227" w:type="dxa"/>
            <w:gridSpan w:val="4"/>
            <w:tcBorders>
              <w:top w:val="outset" w:sz="6" w:space="0" w:color="auto"/>
              <w:bottom w:val="outset" w:sz="6" w:space="0" w:color="auto"/>
            </w:tcBorders>
          </w:tcPr>
          <w:p w:rsidR="009918A1" w:rsidRPr="00DD6BB2" w:rsidRDefault="009918A1" w:rsidP="004E7261">
            <w:pPr>
              <w:spacing w:before="100" w:beforeAutospacing="1" w:after="100" w:afterAutospacing="1" w:line="240" w:lineRule="auto"/>
              <w:jc w:val="center"/>
              <w:rPr>
                <w:rFonts w:ascii="Times New Roman" w:hAnsi="Times New Roman" w:cs="Times New Roman"/>
                <w:sz w:val="26"/>
                <w:szCs w:val="26"/>
                <w:lang w:eastAsia="lv-LV"/>
              </w:rPr>
            </w:pPr>
            <w:r w:rsidRPr="00DD6BB2">
              <w:rPr>
                <w:rFonts w:ascii="Times New Roman" w:hAnsi="Times New Roman" w:cs="Times New Roman"/>
                <w:b/>
                <w:bCs/>
                <w:sz w:val="26"/>
                <w:szCs w:val="26"/>
                <w:lang w:eastAsia="lv-LV"/>
              </w:rPr>
              <w:lastRenderedPageBreak/>
              <w:t>VII. Tiesību akta projekta izpildes nodrošināšana un tās ietekme uz institūcijām</w:t>
            </w:r>
          </w:p>
        </w:tc>
      </w:tr>
      <w:tr w:rsidR="009918A1" w:rsidRPr="000D482B" w:rsidTr="004E7261">
        <w:trPr>
          <w:trHeight w:val="427"/>
          <w:tblCellSpacing w:w="0" w:type="dxa"/>
        </w:trPr>
        <w:tc>
          <w:tcPr>
            <w:tcW w:w="467" w:type="dxa"/>
            <w:tcBorders>
              <w:top w:val="outset" w:sz="6" w:space="0" w:color="auto"/>
              <w:bottom w:val="outset" w:sz="6" w:space="0" w:color="auto"/>
              <w:right w:val="outset" w:sz="6" w:space="0" w:color="auto"/>
            </w:tcBorders>
          </w:tcPr>
          <w:p w:rsidR="009918A1" w:rsidRPr="000D482B" w:rsidRDefault="009918A1" w:rsidP="004E7261">
            <w:pPr>
              <w:spacing w:before="100" w:beforeAutospacing="1" w:after="100" w:afterAutospacing="1" w:line="240" w:lineRule="auto"/>
              <w:rPr>
                <w:rFonts w:ascii="Times New Roman" w:hAnsi="Times New Roman" w:cs="Times New Roman"/>
                <w:sz w:val="24"/>
                <w:szCs w:val="24"/>
                <w:lang w:eastAsia="lv-LV"/>
              </w:rPr>
            </w:pPr>
            <w:r w:rsidRPr="000D482B">
              <w:rPr>
                <w:rFonts w:ascii="Times New Roman" w:hAnsi="Times New Roman" w:cs="Times New Roman"/>
                <w:sz w:val="24"/>
                <w:szCs w:val="24"/>
                <w:lang w:eastAsia="lv-LV"/>
              </w:rPr>
              <w:t> 1.</w:t>
            </w:r>
          </w:p>
        </w:tc>
        <w:tc>
          <w:tcPr>
            <w:tcW w:w="2948" w:type="dxa"/>
            <w:gridSpan w:val="2"/>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Projekta izpildē iesaistītās institūcijas</w:t>
            </w:r>
          </w:p>
        </w:tc>
        <w:tc>
          <w:tcPr>
            <w:tcW w:w="5812" w:type="dxa"/>
            <w:tcBorders>
              <w:top w:val="outset" w:sz="6" w:space="0" w:color="auto"/>
              <w:left w:val="outset" w:sz="6" w:space="0" w:color="auto"/>
              <w:bottom w:val="outset" w:sz="6" w:space="0" w:color="auto"/>
            </w:tcBorders>
          </w:tcPr>
          <w:p w:rsidR="009918A1" w:rsidRPr="00616A94" w:rsidRDefault="009918A1" w:rsidP="00DA0279">
            <w:pPr>
              <w:spacing w:before="100" w:beforeAutospacing="1" w:after="100" w:afterAutospacing="1" w:line="240" w:lineRule="auto"/>
              <w:jc w:val="both"/>
              <w:rPr>
                <w:rFonts w:ascii="Times New Roman" w:hAnsi="Times New Roman" w:cs="Times New Roman"/>
                <w:sz w:val="26"/>
                <w:szCs w:val="26"/>
                <w:lang w:eastAsia="lv-LV"/>
              </w:rPr>
            </w:pPr>
            <w:r w:rsidRPr="00616A94">
              <w:rPr>
                <w:rFonts w:ascii="Times New Roman" w:hAnsi="Times New Roman" w:cs="Times New Roman"/>
                <w:sz w:val="26"/>
                <w:szCs w:val="26"/>
                <w:lang w:eastAsia="lv-LV"/>
              </w:rPr>
              <w:t>Pašvaldības un valsts pārvaldes iestādes, kuras atbilstoši LAPK 17. nodaļai vienlaicīgi ar PAK ir tiesīgas izskatīt PAK kompetencē esošās vai līdzīgas administratīvo pārkāpumu lietas.</w:t>
            </w:r>
          </w:p>
        </w:tc>
      </w:tr>
      <w:tr w:rsidR="009918A1" w:rsidRPr="00DD6BB2" w:rsidTr="004E7261">
        <w:trPr>
          <w:trHeight w:val="463"/>
          <w:tblCellSpacing w:w="0" w:type="dxa"/>
        </w:trPr>
        <w:tc>
          <w:tcPr>
            <w:tcW w:w="467" w:type="dxa"/>
            <w:tcBorders>
              <w:top w:val="outset" w:sz="6" w:space="0" w:color="auto"/>
              <w:bottom w:val="outset" w:sz="6" w:space="0" w:color="auto"/>
              <w:right w:val="outset" w:sz="6" w:space="0" w:color="auto"/>
            </w:tcBorders>
          </w:tcPr>
          <w:p w:rsidR="009918A1" w:rsidRPr="00DD6BB2" w:rsidRDefault="009918A1" w:rsidP="004E726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2.</w:t>
            </w:r>
          </w:p>
        </w:tc>
        <w:tc>
          <w:tcPr>
            <w:tcW w:w="2948" w:type="dxa"/>
            <w:gridSpan w:val="2"/>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Projekta izpildes ietekme uz pārvaldes funkcijām</w:t>
            </w:r>
          </w:p>
        </w:tc>
        <w:tc>
          <w:tcPr>
            <w:tcW w:w="5812" w:type="dxa"/>
            <w:tcBorders>
              <w:top w:val="outset" w:sz="6" w:space="0" w:color="auto"/>
              <w:left w:val="outset" w:sz="6" w:space="0" w:color="auto"/>
              <w:bottom w:val="outset" w:sz="6" w:space="0" w:color="auto"/>
            </w:tcBorders>
          </w:tcPr>
          <w:p w:rsidR="009918A1" w:rsidRPr="00616A94" w:rsidRDefault="009918A1" w:rsidP="00DA0279">
            <w:pPr>
              <w:spacing w:before="100" w:beforeAutospacing="1" w:after="100" w:afterAutospacing="1" w:line="240" w:lineRule="auto"/>
              <w:jc w:val="both"/>
              <w:rPr>
                <w:rFonts w:ascii="Times New Roman" w:hAnsi="Times New Roman" w:cs="Times New Roman"/>
                <w:sz w:val="26"/>
                <w:szCs w:val="26"/>
                <w:lang w:eastAsia="lv-LV"/>
              </w:rPr>
            </w:pPr>
            <w:r w:rsidRPr="00616A94">
              <w:rPr>
                <w:rFonts w:ascii="Times New Roman" w:hAnsi="Times New Roman" w:cs="Times New Roman"/>
                <w:sz w:val="26"/>
                <w:szCs w:val="26"/>
                <w:lang w:eastAsia="lv-LV"/>
              </w:rPr>
              <w:t> Jaunas valsts pārvaldes funkcijas netiek ieviestas. Nav paredzams, ka valsts pārvaldes iestāžu vai tiesu darba apjoms ievērojami varētu mainīties.</w:t>
            </w:r>
          </w:p>
        </w:tc>
      </w:tr>
      <w:tr w:rsidR="009918A1" w:rsidRPr="00DD6BB2" w:rsidTr="004E7261">
        <w:trPr>
          <w:trHeight w:val="725"/>
          <w:tblCellSpacing w:w="0" w:type="dxa"/>
        </w:trPr>
        <w:tc>
          <w:tcPr>
            <w:tcW w:w="467" w:type="dxa"/>
            <w:tcBorders>
              <w:top w:val="outset" w:sz="6" w:space="0" w:color="auto"/>
              <w:bottom w:val="outset" w:sz="6" w:space="0" w:color="auto"/>
              <w:right w:val="outset" w:sz="6" w:space="0" w:color="auto"/>
            </w:tcBorders>
          </w:tcPr>
          <w:p w:rsidR="009918A1" w:rsidRPr="00DD6BB2" w:rsidRDefault="009918A1" w:rsidP="004E726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3.</w:t>
            </w:r>
          </w:p>
        </w:tc>
        <w:tc>
          <w:tcPr>
            <w:tcW w:w="2948" w:type="dxa"/>
            <w:gridSpan w:val="2"/>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Projekta izpildes ietekme uz pārvaldes institucionālo struktūru.</w:t>
            </w:r>
          </w:p>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Jaunu institūciju izveide</w:t>
            </w:r>
          </w:p>
        </w:tc>
        <w:tc>
          <w:tcPr>
            <w:tcW w:w="5812" w:type="dxa"/>
            <w:tcBorders>
              <w:top w:val="outset" w:sz="6" w:space="0" w:color="auto"/>
              <w:left w:val="outset" w:sz="6" w:space="0" w:color="auto"/>
              <w:bottom w:val="outset" w:sz="6" w:space="0" w:color="auto"/>
            </w:tcBorders>
          </w:tcPr>
          <w:p w:rsidR="009918A1" w:rsidRPr="00616A94" w:rsidRDefault="009918A1" w:rsidP="00616A94">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xml:space="preserve"> Valsts pārvaldes institucionālā sistēma netiek mainīta. </w:t>
            </w:r>
          </w:p>
          <w:p w:rsidR="009918A1" w:rsidRPr="00616A94" w:rsidRDefault="009918A1" w:rsidP="00616A94">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xml:space="preserve">Jaunas iestādes vai jaunas struktūrvienības netiek veidotas. </w:t>
            </w:r>
          </w:p>
        </w:tc>
      </w:tr>
      <w:tr w:rsidR="009918A1" w:rsidRPr="00DD6BB2" w:rsidTr="004E7261">
        <w:trPr>
          <w:trHeight w:val="780"/>
          <w:tblCellSpacing w:w="0" w:type="dxa"/>
        </w:trPr>
        <w:tc>
          <w:tcPr>
            <w:tcW w:w="467" w:type="dxa"/>
            <w:tcBorders>
              <w:top w:val="outset" w:sz="6" w:space="0" w:color="auto"/>
              <w:bottom w:val="outset" w:sz="6" w:space="0" w:color="auto"/>
              <w:right w:val="outset" w:sz="6" w:space="0" w:color="auto"/>
            </w:tcBorders>
          </w:tcPr>
          <w:p w:rsidR="009918A1" w:rsidRPr="00DD6BB2" w:rsidRDefault="009918A1" w:rsidP="004E726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4.</w:t>
            </w:r>
          </w:p>
        </w:tc>
        <w:tc>
          <w:tcPr>
            <w:tcW w:w="2948" w:type="dxa"/>
            <w:gridSpan w:val="2"/>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Projekta izpildes ietekme uz pārvaldes institucionālo struktūru.</w:t>
            </w:r>
          </w:p>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Esošu institūciju likvidācija</w:t>
            </w:r>
          </w:p>
        </w:tc>
        <w:tc>
          <w:tcPr>
            <w:tcW w:w="5812" w:type="dxa"/>
            <w:tcBorders>
              <w:top w:val="outset" w:sz="6" w:space="0" w:color="auto"/>
              <w:left w:val="outset" w:sz="6" w:space="0" w:color="auto"/>
              <w:bottom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Nav attiecināms</w:t>
            </w:r>
          </w:p>
        </w:tc>
      </w:tr>
      <w:tr w:rsidR="009918A1" w:rsidRPr="00DD6BB2" w:rsidTr="004E7261">
        <w:trPr>
          <w:trHeight w:val="703"/>
          <w:tblCellSpacing w:w="0" w:type="dxa"/>
        </w:trPr>
        <w:tc>
          <w:tcPr>
            <w:tcW w:w="467" w:type="dxa"/>
            <w:tcBorders>
              <w:top w:val="outset" w:sz="6" w:space="0" w:color="auto"/>
              <w:bottom w:val="outset" w:sz="6" w:space="0" w:color="auto"/>
              <w:right w:val="outset" w:sz="6" w:space="0" w:color="auto"/>
            </w:tcBorders>
          </w:tcPr>
          <w:p w:rsidR="009918A1" w:rsidRPr="00DD6BB2" w:rsidRDefault="009918A1" w:rsidP="004E726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5.</w:t>
            </w:r>
          </w:p>
        </w:tc>
        <w:tc>
          <w:tcPr>
            <w:tcW w:w="2948" w:type="dxa"/>
            <w:gridSpan w:val="2"/>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Projekta izpildes ietekme uz pārvaldes institucionālo struktūru.</w:t>
            </w:r>
          </w:p>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Esošu institūciju reorganizācija</w:t>
            </w:r>
          </w:p>
        </w:tc>
        <w:tc>
          <w:tcPr>
            <w:tcW w:w="5812" w:type="dxa"/>
            <w:tcBorders>
              <w:top w:val="outset" w:sz="6" w:space="0" w:color="auto"/>
              <w:left w:val="outset" w:sz="6" w:space="0" w:color="auto"/>
              <w:bottom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Nav attiecināms</w:t>
            </w:r>
          </w:p>
        </w:tc>
      </w:tr>
      <w:tr w:rsidR="009918A1" w:rsidRPr="00DD6BB2" w:rsidTr="004E7261">
        <w:trPr>
          <w:trHeight w:val="476"/>
          <w:tblCellSpacing w:w="0" w:type="dxa"/>
        </w:trPr>
        <w:tc>
          <w:tcPr>
            <w:tcW w:w="467" w:type="dxa"/>
            <w:tcBorders>
              <w:top w:val="outset" w:sz="6" w:space="0" w:color="auto"/>
              <w:bottom w:val="outset" w:sz="6" w:space="0" w:color="auto"/>
              <w:right w:val="outset" w:sz="6" w:space="0" w:color="auto"/>
            </w:tcBorders>
          </w:tcPr>
          <w:p w:rsidR="009918A1" w:rsidRPr="00DD6BB2" w:rsidRDefault="009918A1" w:rsidP="004E7261">
            <w:pPr>
              <w:spacing w:before="100" w:beforeAutospacing="1" w:after="100" w:afterAutospacing="1" w:line="240" w:lineRule="auto"/>
              <w:rPr>
                <w:rFonts w:ascii="Times New Roman" w:hAnsi="Times New Roman" w:cs="Times New Roman"/>
                <w:sz w:val="26"/>
                <w:szCs w:val="26"/>
                <w:lang w:eastAsia="lv-LV"/>
              </w:rPr>
            </w:pPr>
            <w:r w:rsidRPr="00DD6BB2">
              <w:rPr>
                <w:rFonts w:ascii="Times New Roman" w:hAnsi="Times New Roman" w:cs="Times New Roman"/>
                <w:sz w:val="26"/>
                <w:szCs w:val="26"/>
                <w:lang w:eastAsia="lv-LV"/>
              </w:rPr>
              <w:t> 6.</w:t>
            </w:r>
          </w:p>
        </w:tc>
        <w:tc>
          <w:tcPr>
            <w:tcW w:w="2948" w:type="dxa"/>
            <w:gridSpan w:val="2"/>
            <w:tcBorders>
              <w:top w:val="outset" w:sz="6" w:space="0" w:color="auto"/>
              <w:left w:val="outset" w:sz="6" w:space="0" w:color="auto"/>
              <w:bottom w:val="outset" w:sz="6" w:space="0" w:color="auto"/>
              <w:right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Cita informācija</w:t>
            </w:r>
          </w:p>
        </w:tc>
        <w:tc>
          <w:tcPr>
            <w:tcW w:w="5812" w:type="dxa"/>
            <w:tcBorders>
              <w:top w:val="outset" w:sz="6" w:space="0" w:color="auto"/>
              <w:left w:val="outset" w:sz="6" w:space="0" w:color="auto"/>
              <w:bottom w:val="outset" w:sz="6" w:space="0" w:color="auto"/>
            </w:tcBorders>
          </w:tcPr>
          <w:p w:rsidR="009918A1" w:rsidRPr="00616A94" w:rsidRDefault="009918A1" w:rsidP="004E7261">
            <w:pPr>
              <w:spacing w:before="100" w:beforeAutospacing="1" w:after="100" w:afterAutospacing="1" w:line="240" w:lineRule="auto"/>
              <w:rPr>
                <w:rFonts w:ascii="Times New Roman" w:hAnsi="Times New Roman" w:cs="Times New Roman"/>
                <w:sz w:val="26"/>
                <w:szCs w:val="26"/>
                <w:lang w:eastAsia="lv-LV"/>
              </w:rPr>
            </w:pPr>
            <w:r w:rsidRPr="00616A94">
              <w:rPr>
                <w:rFonts w:ascii="Times New Roman" w:hAnsi="Times New Roman" w:cs="Times New Roman"/>
                <w:sz w:val="26"/>
                <w:szCs w:val="26"/>
                <w:lang w:eastAsia="lv-LV"/>
              </w:rPr>
              <w:t> Nav</w:t>
            </w:r>
          </w:p>
        </w:tc>
      </w:tr>
    </w:tbl>
    <w:p w:rsidR="009918A1" w:rsidRPr="00DD6BB2" w:rsidRDefault="009918A1" w:rsidP="009918A1">
      <w:pPr>
        <w:spacing w:line="240" w:lineRule="auto"/>
        <w:rPr>
          <w:rFonts w:ascii="Times New Roman" w:hAnsi="Times New Roman" w:cs="Times New Roman"/>
          <w:sz w:val="26"/>
          <w:szCs w:val="26"/>
        </w:rPr>
      </w:pPr>
    </w:p>
    <w:p w:rsidR="009918A1" w:rsidRPr="00DD6BB2" w:rsidRDefault="009918A1" w:rsidP="009918A1">
      <w:pPr>
        <w:spacing w:line="240" w:lineRule="auto"/>
        <w:rPr>
          <w:rFonts w:ascii="Times New Roman" w:hAnsi="Times New Roman" w:cs="Times New Roman"/>
          <w:sz w:val="26"/>
          <w:szCs w:val="26"/>
        </w:rPr>
      </w:pPr>
    </w:p>
    <w:p w:rsidR="009918A1" w:rsidRDefault="009918A1" w:rsidP="009918A1">
      <w:pPr>
        <w:spacing w:after="0" w:line="240" w:lineRule="auto"/>
        <w:rPr>
          <w:rFonts w:ascii="Times New Roman" w:hAnsi="Times New Roman" w:cs="Times New Roman"/>
          <w:sz w:val="26"/>
          <w:szCs w:val="26"/>
        </w:rPr>
      </w:pPr>
      <w:r w:rsidRPr="00DD6BB2">
        <w:rPr>
          <w:rFonts w:ascii="Times New Roman" w:hAnsi="Times New Roman" w:cs="Times New Roman"/>
          <w:sz w:val="26"/>
          <w:szCs w:val="26"/>
        </w:rPr>
        <w:t>Tieslietu ministrs</w:t>
      </w:r>
      <w:r w:rsidRPr="00DD6BB2">
        <w:rPr>
          <w:rFonts w:ascii="Times New Roman" w:hAnsi="Times New Roman" w:cs="Times New Roman"/>
          <w:sz w:val="26"/>
          <w:szCs w:val="26"/>
        </w:rPr>
        <w:tab/>
      </w:r>
      <w:proofErr w:type="gramStart"/>
      <w:r w:rsidRPr="00DD6BB2">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End"/>
      <w:r w:rsidR="007C455D">
        <w:rPr>
          <w:rFonts w:ascii="Times New Roman" w:hAnsi="Times New Roman" w:cs="Times New Roman"/>
          <w:sz w:val="26"/>
          <w:szCs w:val="26"/>
        </w:rPr>
        <w:t>G.Bērziņš</w:t>
      </w:r>
    </w:p>
    <w:p w:rsidR="000046D8" w:rsidRDefault="000046D8" w:rsidP="009918A1">
      <w:pPr>
        <w:spacing w:after="0" w:line="240" w:lineRule="auto"/>
        <w:rPr>
          <w:rFonts w:ascii="Times New Roman" w:hAnsi="Times New Roman" w:cs="Times New Roman"/>
          <w:sz w:val="26"/>
          <w:szCs w:val="26"/>
        </w:rPr>
      </w:pPr>
    </w:p>
    <w:p w:rsidR="000046D8" w:rsidRDefault="000046D8" w:rsidP="009918A1">
      <w:pPr>
        <w:spacing w:after="0" w:line="240" w:lineRule="auto"/>
        <w:rPr>
          <w:rFonts w:ascii="Times New Roman" w:hAnsi="Times New Roman" w:cs="Times New Roman"/>
          <w:sz w:val="26"/>
          <w:szCs w:val="26"/>
        </w:rPr>
      </w:pPr>
    </w:p>
    <w:p w:rsidR="000046D8" w:rsidRPr="00DD6BB2" w:rsidRDefault="000046D8" w:rsidP="009918A1">
      <w:pPr>
        <w:spacing w:after="0" w:line="240" w:lineRule="auto"/>
        <w:rPr>
          <w:rFonts w:ascii="Times New Roman" w:hAnsi="Times New Roman" w:cs="Times New Roman"/>
          <w:sz w:val="26"/>
          <w:szCs w:val="26"/>
        </w:rPr>
      </w:pPr>
    </w:p>
    <w:p w:rsidR="009918A1" w:rsidRPr="00DD6BB2" w:rsidRDefault="009918A1" w:rsidP="009918A1">
      <w:pPr>
        <w:spacing w:line="240" w:lineRule="auto"/>
        <w:ind w:firstLine="709"/>
        <w:rPr>
          <w:rFonts w:ascii="Times New Roman" w:hAnsi="Times New Roman" w:cs="Times New Roman"/>
          <w:sz w:val="26"/>
          <w:szCs w:val="26"/>
        </w:rPr>
      </w:pPr>
    </w:p>
    <w:p w:rsidR="009918A1" w:rsidRDefault="009918A1" w:rsidP="00616A94">
      <w:pPr>
        <w:pStyle w:val="naispant"/>
        <w:spacing w:before="0" w:beforeAutospacing="0" w:after="0" w:afterAutospacing="0"/>
        <w:jc w:val="both"/>
        <w:rPr>
          <w:sz w:val="26"/>
          <w:szCs w:val="26"/>
        </w:rPr>
      </w:pPr>
    </w:p>
    <w:p w:rsidR="009918A1" w:rsidRPr="00DD6BB2" w:rsidRDefault="009918A1" w:rsidP="009918A1">
      <w:pPr>
        <w:pStyle w:val="naispant"/>
        <w:spacing w:before="0" w:beforeAutospacing="0" w:after="0" w:afterAutospacing="0"/>
        <w:ind w:firstLine="720"/>
        <w:jc w:val="both"/>
        <w:rPr>
          <w:sz w:val="26"/>
          <w:szCs w:val="26"/>
        </w:rPr>
      </w:pPr>
    </w:p>
    <w:p w:rsidR="009918A1" w:rsidRPr="00DD6BB2" w:rsidRDefault="000046D8" w:rsidP="009918A1">
      <w:pPr>
        <w:pStyle w:val="Kjene"/>
        <w:tabs>
          <w:tab w:val="clear" w:pos="4153"/>
          <w:tab w:val="clear" w:pos="8306"/>
        </w:tabs>
        <w:rPr>
          <w:rFonts w:ascii="Times New Roman" w:hAnsi="Times New Roman" w:cs="Times New Roman"/>
          <w:sz w:val="20"/>
          <w:szCs w:val="20"/>
        </w:rPr>
      </w:pPr>
      <w:r>
        <w:rPr>
          <w:rFonts w:ascii="Times New Roman" w:hAnsi="Times New Roman" w:cs="Times New Roman"/>
          <w:sz w:val="20"/>
          <w:szCs w:val="20"/>
        </w:rPr>
        <w:t>24</w:t>
      </w:r>
      <w:r w:rsidR="009918A1">
        <w:rPr>
          <w:rFonts w:ascii="Times New Roman" w:hAnsi="Times New Roman" w:cs="Times New Roman"/>
          <w:sz w:val="20"/>
          <w:szCs w:val="20"/>
        </w:rPr>
        <w:t>.</w:t>
      </w:r>
      <w:r w:rsidR="00EA0BE6">
        <w:rPr>
          <w:rFonts w:ascii="Times New Roman" w:hAnsi="Times New Roman" w:cs="Times New Roman"/>
          <w:sz w:val="20"/>
          <w:szCs w:val="20"/>
        </w:rPr>
        <w:t>11</w:t>
      </w:r>
      <w:r w:rsidR="009918A1">
        <w:rPr>
          <w:rFonts w:ascii="Times New Roman" w:hAnsi="Times New Roman" w:cs="Times New Roman"/>
          <w:sz w:val="20"/>
          <w:szCs w:val="20"/>
        </w:rPr>
        <w:t>.2011. 15:52</w:t>
      </w:r>
    </w:p>
    <w:p w:rsidR="009918A1" w:rsidRPr="00DD6BB2" w:rsidRDefault="00B82560" w:rsidP="009918A1">
      <w:pPr>
        <w:pStyle w:val="Kjene"/>
        <w:tabs>
          <w:tab w:val="clear" w:pos="4153"/>
          <w:tab w:val="clear" w:pos="8306"/>
        </w:tabs>
        <w:rPr>
          <w:rFonts w:ascii="Times New Roman" w:hAnsi="Times New Roman" w:cs="Times New Roman"/>
          <w:sz w:val="20"/>
          <w:szCs w:val="20"/>
        </w:rPr>
      </w:pPr>
      <w:r>
        <w:rPr>
          <w:rFonts w:ascii="Times New Roman" w:hAnsi="Times New Roman" w:cs="Times New Roman"/>
          <w:sz w:val="20"/>
          <w:szCs w:val="20"/>
        </w:rPr>
        <w:t>2</w:t>
      </w:r>
      <w:r w:rsidR="00FF4729">
        <w:rPr>
          <w:rFonts w:ascii="Times New Roman" w:hAnsi="Times New Roman" w:cs="Times New Roman"/>
          <w:sz w:val="20"/>
          <w:szCs w:val="20"/>
        </w:rPr>
        <w:t>019</w:t>
      </w:r>
    </w:p>
    <w:p w:rsidR="009918A1" w:rsidRPr="00DD6BB2" w:rsidRDefault="009918A1" w:rsidP="009918A1">
      <w:pPr>
        <w:pStyle w:val="Kjene"/>
        <w:tabs>
          <w:tab w:val="clear" w:pos="4153"/>
          <w:tab w:val="clear" w:pos="8306"/>
        </w:tabs>
        <w:rPr>
          <w:rFonts w:ascii="Times New Roman" w:hAnsi="Times New Roman" w:cs="Times New Roman"/>
          <w:sz w:val="20"/>
          <w:szCs w:val="20"/>
        </w:rPr>
      </w:pPr>
      <w:bookmarkStart w:id="2" w:name="OLE_LINK1"/>
      <w:bookmarkStart w:id="3" w:name="OLE_LINK2"/>
      <w:bookmarkStart w:id="4" w:name="OLE_LINK5"/>
      <w:bookmarkStart w:id="5" w:name="OLE_LINK6"/>
      <w:r>
        <w:rPr>
          <w:rFonts w:ascii="Times New Roman" w:hAnsi="Times New Roman" w:cs="Times New Roman"/>
          <w:sz w:val="20"/>
          <w:szCs w:val="20"/>
        </w:rPr>
        <w:t>U</w:t>
      </w:r>
      <w:r w:rsidRPr="00DD6BB2">
        <w:rPr>
          <w:rFonts w:ascii="Times New Roman" w:hAnsi="Times New Roman" w:cs="Times New Roman"/>
          <w:sz w:val="20"/>
          <w:szCs w:val="20"/>
        </w:rPr>
        <w:t>. </w:t>
      </w:r>
      <w:r>
        <w:rPr>
          <w:rFonts w:ascii="Times New Roman" w:hAnsi="Times New Roman" w:cs="Times New Roman"/>
          <w:sz w:val="20"/>
          <w:szCs w:val="20"/>
        </w:rPr>
        <w:t>Rudziks</w:t>
      </w:r>
    </w:p>
    <w:p w:rsidR="00DE6343" w:rsidRPr="000046D8" w:rsidRDefault="009918A1" w:rsidP="000046D8">
      <w:pPr>
        <w:pStyle w:val="Kjene"/>
        <w:tabs>
          <w:tab w:val="clear" w:pos="4153"/>
          <w:tab w:val="clear" w:pos="8306"/>
        </w:tabs>
        <w:rPr>
          <w:rFonts w:ascii="Times New Roman" w:hAnsi="Times New Roman" w:cs="Times New Roman"/>
          <w:sz w:val="20"/>
          <w:szCs w:val="20"/>
        </w:rPr>
      </w:pPr>
      <w:bookmarkStart w:id="6" w:name="OLE_LINK3"/>
      <w:bookmarkStart w:id="7" w:name="OLE_LINK4"/>
      <w:bookmarkEnd w:id="2"/>
      <w:bookmarkEnd w:id="3"/>
      <w:r w:rsidRPr="00DD6BB2">
        <w:rPr>
          <w:rFonts w:ascii="Times New Roman" w:hAnsi="Times New Roman" w:cs="Times New Roman"/>
          <w:sz w:val="20"/>
          <w:szCs w:val="20"/>
        </w:rPr>
        <w:t>670369</w:t>
      </w:r>
      <w:r>
        <w:rPr>
          <w:rFonts w:ascii="Times New Roman" w:hAnsi="Times New Roman" w:cs="Times New Roman"/>
          <w:sz w:val="20"/>
          <w:szCs w:val="20"/>
        </w:rPr>
        <w:t>02</w:t>
      </w:r>
      <w:r w:rsidRPr="00DD6BB2">
        <w:rPr>
          <w:rFonts w:ascii="Times New Roman" w:hAnsi="Times New Roman" w:cs="Times New Roman"/>
          <w:sz w:val="20"/>
          <w:szCs w:val="20"/>
        </w:rPr>
        <w:t xml:space="preserve">, </w:t>
      </w:r>
      <w:bookmarkEnd w:id="4"/>
      <w:bookmarkEnd w:id="5"/>
      <w:bookmarkEnd w:id="6"/>
      <w:bookmarkEnd w:id="7"/>
      <w:r w:rsidR="00284A88">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"mailto:</w:instrText>
      </w:r>
      <w:r w:rsidRPr="007C4B21">
        <w:rPr>
          <w:rFonts w:ascii="Times New Roman" w:hAnsi="Times New Roman" w:cs="Times New Roman"/>
          <w:sz w:val="20"/>
          <w:szCs w:val="20"/>
        </w:rPr>
        <w:instrText>uldis.rudziks@tm.gov.lv</w:instrText>
      </w:r>
      <w:r>
        <w:rPr>
          <w:rFonts w:ascii="Times New Roman" w:hAnsi="Times New Roman" w:cs="Times New Roman"/>
          <w:sz w:val="20"/>
          <w:szCs w:val="20"/>
        </w:rPr>
        <w:instrText xml:space="preserve">" </w:instrText>
      </w:r>
      <w:r w:rsidR="00284A88">
        <w:rPr>
          <w:rFonts w:ascii="Times New Roman" w:hAnsi="Times New Roman" w:cs="Times New Roman"/>
          <w:sz w:val="20"/>
          <w:szCs w:val="20"/>
        </w:rPr>
        <w:fldChar w:fldCharType="separate"/>
      </w:r>
      <w:r w:rsidRPr="00A975A7">
        <w:rPr>
          <w:rStyle w:val="Hipersaite"/>
          <w:rFonts w:ascii="Times New Roman" w:hAnsi="Times New Roman" w:cs="Times New Roman"/>
          <w:sz w:val="20"/>
          <w:szCs w:val="20"/>
        </w:rPr>
        <w:t>uldis.rudziks@tm.gov.lv</w:t>
      </w:r>
      <w:r w:rsidR="00284A88">
        <w:rPr>
          <w:rFonts w:ascii="Times New Roman" w:hAnsi="Times New Roman" w:cs="Times New Roman"/>
          <w:sz w:val="20"/>
          <w:szCs w:val="20"/>
        </w:rPr>
        <w:fldChar w:fldCharType="end"/>
      </w:r>
    </w:p>
    <w:sectPr w:rsidR="00DE6343" w:rsidRPr="000046D8" w:rsidSect="00616A94">
      <w:headerReference w:type="default" r:id="rId6"/>
      <w:footerReference w:type="default" r:id="rId7"/>
      <w:footerReference w:type="first" r:id="rId8"/>
      <w:pgSz w:w="11906" w:h="16838"/>
      <w:pgMar w:top="1418" w:right="1134" w:bottom="1134" w:left="1701" w:header="708"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4CF" w:rsidRDefault="00F844CF" w:rsidP="004E598A">
      <w:pPr>
        <w:spacing w:after="0" w:line="240" w:lineRule="auto"/>
      </w:pPr>
      <w:r>
        <w:separator/>
      </w:r>
    </w:p>
  </w:endnote>
  <w:endnote w:type="continuationSeparator" w:id="0">
    <w:p w:rsidR="00F844CF" w:rsidRDefault="00F844CF" w:rsidP="004E5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15" w:rsidRDefault="009918A1" w:rsidP="009D1A8D">
    <w:pPr>
      <w:spacing w:before="100" w:beforeAutospacing="1" w:after="100" w:afterAutospacing="1" w:line="240" w:lineRule="auto"/>
      <w:jc w:val="both"/>
    </w:pPr>
    <w:r w:rsidRPr="00683ED4">
      <w:rPr>
        <w:rFonts w:ascii="Times New Roman" w:hAnsi="Times New Roman" w:cs="Times New Roman"/>
        <w:sz w:val="20"/>
        <w:szCs w:val="20"/>
      </w:rPr>
      <w:t>TMAnot_</w:t>
    </w:r>
    <w:r w:rsidR="00413A9A">
      <w:rPr>
        <w:rFonts w:ascii="Times New Roman" w:hAnsi="Times New Roman" w:cs="Times New Roman"/>
        <w:sz w:val="20"/>
        <w:szCs w:val="20"/>
      </w:rPr>
      <w:t>24</w:t>
    </w:r>
    <w:r>
      <w:rPr>
        <w:rFonts w:ascii="Times New Roman" w:hAnsi="Times New Roman" w:cs="Times New Roman"/>
        <w:sz w:val="20"/>
        <w:szCs w:val="20"/>
      </w:rPr>
      <w:t>11</w:t>
    </w:r>
    <w:r w:rsidRPr="00683ED4">
      <w:rPr>
        <w:rFonts w:ascii="Times New Roman" w:hAnsi="Times New Roman" w:cs="Times New Roman"/>
        <w:sz w:val="20"/>
        <w:szCs w:val="20"/>
      </w:rPr>
      <w:t>11_LAPK</w:t>
    </w:r>
    <w:r>
      <w:rPr>
        <w:rFonts w:ascii="Times New Roman" w:hAnsi="Times New Roman" w:cs="Times New Roman"/>
        <w:sz w:val="20"/>
        <w:szCs w:val="20"/>
      </w:rPr>
      <w:t>-PAK</w:t>
    </w:r>
    <w:r w:rsidRPr="000273E4">
      <w:rPr>
        <w:rFonts w:ascii="Times New Roman" w:hAnsi="Times New Roman" w:cs="Times New Roman"/>
        <w:sz w:val="20"/>
        <w:szCs w:val="20"/>
      </w:rPr>
      <w:t xml:space="preserve">; </w:t>
    </w:r>
    <w:r w:rsidRPr="000273E4">
      <w:rPr>
        <w:rFonts w:ascii="Times New Roman" w:hAnsi="Times New Roman" w:cs="Times New Roman"/>
        <w:sz w:val="20"/>
        <w:szCs w:val="20"/>
        <w:lang w:eastAsia="lv-LV"/>
      </w:rPr>
      <w:t>Likumprojekta „Grozījumi Latvijas Administratīvo pārkāpumu kodeksā”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15" w:rsidRPr="000273E4" w:rsidRDefault="009918A1" w:rsidP="00B84E59">
    <w:pPr>
      <w:spacing w:before="100" w:beforeAutospacing="1" w:after="100" w:afterAutospacing="1" w:line="240" w:lineRule="auto"/>
      <w:jc w:val="both"/>
    </w:pPr>
    <w:r w:rsidRPr="00683ED4">
      <w:rPr>
        <w:rFonts w:ascii="Times New Roman" w:hAnsi="Times New Roman" w:cs="Times New Roman"/>
        <w:sz w:val="20"/>
        <w:szCs w:val="20"/>
      </w:rPr>
      <w:t>TMAnot_</w:t>
    </w:r>
    <w:r w:rsidR="00413A9A">
      <w:rPr>
        <w:rFonts w:ascii="Times New Roman" w:hAnsi="Times New Roman" w:cs="Times New Roman"/>
        <w:sz w:val="20"/>
        <w:szCs w:val="20"/>
      </w:rPr>
      <w:t>24</w:t>
    </w:r>
    <w:r>
      <w:rPr>
        <w:rFonts w:ascii="Times New Roman" w:hAnsi="Times New Roman" w:cs="Times New Roman"/>
        <w:sz w:val="20"/>
        <w:szCs w:val="20"/>
      </w:rPr>
      <w:t>11</w:t>
    </w:r>
    <w:r w:rsidRPr="00683ED4">
      <w:rPr>
        <w:rFonts w:ascii="Times New Roman" w:hAnsi="Times New Roman" w:cs="Times New Roman"/>
        <w:sz w:val="20"/>
        <w:szCs w:val="20"/>
      </w:rPr>
      <w:t>11_LAPK</w:t>
    </w:r>
    <w:r>
      <w:rPr>
        <w:rFonts w:ascii="Times New Roman" w:hAnsi="Times New Roman" w:cs="Times New Roman"/>
        <w:sz w:val="20"/>
        <w:szCs w:val="20"/>
      </w:rPr>
      <w:t>-PAK</w:t>
    </w:r>
    <w:r w:rsidRPr="000273E4">
      <w:rPr>
        <w:rFonts w:ascii="Times New Roman" w:hAnsi="Times New Roman" w:cs="Times New Roman"/>
        <w:sz w:val="20"/>
        <w:szCs w:val="20"/>
      </w:rPr>
      <w:t xml:space="preserve">; </w:t>
    </w:r>
    <w:r w:rsidRPr="000273E4">
      <w:rPr>
        <w:rFonts w:ascii="Times New Roman" w:hAnsi="Times New Roman" w:cs="Times New Roman"/>
        <w:sz w:val="20"/>
        <w:szCs w:val="20"/>
        <w:lang w:eastAsia="lv-LV"/>
      </w:rPr>
      <w:t>Likumprojekta „Grozījumi Latvijas Administratīvo pārkāpumu kodeksā”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4CF" w:rsidRDefault="00F844CF" w:rsidP="004E598A">
      <w:pPr>
        <w:spacing w:after="0" w:line="240" w:lineRule="auto"/>
      </w:pPr>
      <w:r>
        <w:separator/>
      </w:r>
    </w:p>
  </w:footnote>
  <w:footnote w:type="continuationSeparator" w:id="0">
    <w:p w:rsidR="00F844CF" w:rsidRDefault="00F844CF" w:rsidP="004E5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15" w:rsidRPr="00D75B2D" w:rsidRDefault="00284A88" w:rsidP="000273E4">
    <w:pPr>
      <w:pStyle w:val="Galvene"/>
      <w:jc w:val="center"/>
      <w:rPr>
        <w:rFonts w:ascii="Times New Roman" w:hAnsi="Times New Roman" w:cs="Times New Roman"/>
        <w:sz w:val="24"/>
        <w:szCs w:val="24"/>
      </w:rPr>
    </w:pPr>
    <w:r w:rsidRPr="00D75B2D">
      <w:rPr>
        <w:rFonts w:ascii="Times New Roman" w:hAnsi="Times New Roman" w:cs="Times New Roman"/>
        <w:sz w:val="24"/>
        <w:szCs w:val="24"/>
      </w:rPr>
      <w:fldChar w:fldCharType="begin"/>
    </w:r>
    <w:r w:rsidR="009918A1" w:rsidRPr="00D75B2D">
      <w:rPr>
        <w:rFonts w:ascii="Times New Roman" w:hAnsi="Times New Roman" w:cs="Times New Roman"/>
        <w:sz w:val="24"/>
        <w:szCs w:val="24"/>
      </w:rPr>
      <w:instrText xml:space="preserve"> PAGE   \* MERGEFORMAT </w:instrText>
    </w:r>
    <w:r w:rsidRPr="00D75B2D">
      <w:rPr>
        <w:rFonts w:ascii="Times New Roman" w:hAnsi="Times New Roman" w:cs="Times New Roman"/>
        <w:sz w:val="24"/>
        <w:szCs w:val="24"/>
      </w:rPr>
      <w:fldChar w:fldCharType="separate"/>
    </w:r>
    <w:r w:rsidR="00DA0279">
      <w:rPr>
        <w:rFonts w:ascii="Times New Roman" w:hAnsi="Times New Roman" w:cs="Times New Roman"/>
        <w:noProof/>
        <w:sz w:val="24"/>
        <w:szCs w:val="24"/>
      </w:rPr>
      <w:t>8</w:t>
    </w:r>
    <w:r w:rsidRPr="00D75B2D">
      <w:rPr>
        <w:rFonts w:ascii="Times New Roman" w:hAnsi="Times New Roman" w:cs="Times New Roman"/>
        <w:sz w:val="24"/>
        <w:szCs w:val="24"/>
      </w:rPr>
      <w:fldChar w:fldCharType="end"/>
    </w:r>
  </w:p>
  <w:p w:rsidR="003F5615" w:rsidRDefault="00DA0279">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918A1"/>
    <w:rsid w:val="000046D8"/>
    <w:rsid w:val="000775F3"/>
    <w:rsid w:val="000A3EBD"/>
    <w:rsid w:val="00284A88"/>
    <w:rsid w:val="002E2708"/>
    <w:rsid w:val="00312D65"/>
    <w:rsid w:val="003F69F3"/>
    <w:rsid w:val="00413A9A"/>
    <w:rsid w:val="00413F13"/>
    <w:rsid w:val="00417823"/>
    <w:rsid w:val="004A1897"/>
    <w:rsid w:val="004E598A"/>
    <w:rsid w:val="00556F18"/>
    <w:rsid w:val="0060248E"/>
    <w:rsid w:val="00616A94"/>
    <w:rsid w:val="006808F2"/>
    <w:rsid w:val="006E7FA7"/>
    <w:rsid w:val="007C455D"/>
    <w:rsid w:val="00850324"/>
    <w:rsid w:val="008E006F"/>
    <w:rsid w:val="009918A1"/>
    <w:rsid w:val="009D2727"/>
    <w:rsid w:val="009F4EBC"/>
    <w:rsid w:val="00A308FD"/>
    <w:rsid w:val="00A46079"/>
    <w:rsid w:val="00AE7337"/>
    <w:rsid w:val="00AF1087"/>
    <w:rsid w:val="00AF55B8"/>
    <w:rsid w:val="00B162BD"/>
    <w:rsid w:val="00B6563B"/>
    <w:rsid w:val="00B82560"/>
    <w:rsid w:val="00C175FA"/>
    <w:rsid w:val="00C25434"/>
    <w:rsid w:val="00CD49AE"/>
    <w:rsid w:val="00CD5477"/>
    <w:rsid w:val="00CE7675"/>
    <w:rsid w:val="00DA0279"/>
    <w:rsid w:val="00DB5789"/>
    <w:rsid w:val="00DC1576"/>
    <w:rsid w:val="00DE6343"/>
    <w:rsid w:val="00E13BE7"/>
    <w:rsid w:val="00EA0BE6"/>
    <w:rsid w:val="00EA3AE3"/>
    <w:rsid w:val="00F24D5E"/>
    <w:rsid w:val="00F844CF"/>
    <w:rsid w:val="00FC66BE"/>
    <w:rsid w:val="00FF472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918A1"/>
    <w:pPr>
      <w:spacing w:line="276" w:lineRule="auto"/>
      <w:jc w:val="left"/>
    </w:pPr>
    <w:rPr>
      <w:rFonts w:ascii="Calibri" w:eastAsia="Calibri" w:hAnsi="Calibri" w:cs="Calibri"/>
      <w:sz w:val="22"/>
    </w:rPr>
  </w:style>
  <w:style w:type="paragraph" w:styleId="Virsraksts1">
    <w:name w:val="heading 1"/>
    <w:basedOn w:val="Parastais"/>
    <w:next w:val="Parastais"/>
    <w:link w:val="Virsraksts1Rakstz"/>
    <w:uiPriority w:val="99"/>
    <w:qFormat/>
    <w:rsid w:val="009918A1"/>
    <w:pPr>
      <w:keepNext/>
      <w:spacing w:before="240" w:after="60" w:line="240" w:lineRule="auto"/>
      <w:outlineLvl w:val="0"/>
    </w:pPr>
    <w:rPr>
      <w:rFonts w:ascii="Arial" w:eastAsia="Times New Roman"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9918A1"/>
    <w:rPr>
      <w:rFonts w:ascii="Arial" w:eastAsia="Times New Roman" w:hAnsi="Arial" w:cs="Arial"/>
      <w:b/>
      <w:bCs/>
      <w:kern w:val="32"/>
      <w:sz w:val="32"/>
      <w:szCs w:val="32"/>
    </w:rPr>
  </w:style>
  <w:style w:type="paragraph" w:styleId="Galvene">
    <w:name w:val="header"/>
    <w:basedOn w:val="Parastais"/>
    <w:link w:val="GalveneRakstz"/>
    <w:uiPriority w:val="99"/>
    <w:rsid w:val="009918A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918A1"/>
    <w:rPr>
      <w:rFonts w:ascii="Calibri" w:eastAsia="Calibri" w:hAnsi="Calibri" w:cs="Calibri"/>
      <w:sz w:val="22"/>
    </w:rPr>
  </w:style>
  <w:style w:type="paragraph" w:styleId="Kjene">
    <w:name w:val="footer"/>
    <w:basedOn w:val="Parastais"/>
    <w:link w:val="KjeneRakstz"/>
    <w:uiPriority w:val="99"/>
    <w:rsid w:val="009918A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918A1"/>
    <w:rPr>
      <w:rFonts w:ascii="Calibri" w:eastAsia="Calibri" w:hAnsi="Calibri" w:cs="Calibri"/>
      <w:sz w:val="22"/>
    </w:rPr>
  </w:style>
  <w:style w:type="character" w:styleId="Hipersaite">
    <w:name w:val="Hyperlink"/>
    <w:basedOn w:val="Noklusjumarindkopasfonts"/>
    <w:uiPriority w:val="99"/>
    <w:rsid w:val="009918A1"/>
    <w:rPr>
      <w:color w:val="0000FF"/>
      <w:u w:val="single"/>
    </w:rPr>
  </w:style>
  <w:style w:type="paragraph" w:customStyle="1" w:styleId="naispant">
    <w:name w:val="naispant"/>
    <w:basedOn w:val="Parastais"/>
    <w:uiPriority w:val="99"/>
    <w:rsid w:val="009918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9918A1"/>
    <w:pPr>
      <w:spacing w:after="0"/>
      <w:jc w:val="left"/>
    </w:pPr>
    <w:rPr>
      <w:rFonts w:asciiTheme="minorHAnsi" w:hAnsiTheme="minorHAnsi"/>
      <w:sz w:val="22"/>
    </w:rPr>
  </w:style>
  <w:style w:type="character" w:customStyle="1" w:styleId="spelle">
    <w:name w:val="spelle"/>
    <w:basedOn w:val="Noklusjumarindkopasfonts"/>
    <w:rsid w:val="009918A1"/>
  </w:style>
  <w:style w:type="paragraph" w:styleId="Pamattekstsaratkpi">
    <w:name w:val="Body Text Indent"/>
    <w:basedOn w:val="Parastais"/>
    <w:link w:val="PamattekstsaratkpiRakstz"/>
    <w:rsid w:val="009918A1"/>
    <w:pPr>
      <w:spacing w:after="0" w:line="240" w:lineRule="auto"/>
      <w:ind w:firstLine="600"/>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9918A1"/>
    <w:rPr>
      <w:rFonts w:eastAsia="Times New Roman" w:cs="Times New Roman"/>
      <w:sz w:val="24"/>
      <w:szCs w:val="24"/>
      <w:lang w:eastAsia="lv-LV"/>
    </w:rPr>
  </w:style>
  <w:style w:type="paragraph" w:styleId="Balonteksts">
    <w:name w:val="Balloon Text"/>
    <w:basedOn w:val="Parastais"/>
    <w:link w:val="BalontekstsRakstz"/>
    <w:uiPriority w:val="99"/>
    <w:semiHidden/>
    <w:unhideWhenUsed/>
    <w:rsid w:val="00B8256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8256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2007</Words>
  <Characters>14653</Characters>
  <Application>Microsoft Office Word</Application>
  <DocSecurity>0</DocSecurity>
  <Lines>505</Lines>
  <Paragraphs>260</Paragraphs>
  <ScaleCrop>false</ScaleCrop>
  <Company>Tieslietu Ministrija</Company>
  <LinksUpToDate>false</LinksUpToDate>
  <CharactersWithSpaces>16400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Administratīvo pārkāpumu kodeksā” sākotnējās ietekmes novērtējuma ziņojums (anotācija)</dc:title>
  <dc:subject>Sākotnējās ietekmes novērtējuma ziņojums (anotācija)</dc:subject>
  <dc:creator>Uldis Rudziks</dc:creator>
  <dc:description>uldis.rudziks@tm.gov.lv; tālr. 67036902</dc:description>
  <cp:lastModifiedBy>ur1401</cp:lastModifiedBy>
  <cp:revision>6</cp:revision>
  <cp:lastPrinted>2011-11-24T12:40:00Z</cp:lastPrinted>
  <dcterms:created xsi:type="dcterms:W3CDTF">2011-11-16T10:06:00Z</dcterms:created>
  <dcterms:modified xsi:type="dcterms:W3CDTF">2011-11-24T14:04:00Z</dcterms:modified>
  <cp:category>Tieslietu ministrija</cp:category>
</cp:coreProperties>
</file>