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55" w:rsidRPr="00C43B8E" w:rsidRDefault="00A77B55" w:rsidP="00A77B55">
      <w:pPr>
        <w:keepNext/>
        <w:spacing w:after="0" w:line="240" w:lineRule="auto"/>
        <w:jc w:val="center"/>
        <w:outlineLvl w:val="0"/>
        <w:rPr>
          <w:rFonts w:ascii="Times New Roman" w:eastAsia="Times New Roman" w:hAnsi="Times New Roman" w:cs="Times New Roman"/>
          <w:b/>
          <w:sz w:val="24"/>
          <w:szCs w:val="24"/>
          <w:lang w:eastAsia="lv-LV"/>
        </w:rPr>
      </w:pPr>
      <w:bookmarkStart w:id="0" w:name="_GoBack"/>
      <w:bookmarkEnd w:id="0"/>
      <w:r w:rsidRPr="00DA111F">
        <w:rPr>
          <w:rFonts w:ascii="Times New Roman" w:eastAsia="Times New Roman" w:hAnsi="Times New Roman" w:cs="Times New Roman"/>
          <w:b/>
          <w:sz w:val="24"/>
          <w:szCs w:val="24"/>
          <w:lang w:eastAsia="lv-LV"/>
        </w:rPr>
        <w:t>Ministru kabineta rīkojuma projekta</w:t>
      </w:r>
    </w:p>
    <w:p w:rsidR="00A77B55" w:rsidRPr="00C43B8E" w:rsidRDefault="00A77B55" w:rsidP="00A77B55">
      <w:pPr>
        <w:spacing w:after="0" w:line="240" w:lineRule="auto"/>
        <w:jc w:val="center"/>
        <w:rPr>
          <w:rFonts w:ascii="Times New Roman" w:eastAsia="Times New Roman" w:hAnsi="Times New Roman" w:cs="Times New Roman"/>
          <w:b/>
          <w:sz w:val="24"/>
          <w:szCs w:val="24"/>
          <w:lang w:eastAsia="lv-LV"/>
        </w:rPr>
      </w:pPr>
      <w:r w:rsidRPr="00C43B8E">
        <w:rPr>
          <w:rFonts w:ascii="Times New Roman" w:eastAsia="Times New Roman" w:hAnsi="Times New Roman" w:cs="Times New Roman"/>
          <w:b/>
          <w:sz w:val="24"/>
          <w:szCs w:val="24"/>
          <w:lang w:eastAsia="lv-LV"/>
        </w:rPr>
        <w:t>„Par Starptautiskās Krimināltiesas biroja ēkas celtniecībai nepiecieša</w:t>
      </w:r>
      <w:r w:rsidR="00D00307" w:rsidRPr="00C43B8E">
        <w:rPr>
          <w:rFonts w:ascii="Times New Roman" w:eastAsia="Times New Roman" w:hAnsi="Times New Roman" w:cs="Times New Roman"/>
          <w:b/>
          <w:sz w:val="24"/>
          <w:szCs w:val="24"/>
          <w:lang w:eastAsia="lv-LV"/>
        </w:rPr>
        <w:t>mā finansējuma Latvijas daļas ap</w:t>
      </w:r>
      <w:r w:rsidRPr="00C43B8E">
        <w:rPr>
          <w:rFonts w:ascii="Times New Roman" w:eastAsia="Times New Roman" w:hAnsi="Times New Roman" w:cs="Times New Roman"/>
          <w:b/>
          <w:sz w:val="24"/>
          <w:szCs w:val="24"/>
          <w:lang w:eastAsia="lv-LV"/>
        </w:rPr>
        <w:t xml:space="preserve">maksu” </w:t>
      </w:r>
    </w:p>
    <w:p w:rsidR="00A77B55" w:rsidRPr="00DA111F" w:rsidRDefault="00A77B55" w:rsidP="00A77B55">
      <w:pPr>
        <w:spacing w:after="0" w:line="240" w:lineRule="auto"/>
        <w:jc w:val="center"/>
        <w:rPr>
          <w:rFonts w:ascii="Times New Roman" w:eastAsia="Times New Roman" w:hAnsi="Times New Roman" w:cs="Times New Roman"/>
          <w:b/>
          <w:sz w:val="24"/>
          <w:szCs w:val="24"/>
          <w:lang w:eastAsia="lv-LV"/>
        </w:rPr>
      </w:pPr>
      <w:r w:rsidRPr="00DA111F">
        <w:rPr>
          <w:rFonts w:ascii="Times New Roman" w:eastAsia="Times New Roman" w:hAnsi="Times New Roman" w:cs="Times New Roman"/>
          <w:b/>
          <w:sz w:val="24"/>
          <w:szCs w:val="24"/>
          <w:lang w:eastAsia="lv-LV"/>
        </w:rPr>
        <w:t>sākotnējās ietekmes novērtējuma ziņojums (anotācija)</w:t>
      </w:r>
    </w:p>
    <w:p w:rsidR="00A77B55" w:rsidRPr="00D108F3" w:rsidRDefault="00A77B55" w:rsidP="00A77B55">
      <w:pPr>
        <w:spacing w:after="0" w:line="240" w:lineRule="auto"/>
        <w:jc w:val="center"/>
        <w:rPr>
          <w:rFonts w:ascii="Times New Roman" w:eastAsia="Times New Roman" w:hAnsi="Times New Roman" w:cs="Times New Roman"/>
          <w:sz w:val="24"/>
          <w:szCs w:val="24"/>
          <w:lang w:eastAsia="lv-LV"/>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17"/>
        <w:gridCol w:w="2163"/>
        <w:gridCol w:w="6378"/>
      </w:tblGrid>
      <w:tr w:rsidR="00A77B55" w:rsidRPr="00D108F3" w:rsidTr="00BB6D02">
        <w:tc>
          <w:tcPr>
            <w:tcW w:w="9065" w:type="dxa"/>
            <w:gridSpan w:val="4"/>
            <w:vAlign w:val="center"/>
          </w:tcPr>
          <w:p w:rsidR="00A77B55" w:rsidRPr="00D108F3" w:rsidRDefault="00A77B55" w:rsidP="00C43B8E">
            <w:pPr>
              <w:spacing w:after="0" w:line="240" w:lineRule="auto"/>
              <w:jc w:val="center"/>
              <w:rPr>
                <w:rFonts w:ascii="Times New Roman" w:eastAsia="Times New Roman" w:hAnsi="Times New Roman" w:cs="Times New Roman"/>
                <w:sz w:val="24"/>
                <w:szCs w:val="24"/>
                <w:lang w:eastAsia="lv-LV"/>
              </w:rPr>
            </w:pPr>
            <w:r w:rsidRPr="00D108F3">
              <w:rPr>
                <w:rFonts w:ascii="Times New Roman" w:eastAsia="Times New Roman" w:hAnsi="Times New Roman" w:cs="Times New Roman"/>
                <w:b/>
                <w:sz w:val="24"/>
                <w:szCs w:val="24"/>
                <w:lang w:eastAsia="lv-LV"/>
              </w:rPr>
              <w:t>I. Tiesību akta projekta izstrādes nepieciešamība</w:t>
            </w:r>
          </w:p>
        </w:tc>
      </w:tr>
      <w:tr w:rsidR="00A77B55" w:rsidRPr="00D108F3" w:rsidTr="00D108F3">
        <w:trPr>
          <w:trHeight w:val="439"/>
        </w:trPr>
        <w:tc>
          <w:tcPr>
            <w:tcW w:w="524" w:type="dxa"/>
            <w:gridSpan w:val="2"/>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1.</w:t>
            </w:r>
          </w:p>
        </w:tc>
        <w:tc>
          <w:tcPr>
            <w:tcW w:w="2163"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Pamatojums</w:t>
            </w:r>
          </w:p>
        </w:tc>
        <w:tc>
          <w:tcPr>
            <w:tcW w:w="6378" w:type="dxa"/>
          </w:tcPr>
          <w:p w:rsidR="00A77B55" w:rsidRDefault="00A77B55" w:rsidP="00DA111F">
            <w:pPr>
              <w:tabs>
                <w:tab w:val="left" w:pos="789"/>
              </w:tabs>
              <w:spacing w:after="0" w:line="240" w:lineRule="auto"/>
              <w:ind w:firstLine="720"/>
              <w:jc w:val="both"/>
              <w:rPr>
                <w:rFonts w:ascii="Times New Roman" w:hAnsi="Times New Roman" w:cs="Times New Roman"/>
                <w:sz w:val="24"/>
                <w:szCs w:val="24"/>
              </w:rPr>
            </w:pPr>
            <w:r w:rsidRPr="00D108F3">
              <w:rPr>
                <w:rFonts w:ascii="Times New Roman" w:hAnsi="Times New Roman" w:cs="Times New Roman"/>
                <w:sz w:val="24"/>
                <w:szCs w:val="24"/>
              </w:rPr>
              <w:t xml:space="preserve">Atbilstoši </w:t>
            </w:r>
            <w:r w:rsidR="00663DF2" w:rsidRPr="00D108F3">
              <w:rPr>
                <w:rFonts w:ascii="Times New Roman" w:hAnsi="Times New Roman" w:cs="Times New Roman"/>
                <w:sz w:val="24"/>
                <w:szCs w:val="24"/>
              </w:rPr>
              <w:t xml:space="preserve">Starptautiskās Krimināltiesas </w:t>
            </w:r>
            <w:r w:rsidR="00D108F3" w:rsidRPr="00D108F3">
              <w:rPr>
                <w:rFonts w:ascii="Times New Roman" w:hAnsi="Times New Roman" w:cs="Times New Roman"/>
                <w:sz w:val="24"/>
                <w:szCs w:val="24"/>
              </w:rPr>
              <w:t>(turpmāk – SKT)</w:t>
            </w:r>
            <w:r w:rsidR="00C43B8E">
              <w:rPr>
                <w:rFonts w:ascii="Times New Roman" w:hAnsi="Times New Roman" w:cs="Times New Roman"/>
                <w:sz w:val="24"/>
                <w:szCs w:val="24"/>
              </w:rPr>
              <w:t xml:space="preserve"> </w:t>
            </w:r>
            <w:r w:rsidR="00663DF2" w:rsidRPr="00D108F3">
              <w:rPr>
                <w:rFonts w:ascii="Times New Roman" w:hAnsi="Times New Roman" w:cs="Times New Roman"/>
                <w:sz w:val="24"/>
                <w:szCs w:val="24"/>
              </w:rPr>
              <w:t xml:space="preserve">11.dalībvalstu asamblejā pieņemtajai rezolūcijai ICC-ASP/11/Res.3 par </w:t>
            </w:r>
            <w:r w:rsidR="00D108F3">
              <w:rPr>
                <w:rFonts w:ascii="Times New Roman" w:hAnsi="Times New Roman" w:cs="Times New Roman"/>
                <w:sz w:val="24"/>
                <w:szCs w:val="24"/>
              </w:rPr>
              <w:t>SKT</w:t>
            </w:r>
            <w:r w:rsidR="00D00307" w:rsidRPr="00D108F3">
              <w:rPr>
                <w:rFonts w:ascii="Times New Roman" w:hAnsi="Times New Roman" w:cs="Times New Roman"/>
                <w:sz w:val="24"/>
                <w:szCs w:val="24"/>
              </w:rPr>
              <w:t xml:space="preserve"> </w:t>
            </w:r>
            <w:r w:rsidR="00663DF2" w:rsidRPr="00D108F3">
              <w:rPr>
                <w:rFonts w:ascii="Times New Roman" w:hAnsi="Times New Roman" w:cs="Times New Roman"/>
                <w:sz w:val="24"/>
                <w:szCs w:val="24"/>
              </w:rPr>
              <w:t xml:space="preserve">pastāvīgās ēkas būvniecību, kā arī </w:t>
            </w:r>
            <w:r w:rsidR="00D00307" w:rsidRPr="00D108F3">
              <w:rPr>
                <w:rFonts w:ascii="Times New Roman" w:hAnsi="Times New Roman" w:cs="Times New Roman"/>
                <w:sz w:val="24"/>
                <w:szCs w:val="24"/>
              </w:rPr>
              <w:t>SKT</w:t>
            </w:r>
            <w:r w:rsidR="00663DF2" w:rsidRPr="00D108F3">
              <w:rPr>
                <w:rFonts w:ascii="Times New Roman" w:hAnsi="Times New Roman" w:cs="Times New Roman"/>
                <w:sz w:val="24"/>
                <w:szCs w:val="24"/>
              </w:rPr>
              <w:t xml:space="preserve"> 2013. gada 10. janvārī izsūtītajai vēstulei Latvijas Republikas vēstniecībai Nīderlandē, </w:t>
            </w:r>
            <w:r w:rsidR="00D00307" w:rsidRPr="00D108F3">
              <w:rPr>
                <w:rFonts w:ascii="Times New Roman" w:hAnsi="Times New Roman" w:cs="Times New Roman"/>
                <w:sz w:val="24"/>
                <w:szCs w:val="24"/>
              </w:rPr>
              <w:t>ar kuru Latvija tiek aicināta veikt iemaksu par SKT ēkas celtniecību</w:t>
            </w:r>
            <w:r w:rsidR="00C43B8E">
              <w:rPr>
                <w:rFonts w:ascii="Times New Roman" w:hAnsi="Times New Roman" w:cs="Times New Roman"/>
                <w:sz w:val="24"/>
                <w:szCs w:val="24"/>
              </w:rPr>
              <w:t>.</w:t>
            </w:r>
          </w:p>
          <w:p w:rsidR="00D672AA" w:rsidRPr="00D108F3" w:rsidRDefault="00D672AA" w:rsidP="00DA111F">
            <w:pPr>
              <w:tabs>
                <w:tab w:val="left" w:pos="789"/>
              </w:tabs>
              <w:spacing w:after="0" w:line="240" w:lineRule="auto"/>
              <w:ind w:firstLine="720"/>
              <w:jc w:val="both"/>
              <w:rPr>
                <w:rFonts w:ascii="Times New Roman" w:hAnsi="Times New Roman" w:cs="Times New Roman"/>
                <w:sz w:val="24"/>
                <w:szCs w:val="24"/>
              </w:rPr>
            </w:pPr>
          </w:p>
        </w:tc>
      </w:tr>
      <w:tr w:rsidR="00A77B55" w:rsidRPr="00D108F3" w:rsidTr="00D108F3">
        <w:trPr>
          <w:trHeight w:val="268"/>
        </w:trPr>
        <w:tc>
          <w:tcPr>
            <w:tcW w:w="524" w:type="dxa"/>
            <w:gridSpan w:val="2"/>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2.</w:t>
            </w:r>
          </w:p>
        </w:tc>
        <w:tc>
          <w:tcPr>
            <w:tcW w:w="2163"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Pašreizējā situācija un problēmas</w:t>
            </w:r>
          </w:p>
        </w:tc>
        <w:tc>
          <w:tcPr>
            <w:tcW w:w="6378" w:type="dxa"/>
          </w:tcPr>
          <w:p w:rsidR="004A6A2E" w:rsidRDefault="00C43B8E" w:rsidP="004A6A2E">
            <w:pPr>
              <w:tabs>
                <w:tab w:val="left" w:pos="789"/>
              </w:tabs>
              <w:spacing w:after="0" w:line="240" w:lineRule="auto"/>
              <w:ind w:firstLine="720"/>
              <w:jc w:val="both"/>
              <w:rPr>
                <w:rFonts w:ascii="Times New Roman" w:hAnsi="Times New Roman" w:cs="Times New Roman"/>
                <w:bCs/>
                <w:sz w:val="24"/>
                <w:szCs w:val="24"/>
              </w:rPr>
            </w:pPr>
            <w:r w:rsidRPr="00D108F3">
              <w:rPr>
                <w:rFonts w:ascii="Times New Roman" w:hAnsi="Times New Roman" w:cs="Times New Roman"/>
                <w:color w:val="000000"/>
                <w:sz w:val="24"/>
                <w:szCs w:val="24"/>
              </w:rPr>
              <w:t xml:space="preserve">Pašlaik SKT ir izvietota pagaidu telpās, balstoties uz Nīderlandes kā mītnes valsts kontribūciju. 2008.gada novembrī SKT Parlamentārā asambleja pieņēma rezolūciju par SKT pastāvīgās biroja ēkas celtniecību Hāgā. Jaunās telpas sastāvēs no 6 savstarpēji savienotām ēkām, iekļaujot 3 tiesas zāles un 1200 darbstacijas. </w:t>
            </w:r>
            <w:r w:rsidRPr="00D108F3">
              <w:rPr>
                <w:rFonts w:ascii="Times New Roman" w:hAnsi="Times New Roman" w:cs="Times New Roman"/>
                <w:sz w:val="24"/>
                <w:szCs w:val="24"/>
              </w:rPr>
              <w:t>Saskaņā ar 2002. gada 28. jūnija likumu „</w:t>
            </w:r>
            <w:r w:rsidRPr="00D108F3">
              <w:rPr>
                <w:rFonts w:ascii="Times New Roman" w:hAnsi="Times New Roman" w:cs="Times New Roman"/>
                <w:bCs/>
                <w:sz w:val="24"/>
                <w:szCs w:val="24"/>
              </w:rPr>
              <w:t>Par 1998. gada 17. jūlija Romas Starptautiskās krimināltiesas Statūtiem” SKT st</w:t>
            </w:r>
            <w:r>
              <w:rPr>
                <w:rFonts w:ascii="Times New Roman" w:hAnsi="Times New Roman" w:cs="Times New Roman"/>
                <w:bCs/>
                <w:sz w:val="24"/>
                <w:szCs w:val="24"/>
              </w:rPr>
              <w:t>atūtos paredzētā</w:t>
            </w:r>
            <w:r w:rsidRPr="00D108F3">
              <w:rPr>
                <w:rFonts w:ascii="Times New Roman" w:hAnsi="Times New Roman" w:cs="Times New Roman"/>
                <w:bCs/>
                <w:sz w:val="24"/>
                <w:szCs w:val="24"/>
              </w:rPr>
              <w:t xml:space="preserve"> saistību izpilde, tai skaitā, Latvijas finansiālo saistību izpilde</w:t>
            </w:r>
            <w:r w:rsidRPr="00D108F3">
              <w:rPr>
                <w:rFonts w:ascii="Times New Roman" w:hAnsi="Times New Roman" w:cs="Times New Roman"/>
                <w:sz w:val="24"/>
                <w:szCs w:val="24"/>
              </w:rPr>
              <w:t xml:space="preserve"> </w:t>
            </w:r>
            <w:r w:rsidRPr="00D108F3">
              <w:rPr>
                <w:rFonts w:ascii="Times New Roman" w:hAnsi="Times New Roman" w:cs="Times New Roman"/>
                <w:bCs/>
                <w:sz w:val="24"/>
                <w:szCs w:val="24"/>
              </w:rPr>
              <w:t>ir</w:t>
            </w:r>
            <w:r w:rsidRPr="00D108F3">
              <w:rPr>
                <w:rFonts w:ascii="Times New Roman" w:eastAsia="Times New Roman" w:hAnsi="Times New Roman" w:cs="Times New Roman"/>
                <w:sz w:val="24"/>
                <w:szCs w:val="24"/>
                <w:lang w:eastAsia="lv-LV"/>
              </w:rPr>
              <w:t xml:space="preserve"> uzskatāma par Tieslietu ministrijas kompetencei piekritīgu jautājumu.</w:t>
            </w:r>
          </w:p>
          <w:p w:rsidR="004A6A2E" w:rsidRPr="004A6A2E" w:rsidRDefault="004A6A2E" w:rsidP="004A6A2E">
            <w:pPr>
              <w:tabs>
                <w:tab w:val="left" w:pos="789"/>
              </w:tabs>
              <w:spacing w:after="0" w:line="240" w:lineRule="auto"/>
              <w:ind w:firstLine="720"/>
              <w:jc w:val="both"/>
              <w:rPr>
                <w:rFonts w:ascii="Times New Roman" w:hAnsi="Times New Roman" w:cs="Times New Roman"/>
                <w:bCs/>
                <w:sz w:val="24"/>
                <w:szCs w:val="24"/>
              </w:rPr>
            </w:pPr>
            <w:r w:rsidRPr="00DF70E6">
              <w:rPr>
                <w:rFonts w:ascii="Times New Roman" w:hAnsi="Times New Roman" w:cs="Times New Roman"/>
                <w:sz w:val="24"/>
                <w:szCs w:val="24"/>
              </w:rPr>
              <w:t>Lēmuma juridiskais pamatojums ir 2012.gada 21.novembra SKT 11.dalībvalstu asamblejā pieņemtā rezolūcija ICC-ASP/11/Res.3 par SKT pastāvīgās ēkas būvniecību.</w:t>
            </w:r>
            <w:r w:rsidRPr="00DF70E6">
              <w:rPr>
                <w:rFonts w:ascii="Times New Roman" w:hAnsi="Times New Roman" w:cs="Times New Roman"/>
                <w:bCs/>
                <w:sz w:val="24"/>
                <w:szCs w:val="24"/>
              </w:rPr>
              <w:t xml:space="preserve"> J</w:t>
            </w:r>
            <w:r w:rsidRPr="00DF70E6">
              <w:rPr>
                <w:rFonts w:ascii="Times New Roman" w:hAnsi="Times New Roman" w:cs="Times New Roman"/>
                <w:sz w:val="24"/>
                <w:szCs w:val="24"/>
              </w:rPr>
              <w:t xml:space="preserve">autājums par SKT pastāvīgās ēkas celtniecību mērķtiecīgi virzīts kopš 2005.gada un jau sākotnēji ir guvis vispārēju Dalībvalstu Asamblejas atbalstu. Tomēr dalībvalstīm apspriešanai tika izvirzīts jautājums par iemaksu veidu un mehānismu iemaksu veikšanai. Rezultātā tika paredzēts maksimāli elastīgs mehānisms, kas ļauj valstīm izvēlēties brīdi, kad iemaksas tiek veiktas. </w:t>
            </w:r>
          </w:p>
          <w:p w:rsidR="00891192" w:rsidRDefault="00C43B8E" w:rsidP="00891192">
            <w:pPr>
              <w:tabs>
                <w:tab w:val="left" w:pos="789"/>
              </w:tabs>
              <w:spacing w:after="0" w:line="240" w:lineRule="auto"/>
              <w:ind w:firstLine="720"/>
              <w:jc w:val="both"/>
              <w:rPr>
                <w:rFonts w:ascii="Times New Roman" w:hAnsi="Times New Roman" w:cs="Times New Roman"/>
                <w:color w:val="000000"/>
                <w:sz w:val="24"/>
                <w:szCs w:val="24"/>
              </w:rPr>
            </w:pPr>
            <w:r w:rsidRPr="00D108F3">
              <w:rPr>
                <w:rFonts w:ascii="Times New Roman" w:hAnsi="Times New Roman" w:cs="Times New Roman"/>
                <w:color w:val="000000"/>
                <w:sz w:val="24"/>
                <w:szCs w:val="24"/>
              </w:rPr>
              <w:t>Nīderlandes Ārlietu ministrija ir nolēmusi ēkas celtniecībai piešķirt aizdevumu 200 miljonu EUR apmērā, un šobrīd dalībvalstīm kopumā pastāv 5 finansējuma daļas apmaksas iespējas - vienreizējs maksājums līdz 2013.gada jūnijam, vienreizējs maksājums līdz 2013.gada decembrim, vienreizējs maksājums līdz 2014.gada novembrim, maksājums 3 daļās, kā arī maksājums kopā ar kredīta atmaksu sākot no 2016.gada.</w:t>
            </w:r>
            <w:r w:rsidR="00D672AA">
              <w:rPr>
                <w:rFonts w:ascii="Times New Roman" w:hAnsi="Times New Roman" w:cs="Times New Roman"/>
                <w:color w:val="000000"/>
                <w:sz w:val="24"/>
                <w:szCs w:val="24"/>
              </w:rPr>
              <w:t xml:space="preserve"> Vienreizējam maksājumam vienā vai vairākos maksājumos, jābūt veiktam ne vēlāk kā līdz 2015.gada 15.jūnijam. Par Latvijas lēmumu veikt vienreizēju maksājumu nepieciešams informēt SKT Reģistra biroju līdz 2014.gada 31.decembrim.</w:t>
            </w:r>
          </w:p>
          <w:p w:rsidR="00D672AA" w:rsidRDefault="00C43B8E" w:rsidP="00D672AA">
            <w:pPr>
              <w:tabs>
                <w:tab w:val="left" w:pos="789"/>
              </w:tabs>
              <w:spacing w:after="0" w:line="240" w:lineRule="auto"/>
              <w:ind w:firstLine="720"/>
              <w:jc w:val="both"/>
              <w:rPr>
                <w:rFonts w:ascii="Times New Roman" w:hAnsi="Times New Roman" w:cs="Times New Roman"/>
                <w:color w:val="000000"/>
                <w:sz w:val="24"/>
                <w:szCs w:val="24"/>
              </w:rPr>
            </w:pPr>
            <w:r w:rsidRPr="00D108F3">
              <w:rPr>
                <w:rFonts w:ascii="Times New Roman" w:hAnsi="Times New Roman" w:cs="Times New Roman"/>
                <w:color w:val="000000"/>
                <w:sz w:val="24"/>
                <w:szCs w:val="24"/>
              </w:rPr>
              <w:t xml:space="preserve"> </w:t>
            </w:r>
            <w:r w:rsidR="00891192" w:rsidRPr="00A26538">
              <w:rPr>
                <w:rFonts w:ascii="Times New Roman" w:hAnsi="Times New Roman" w:cs="Times New Roman"/>
                <w:color w:val="000000"/>
                <w:sz w:val="24"/>
                <w:szCs w:val="24"/>
              </w:rPr>
              <w:t xml:space="preserve">Vēstule </w:t>
            </w:r>
            <w:r w:rsidR="00D672AA" w:rsidRPr="00A26538">
              <w:rPr>
                <w:rFonts w:ascii="Times New Roman" w:hAnsi="Times New Roman" w:cs="Times New Roman"/>
                <w:color w:val="000000"/>
                <w:sz w:val="24"/>
                <w:szCs w:val="24"/>
              </w:rPr>
              <w:t xml:space="preserve">par Latvijas iemaksas </w:t>
            </w:r>
            <w:r w:rsidR="00891192" w:rsidRPr="00A26538">
              <w:rPr>
                <w:rFonts w:ascii="Times New Roman" w:hAnsi="Times New Roman" w:cs="Times New Roman"/>
                <w:color w:val="000000"/>
                <w:sz w:val="24"/>
                <w:szCs w:val="24"/>
              </w:rPr>
              <w:t xml:space="preserve">apmēru </w:t>
            </w:r>
            <w:r w:rsidR="00D672AA" w:rsidRPr="00A26538">
              <w:rPr>
                <w:rFonts w:ascii="Times New Roman" w:hAnsi="Times New Roman" w:cs="Times New Roman"/>
                <w:color w:val="000000"/>
                <w:sz w:val="24"/>
                <w:szCs w:val="24"/>
              </w:rPr>
              <w:t xml:space="preserve">tika saņemta š.g. 10.janvārī, līdz ar to </w:t>
            </w:r>
            <w:r w:rsidR="00891192" w:rsidRPr="00A26538">
              <w:rPr>
                <w:rFonts w:ascii="Times New Roman" w:hAnsi="Times New Roman" w:cs="Times New Roman"/>
                <w:color w:val="000000"/>
                <w:sz w:val="24"/>
                <w:szCs w:val="24"/>
              </w:rPr>
              <w:t xml:space="preserve">nepieciešamo </w:t>
            </w:r>
            <w:r w:rsidR="00D672AA" w:rsidRPr="00A26538">
              <w:rPr>
                <w:rFonts w:ascii="Times New Roman" w:hAnsi="Times New Roman" w:cs="Times New Roman"/>
                <w:color w:val="000000"/>
                <w:sz w:val="24"/>
                <w:szCs w:val="24"/>
              </w:rPr>
              <w:t>finansējuma pieprasījumu nebija iespējams iekļaut Tieslietu ministrijas 2013.gada budžeta pieprasījumā.</w:t>
            </w:r>
            <w:r w:rsidR="00D672AA">
              <w:rPr>
                <w:rFonts w:ascii="Times New Roman" w:hAnsi="Times New Roman" w:cs="Times New Roman"/>
                <w:color w:val="000000"/>
                <w:sz w:val="24"/>
                <w:szCs w:val="24"/>
              </w:rPr>
              <w:t xml:space="preserve"> Pēc rūpīga izvērtējuma, šobrīd </w:t>
            </w:r>
            <w:r w:rsidRPr="00D108F3">
              <w:rPr>
                <w:rFonts w:ascii="Times New Roman" w:hAnsi="Times New Roman" w:cs="Times New Roman"/>
                <w:b/>
                <w:color w:val="000000"/>
                <w:sz w:val="24"/>
                <w:szCs w:val="24"/>
              </w:rPr>
              <w:t xml:space="preserve">Latvijai visizdevīgākais variants paredz vienreizēju maksājumu </w:t>
            </w:r>
            <w:r w:rsidR="00D672AA">
              <w:rPr>
                <w:rFonts w:ascii="Times New Roman" w:hAnsi="Times New Roman" w:cs="Times New Roman"/>
                <w:b/>
                <w:color w:val="000000"/>
                <w:sz w:val="24"/>
                <w:szCs w:val="24"/>
              </w:rPr>
              <w:t>29</w:t>
            </w:r>
            <w:r w:rsidRPr="00D108F3">
              <w:rPr>
                <w:rFonts w:ascii="Times New Roman" w:hAnsi="Times New Roman" w:cs="Times New Roman"/>
                <w:b/>
                <w:color w:val="000000"/>
                <w:sz w:val="24"/>
                <w:szCs w:val="24"/>
              </w:rPr>
              <w:t> </w:t>
            </w:r>
            <w:r w:rsidR="00D672AA">
              <w:rPr>
                <w:rFonts w:ascii="Times New Roman" w:hAnsi="Times New Roman" w:cs="Times New Roman"/>
                <w:b/>
                <w:color w:val="000000"/>
                <w:sz w:val="24"/>
                <w:szCs w:val="24"/>
              </w:rPr>
              <w:t>155</w:t>
            </w:r>
            <w:r w:rsidRPr="00D108F3">
              <w:rPr>
                <w:rFonts w:ascii="Times New Roman" w:hAnsi="Times New Roman" w:cs="Times New Roman"/>
                <w:b/>
                <w:color w:val="000000"/>
                <w:sz w:val="24"/>
                <w:szCs w:val="24"/>
              </w:rPr>
              <w:t xml:space="preserve"> LVL (41 </w:t>
            </w:r>
            <w:r w:rsidR="00D672AA">
              <w:rPr>
                <w:rFonts w:ascii="Times New Roman" w:hAnsi="Times New Roman" w:cs="Times New Roman"/>
                <w:b/>
                <w:color w:val="000000"/>
                <w:sz w:val="24"/>
                <w:szCs w:val="24"/>
              </w:rPr>
              <w:t>483</w:t>
            </w:r>
            <w:r w:rsidRPr="00D108F3">
              <w:rPr>
                <w:rFonts w:ascii="Times New Roman" w:hAnsi="Times New Roman" w:cs="Times New Roman"/>
                <w:b/>
                <w:color w:val="000000"/>
                <w:sz w:val="24"/>
                <w:szCs w:val="24"/>
              </w:rPr>
              <w:t xml:space="preserve"> EUR) apmērā līdz 2013.gada </w:t>
            </w:r>
            <w:r w:rsidR="00D672AA">
              <w:rPr>
                <w:rFonts w:ascii="Times New Roman" w:hAnsi="Times New Roman" w:cs="Times New Roman"/>
                <w:b/>
                <w:color w:val="000000"/>
                <w:sz w:val="24"/>
                <w:szCs w:val="24"/>
              </w:rPr>
              <w:t>decembrim</w:t>
            </w:r>
            <w:r w:rsidRPr="00D108F3">
              <w:rPr>
                <w:rFonts w:ascii="Times New Roman" w:hAnsi="Times New Roman" w:cs="Times New Roman"/>
                <w:b/>
                <w:color w:val="000000"/>
                <w:sz w:val="24"/>
                <w:szCs w:val="24"/>
              </w:rPr>
              <w:t>.</w:t>
            </w:r>
            <w:r w:rsidRPr="00D108F3">
              <w:rPr>
                <w:rFonts w:ascii="Times New Roman" w:hAnsi="Times New Roman" w:cs="Times New Roman"/>
                <w:color w:val="000000"/>
                <w:sz w:val="24"/>
                <w:szCs w:val="24"/>
              </w:rPr>
              <w:t xml:space="preserve"> </w:t>
            </w:r>
          </w:p>
          <w:p w:rsidR="00C43B8E" w:rsidRPr="00D672AA" w:rsidRDefault="00C43B8E" w:rsidP="00D672AA">
            <w:pPr>
              <w:tabs>
                <w:tab w:val="left" w:pos="789"/>
              </w:tabs>
              <w:spacing w:after="0" w:line="240" w:lineRule="auto"/>
              <w:jc w:val="both"/>
              <w:rPr>
                <w:rFonts w:ascii="Times New Roman" w:hAnsi="Times New Roman" w:cs="Times New Roman"/>
                <w:color w:val="000000"/>
                <w:sz w:val="24"/>
                <w:szCs w:val="24"/>
              </w:rPr>
            </w:pPr>
            <w:r w:rsidRPr="00D108F3">
              <w:rPr>
                <w:rFonts w:ascii="Times New Roman" w:hAnsi="Times New Roman" w:cs="Times New Roman"/>
                <w:color w:val="000000"/>
                <w:sz w:val="24"/>
                <w:szCs w:val="24"/>
              </w:rPr>
              <w:t xml:space="preserve">Šajā gadījumā Latvija izvairītos gan no kredītprocentu likmes </w:t>
            </w:r>
            <w:r w:rsidRPr="00D108F3">
              <w:rPr>
                <w:rFonts w:ascii="Times New Roman" w:hAnsi="Times New Roman" w:cs="Times New Roman"/>
                <w:color w:val="000000"/>
                <w:sz w:val="24"/>
                <w:szCs w:val="24"/>
              </w:rPr>
              <w:lastRenderedPageBreak/>
              <w:t>atmaksas par 2013. - 2015. gada periodu, kas kopā indikatīvi varētu sastādīt 1890 EUR (1328 LVL), gan no kredītprocentu likmes un kredīta atmaksas par 2016. - 2045. gada periodu. Pēc 2013. gada jūnija dalībvalstu atmaksām tiks piemēroti kredītprocenti 2.5% apmērā, kas attiecīgi palielinātu Latvijas daļas apmaksas apmēru līdz pat 73 857 EUR (51 906 LVL), ja tiktu izvēlēta kredīta atmaksa, sākot ar 2016. gadu.</w:t>
            </w:r>
            <w:r w:rsidRPr="00D108F3">
              <w:rPr>
                <w:rFonts w:ascii="Times New Roman" w:hAnsi="Times New Roman" w:cs="Times New Roman"/>
                <w:sz w:val="24"/>
                <w:szCs w:val="24"/>
              </w:rPr>
              <w:t xml:space="preserve"> </w:t>
            </w:r>
            <w:r w:rsidR="00D672AA">
              <w:rPr>
                <w:rFonts w:ascii="Times New Roman" w:hAnsi="Times New Roman" w:cs="Times New Roman"/>
                <w:sz w:val="24"/>
                <w:szCs w:val="24"/>
              </w:rPr>
              <w:t>Iepriekš minētā maksājuma gadījumā, papildus pamatsummai 28 860 LVL tiks pieskaitīti kredīta procenti par 2013 gadu 295 LVL apmērā, kopā 29 155 LVL.</w:t>
            </w:r>
          </w:p>
          <w:p w:rsidR="0039719E" w:rsidRPr="00D108F3" w:rsidRDefault="0039719E" w:rsidP="00C43B8E">
            <w:pPr>
              <w:tabs>
                <w:tab w:val="left" w:pos="789"/>
              </w:tabs>
              <w:spacing w:after="0" w:line="240" w:lineRule="auto"/>
              <w:ind w:firstLine="720"/>
              <w:jc w:val="both"/>
              <w:rPr>
                <w:rFonts w:ascii="Times New Roman" w:hAnsi="Times New Roman" w:cs="Times New Roman"/>
                <w:sz w:val="24"/>
                <w:szCs w:val="24"/>
              </w:rPr>
            </w:pPr>
          </w:p>
          <w:p w:rsidR="00A77B55" w:rsidRDefault="00C43B8E" w:rsidP="003B5B3B">
            <w:pPr>
              <w:tabs>
                <w:tab w:val="left" w:pos="850"/>
              </w:tabs>
              <w:spacing w:after="0" w:line="240" w:lineRule="auto"/>
              <w:jc w:val="both"/>
              <w:rPr>
                <w:rFonts w:ascii="Times New Roman" w:eastAsia="Times New Roman" w:hAnsi="Times New Roman" w:cs="Times New Roman"/>
                <w:sz w:val="24"/>
                <w:szCs w:val="24"/>
                <w:lang w:eastAsia="lv-LV"/>
              </w:rPr>
            </w:pPr>
            <w:r w:rsidRPr="00D108F3">
              <w:rPr>
                <w:rFonts w:ascii="Times New Roman" w:hAnsi="Times New Roman" w:cs="Times New Roman"/>
                <w:sz w:val="24"/>
                <w:szCs w:val="24"/>
              </w:rPr>
              <w:t>Starptautiskās Krimināltiesas biroja ēkas celtniecības līdzfinansēšanai vienreizējā maksājuma izpildei likuma „Par valsts budžetu 2013. gadam” ietvaros Tieslietu ministrijai dotācija no vispārējiem ieņēmumiem nav piešķirta.</w:t>
            </w:r>
            <w:r w:rsidR="0039719E">
              <w:rPr>
                <w:rFonts w:ascii="Times New Roman" w:eastAsia="Times New Roman" w:hAnsi="Times New Roman" w:cs="Times New Roman"/>
                <w:sz w:val="24"/>
                <w:szCs w:val="24"/>
                <w:lang w:eastAsia="lv-LV"/>
              </w:rPr>
              <w:t xml:space="preserve"> </w:t>
            </w:r>
            <w:r w:rsidR="0039719E" w:rsidRPr="00DF70E6">
              <w:rPr>
                <w:rFonts w:ascii="Times New Roman" w:hAnsi="Times New Roman" w:cs="Times New Roman"/>
                <w:sz w:val="24"/>
                <w:szCs w:val="24"/>
              </w:rPr>
              <w:t>Mehānisms iemaksu veikšanai ir atspoguļots 2012.gada novembrī apstiprinātajā rezolūcijā, tādējādi netika plānoti līdzekļi 2012.gada Tieslietu ministrijas budžetā.</w:t>
            </w:r>
            <w:r w:rsidR="0039719E" w:rsidRPr="00DF70E6">
              <w:rPr>
                <w:rFonts w:ascii="Times New Roman" w:eastAsia="Times New Roman" w:hAnsi="Times New Roman" w:cs="Times New Roman"/>
                <w:sz w:val="24"/>
                <w:szCs w:val="24"/>
                <w:lang w:eastAsia="lv-LV"/>
              </w:rPr>
              <w:t xml:space="preserve"> </w:t>
            </w:r>
            <w:r w:rsidR="004A6A2E" w:rsidRPr="00DF70E6">
              <w:rPr>
                <w:rFonts w:ascii="Times New Roman" w:hAnsi="Times New Roman" w:cs="Times New Roman"/>
                <w:sz w:val="24"/>
                <w:szCs w:val="24"/>
              </w:rPr>
              <w:t>Atbilstoši minētajam mehānismam un iespējām veikt iemaksas par ēkas celtniecību</w:t>
            </w:r>
            <w:r w:rsidR="004A6A2E" w:rsidRPr="00DF70E6">
              <w:rPr>
                <w:rFonts w:ascii="Times New Roman" w:eastAsia="Times New Roman" w:hAnsi="Times New Roman" w:cs="Times New Roman"/>
                <w:sz w:val="24"/>
                <w:szCs w:val="24"/>
                <w:lang w:eastAsia="lv-LV"/>
              </w:rPr>
              <w:t>,</w:t>
            </w:r>
            <w:r w:rsidR="004A6A2E">
              <w:rPr>
                <w:rFonts w:ascii="Times New Roman" w:eastAsia="Times New Roman" w:hAnsi="Times New Roman" w:cs="Times New Roman"/>
                <w:sz w:val="24"/>
                <w:szCs w:val="24"/>
                <w:lang w:eastAsia="lv-LV"/>
              </w:rPr>
              <w:t xml:space="preserve"> </w:t>
            </w:r>
            <w:r w:rsidR="00A77B55" w:rsidRPr="00D108F3">
              <w:rPr>
                <w:rFonts w:ascii="Times New Roman" w:eastAsia="Times New Roman" w:hAnsi="Times New Roman" w:cs="Times New Roman"/>
                <w:sz w:val="24"/>
                <w:szCs w:val="24"/>
                <w:lang w:eastAsia="lv-LV"/>
              </w:rPr>
              <w:t xml:space="preserve">Tieslietu ministrija ir izvēlējusies </w:t>
            </w:r>
            <w:r w:rsidR="000C087F" w:rsidRPr="00D108F3">
              <w:rPr>
                <w:rFonts w:ascii="Times New Roman" w:eastAsia="Times New Roman" w:hAnsi="Times New Roman" w:cs="Times New Roman"/>
                <w:sz w:val="24"/>
                <w:szCs w:val="24"/>
                <w:lang w:eastAsia="lv-LV"/>
              </w:rPr>
              <w:t xml:space="preserve">kā visizdevīgāko </w:t>
            </w:r>
            <w:r w:rsidR="009C58A6" w:rsidRPr="00D108F3">
              <w:rPr>
                <w:rFonts w:ascii="Times New Roman" w:eastAsia="Times New Roman" w:hAnsi="Times New Roman" w:cs="Times New Roman"/>
                <w:sz w:val="24"/>
                <w:szCs w:val="24"/>
                <w:lang w:eastAsia="lv-LV"/>
              </w:rPr>
              <w:t>finansējuma modeli vienreizējo maksājumu</w:t>
            </w:r>
            <w:r w:rsidR="000C087F" w:rsidRPr="00D108F3">
              <w:rPr>
                <w:rFonts w:ascii="Times New Roman" w:eastAsia="Times New Roman" w:hAnsi="Times New Roman" w:cs="Times New Roman"/>
                <w:sz w:val="24"/>
                <w:szCs w:val="24"/>
                <w:lang w:eastAsia="lv-LV"/>
              </w:rPr>
              <w:t xml:space="preserve">, kas paredz vienreizēju iemaksu </w:t>
            </w:r>
            <w:r w:rsidR="009C58A6" w:rsidRPr="00D108F3">
              <w:rPr>
                <w:rFonts w:ascii="Times New Roman" w:eastAsia="Times New Roman" w:hAnsi="Times New Roman" w:cs="Times New Roman"/>
                <w:sz w:val="24"/>
                <w:szCs w:val="24"/>
                <w:lang w:eastAsia="lv-LV"/>
              </w:rPr>
              <w:t>41 </w:t>
            </w:r>
            <w:r w:rsidR="00D672AA">
              <w:rPr>
                <w:rFonts w:ascii="Times New Roman" w:eastAsia="Times New Roman" w:hAnsi="Times New Roman" w:cs="Times New Roman"/>
                <w:sz w:val="24"/>
                <w:szCs w:val="24"/>
                <w:lang w:eastAsia="lv-LV"/>
              </w:rPr>
              <w:t>483</w:t>
            </w:r>
            <w:r w:rsidR="009C58A6" w:rsidRPr="00D108F3">
              <w:rPr>
                <w:rFonts w:ascii="Times New Roman" w:eastAsia="Times New Roman" w:hAnsi="Times New Roman" w:cs="Times New Roman"/>
                <w:sz w:val="24"/>
                <w:szCs w:val="24"/>
                <w:lang w:eastAsia="lv-LV"/>
              </w:rPr>
              <w:t xml:space="preserve"> EUR (</w:t>
            </w:r>
            <w:r w:rsidR="00D672AA">
              <w:rPr>
                <w:rFonts w:ascii="Times New Roman" w:eastAsia="Times New Roman" w:hAnsi="Times New Roman" w:cs="Times New Roman"/>
                <w:sz w:val="24"/>
                <w:szCs w:val="24"/>
                <w:lang w:eastAsia="lv-LV"/>
              </w:rPr>
              <w:t>29 155</w:t>
            </w:r>
            <w:r w:rsidR="009C58A6" w:rsidRPr="00D108F3">
              <w:rPr>
                <w:rFonts w:ascii="Times New Roman" w:eastAsia="Times New Roman" w:hAnsi="Times New Roman" w:cs="Times New Roman"/>
                <w:sz w:val="24"/>
                <w:szCs w:val="24"/>
                <w:lang w:eastAsia="lv-LV"/>
              </w:rPr>
              <w:t xml:space="preserve"> LVL) apmērā </w:t>
            </w:r>
            <w:r w:rsidR="000C087F" w:rsidRPr="00D108F3">
              <w:rPr>
                <w:rFonts w:ascii="Times New Roman" w:eastAsia="Times New Roman" w:hAnsi="Times New Roman" w:cs="Times New Roman"/>
                <w:sz w:val="24"/>
                <w:szCs w:val="24"/>
                <w:lang w:eastAsia="lv-LV"/>
              </w:rPr>
              <w:t>SKT biroja ēkas celtniecībai.</w:t>
            </w:r>
          </w:p>
          <w:p w:rsidR="00D108F3" w:rsidRPr="00D108F3" w:rsidRDefault="00D108F3" w:rsidP="003B5B3B">
            <w:pPr>
              <w:tabs>
                <w:tab w:val="left" w:pos="850"/>
              </w:tabs>
              <w:spacing w:after="0" w:line="240" w:lineRule="auto"/>
              <w:jc w:val="both"/>
              <w:rPr>
                <w:rFonts w:ascii="Times New Roman" w:eastAsia="Times New Roman" w:hAnsi="Times New Roman" w:cs="Times New Roman"/>
                <w:sz w:val="24"/>
                <w:szCs w:val="24"/>
                <w:lang w:eastAsia="lv-LV"/>
              </w:rPr>
            </w:pPr>
          </w:p>
        </w:tc>
      </w:tr>
      <w:tr w:rsidR="00A77B55" w:rsidRPr="00D108F3" w:rsidTr="00D108F3">
        <w:trPr>
          <w:trHeight w:val="410"/>
        </w:trPr>
        <w:tc>
          <w:tcPr>
            <w:tcW w:w="524" w:type="dxa"/>
            <w:gridSpan w:val="2"/>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lastRenderedPageBreak/>
              <w:t> 3.</w:t>
            </w:r>
          </w:p>
        </w:tc>
        <w:tc>
          <w:tcPr>
            <w:tcW w:w="2163"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Saistītie politikas ietekmes novērtējumi un pētījumi</w:t>
            </w:r>
          </w:p>
        </w:tc>
        <w:tc>
          <w:tcPr>
            <w:tcW w:w="6378" w:type="dxa"/>
          </w:tcPr>
          <w:p w:rsidR="00A77B55" w:rsidRPr="00D108F3" w:rsidRDefault="00A77B55" w:rsidP="00C43B8E">
            <w:pPr>
              <w:spacing w:after="0" w:line="240" w:lineRule="auto"/>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Projekts šo jomu neskar.</w:t>
            </w:r>
          </w:p>
        </w:tc>
      </w:tr>
      <w:tr w:rsidR="00A77B55" w:rsidRPr="00D108F3" w:rsidTr="00D108F3">
        <w:trPr>
          <w:trHeight w:val="462"/>
        </w:trPr>
        <w:tc>
          <w:tcPr>
            <w:tcW w:w="524" w:type="dxa"/>
            <w:gridSpan w:val="2"/>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4.</w:t>
            </w:r>
          </w:p>
        </w:tc>
        <w:tc>
          <w:tcPr>
            <w:tcW w:w="2163"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Tiesiskā regulējuma mērķis un būtība</w:t>
            </w:r>
          </w:p>
        </w:tc>
        <w:tc>
          <w:tcPr>
            <w:tcW w:w="6378" w:type="dxa"/>
          </w:tcPr>
          <w:p w:rsidR="00C43B8E" w:rsidRDefault="00C43B8E" w:rsidP="000C087F">
            <w:pPr>
              <w:spacing w:after="0" w:line="240" w:lineRule="auto"/>
              <w:jc w:val="both"/>
              <w:rPr>
                <w:rFonts w:ascii="Times New Roman" w:eastAsia="Times New Roman" w:hAnsi="Times New Roman" w:cs="Times New Roman"/>
                <w:sz w:val="24"/>
                <w:szCs w:val="24"/>
                <w:lang w:eastAsia="lv-LV"/>
              </w:rPr>
            </w:pPr>
            <w:r w:rsidRPr="00D108F3">
              <w:rPr>
                <w:rFonts w:ascii="Times New Roman" w:hAnsi="Times New Roman" w:cs="Times New Roman"/>
                <w:sz w:val="24"/>
                <w:szCs w:val="24"/>
              </w:rPr>
              <w:t>Tieslietu ministrija ir veikusi nepieciešamās darbības, lai detalizēti noskaidrotu SKT biroja ēkas celtniecībai nepieciešamā finansējuma Latvijas daļas apmaksas iespējamos variantus un nosacījumus.</w:t>
            </w:r>
          </w:p>
          <w:p w:rsidR="00C43B8E" w:rsidRPr="00DA111F" w:rsidRDefault="00C43B8E" w:rsidP="00DA111F">
            <w:pPr>
              <w:spacing w:after="0" w:line="240" w:lineRule="auto"/>
              <w:jc w:val="both"/>
              <w:rPr>
                <w:rFonts w:ascii="Times New Roman" w:hAnsi="Times New Roman" w:cs="Times New Roman"/>
                <w:sz w:val="24"/>
                <w:szCs w:val="24"/>
              </w:rPr>
            </w:pPr>
            <w:r w:rsidRPr="00C43B8E">
              <w:rPr>
                <w:rFonts w:ascii="Times New Roman" w:eastAsia="Times New Roman" w:hAnsi="Times New Roman" w:cs="Times New Roman"/>
                <w:sz w:val="24"/>
                <w:szCs w:val="24"/>
                <w:lang w:eastAsia="lv-LV"/>
              </w:rPr>
              <w:t xml:space="preserve">Rīkojuma projekts paredz </w:t>
            </w:r>
            <w:r w:rsidRPr="00DA111F">
              <w:rPr>
                <w:rFonts w:ascii="Times New Roman" w:eastAsia="Times New Roman" w:hAnsi="Times New Roman" w:cs="Times New Roman"/>
                <w:sz w:val="24"/>
                <w:szCs w:val="24"/>
              </w:rPr>
              <w:t>Finanšu ministrijai</w:t>
            </w:r>
            <w:r w:rsidRPr="00DA111F">
              <w:rPr>
                <w:rFonts w:ascii="Times New Roman" w:hAnsi="Times New Roman" w:cs="Times New Roman"/>
                <w:sz w:val="24"/>
                <w:szCs w:val="24"/>
              </w:rPr>
              <w:t xml:space="preserve"> </w:t>
            </w:r>
            <w:r w:rsidRPr="00DA111F">
              <w:rPr>
                <w:rFonts w:ascii="Times New Roman" w:eastAsia="Times New Roman" w:hAnsi="Times New Roman" w:cs="Times New Roman"/>
                <w:sz w:val="24"/>
                <w:szCs w:val="24"/>
              </w:rPr>
              <w:t xml:space="preserve">no valsts budžeta programmas 02.00.00 „Līdzekļi neparedzētiem gadījumiem” piešķirt Tieslietu ministrijai (Ministrijas vadībai un administrācijai) </w:t>
            </w:r>
            <w:r w:rsidR="00D672AA">
              <w:rPr>
                <w:rFonts w:ascii="Times New Roman" w:eastAsia="Times New Roman" w:hAnsi="Times New Roman" w:cs="Times New Roman"/>
                <w:sz w:val="24"/>
                <w:szCs w:val="24"/>
              </w:rPr>
              <w:t>29</w:t>
            </w:r>
            <w:r w:rsidRPr="00DA111F">
              <w:rPr>
                <w:rFonts w:ascii="Times New Roman" w:eastAsia="Times New Roman" w:hAnsi="Times New Roman" w:cs="Times New Roman"/>
                <w:sz w:val="24"/>
                <w:szCs w:val="24"/>
              </w:rPr>
              <w:t xml:space="preserve"> </w:t>
            </w:r>
            <w:r w:rsidR="00D672AA">
              <w:rPr>
                <w:rFonts w:ascii="Times New Roman" w:eastAsia="Times New Roman" w:hAnsi="Times New Roman" w:cs="Times New Roman"/>
                <w:sz w:val="24"/>
                <w:szCs w:val="24"/>
              </w:rPr>
              <w:t>155</w:t>
            </w:r>
            <w:r w:rsidRPr="00DA111F">
              <w:rPr>
                <w:rFonts w:ascii="Times New Roman" w:eastAsia="Times New Roman" w:hAnsi="Times New Roman" w:cs="Times New Roman"/>
                <w:sz w:val="24"/>
                <w:szCs w:val="24"/>
              </w:rPr>
              <w:t xml:space="preserve"> </w:t>
            </w:r>
            <w:r w:rsidR="00524A40">
              <w:rPr>
                <w:rFonts w:ascii="Times New Roman" w:eastAsia="Times New Roman" w:hAnsi="Times New Roman" w:cs="Times New Roman"/>
                <w:sz w:val="24"/>
                <w:szCs w:val="24"/>
              </w:rPr>
              <w:t>LVL</w:t>
            </w:r>
            <w:r w:rsidR="00524A40" w:rsidRPr="00DA111F">
              <w:rPr>
                <w:rFonts w:ascii="Times New Roman" w:eastAsia="Times New Roman" w:hAnsi="Times New Roman" w:cs="Times New Roman"/>
                <w:sz w:val="24"/>
                <w:szCs w:val="24"/>
              </w:rPr>
              <w:t xml:space="preserve"> </w:t>
            </w:r>
            <w:r w:rsidRPr="00DA111F">
              <w:rPr>
                <w:rFonts w:ascii="Times New Roman" w:eastAsia="Times New Roman" w:hAnsi="Times New Roman" w:cs="Times New Roman"/>
                <w:sz w:val="24"/>
                <w:szCs w:val="24"/>
              </w:rPr>
              <w:t xml:space="preserve">(41 </w:t>
            </w:r>
            <w:r w:rsidR="00D672AA">
              <w:rPr>
                <w:rFonts w:ascii="Times New Roman" w:eastAsia="Times New Roman" w:hAnsi="Times New Roman" w:cs="Times New Roman"/>
                <w:sz w:val="24"/>
                <w:szCs w:val="24"/>
              </w:rPr>
              <w:t>483</w:t>
            </w:r>
            <w:r w:rsidRPr="00DA111F">
              <w:rPr>
                <w:rFonts w:ascii="Times New Roman" w:eastAsia="Times New Roman" w:hAnsi="Times New Roman" w:cs="Times New Roman"/>
                <w:sz w:val="24"/>
                <w:szCs w:val="24"/>
              </w:rPr>
              <w:t xml:space="preserve"> </w:t>
            </w:r>
            <w:r w:rsidR="00524A40" w:rsidRPr="006218A8">
              <w:rPr>
                <w:rFonts w:ascii="Times New Roman" w:eastAsia="Times New Roman" w:hAnsi="Times New Roman" w:cs="Times New Roman"/>
                <w:sz w:val="24"/>
                <w:szCs w:val="24"/>
              </w:rPr>
              <w:t>EUR</w:t>
            </w:r>
            <w:r w:rsidRPr="00DA111F">
              <w:rPr>
                <w:rFonts w:ascii="Times New Roman" w:eastAsia="Times New Roman" w:hAnsi="Times New Roman" w:cs="Times New Roman"/>
                <w:sz w:val="24"/>
                <w:szCs w:val="24"/>
              </w:rPr>
              <w:t>) vienreizēja maksājuma veikšanai Latvijas daļas apmaksai par Starptautiskās Krimināltiesas biroja ēkas celtniecību.</w:t>
            </w:r>
          </w:p>
          <w:p w:rsidR="00A77B55" w:rsidRPr="00D108F3" w:rsidRDefault="00A77B55" w:rsidP="000C087F">
            <w:pPr>
              <w:spacing w:after="0" w:line="240" w:lineRule="auto"/>
              <w:jc w:val="both"/>
              <w:rPr>
                <w:rFonts w:ascii="Times New Roman" w:eastAsia="Times New Roman" w:hAnsi="Times New Roman" w:cs="Times New Roman"/>
                <w:sz w:val="24"/>
                <w:szCs w:val="24"/>
                <w:lang w:eastAsia="lv-LV"/>
              </w:rPr>
            </w:pPr>
          </w:p>
        </w:tc>
      </w:tr>
      <w:tr w:rsidR="00A77B55" w:rsidRPr="00D108F3" w:rsidTr="00D108F3">
        <w:trPr>
          <w:trHeight w:val="476"/>
        </w:trPr>
        <w:tc>
          <w:tcPr>
            <w:tcW w:w="524" w:type="dxa"/>
            <w:gridSpan w:val="2"/>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5.</w:t>
            </w:r>
          </w:p>
        </w:tc>
        <w:tc>
          <w:tcPr>
            <w:tcW w:w="2163"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Projekta izstrādē iesaistītās institūcijas</w:t>
            </w:r>
          </w:p>
        </w:tc>
        <w:tc>
          <w:tcPr>
            <w:tcW w:w="6378" w:type="dxa"/>
          </w:tcPr>
          <w:p w:rsidR="00A77B55" w:rsidRPr="00D108F3" w:rsidRDefault="000C087F" w:rsidP="000C087F">
            <w:pPr>
              <w:spacing w:after="0" w:line="240" w:lineRule="auto"/>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Tieslietu ministrija.</w:t>
            </w:r>
          </w:p>
        </w:tc>
      </w:tr>
      <w:tr w:rsidR="00A77B55" w:rsidRPr="00D108F3" w:rsidTr="00D108F3">
        <w:trPr>
          <w:trHeight w:val="1037"/>
        </w:trPr>
        <w:tc>
          <w:tcPr>
            <w:tcW w:w="524" w:type="dxa"/>
            <w:gridSpan w:val="2"/>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6.</w:t>
            </w:r>
          </w:p>
        </w:tc>
        <w:tc>
          <w:tcPr>
            <w:tcW w:w="2163"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Iemesli, kādēļ netika nodrošināta sabiedrības līdzdalība</w:t>
            </w:r>
          </w:p>
        </w:tc>
        <w:tc>
          <w:tcPr>
            <w:tcW w:w="6378" w:type="dxa"/>
          </w:tcPr>
          <w:p w:rsidR="00A77B55" w:rsidRPr="00D108F3" w:rsidRDefault="00A77B55" w:rsidP="000C087F">
            <w:pPr>
              <w:tabs>
                <w:tab w:val="left" w:pos="825"/>
              </w:tabs>
              <w:spacing w:after="0" w:line="240" w:lineRule="auto"/>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xml:space="preserve">Nav nepieciešams nodrošināt sabiedrības līdzdalību, jo jautājums neparedz ieviest izmaiņas, kas varētu ietekmēt sabiedrības intereses. </w:t>
            </w:r>
          </w:p>
        </w:tc>
      </w:tr>
      <w:tr w:rsidR="00A77B55" w:rsidRPr="00D108F3" w:rsidTr="00D108F3">
        <w:tc>
          <w:tcPr>
            <w:tcW w:w="524" w:type="dxa"/>
            <w:gridSpan w:val="2"/>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7.</w:t>
            </w:r>
          </w:p>
        </w:tc>
        <w:tc>
          <w:tcPr>
            <w:tcW w:w="2163"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Cita informācija</w:t>
            </w:r>
          </w:p>
        </w:tc>
        <w:tc>
          <w:tcPr>
            <w:tcW w:w="6378" w:type="dxa"/>
          </w:tcPr>
          <w:p w:rsidR="00A77B55"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Nav.</w:t>
            </w:r>
          </w:p>
          <w:p w:rsidR="00D672AA" w:rsidRDefault="00D672AA" w:rsidP="00C43B8E">
            <w:pPr>
              <w:spacing w:after="0" w:line="240" w:lineRule="auto"/>
              <w:rPr>
                <w:rFonts w:ascii="Times New Roman" w:eastAsia="Times New Roman" w:hAnsi="Times New Roman" w:cs="Times New Roman"/>
                <w:sz w:val="24"/>
                <w:szCs w:val="24"/>
                <w:lang w:eastAsia="lv-LV"/>
              </w:rPr>
            </w:pPr>
          </w:p>
          <w:p w:rsidR="00D672AA" w:rsidRDefault="00D672AA" w:rsidP="00C43B8E">
            <w:pPr>
              <w:spacing w:after="0" w:line="240" w:lineRule="auto"/>
              <w:rPr>
                <w:rFonts w:ascii="Times New Roman" w:eastAsia="Times New Roman" w:hAnsi="Times New Roman" w:cs="Times New Roman"/>
                <w:sz w:val="24"/>
                <w:szCs w:val="24"/>
                <w:lang w:eastAsia="lv-LV"/>
              </w:rPr>
            </w:pPr>
          </w:p>
          <w:p w:rsidR="00D672AA" w:rsidRDefault="00D672AA" w:rsidP="00C43B8E">
            <w:pPr>
              <w:spacing w:after="0" w:line="240" w:lineRule="auto"/>
              <w:rPr>
                <w:rFonts w:ascii="Times New Roman" w:eastAsia="Times New Roman" w:hAnsi="Times New Roman" w:cs="Times New Roman"/>
                <w:sz w:val="24"/>
                <w:szCs w:val="24"/>
                <w:lang w:eastAsia="lv-LV"/>
              </w:rPr>
            </w:pPr>
          </w:p>
          <w:p w:rsidR="00D672AA" w:rsidRPr="00D108F3" w:rsidRDefault="00D672AA" w:rsidP="00C43B8E">
            <w:pPr>
              <w:spacing w:after="0" w:line="240" w:lineRule="auto"/>
              <w:rPr>
                <w:rFonts w:ascii="Times New Roman" w:eastAsia="Times New Roman" w:hAnsi="Times New Roman" w:cs="Times New Roman"/>
                <w:sz w:val="24"/>
                <w:szCs w:val="24"/>
                <w:lang w:eastAsia="lv-LV"/>
              </w:rPr>
            </w:pPr>
          </w:p>
        </w:tc>
      </w:tr>
      <w:tr w:rsidR="00A5516C" w:rsidRPr="00D108F3" w:rsidTr="00BB6D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65" w:type="dxa"/>
            <w:gridSpan w:val="4"/>
          </w:tcPr>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62"/>
              <w:gridCol w:w="1056"/>
              <w:gridCol w:w="1361"/>
              <w:gridCol w:w="1259"/>
              <w:gridCol w:w="1354"/>
              <w:gridCol w:w="1358"/>
            </w:tblGrid>
            <w:tr w:rsidR="00A5516C" w:rsidRPr="00D108F3" w:rsidTr="00BB6D02">
              <w:trPr>
                <w:trHeight w:val="652"/>
                <w:jc w:val="center"/>
              </w:trPr>
              <w:tc>
                <w:tcPr>
                  <w:tcW w:w="0" w:type="auto"/>
                  <w:gridSpan w:val="6"/>
                  <w:tcBorders>
                    <w:top w:val="nil"/>
                  </w:tcBorders>
                </w:tcPr>
                <w:p w:rsidR="00D672AA" w:rsidRDefault="00A5516C" w:rsidP="00C43B8E">
                  <w:pPr>
                    <w:pStyle w:val="naisnod"/>
                    <w:spacing w:before="0" w:after="0"/>
                  </w:pPr>
                  <w:r w:rsidRPr="00D108F3">
                    <w:br w:type="page"/>
                  </w:r>
                </w:p>
                <w:p w:rsidR="00A5516C" w:rsidRDefault="00A5516C" w:rsidP="00C43B8E">
                  <w:pPr>
                    <w:pStyle w:val="naisnod"/>
                    <w:spacing w:before="0" w:after="0"/>
                  </w:pPr>
                  <w:r w:rsidRPr="00D108F3">
                    <w:lastRenderedPageBreak/>
                    <w:t>III. Tiesību akta projekta ietekme uz valsts budžetu un pašvaldību budžetiem</w:t>
                  </w:r>
                </w:p>
                <w:p w:rsidR="00D672AA" w:rsidRPr="00D108F3" w:rsidRDefault="00D672AA" w:rsidP="00C43B8E">
                  <w:pPr>
                    <w:pStyle w:val="naisnod"/>
                    <w:spacing w:before="0" w:after="0"/>
                    <w:rPr>
                      <w:i/>
                    </w:rPr>
                  </w:pPr>
                </w:p>
              </w:tc>
            </w:tr>
            <w:tr w:rsidR="00B84CAB" w:rsidRPr="00D108F3" w:rsidTr="003921DD">
              <w:trPr>
                <w:jc w:val="center"/>
              </w:trPr>
              <w:tc>
                <w:tcPr>
                  <w:tcW w:w="2662" w:type="dxa"/>
                  <w:vMerge w:val="restart"/>
                  <w:vAlign w:val="center"/>
                </w:tcPr>
                <w:p w:rsidR="00A5516C" w:rsidRPr="00D108F3" w:rsidRDefault="00A5516C" w:rsidP="00C43B8E">
                  <w:pPr>
                    <w:pStyle w:val="naisf"/>
                    <w:spacing w:before="0" w:after="0"/>
                    <w:ind w:firstLine="0"/>
                    <w:jc w:val="center"/>
                    <w:rPr>
                      <w:b/>
                    </w:rPr>
                  </w:pPr>
                  <w:r w:rsidRPr="00D108F3">
                    <w:rPr>
                      <w:b/>
                    </w:rPr>
                    <w:lastRenderedPageBreak/>
                    <w:t>Rādītāji</w:t>
                  </w:r>
                </w:p>
              </w:tc>
              <w:tc>
                <w:tcPr>
                  <w:tcW w:w="2417" w:type="dxa"/>
                  <w:gridSpan w:val="2"/>
                  <w:vMerge w:val="restart"/>
                  <w:vAlign w:val="center"/>
                </w:tcPr>
                <w:p w:rsidR="00A5516C" w:rsidRPr="00D108F3" w:rsidRDefault="00A5516C" w:rsidP="00C43B8E">
                  <w:pPr>
                    <w:pStyle w:val="naisf"/>
                    <w:spacing w:before="0" w:after="0"/>
                    <w:ind w:firstLine="0"/>
                    <w:jc w:val="center"/>
                    <w:rPr>
                      <w:b/>
                    </w:rPr>
                  </w:pPr>
                  <w:r w:rsidRPr="00D108F3">
                    <w:rPr>
                      <w:b/>
                    </w:rPr>
                    <w:t>2013.gads</w:t>
                  </w:r>
                </w:p>
              </w:tc>
              <w:tc>
                <w:tcPr>
                  <w:tcW w:w="3971" w:type="dxa"/>
                  <w:gridSpan w:val="3"/>
                  <w:vAlign w:val="center"/>
                </w:tcPr>
                <w:p w:rsidR="00A5516C" w:rsidRPr="00D108F3" w:rsidRDefault="00A5516C" w:rsidP="00C43B8E">
                  <w:pPr>
                    <w:pStyle w:val="naisf"/>
                    <w:spacing w:before="0" w:after="0"/>
                    <w:ind w:firstLine="0"/>
                    <w:jc w:val="center"/>
                    <w:rPr>
                      <w:b/>
                      <w:i/>
                    </w:rPr>
                  </w:pPr>
                  <w:r w:rsidRPr="00D108F3">
                    <w:t>Turpmākie trīs gadi (tūkst. latu)</w:t>
                  </w:r>
                </w:p>
              </w:tc>
            </w:tr>
            <w:tr w:rsidR="00B84CAB" w:rsidRPr="00D108F3" w:rsidTr="003921DD">
              <w:trPr>
                <w:jc w:val="center"/>
              </w:trPr>
              <w:tc>
                <w:tcPr>
                  <w:tcW w:w="2662" w:type="dxa"/>
                  <w:vMerge/>
                  <w:vAlign w:val="center"/>
                </w:tcPr>
                <w:p w:rsidR="00A5516C" w:rsidRPr="00D108F3" w:rsidRDefault="00A5516C" w:rsidP="00C43B8E">
                  <w:pPr>
                    <w:pStyle w:val="naisf"/>
                    <w:spacing w:before="0" w:after="0"/>
                    <w:ind w:firstLine="0"/>
                    <w:jc w:val="left"/>
                    <w:rPr>
                      <w:b/>
                      <w:i/>
                    </w:rPr>
                  </w:pPr>
                </w:p>
              </w:tc>
              <w:tc>
                <w:tcPr>
                  <w:tcW w:w="2417" w:type="dxa"/>
                  <w:gridSpan w:val="2"/>
                  <w:vMerge/>
                  <w:vAlign w:val="center"/>
                </w:tcPr>
                <w:p w:rsidR="00A5516C" w:rsidRPr="00D108F3" w:rsidRDefault="00A5516C" w:rsidP="00C43B8E">
                  <w:pPr>
                    <w:pStyle w:val="naisf"/>
                    <w:spacing w:before="0" w:after="0"/>
                    <w:ind w:firstLine="0"/>
                    <w:jc w:val="center"/>
                    <w:rPr>
                      <w:b/>
                      <w:i/>
                    </w:rPr>
                  </w:pPr>
                </w:p>
              </w:tc>
              <w:tc>
                <w:tcPr>
                  <w:tcW w:w="1259" w:type="dxa"/>
                  <w:vAlign w:val="center"/>
                </w:tcPr>
                <w:p w:rsidR="00A5516C" w:rsidRPr="00D108F3" w:rsidRDefault="00A5516C" w:rsidP="00C43B8E">
                  <w:pPr>
                    <w:pStyle w:val="naisf"/>
                    <w:spacing w:before="0" w:after="0"/>
                    <w:ind w:firstLine="0"/>
                    <w:jc w:val="center"/>
                    <w:rPr>
                      <w:b/>
                      <w:i/>
                    </w:rPr>
                  </w:pPr>
                  <w:r w:rsidRPr="00D108F3">
                    <w:rPr>
                      <w:b/>
                      <w:bCs/>
                    </w:rPr>
                    <w:t>2014.g.</w:t>
                  </w:r>
                </w:p>
              </w:tc>
              <w:tc>
                <w:tcPr>
                  <w:tcW w:w="1354" w:type="dxa"/>
                  <w:vAlign w:val="center"/>
                </w:tcPr>
                <w:p w:rsidR="00A5516C" w:rsidRPr="00D108F3" w:rsidRDefault="00A5516C" w:rsidP="00C43B8E">
                  <w:pPr>
                    <w:pStyle w:val="naisf"/>
                    <w:spacing w:before="0" w:after="0"/>
                    <w:ind w:firstLine="0"/>
                    <w:jc w:val="center"/>
                    <w:rPr>
                      <w:b/>
                      <w:i/>
                    </w:rPr>
                  </w:pPr>
                  <w:r w:rsidRPr="00D108F3">
                    <w:rPr>
                      <w:b/>
                      <w:bCs/>
                    </w:rPr>
                    <w:t>2015.g.</w:t>
                  </w:r>
                </w:p>
              </w:tc>
              <w:tc>
                <w:tcPr>
                  <w:tcW w:w="1358" w:type="dxa"/>
                  <w:vAlign w:val="center"/>
                </w:tcPr>
                <w:p w:rsidR="00A5516C" w:rsidRPr="00D108F3" w:rsidRDefault="00A5516C" w:rsidP="00C43B8E">
                  <w:pPr>
                    <w:pStyle w:val="naisf"/>
                    <w:spacing w:before="0" w:after="0"/>
                    <w:ind w:firstLine="0"/>
                    <w:jc w:val="center"/>
                    <w:rPr>
                      <w:b/>
                      <w:i/>
                    </w:rPr>
                  </w:pPr>
                  <w:r w:rsidRPr="00D108F3">
                    <w:rPr>
                      <w:b/>
                      <w:bCs/>
                    </w:rPr>
                    <w:t>2016.g.</w:t>
                  </w:r>
                </w:p>
              </w:tc>
            </w:tr>
            <w:tr w:rsidR="00B84CAB" w:rsidRPr="00D108F3" w:rsidTr="003921DD">
              <w:trPr>
                <w:jc w:val="center"/>
              </w:trPr>
              <w:tc>
                <w:tcPr>
                  <w:tcW w:w="2662" w:type="dxa"/>
                  <w:vMerge/>
                  <w:vAlign w:val="center"/>
                </w:tcPr>
                <w:p w:rsidR="00A5516C" w:rsidRPr="00D108F3" w:rsidRDefault="00A5516C" w:rsidP="00C43B8E">
                  <w:pPr>
                    <w:pStyle w:val="naisf"/>
                    <w:spacing w:before="0" w:after="0"/>
                    <w:ind w:firstLine="0"/>
                    <w:jc w:val="left"/>
                    <w:rPr>
                      <w:b/>
                      <w:i/>
                    </w:rPr>
                  </w:pPr>
                </w:p>
              </w:tc>
              <w:tc>
                <w:tcPr>
                  <w:tcW w:w="1056" w:type="dxa"/>
                  <w:vAlign w:val="center"/>
                </w:tcPr>
                <w:p w:rsidR="00A5516C" w:rsidRPr="00D108F3" w:rsidRDefault="00A5516C" w:rsidP="00C43B8E">
                  <w:pPr>
                    <w:pStyle w:val="naisf"/>
                    <w:spacing w:before="0" w:after="0"/>
                    <w:ind w:firstLine="0"/>
                    <w:jc w:val="center"/>
                    <w:rPr>
                      <w:b/>
                      <w:i/>
                    </w:rPr>
                  </w:pPr>
                  <w:r w:rsidRPr="00D108F3">
                    <w:t xml:space="preserve">Saskaņā ar valsts </w:t>
                  </w:r>
                  <w:r w:rsidR="00BB6D02" w:rsidRPr="00D108F3">
                    <w:t>budžetu kārtēja</w:t>
                  </w:r>
                  <w:r w:rsidRPr="00D108F3">
                    <w:t>m gadam</w:t>
                  </w:r>
                </w:p>
              </w:tc>
              <w:tc>
                <w:tcPr>
                  <w:tcW w:w="1361" w:type="dxa"/>
                  <w:vAlign w:val="center"/>
                </w:tcPr>
                <w:p w:rsidR="00A5516C" w:rsidRPr="00D108F3" w:rsidRDefault="00A5516C" w:rsidP="00C43B8E">
                  <w:pPr>
                    <w:pStyle w:val="naisf"/>
                    <w:spacing w:before="0" w:after="0"/>
                    <w:ind w:firstLine="0"/>
                    <w:jc w:val="center"/>
                    <w:rPr>
                      <w:b/>
                      <w:i/>
                    </w:rPr>
                  </w:pPr>
                  <w:r w:rsidRPr="00D108F3">
                    <w:t>Izmaiņas kārtējā gadā, salīdzinot ar budžetu kārtējam gadam</w:t>
                  </w:r>
                </w:p>
              </w:tc>
              <w:tc>
                <w:tcPr>
                  <w:tcW w:w="1259" w:type="dxa"/>
                  <w:vAlign w:val="center"/>
                </w:tcPr>
                <w:p w:rsidR="00A5516C" w:rsidRPr="00D108F3" w:rsidRDefault="00A5516C" w:rsidP="00C43B8E">
                  <w:pPr>
                    <w:pStyle w:val="naisf"/>
                    <w:spacing w:before="0" w:after="0"/>
                    <w:ind w:firstLine="0"/>
                    <w:jc w:val="center"/>
                    <w:rPr>
                      <w:b/>
                      <w:i/>
                    </w:rPr>
                  </w:pPr>
                  <w:r w:rsidRPr="00D108F3">
                    <w:t>Izmaiņas, salīdzinot ar kārtējo (2013) gadu</w:t>
                  </w:r>
                </w:p>
              </w:tc>
              <w:tc>
                <w:tcPr>
                  <w:tcW w:w="1354" w:type="dxa"/>
                  <w:vAlign w:val="center"/>
                </w:tcPr>
                <w:p w:rsidR="00A5516C" w:rsidRPr="00D108F3" w:rsidRDefault="00A5516C" w:rsidP="00C43B8E">
                  <w:pPr>
                    <w:pStyle w:val="naisf"/>
                    <w:spacing w:before="0" w:after="0"/>
                    <w:ind w:firstLine="0"/>
                    <w:jc w:val="center"/>
                    <w:rPr>
                      <w:b/>
                      <w:i/>
                    </w:rPr>
                  </w:pPr>
                  <w:r w:rsidRPr="00D108F3">
                    <w:t>Izmaiņas, salīdzinot ar kārtējo (2013) gadu</w:t>
                  </w:r>
                </w:p>
              </w:tc>
              <w:tc>
                <w:tcPr>
                  <w:tcW w:w="1358" w:type="dxa"/>
                  <w:vAlign w:val="center"/>
                </w:tcPr>
                <w:p w:rsidR="00A5516C" w:rsidRPr="00D108F3" w:rsidRDefault="00A5516C" w:rsidP="00C43B8E">
                  <w:pPr>
                    <w:pStyle w:val="naisf"/>
                    <w:spacing w:before="0" w:after="0"/>
                    <w:ind w:firstLine="0"/>
                    <w:jc w:val="center"/>
                    <w:rPr>
                      <w:b/>
                      <w:i/>
                    </w:rPr>
                  </w:pPr>
                  <w:r w:rsidRPr="00D108F3">
                    <w:t>Izmaiņas, salīdzinot ar kārtējo (2013) gadu</w:t>
                  </w:r>
                </w:p>
              </w:tc>
            </w:tr>
            <w:tr w:rsidR="00B84CAB" w:rsidRPr="00D108F3" w:rsidTr="003921DD">
              <w:trPr>
                <w:jc w:val="center"/>
              </w:trPr>
              <w:tc>
                <w:tcPr>
                  <w:tcW w:w="2662" w:type="dxa"/>
                  <w:tcBorders>
                    <w:bottom w:val="single" w:sz="4" w:space="0" w:color="auto"/>
                  </w:tcBorders>
                  <w:vAlign w:val="center"/>
                </w:tcPr>
                <w:p w:rsidR="00A5516C" w:rsidRPr="00D108F3" w:rsidRDefault="00A5516C" w:rsidP="00C43B8E">
                  <w:pPr>
                    <w:pStyle w:val="naisf"/>
                    <w:spacing w:before="0" w:after="0"/>
                    <w:ind w:firstLine="0"/>
                    <w:jc w:val="center"/>
                    <w:rPr>
                      <w:bCs/>
                    </w:rPr>
                  </w:pPr>
                  <w:r w:rsidRPr="00D108F3">
                    <w:rPr>
                      <w:bCs/>
                    </w:rPr>
                    <w:t>1</w:t>
                  </w:r>
                </w:p>
              </w:tc>
              <w:tc>
                <w:tcPr>
                  <w:tcW w:w="1056" w:type="dxa"/>
                  <w:tcBorders>
                    <w:bottom w:val="single" w:sz="4" w:space="0" w:color="auto"/>
                  </w:tcBorders>
                  <w:vAlign w:val="center"/>
                </w:tcPr>
                <w:p w:rsidR="00A5516C" w:rsidRPr="00D108F3" w:rsidRDefault="00A5516C" w:rsidP="00C43B8E">
                  <w:pPr>
                    <w:pStyle w:val="naisf"/>
                    <w:spacing w:before="0" w:after="0"/>
                    <w:ind w:firstLine="0"/>
                    <w:jc w:val="center"/>
                    <w:rPr>
                      <w:bCs/>
                    </w:rPr>
                  </w:pPr>
                  <w:r w:rsidRPr="00D108F3">
                    <w:rPr>
                      <w:bCs/>
                    </w:rPr>
                    <w:t>2</w:t>
                  </w:r>
                </w:p>
              </w:tc>
              <w:tc>
                <w:tcPr>
                  <w:tcW w:w="1361" w:type="dxa"/>
                  <w:tcBorders>
                    <w:bottom w:val="single" w:sz="4" w:space="0" w:color="auto"/>
                  </w:tcBorders>
                  <w:vAlign w:val="center"/>
                </w:tcPr>
                <w:p w:rsidR="00A5516C" w:rsidRPr="00D108F3" w:rsidRDefault="00A5516C" w:rsidP="00C43B8E">
                  <w:pPr>
                    <w:pStyle w:val="naisf"/>
                    <w:spacing w:before="0" w:after="0"/>
                    <w:ind w:firstLine="0"/>
                    <w:jc w:val="center"/>
                    <w:rPr>
                      <w:bCs/>
                    </w:rPr>
                  </w:pPr>
                  <w:r w:rsidRPr="00D108F3">
                    <w:rPr>
                      <w:bCs/>
                    </w:rPr>
                    <w:t>3</w:t>
                  </w:r>
                </w:p>
              </w:tc>
              <w:tc>
                <w:tcPr>
                  <w:tcW w:w="1259" w:type="dxa"/>
                  <w:tcBorders>
                    <w:bottom w:val="single" w:sz="4" w:space="0" w:color="auto"/>
                  </w:tcBorders>
                  <w:shd w:val="clear" w:color="auto" w:fill="auto"/>
                  <w:vAlign w:val="center"/>
                </w:tcPr>
                <w:p w:rsidR="00A5516C" w:rsidRPr="00D108F3" w:rsidRDefault="00A5516C" w:rsidP="00C43B8E">
                  <w:pPr>
                    <w:pStyle w:val="naisf"/>
                    <w:spacing w:before="0" w:after="0"/>
                    <w:ind w:firstLine="0"/>
                    <w:jc w:val="center"/>
                    <w:rPr>
                      <w:bCs/>
                    </w:rPr>
                  </w:pPr>
                  <w:r w:rsidRPr="00D108F3">
                    <w:rPr>
                      <w:bCs/>
                    </w:rPr>
                    <w:t>4</w:t>
                  </w:r>
                </w:p>
              </w:tc>
              <w:tc>
                <w:tcPr>
                  <w:tcW w:w="1354" w:type="dxa"/>
                  <w:tcBorders>
                    <w:bottom w:val="single" w:sz="4" w:space="0" w:color="auto"/>
                  </w:tcBorders>
                  <w:shd w:val="clear" w:color="auto" w:fill="auto"/>
                  <w:vAlign w:val="center"/>
                </w:tcPr>
                <w:p w:rsidR="00A5516C" w:rsidRPr="00D108F3" w:rsidRDefault="00A5516C" w:rsidP="00C43B8E">
                  <w:pPr>
                    <w:pStyle w:val="naisf"/>
                    <w:spacing w:before="0" w:after="0"/>
                    <w:ind w:firstLine="0"/>
                    <w:jc w:val="center"/>
                    <w:rPr>
                      <w:bCs/>
                    </w:rPr>
                  </w:pPr>
                  <w:r w:rsidRPr="00D108F3">
                    <w:rPr>
                      <w:bCs/>
                    </w:rPr>
                    <w:t>5</w:t>
                  </w:r>
                </w:p>
              </w:tc>
              <w:tc>
                <w:tcPr>
                  <w:tcW w:w="1358" w:type="dxa"/>
                  <w:tcBorders>
                    <w:bottom w:val="single" w:sz="4" w:space="0" w:color="auto"/>
                  </w:tcBorders>
                  <w:shd w:val="clear" w:color="auto" w:fill="auto"/>
                  <w:vAlign w:val="center"/>
                </w:tcPr>
                <w:p w:rsidR="00A5516C" w:rsidRPr="00D108F3" w:rsidRDefault="00A5516C" w:rsidP="00C43B8E">
                  <w:pPr>
                    <w:pStyle w:val="naisf"/>
                    <w:spacing w:before="0" w:after="0"/>
                    <w:ind w:firstLine="0"/>
                    <w:jc w:val="center"/>
                    <w:rPr>
                      <w:bCs/>
                    </w:rPr>
                  </w:pPr>
                  <w:r w:rsidRPr="00D108F3">
                    <w:rPr>
                      <w:bCs/>
                    </w:rPr>
                    <w:t>6</w:t>
                  </w:r>
                </w:p>
              </w:tc>
            </w:tr>
            <w:tr w:rsidR="00B84CAB" w:rsidRPr="00D108F3" w:rsidTr="003921DD">
              <w:trPr>
                <w:jc w:val="center"/>
              </w:trPr>
              <w:tc>
                <w:tcPr>
                  <w:tcW w:w="2662" w:type="dxa"/>
                  <w:tcBorders>
                    <w:bottom w:val="single" w:sz="4" w:space="0" w:color="auto"/>
                  </w:tcBorders>
                </w:tcPr>
                <w:p w:rsidR="00A5516C" w:rsidRPr="00D108F3" w:rsidRDefault="00A5516C" w:rsidP="00C43B8E">
                  <w:pPr>
                    <w:pStyle w:val="naisf"/>
                    <w:spacing w:before="0" w:after="0"/>
                    <w:ind w:firstLine="0"/>
                    <w:jc w:val="left"/>
                    <w:rPr>
                      <w:i/>
                    </w:rPr>
                  </w:pPr>
                  <w:r w:rsidRPr="00D108F3">
                    <w:t>1. Budžeta ieņēmumi:</w:t>
                  </w:r>
                </w:p>
              </w:tc>
              <w:tc>
                <w:tcPr>
                  <w:tcW w:w="1056" w:type="dxa"/>
                  <w:tcBorders>
                    <w:bottom w:val="single" w:sz="4" w:space="0" w:color="auto"/>
                  </w:tcBorders>
                </w:tcPr>
                <w:p w:rsidR="00A5516C" w:rsidRPr="00D108F3" w:rsidRDefault="00A5516C" w:rsidP="00C43B8E">
                  <w:pPr>
                    <w:pStyle w:val="naisf"/>
                    <w:spacing w:before="0" w:after="0"/>
                    <w:ind w:firstLine="0"/>
                    <w:jc w:val="center"/>
                  </w:pPr>
                  <w:r w:rsidRPr="00D108F3">
                    <w:t>0</w:t>
                  </w:r>
                </w:p>
              </w:tc>
              <w:tc>
                <w:tcPr>
                  <w:tcW w:w="1361" w:type="dxa"/>
                  <w:tcBorders>
                    <w:bottom w:val="single" w:sz="4" w:space="0" w:color="auto"/>
                  </w:tcBorders>
                </w:tcPr>
                <w:p w:rsidR="00A5516C" w:rsidRPr="00D108F3" w:rsidRDefault="00A5516C" w:rsidP="00C43B8E">
                  <w:pPr>
                    <w:pStyle w:val="naisf"/>
                    <w:spacing w:before="0" w:after="0"/>
                    <w:ind w:firstLine="0"/>
                    <w:jc w:val="center"/>
                  </w:pPr>
                  <w:r w:rsidRPr="00D108F3">
                    <w:t>0</w:t>
                  </w:r>
                </w:p>
              </w:tc>
              <w:tc>
                <w:tcPr>
                  <w:tcW w:w="1259" w:type="dxa"/>
                  <w:tcBorders>
                    <w:bottom w:val="single" w:sz="4" w:space="0" w:color="auto"/>
                  </w:tcBorders>
                  <w:shd w:val="clear" w:color="auto" w:fill="auto"/>
                </w:tcPr>
                <w:p w:rsidR="00A5516C" w:rsidRPr="00D108F3" w:rsidRDefault="00A5516C" w:rsidP="00C43B8E">
                  <w:pPr>
                    <w:pStyle w:val="naisf"/>
                    <w:spacing w:before="0" w:after="0"/>
                    <w:ind w:firstLine="0"/>
                    <w:jc w:val="center"/>
                  </w:pPr>
                  <w:r w:rsidRPr="00D108F3">
                    <w:t>0</w:t>
                  </w:r>
                </w:p>
              </w:tc>
              <w:tc>
                <w:tcPr>
                  <w:tcW w:w="1354" w:type="dxa"/>
                  <w:tcBorders>
                    <w:bottom w:val="single" w:sz="4" w:space="0" w:color="auto"/>
                  </w:tcBorders>
                  <w:shd w:val="clear" w:color="auto" w:fill="auto"/>
                </w:tcPr>
                <w:p w:rsidR="00A5516C" w:rsidRPr="00D108F3" w:rsidRDefault="00A5516C" w:rsidP="00C43B8E">
                  <w:pPr>
                    <w:pStyle w:val="naisf"/>
                    <w:spacing w:before="0" w:after="0"/>
                    <w:ind w:firstLine="0"/>
                    <w:jc w:val="center"/>
                  </w:pPr>
                  <w:r w:rsidRPr="00D108F3">
                    <w:t>0</w:t>
                  </w:r>
                </w:p>
              </w:tc>
              <w:tc>
                <w:tcPr>
                  <w:tcW w:w="1358" w:type="dxa"/>
                  <w:tcBorders>
                    <w:bottom w:val="single" w:sz="4" w:space="0" w:color="auto"/>
                  </w:tcBorders>
                  <w:shd w:val="clear" w:color="auto" w:fill="auto"/>
                </w:tcPr>
                <w:p w:rsidR="00A5516C" w:rsidRPr="00D108F3" w:rsidRDefault="00A5516C" w:rsidP="00C43B8E">
                  <w:pPr>
                    <w:pStyle w:val="naisf"/>
                    <w:spacing w:before="0" w:after="0"/>
                    <w:ind w:firstLine="0"/>
                    <w:jc w:val="center"/>
                  </w:pPr>
                  <w:r w:rsidRPr="00D108F3">
                    <w:t>0</w:t>
                  </w:r>
                </w:p>
              </w:tc>
            </w:tr>
            <w:tr w:rsidR="00B84CAB" w:rsidRPr="00D108F3" w:rsidTr="003921DD">
              <w:trPr>
                <w:jc w:val="center"/>
              </w:trPr>
              <w:tc>
                <w:tcPr>
                  <w:tcW w:w="2662" w:type="dxa"/>
                  <w:tcBorders>
                    <w:top w:val="single" w:sz="4" w:space="0" w:color="auto"/>
                  </w:tcBorders>
                </w:tcPr>
                <w:p w:rsidR="00A5516C" w:rsidRPr="00D108F3" w:rsidRDefault="00A5516C" w:rsidP="00C43B8E">
                  <w:pPr>
                    <w:pStyle w:val="naisf"/>
                    <w:spacing w:before="0" w:after="0"/>
                    <w:ind w:firstLine="0"/>
                    <w:jc w:val="left"/>
                    <w:rPr>
                      <w:i/>
                    </w:rPr>
                  </w:pPr>
                  <w:r w:rsidRPr="00D108F3">
                    <w:t xml:space="preserve">1.1. valsts pamatbudžets, tai skaitā ieņēmumi no maksas </w:t>
                  </w:r>
                  <w:r w:rsidR="00BB6D02" w:rsidRPr="00D108F3">
                    <w:t>pakalpo</w:t>
                  </w:r>
                  <w:r w:rsidRPr="00D108F3">
                    <w:t>jumiem un citi pašu ieņēmumi</w:t>
                  </w:r>
                </w:p>
              </w:tc>
              <w:tc>
                <w:tcPr>
                  <w:tcW w:w="1056" w:type="dxa"/>
                  <w:tcBorders>
                    <w:top w:val="single" w:sz="4" w:space="0" w:color="auto"/>
                  </w:tcBorders>
                </w:tcPr>
                <w:p w:rsidR="00A5516C" w:rsidRPr="00D108F3" w:rsidRDefault="00A5516C" w:rsidP="00C43B8E">
                  <w:pPr>
                    <w:pStyle w:val="naisf"/>
                    <w:spacing w:before="0" w:after="0"/>
                    <w:ind w:firstLine="0"/>
                    <w:jc w:val="center"/>
                  </w:pPr>
                  <w:r w:rsidRPr="00D108F3">
                    <w:t>0</w:t>
                  </w:r>
                </w:p>
                <w:p w:rsidR="00A5516C" w:rsidRPr="00D108F3" w:rsidRDefault="00A5516C" w:rsidP="00C43B8E">
                  <w:pPr>
                    <w:pStyle w:val="naisf"/>
                    <w:spacing w:before="0" w:after="0"/>
                    <w:ind w:firstLine="0"/>
                    <w:jc w:val="center"/>
                    <w:rPr>
                      <w:b/>
                    </w:rPr>
                  </w:pPr>
                </w:p>
              </w:tc>
              <w:tc>
                <w:tcPr>
                  <w:tcW w:w="1361" w:type="dxa"/>
                  <w:tcBorders>
                    <w:top w:val="single" w:sz="4" w:space="0" w:color="auto"/>
                  </w:tcBorders>
                </w:tcPr>
                <w:p w:rsidR="00A5516C" w:rsidRPr="00D108F3" w:rsidRDefault="00A5516C" w:rsidP="00C43B8E">
                  <w:pPr>
                    <w:pStyle w:val="naisf"/>
                    <w:spacing w:before="0" w:after="0"/>
                    <w:ind w:firstLine="0"/>
                    <w:jc w:val="center"/>
                  </w:pPr>
                  <w:r w:rsidRPr="00D108F3">
                    <w:t>0</w:t>
                  </w:r>
                </w:p>
                <w:p w:rsidR="00A5516C" w:rsidRPr="00D108F3" w:rsidRDefault="00A5516C" w:rsidP="00C43B8E">
                  <w:pPr>
                    <w:pStyle w:val="naisf"/>
                    <w:spacing w:before="0" w:after="0"/>
                    <w:ind w:firstLine="0"/>
                    <w:jc w:val="center"/>
                  </w:pPr>
                </w:p>
                <w:p w:rsidR="00A5516C" w:rsidRPr="00D108F3" w:rsidRDefault="00A5516C" w:rsidP="00C43B8E">
                  <w:pPr>
                    <w:pStyle w:val="naisf"/>
                    <w:spacing w:before="0" w:after="0"/>
                    <w:ind w:firstLine="0"/>
                    <w:jc w:val="center"/>
                    <w:rPr>
                      <w:b/>
                    </w:rPr>
                  </w:pPr>
                </w:p>
              </w:tc>
              <w:tc>
                <w:tcPr>
                  <w:tcW w:w="1259" w:type="dxa"/>
                  <w:tcBorders>
                    <w:top w:val="single" w:sz="4" w:space="0" w:color="auto"/>
                  </w:tcBorders>
                  <w:shd w:val="clear" w:color="auto" w:fill="auto"/>
                </w:tcPr>
                <w:p w:rsidR="00A5516C" w:rsidRPr="00D108F3" w:rsidRDefault="00A5516C" w:rsidP="00C43B8E">
                  <w:pPr>
                    <w:pStyle w:val="naisf"/>
                    <w:spacing w:before="0" w:after="0"/>
                    <w:ind w:firstLine="0"/>
                    <w:jc w:val="center"/>
                  </w:pPr>
                  <w:r w:rsidRPr="00D108F3">
                    <w:t>0</w:t>
                  </w:r>
                </w:p>
                <w:p w:rsidR="00A5516C" w:rsidRPr="00D108F3" w:rsidRDefault="00A5516C" w:rsidP="00C43B8E">
                  <w:pPr>
                    <w:pStyle w:val="naisf"/>
                    <w:spacing w:before="0" w:after="0"/>
                    <w:ind w:firstLine="0"/>
                    <w:jc w:val="center"/>
                  </w:pPr>
                </w:p>
              </w:tc>
              <w:tc>
                <w:tcPr>
                  <w:tcW w:w="1354" w:type="dxa"/>
                  <w:tcBorders>
                    <w:top w:val="single" w:sz="4" w:space="0" w:color="auto"/>
                  </w:tcBorders>
                  <w:shd w:val="clear" w:color="auto" w:fill="auto"/>
                </w:tcPr>
                <w:p w:rsidR="00A5516C" w:rsidRPr="00D108F3" w:rsidRDefault="00A5516C" w:rsidP="00C43B8E">
                  <w:pPr>
                    <w:pStyle w:val="naisf"/>
                    <w:spacing w:before="0" w:after="0"/>
                    <w:ind w:firstLine="0"/>
                    <w:jc w:val="center"/>
                  </w:pPr>
                  <w:r w:rsidRPr="00D108F3">
                    <w:t>0</w:t>
                  </w:r>
                </w:p>
                <w:p w:rsidR="00A5516C" w:rsidRPr="00D108F3" w:rsidRDefault="00A5516C" w:rsidP="00C43B8E">
                  <w:pPr>
                    <w:pStyle w:val="naisf"/>
                    <w:spacing w:before="0" w:after="0"/>
                    <w:ind w:firstLine="0"/>
                    <w:jc w:val="center"/>
                  </w:pPr>
                </w:p>
              </w:tc>
              <w:tc>
                <w:tcPr>
                  <w:tcW w:w="1358" w:type="dxa"/>
                  <w:tcBorders>
                    <w:top w:val="single" w:sz="4" w:space="0" w:color="auto"/>
                  </w:tcBorders>
                  <w:shd w:val="clear" w:color="auto" w:fill="auto"/>
                </w:tcPr>
                <w:p w:rsidR="00A5516C" w:rsidRPr="00D108F3" w:rsidRDefault="00A5516C" w:rsidP="00C43B8E">
                  <w:pPr>
                    <w:pStyle w:val="naisf"/>
                    <w:spacing w:before="0" w:after="0"/>
                    <w:ind w:firstLine="0"/>
                    <w:jc w:val="center"/>
                  </w:pPr>
                  <w:r w:rsidRPr="00D108F3">
                    <w:t>0</w:t>
                  </w:r>
                </w:p>
                <w:p w:rsidR="00A5516C" w:rsidRPr="00D108F3" w:rsidRDefault="00A5516C" w:rsidP="00C43B8E">
                  <w:pPr>
                    <w:pStyle w:val="naisf"/>
                    <w:spacing w:before="0" w:after="0"/>
                    <w:ind w:firstLine="0"/>
                    <w:jc w:val="center"/>
                  </w:pPr>
                </w:p>
                <w:p w:rsidR="00A5516C" w:rsidRPr="00D108F3" w:rsidRDefault="00A5516C" w:rsidP="00C43B8E">
                  <w:pPr>
                    <w:pStyle w:val="naisf"/>
                    <w:spacing w:before="0" w:after="0"/>
                    <w:ind w:firstLine="0"/>
                    <w:jc w:val="center"/>
                  </w:pPr>
                </w:p>
              </w:tc>
            </w:tr>
            <w:tr w:rsidR="00B84CAB" w:rsidRPr="00D108F3" w:rsidTr="003921DD">
              <w:trPr>
                <w:trHeight w:val="657"/>
                <w:jc w:val="center"/>
              </w:trPr>
              <w:tc>
                <w:tcPr>
                  <w:tcW w:w="2662" w:type="dxa"/>
                </w:tcPr>
                <w:p w:rsidR="00A5516C" w:rsidRPr="00D108F3" w:rsidRDefault="00A5516C" w:rsidP="00C43B8E">
                  <w:pPr>
                    <w:pStyle w:val="naisf"/>
                    <w:spacing w:before="0" w:after="0"/>
                    <w:ind w:firstLine="0"/>
                    <w:jc w:val="left"/>
                    <w:rPr>
                      <w:i/>
                    </w:rPr>
                  </w:pPr>
                  <w:r w:rsidRPr="00D108F3">
                    <w:t>1.2. valsts speciālais budžets</w:t>
                  </w:r>
                </w:p>
              </w:tc>
              <w:tc>
                <w:tcPr>
                  <w:tcW w:w="1056" w:type="dxa"/>
                  <w:vAlign w:val="center"/>
                </w:tcPr>
                <w:p w:rsidR="00A5516C" w:rsidRPr="00D108F3" w:rsidRDefault="00A5516C" w:rsidP="00C43B8E">
                  <w:pPr>
                    <w:pStyle w:val="naisf"/>
                    <w:spacing w:before="0" w:after="0"/>
                    <w:ind w:firstLine="0"/>
                    <w:jc w:val="center"/>
                    <w:rPr>
                      <w:b/>
                    </w:rPr>
                  </w:pPr>
                  <w:r w:rsidRPr="00D108F3">
                    <w:t>0</w:t>
                  </w:r>
                </w:p>
              </w:tc>
              <w:tc>
                <w:tcPr>
                  <w:tcW w:w="1361" w:type="dxa"/>
                  <w:vAlign w:val="center"/>
                </w:tcPr>
                <w:p w:rsidR="00A5516C" w:rsidRPr="00D108F3" w:rsidRDefault="00A5516C" w:rsidP="00C43B8E">
                  <w:pPr>
                    <w:pStyle w:val="naisf"/>
                    <w:spacing w:before="0" w:after="0"/>
                    <w:ind w:firstLine="0"/>
                    <w:jc w:val="center"/>
                    <w:rPr>
                      <w:b/>
                    </w:rPr>
                  </w:pPr>
                  <w:r w:rsidRPr="00D108F3">
                    <w:t>0</w:t>
                  </w:r>
                </w:p>
              </w:tc>
              <w:tc>
                <w:tcPr>
                  <w:tcW w:w="1259"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4"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8"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A5516C" w:rsidRPr="00D108F3" w:rsidRDefault="00A5516C" w:rsidP="00C43B8E">
                  <w:pPr>
                    <w:pStyle w:val="naisf"/>
                    <w:spacing w:before="0" w:after="0"/>
                    <w:ind w:firstLine="0"/>
                    <w:jc w:val="left"/>
                    <w:rPr>
                      <w:i/>
                    </w:rPr>
                  </w:pPr>
                  <w:r w:rsidRPr="00D108F3">
                    <w:t>1.3. pašvaldību budžets</w:t>
                  </w:r>
                </w:p>
              </w:tc>
              <w:tc>
                <w:tcPr>
                  <w:tcW w:w="1056" w:type="dxa"/>
                  <w:vAlign w:val="center"/>
                </w:tcPr>
                <w:p w:rsidR="00A5516C" w:rsidRPr="00D108F3" w:rsidRDefault="00A5516C" w:rsidP="00C43B8E">
                  <w:pPr>
                    <w:pStyle w:val="naisf"/>
                    <w:spacing w:before="0" w:after="0"/>
                    <w:ind w:firstLine="0"/>
                    <w:jc w:val="center"/>
                    <w:rPr>
                      <w:b/>
                    </w:rPr>
                  </w:pPr>
                  <w:r w:rsidRPr="00D108F3">
                    <w:t>0</w:t>
                  </w:r>
                </w:p>
              </w:tc>
              <w:tc>
                <w:tcPr>
                  <w:tcW w:w="1361" w:type="dxa"/>
                  <w:vAlign w:val="center"/>
                </w:tcPr>
                <w:p w:rsidR="00A5516C" w:rsidRPr="00D108F3" w:rsidRDefault="00A5516C" w:rsidP="00C43B8E">
                  <w:pPr>
                    <w:pStyle w:val="naisf"/>
                    <w:spacing w:before="0" w:after="0"/>
                    <w:ind w:firstLine="0"/>
                    <w:jc w:val="center"/>
                    <w:rPr>
                      <w:b/>
                    </w:rPr>
                  </w:pPr>
                  <w:r w:rsidRPr="00D108F3">
                    <w:t>0</w:t>
                  </w:r>
                </w:p>
              </w:tc>
              <w:tc>
                <w:tcPr>
                  <w:tcW w:w="1259"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4"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8"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r>
            <w:tr w:rsidR="00B84CAB" w:rsidRPr="00D108F3" w:rsidTr="003921DD">
              <w:trPr>
                <w:trHeight w:val="267"/>
                <w:jc w:val="center"/>
              </w:trPr>
              <w:tc>
                <w:tcPr>
                  <w:tcW w:w="2662" w:type="dxa"/>
                  <w:vAlign w:val="center"/>
                </w:tcPr>
                <w:p w:rsidR="00A5516C" w:rsidRPr="00D108F3" w:rsidRDefault="00A5516C" w:rsidP="00B84CAB">
                  <w:pPr>
                    <w:rPr>
                      <w:rFonts w:ascii="Times New Roman" w:hAnsi="Times New Roman" w:cs="Times New Roman"/>
                      <w:sz w:val="24"/>
                      <w:szCs w:val="24"/>
                    </w:rPr>
                  </w:pPr>
                  <w:r w:rsidRPr="00D108F3">
                    <w:rPr>
                      <w:rFonts w:ascii="Times New Roman" w:hAnsi="Times New Roman" w:cs="Times New Roman"/>
                      <w:sz w:val="24"/>
                      <w:szCs w:val="24"/>
                    </w:rPr>
                    <w:t>2. Budžeta izdevumi:</w:t>
                  </w:r>
                </w:p>
              </w:tc>
              <w:tc>
                <w:tcPr>
                  <w:tcW w:w="1056" w:type="dxa"/>
                  <w:vAlign w:val="center"/>
                </w:tcPr>
                <w:p w:rsidR="00A5516C" w:rsidRPr="00D108F3" w:rsidRDefault="00A5516C" w:rsidP="00B84CAB">
                  <w:pPr>
                    <w:pStyle w:val="naisf"/>
                    <w:spacing w:before="0" w:after="0"/>
                    <w:ind w:firstLine="0"/>
                    <w:jc w:val="center"/>
                  </w:pPr>
                  <w:r w:rsidRPr="00D108F3">
                    <w:t>0</w:t>
                  </w:r>
                </w:p>
              </w:tc>
              <w:tc>
                <w:tcPr>
                  <w:tcW w:w="1361" w:type="dxa"/>
                  <w:vAlign w:val="center"/>
                </w:tcPr>
                <w:p w:rsidR="00A5516C" w:rsidRPr="00D108F3" w:rsidRDefault="004C6327" w:rsidP="00B84CAB">
                  <w:pPr>
                    <w:pStyle w:val="naisf"/>
                    <w:spacing w:before="0" w:after="0"/>
                    <w:ind w:firstLine="0"/>
                    <w:jc w:val="center"/>
                  </w:pPr>
                  <w:r>
                    <w:t>29,2</w:t>
                  </w:r>
                </w:p>
              </w:tc>
              <w:tc>
                <w:tcPr>
                  <w:tcW w:w="1259" w:type="dxa"/>
                  <w:shd w:val="clear" w:color="auto" w:fill="auto"/>
                  <w:vAlign w:val="center"/>
                </w:tcPr>
                <w:p w:rsidR="00A5516C" w:rsidRPr="00D108F3" w:rsidRDefault="00A5516C" w:rsidP="00B84CAB">
                  <w:pPr>
                    <w:pStyle w:val="naisf"/>
                    <w:spacing w:before="0" w:after="0"/>
                    <w:ind w:firstLine="0"/>
                    <w:jc w:val="center"/>
                  </w:pPr>
                  <w:r w:rsidRPr="00D108F3">
                    <w:t>0</w:t>
                  </w:r>
                </w:p>
              </w:tc>
              <w:tc>
                <w:tcPr>
                  <w:tcW w:w="1354" w:type="dxa"/>
                  <w:shd w:val="clear" w:color="auto" w:fill="auto"/>
                  <w:vAlign w:val="center"/>
                </w:tcPr>
                <w:p w:rsidR="00A5516C" w:rsidRPr="00D108F3" w:rsidRDefault="00A5516C" w:rsidP="00B84CAB">
                  <w:pPr>
                    <w:pStyle w:val="naisf"/>
                    <w:spacing w:before="0" w:after="0"/>
                    <w:ind w:firstLine="0"/>
                    <w:jc w:val="center"/>
                  </w:pPr>
                  <w:r w:rsidRPr="00D108F3">
                    <w:t>0</w:t>
                  </w:r>
                </w:p>
              </w:tc>
              <w:tc>
                <w:tcPr>
                  <w:tcW w:w="1358" w:type="dxa"/>
                  <w:shd w:val="clear" w:color="auto" w:fill="auto"/>
                  <w:vAlign w:val="center"/>
                </w:tcPr>
                <w:p w:rsidR="00A5516C" w:rsidRPr="00D108F3" w:rsidRDefault="00A5516C" w:rsidP="00B84CAB">
                  <w:pPr>
                    <w:pStyle w:val="naisf"/>
                    <w:spacing w:before="0" w:after="0"/>
                    <w:ind w:firstLine="0"/>
                    <w:jc w:val="center"/>
                  </w:pPr>
                  <w:r w:rsidRPr="00D108F3">
                    <w:t>0</w:t>
                  </w:r>
                </w:p>
              </w:tc>
            </w:tr>
            <w:tr w:rsidR="00B84CAB" w:rsidRPr="00D108F3" w:rsidTr="003921DD">
              <w:trPr>
                <w:trHeight w:val="317"/>
                <w:jc w:val="center"/>
              </w:trPr>
              <w:tc>
                <w:tcPr>
                  <w:tcW w:w="2662" w:type="dxa"/>
                  <w:vAlign w:val="center"/>
                </w:tcPr>
                <w:p w:rsidR="00A5516C" w:rsidRPr="00D108F3" w:rsidRDefault="00A5516C" w:rsidP="00B84CAB">
                  <w:pPr>
                    <w:rPr>
                      <w:rFonts w:ascii="Times New Roman" w:hAnsi="Times New Roman" w:cs="Times New Roman"/>
                      <w:sz w:val="24"/>
                      <w:szCs w:val="24"/>
                    </w:rPr>
                  </w:pPr>
                  <w:r w:rsidRPr="00D108F3">
                    <w:rPr>
                      <w:rFonts w:ascii="Times New Roman" w:hAnsi="Times New Roman" w:cs="Times New Roman"/>
                      <w:sz w:val="24"/>
                      <w:szCs w:val="24"/>
                    </w:rPr>
                    <w:t xml:space="preserve">2.1. valsts </w:t>
                  </w:r>
                  <w:r w:rsidR="00B84CAB" w:rsidRPr="00D108F3">
                    <w:rPr>
                      <w:rFonts w:ascii="Times New Roman" w:hAnsi="Times New Roman" w:cs="Times New Roman"/>
                      <w:sz w:val="24"/>
                      <w:szCs w:val="24"/>
                    </w:rPr>
                    <w:t>p</w:t>
                  </w:r>
                  <w:r w:rsidRPr="00D108F3">
                    <w:rPr>
                      <w:rFonts w:ascii="Times New Roman" w:hAnsi="Times New Roman" w:cs="Times New Roman"/>
                      <w:sz w:val="24"/>
                      <w:szCs w:val="24"/>
                    </w:rPr>
                    <w:t>amatbudžets</w:t>
                  </w:r>
                </w:p>
              </w:tc>
              <w:tc>
                <w:tcPr>
                  <w:tcW w:w="1056" w:type="dxa"/>
                  <w:vAlign w:val="center"/>
                </w:tcPr>
                <w:p w:rsidR="00A5516C" w:rsidRPr="00D108F3" w:rsidRDefault="00A5516C" w:rsidP="00B84CAB">
                  <w:pPr>
                    <w:pStyle w:val="naisf"/>
                    <w:spacing w:before="0" w:after="0"/>
                    <w:ind w:firstLine="0"/>
                    <w:jc w:val="center"/>
                  </w:pPr>
                  <w:r w:rsidRPr="00D108F3">
                    <w:t>0</w:t>
                  </w:r>
                </w:p>
              </w:tc>
              <w:tc>
                <w:tcPr>
                  <w:tcW w:w="1361" w:type="dxa"/>
                  <w:vAlign w:val="center"/>
                </w:tcPr>
                <w:p w:rsidR="00A5516C" w:rsidRPr="00D108F3" w:rsidRDefault="004C6327" w:rsidP="00B84CAB">
                  <w:pPr>
                    <w:pStyle w:val="naisf"/>
                    <w:spacing w:before="0" w:after="0"/>
                    <w:ind w:firstLine="0"/>
                    <w:jc w:val="center"/>
                  </w:pPr>
                  <w:r>
                    <w:t>29,2</w:t>
                  </w:r>
                </w:p>
              </w:tc>
              <w:tc>
                <w:tcPr>
                  <w:tcW w:w="1259" w:type="dxa"/>
                  <w:shd w:val="clear" w:color="auto" w:fill="auto"/>
                  <w:vAlign w:val="center"/>
                </w:tcPr>
                <w:p w:rsidR="00A5516C" w:rsidRPr="00D108F3" w:rsidRDefault="00A5516C" w:rsidP="00B84CAB">
                  <w:pPr>
                    <w:pStyle w:val="naisf"/>
                    <w:spacing w:before="0" w:after="0"/>
                    <w:ind w:firstLine="0"/>
                    <w:jc w:val="center"/>
                  </w:pPr>
                  <w:r w:rsidRPr="00D108F3">
                    <w:t>0</w:t>
                  </w:r>
                </w:p>
              </w:tc>
              <w:tc>
                <w:tcPr>
                  <w:tcW w:w="1354" w:type="dxa"/>
                  <w:shd w:val="clear" w:color="auto" w:fill="auto"/>
                  <w:vAlign w:val="center"/>
                </w:tcPr>
                <w:p w:rsidR="00A5516C" w:rsidRPr="00D108F3" w:rsidRDefault="00A5516C" w:rsidP="00B84CAB">
                  <w:pPr>
                    <w:pStyle w:val="naisf"/>
                    <w:spacing w:before="0" w:after="0"/>
                    <w:ind w:firstLine="0"/>
                    <w:jc w:val="center"/>
                  </w:pPr>
                  <w:r w:rsidRPr="00D108F3">
                    <w:t>0</w:t>
                  </w:r>
                </w:p>
              </w:tc>
              <w:tc>
                <w:tcPr>
                  <w:tcW w:w="1358" w:type="dxa"/>
                  <w:shd w:val="clear" w:color="auto" w:fill="auto"/>
                  <w:vAlign w:val="center"/>
                </w:tcPr>
                <w:p w:rsidR="00A5516C" w:rsidRPr="00D108F3" w:rsidRDefault="00A5516C" w:rsidP="00B84CAB">
                  <w:pPr>
                    <w:pStyle w:val="naisf"/>
                    <w:spacing w:before="0" w:after="0"/>
                    <w:ind w:firstLine="0"/>
                    <w:jc w:val="center"/>
                  </w:pPr>
                  <w:r w:rsidRPr="00D108F3">
                    <w:t>0</w:t>
                  </w:r>
                </w:p>
              </w:tc>
            </w:tr>
            <w:tr w:rsidR="00B84CAB" w:rsidRPr="00D108F3" w:rsidTr="003921DD">
              <w:trPr>
                <w:trHeight w:val="491"/>
                <w:jc w:val="center"/>
              </w:trPr>
              <w:tc>
                <w:tcPr>
                  <w:tcW w:w="2662" w:type="dxa"/>
                </w:tcPr>
                <w:p w:rsidR="00A5516C" w:rsidRPr="00D108F3" w:rsidRDefault="00882D7A" w:rsidP="00882D7A">
                  <w:pPr>
                    <w:rPr>
                      <w:rFonts w:ascii="Times New Roman" w:hAnsi="Times New Roman" w:cs="Times New Roman"/>
                      <w:sz w:val="24"/>
                      <w:szCs w:val="24"/>
                    </w:rPr>
                  </w:pPr>
                  <w:r w:rsidRPr="00D108F3">
                    <w:rPr>
                      <w:rFonts w:ascii="Times New Roman" w:hAnsi="Times New Roman" w:cs="Times New Roman"/>
                      <w:sz w:val="24"/>
                      <w:szCs w:val="24"/>
                    </w:rPr>
                    <w:t>2.2. valsts speciālais b</w:t>
                  </w:r>
                  <w:r w:rsidR="00A5516C" w:rsidRPr="00D108F3">
                    <w:rPr>
                      <w:rFonts w:ascii="Times New Roman" w:hAnsi="Times New Roman" w:cs="Times New Roman"/>
                      <w:sz w:val="24"/>
                      <w:szCs w:val="24"/>
                    </w:rPr>
                    <w:t>udžets</w:t>
                  </w:r>
                </w:p>
              </w:tc>
              <w:tc>
                <w:tcPr>
                  <w:tcW w:w="1056" w:type="dxa"/>
                  <w:vAlign w:val="center"/>
                </w:tcPr>
                <w:p w:rsidR="00A5516C" w:rsidRPr="00D108F3" w:rsidRDefault="00A5516C" w:rsidP="00C43B8E">
                  <w:pPr>
                    <w:pStyle w:val="naisf"/>
                    <w:spacing w:before="0" w:after="0"/>
                    <w:ind w:firstLine="0"/>
                    <w:jc w:val="center"/>
                    <w:rPr>
                      <w:b/>
                    </w:rPr>
                  </w:pPr>
                  <w:r w:rsidRPr="00D108F3">
                    <w:t>0</w:t>
                  </w:r>
                </w:p>
              </w:tc>
              <w:tc>
                <w:tcPr>
                  <w:tcW w:w="1361" w:type="dxa"/>
                  <w:vAlign w:val="center"/>
                </w:tcPr>
                <w:p w:rsidR="00A5516C" w:rsidRPr="00D108F3" w:rsidRDefault="00A5516C" w:rsidP="00C43B8E">
                  <w:pPr>
                    <w:pStyle w:val="naisf"/>
                    <w:spacing w:before="0" w:after="0"/>
                    <w:ind w:firstLine="0"/>
                    <w:jc w:val="center"/>
                    <w:rPr>
                      <w:b/>
                    </w:rPr>
                  </w:pPr>
                  <w:r w:rsidRPr="00D108F3">
                    <w:t>0</w:t>
                  </w:r>
                </w:p>
              </w:tc>
              <w:tc>
                <w:tcPr>
                  <w:tcW w:w="1259"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4"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8"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A5516C" w:rsidRPr="00D108F3" w:rsidRDefault="00A5516C" w:rsidP="00C43B8E">
                  <w:pPr>
                    <w:rPr>
                      <w:rFonts w:ascii="Times New Roman" w:hAnsi="Times New Roman" w:cs="Times New Roman"/>
                      <w:sz w:val="24"/>
                      <w:szCs w:val="24"/>
                    </w:rPr>
                  </w:pPr>
                  <w:r w:rsidRPr="00D108F3">
                    <w:rPr>
                      <w:rFonts w:ascii="Times New Roman" w:hAnsi="Times New Roman" w:cs="Times New Roman"/>
                      <w:sz w:val="24"/>
                      <w:szCs w:val="24"/>
                    </w:rPr>
                    <w:t xml:space="preserve">2.3. pašvaldību budžets </w:t>
                  </w:r>
                </w:p>
              </w:tc>
              <w:tc>
                <w:tcPr>
                  <w:tcW w:w="1056" w:type="dxa"/>
                  <w:vAlign w:val="center"/>
                </w:tcPr>
                <w:p w:rsidR="00A5516C" w:rsidRPr="00D108F3" w:rsidRDefault="00A5516C" w:rsidP="00C43B8E">
                  <w:pPr>
                    <w:pStyle w:val="naisf"/>
                    <w:spacing w:before="0" w:after="0"/>
                    <w:ind w:firstLine="0"/>
                    <w:jc w:val="center"/>
                    <w:rPr>
                      <w:b/>
                    </w:rPr>
                  </w:pPr>
                  <w:r w:rsidRPr="00D108F3">
                    <w:t>0</w:t>
                  </w:r>
                </w:p>
              </w:tc>
              <w:tc>
                <w:tcPr>
                  <w:tcW w:w="1361" w:type="dxa"/>
                  <w:vAlign w:val="center"/>
                </w:tcPr>
                <w:p w:rsidR="00A5516C" w:rsidRPr="00D108F3" w:rsidRDefault="00A5516C" w:rsidP="00C43B8E">
                  <w:pPr>
                    <w:pStyle w:val="naisf"/>
                    <w:spacing w:before="0" w:after="0"/>
                    <w:ind w:firstLine="0"/>
                    <w:jc w:val="center"/>
                    <w:rPr>
                      <w:b/>
                    </w:rPr>
                  </w:pPr>
                  <w:r w:rsidRPr="00D108F3">
                    <w:t>0</w:t>
                  </w:r>
                </w:p>
              </w:tc>
              <w:tc>
                <w:tcPr>
                  <w:tcW w:w="1259"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4"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8"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A5516C" w:rsidRPr="00D108F3" w:rsidRDefault="00A5516C" w:rsidP="00C43B8E">
                  <w:pPr>
                    <w:rPr>
                      <w:rFonts w:ascii="Times New Roman" w:hAnsi="Times New Roman" w:cs="Times New Roman"/>
                      <w:sz w:val="24"/>
                      <w:szCs w:val="24"/>
                    </w:rPr>
                  </w:pPr>
                  <w:r w:rsidRPr="00D108F3">
                    <w:rPr>
                      <w:rFonts w:ascii="Times New Roman" w:hAnsi="Times New Roman" w:cs="Times New Roman"/>
                      <w:sz w:val="24"/>
                      <w:szCs w:val="24"/>
                    </w:rPr>
                    <w:t>3. Finansiālā ietekme:</w:t>
                  </w:r>
                </w:p>
              </w:tc>
              <w:tc>
                <w:tcPr>
                  <w:tcW w:w="1056" w:type="dxa"/>
                  <w:shd w:val="clear" w:color="auto" w:fill="auto"/>
                  <w:vAlign w:val="center"/>
                </w:tcPr>
                <w:p w:rsidR="00A5516C" w:rsidRPr="00D108F3" w:rsidRDefault="00A5516C" w:rsidP="00B84CAB">
                  <w:pPr>
                    <w:pStyle w:val="naisf"/>
                    <w:spacing w:before="0" w:after="0"/>
                    <w:ind w:firstLine="0"/>
                    <w:jc w:val="center"/>
                  </w:pPr>
                  <w:r w:rsidRPr="00D108F3">
                    <w:t>0</w:t>
                  </w:r>
                </w:p>
              </w:tc>
              <w:tc>
                <w:tcPr>
                  <w:tcW w:w="1361" w:type="dxa"/>
                  <w:vAlign w:val="center"/>
                </w:tcPr>
                <w:p w:rsidR="00A5516C" w:rsidRPr="00D108F3" w:rsidRDefault="00882D7A" w:rsidP="004C6327">
                  <w:pPr>
                    <w:pStyle w:val="naisf"/>
                    <w:spacing w:before="0" w:after="0"/>
                    <w:ind w:firstLine="0"/>
                    <w:jc w:val="center"/>
                  </w:pPr>
                  <w:r w:rsidRPr="00D108F3">
                    <w:t>-</w:t>
                  </w:r>
                  <w:r w:rsidR="004C6327">
                    <w:t>29,2</w:t>
                  </w:r>
                </w:p>
              </w:tc>
              <w:tc>
                <w:tcPr>
                  <w:tcW w:w="1259" w:type="dxa"/>
                  <w:shd w:val="clear" w:color="auto" w:fill="auto"/>
                  <w:vAlign w:val="center"/>
                </w:tcPr>
                <w:p w:rsidR="00A5516C" w:rsidRPr="00D108F3" w:rsidRDefault="00A5516C" w:rsidP="00B84CAB">
                  <w:pPr>
                    <w:pStyle w:val="naisf"/>
                    <w:spacing w:before="0" w:after="0"/>
                    <w:ind w:firstLine="0"/>
                    <w:jc w:val="center"/>
                  </w:pPr>
                  <w:r w:rsidRPr="00D108F3">
                    <w:t>0</w:t>
                  </w:r>
                </w:p>
              </w:tc>
              <w:tc>
                <w:tcPr>
                  <w:tcW w:w="1354" w:type="dxa"/>
                  <w:shd w:val="clear" w:color="auto" w:fill="auto"/>
                  <w:vAlign w:val="center"/>
                </w:tcPr>
                <w:p w:rsidR="00A5516C" w:rsidRPr="00D108F3" w:rsidRDefault="00A5516C" w:rsidP="00B84CAB">
                  <w:pPr>
                    <w:pStyle w:val="naisf"/>
                    <w:spacing w:before="0" w:after="0"/>
                    <w:ind w:firstLine="0"/>
                    <w:jc w:val="center"/>
                  </w:pPr>
                  <w:r w:rsidRPr="00D108F3">
                    <w:t>0</w:t>
                  </w:r>
                </w:p>
              </w:tc>
              <w:tc>
                <w:tcPr>
                  <w:tcW w:w="1358" w:type="dxa"/>
                  <w:shd w:val="clear" w:color="auto" w:fill="auto"/>
                  <w:vAlign w:val="center"/>
                </w:tcPr>
                <w:p w:rsidR="00A5516C" w:rsidRPr="00D108F3" w:rsidRDefault="00A5516C" w:rsidP="00B84CAB">
                  <w:pPr>
                    <w:pStyle w:val="naisf"/>
                    <w:spacing w:before="0" w:after="0"/>
                    <w:ind w:firstLine="0"/>
                    <w:jc w:val="center"/>
                  </w:pPr>
                  <w:r w:rsidRPr="00D108F3">
                    <w:t>0</w:t>
                  </w:r>
                </w:p>
              </w:tc>
            </w:tr>
            <w:tr w:rsidR="00B84CAB" w:rsidRPr="00D108F3" w:rsidTr="003921DD">
              <w:trPr>
                <w:jc w:val="center"/>
              </w:trPr>
              <w:tc>
                <w:tcPr>
                  <w:tcW w:w="2662" w:type="dxa"/>
                </w:tcPr>
                <w:p w:rsidR="00A5516C" w:rsidRPr="00D108F3" w:rsidRDefault="00A5516C" w:rsidP="00C43B8E">
                  <w:pPr>
                    <w:rPr>
                      <w:rFonts w:ascii="Times New Roman" w:hAnsi="Times New Roman" w:cs="Times New Roman"/>
                      <w:sz w:val="24"/>
                      <w:szCs w:val="24"/>
                    </w:rPr>
                  </w:pPr>
                  <w:r w:rsidRPr="00D108F3">
                    <w:rPr>
                      <w:rFonts w:ascii="Times New Roman" w:hAnsi="Times New Roman" w:cs="Times New Roman"/>
                      <w:sz w:val="24"/>
                      <w:szCs w:val="24"/>
                    </w:rPr>
                    <w:t>3.1. valsts pamatbudžets</w:t>
                  </w:r>
                </w:p>
              </w:tc>
              <w:tc>
                <w:tcPr>
                  <w:tcW w:w="1056" w:type="dxa"/>
                  <w:shd w:val="clear" w:color="auto" w:fill="auto"/>
                  <w:vAlign w:val="center"/>
                </w:tcPr>
                <w:p w:rsidR="00A5516C" w:rsidRPr="00D108F3" w:rsidRDefault="00A5516C" w:rsidP="00C43B8E">
                  <w:pPr>
                    <w:pStyle w:val="naisf"/>
                    <w:spacing w:before="0" w:after="0"/>
                    <w:ind w:firstLine="0"/>
                    <w:jc w:val="center"/>
                  </w:pPr>
                  <w:r w:rsidRPr="00D108F3">
                    <w:t>0</w:t>
                  </w:r>
                </w:p>
              </w:tc>
              <w:tc>
                <w:tcPr>
                  <w:tcW w:w="1361" w:type="dxa"/>
                  <w:vAlign w:val="center"/>
                </w:tcPr>
                <w:p w:rsidR="00A5516C" w:rsidRPr="00D108F3" w:rsidRDefault="00BB6D02" w:rsidP="004C6327">
                  <w:pPr>
                    <w:pStyle w:val="naisf"/>
                    <w:spacing w:before="0" w:after="0"/>
                    <w:ind w:firstLine="0"/>
                    <w:jc w:val="center"/>
                    <w:rPr>
                      <w:b/>
                    </w:rPr>
                  </w:pPr>
                  <w:r w:rsidRPr="00D108F3">
                    <w:t>-</w:t>
                  </w:r>
                  <w:r w:rsidR="004C6327">
                    <w:t>29,2</w:t>
                  </w:r>
                </w:p>
              </w:tc>
              <w:tc>
                <w:tcPr>
                  <w:tcW w:w="1259"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4"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8"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A5516C" w:rsidRPr="00D108F3" w:rsidRDefault="00A5516C" w:rsidP="00C43B8E">
                  <w:pPr>
                    <w:rPr>
                      <w:rFonts w:ascii="Times New Roman" w:hAnsi="Times New Roman" w:cs="Times New Roman"/>
                      <w:sz w:val="24"/>
                      <w:szCs w:val="24"/>
                    </w:rPr>
                  </w:pPr>
                  <w:r w:rsidRPr="00D108F3">
                    <w:rPr>
                      <w:rFonts w:ascii="Times New Roman" w:hAnsi="Times New Roman" w:cs="Times New Roman"/>
                      <w:sz w:val="24"/>
                      <w:szCs w:val="24"/>
                    </w:rPr>
                    <w:t>3.2. speciālais budžets</w:t>
                  </w:r>
                </w:p>
              </w:tc>
              <w:tc>
                <w:tcPr>
                  <w:tcW w:w="1056" w:type="dxa"/>
                  <w:shd w:val="clear" w:color="auto" w:fill="auto"/>
                  <w:vAlign w:val="center"/>
                </w:tcPr>
                <w:p w:rsidR="00A5516C" w:rsidRPr="00D108F3" w:rsidRDefault="00A5516C" w:rsidP="00C43B8E">
                  <w:pPr>
                    <w:pStyle w:val="naisf"/>
                    <w:spacing w:before="0" w:after="0"/>
                    <w:ind w:firstLine="0"/>
                    <w:jc w:val="center"/>
                  </w:pPr>
                  <w:r w:rsidRPr="00D108F3">
                    <w:t>0</w:t>
                  </w:r>
                </w:p>
              </w:tc>
              <w:tc>
                <w:tcPr>
                  <w:tcW w:w="1361" w:type="dxa"/>
                  <w:vAlign w:val="center"/>
                </w:tcPr>
                <w:p w:rsidR="00A5516C" w:rsidRPr="00D108F3" w:rsidRDefault="00A5516C" w:rsidP="00C43B8E">
                  <w:pPr>
                    <w:pStyle w:val="naisf"/>
                    <w:spacing w:before="0" w:after="0"/>
                    <w:ind w:firstLine="0"/>
                    <w:jc w:val="center"/>
                    <w:rPr>
                      <w:b/>
                    </w:rPr>
                  </w:pPr>
                  <w:r w:rsidRPr="00D108F3">
                    <w:t>0</w:t>
                  </w:r>
                </w:p>
              </w:tc>
              <w:tc>
                <w:tcPr>
                  <w:tcW w:w="1259"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4"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8"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A5516C" w:rsidRPr="00D108F3" w:rsidRDefault="00A5516C" w:rsidP="00C43B8E">
                  <w:pPr>
                    <w:rPr>
                      <w:rFonts w:ascii="Times New Roman" w:hAnsi="Times New Roman" w:cs="Times New Roman"/>
                      <w:sz w:val="24"/>
                      <w:szCs w:val="24"/>
                    </w:rPr>
                  </w:pPr>
                  <w:r w:rsidRPr="00D108F3">
                    <w:rPr>
                      <w:rFonts w:ascii="Times New Roman" w:hAnsi="Times New Roman" w:cs="Times New Roman"/>
                      <w:sz w:val="24"/>
                      <w:szCs w:val="24"/>
                    </w:rPr>
                    <w:t xml:space="preserve">3.3. pašvaldību budžets </w:t>
                  </w:r>
                </w:p>
              </w:tc>
              <w:tc>
                <w:tcPr>
                  <w:tcW w:w="1056" w:type="dxa"/>
                  <w:shd w:val="clear" w:color="auto" w:fill="auto"/>
                  <w:vAlign w:val="center"/>
                </w:tcPr>
                <w:p w:rsidR="00A5516C" w:rsidRPr="00D108F3" w:rsidRDefault="00A5516C" w:rsidP="00C43B8E">
                  <w:pPr>
                    <w:pStyle w:val="naisf"/>
                    <w:spacing w:before="0" w:after="0"/>
                    <w:ind w:firstLine="0"/>
                    <w:jc w:val="center"/>
                  </w:pPr>
                  <w:r w:rsidRPr="00D108F3">
                    <w:t>0</w:t>
                  </w:r>
                </w:p>
              </w:tc>
              <w:tc>
                <w:tcPr>
                  <w:tcW w:w="1361" w:type="dxa"/>
                  <w:vAlign w:val="center"/>
                </w:tcPr>
                <w:p w:rsidR="00A5516C" w:rsidRPr="00D108F3" w:rsidRDefault="00A5516C" w:rsidP="00C43B8E">
                  <w:pPr>
                    <w:pStyle w:val="naisf"/>
                    <w:spacing w:before="0" w:after="0"/>
                    <w:ind w:firstLine="0"/>
                    <w:jc w:val="center"/>
                    <w:rPr>
                      <w:b/>
                    </w:rPr>
                  </w:pPr>
                  <w:r w:rsidRPr="00D108F3">
                    <w:t>0</w:t>
                  </w:r>
                </w:p>
              </w:tc>
              <w:tc>
                <w:tcPr>
                  <w:tcW w:w="1259"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4"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c>
                <w:tcPr>
                  <w:tcW w:w="1358" w:type="dxa"/>
                  <w:shd w:val="clear" w:color="auto" w:fill="auto"/>
                  <w:vAlign w:val="center"/>
                </w:tcPr>
                <w:p w:rsidR="00A5516C" w:rsidRPr="00D108F3" w:rsidRDefault="00A5516C" w:rsidP="00C43B8E">
                  <w:pPr>
                    <w:pStyle w:val="naisf"/>
                    <w:spacing w:before="0" w:after="0"/>
                    <w:ind w:firstLine="0"/>
                    <w:jc w:val="center"/>
                    <w:rPr>
                      <w:b/>
                    </w:rPr>
                  </w:pPr>
                  <w:r w:rsidRPr="00D108F3">
                    <w:t>0</w:t>
                  </w:r>
                </w:p>
              </w:tc>
            </w:tr>
            <w:tr w:rsidR="00B84CAB" w:rsidRPr="00D108F3" w:rsidTr="003921DD">
              <w:trPr>
                <w:trHeight w:val="780"/>
                <w:jc w:val="center"/>
              </w:trPr>
              <w:tc>
                <w:tcPr>
                  <w:tcW w:w="2662" w:type="dxa"/>
                  <w:vMerge w:val="restart"/>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t>4. Finanšu līdzekļi papildu izde</w:t>
                  </w:r>
                  <w:r w:rsidRPr="00D108F3">
                    <w:rPr>
                      <w:rFonts w:ascii="Times New Roman" w:hAnsi="Times New Roman" w:cs="Times New Roman"/>
                      <w:sz w:val="24"/>
                      <w:szCs w:val="24"/>
                    </w:rPr>
                    <w:softHyphen/>
                    <w:t>vumu finansēšanai (kompensējošu izdevumu samazinājumu norāda ar "+" zīmi)</w:t>
                  </w:r>
                </w:p>
              </w:tc>
              <w:tc>
                <w:tcPr>
                  <w:tcW w:w="1056" w:type="dxa"/>
                  <w:vMerge w:val="restart"/>
                  <w:vAlign w:val="center"/>
                </w:tcPr>
                <w:p w:rsidR="00B84CAB" w:rsidRPr="00D108F3" w:rsidRDefault="00B84CAB" w:rsidP="00C43B8E">
                  <w:pPr>
                    <w:pStyle w:val="naisf"/>
                    <w:spacing w:before="0" w:after="0"/>
                    <w:ind w:firstLine="0"/>
                    <w:jc w:val="center"/>
                  </w:pPr>
                  <w:r w:rsidRPr="00D108F3">
                    <w:t>X</w:t>
                  </w:r>
                </w:p>
              </w:tc>
              <w:tc>
                <w:tcPr>
                  <w:tcW w:w="1361" w:type="dxa"/>
                  <w:vMerge w:val="restart"/>
                  <w:vAlign w:val="center"/>
                </w:tcPr>
                <w:p w:rsidR="00B84CAB" w:rsidRPr="00D108F3" w:rsidRDefault="004C6327" w:rsidP="00C43B8E">
                  <w:pPr>
                    <w:pStyle w:val="naisf"/>
                    <w:spacing w:before="0" w:after="0"/>
                    <w:ind w:firstLine="0"/>
                    <w:jc w:val="center"/>
                  </w:pPr>
                  <w:r>
                    <w:t>29,2</w:t>
                  </w:r>
                </w:p>
              </w:tc>
              <w:tc>
                <w:tcPr>
                  <w:tcW w:w="1259" w:type="dxa"/>
                  <w:shd w:val="clear" w:color="auto" w:fill="auto"/>
                  <w:vAlign w:val="center"/>
                </w:tcPr>
                <w:p w:rsidR="00B84CAB" w:rsidRPr="00D108F3" w:rsidRDefault="00B84CAB" w:rsidP="00C43B8E">
                  <w:pPr>
                    <w:pStyle w:val="naisf"/>
                    <w:spacing w:before="0" w:after="0"/>
                    <w:ind w:firstLine="0"/>
                    <w:jc w:val="center"/>
                    <w:rPr>
                      <w:b/>
                    </w:rPr>
                  </w:pPr>
                  <w:r w:rsidRPr="00D108F3">
                    <w:t>0</w:t>
                  </w:r>
                </w:p>
              </w:tc>
              <w:tc>
                <w:tcPr>
                  <w:tcW w:w="1354" w:type="dxa"/>
                  <w:shd w:val="clear" w:color="auto" w:fill="auto"/>
                  <w:vAlign w:val="center"/>
                </w:tcPr>
                <w:p w:rsidR="00B84CAB" w:rsidRPr="00D108F3" w:rsidRDefault="00B84CAB" w:rsidP="00C43B8E">
                  <w:pPr>
                    <w:pStyle w:val="naisf"/>
                    <w:spacing w:before="0" w:after="0"/>
                    <w:ind w:firstLine="0"/>
                    <w:jc w:val="center"/>
                    <w:rPr>
                      <w:b/>
                    </w:rPr>
                  </w:pPr>
                  <w:r w:rsidRPr="00D108F3">
                    <w:t>0</w:t>
                  </w:r>
                </w:p>
              </w:tc>
              <w:tc>
                <w:tcPr>
                  <w:tcW w:w="1358" w:type="dxa"/>
                  <w:shd w:val="clear" w:color="auto" w:fill="auto"/>
                  <w:vAlign w:val="center"/>
                </w:tcPr>
                <w:p w:rsidR="00B84CAB" w:rsidRPr="00D108F3" w:rsidRDefault="00B84CAB" w:rsidP="00C43B8E">
                  <w:pPr>
                    <w:pStyle w:val="naisf"/>
                    <w:spacing w:before="0" w:after="0"/>
                    <w:ind w:firstLine="0"/>
                    <w:jc w:val="center"/>
                    <w:rPr>
                      <w:b/>
                    </w:rPr>
                  </w:pPr>
                  <w:r w:rsidRPr="00D108F3">
                    <w:t>0</w:t>
                  </w:r>
                </w:p>
              </w:tc>
            </w:tr>
            <w:tr w:rsidR="00B84CAB" w:rsidRPr="00D108F3" w:rsidTr="003921DD">
              <w:trPr>
                <w:trHeight w:val="832"/>
                <w:jc w:val="center"/>
              </w:trPr>
              <w:tc>
                <w:tcPr>
                  <w:tcW w:w="2662" w:type="dxa"/>
                  <w:vMerge/>
                </w:tcPr>
                <w:p w:rsidR="00B84CAB" w:rsidRPr="00D108F3" w:rsidRDefault="00B84CAB" w:rsidP="00C43B8E">
                  <w:pPr>
                    <w:rPr>
                      <w:rFonts w:ascii="Times New Roman" w:hAnsi="Times New Roman" w:cs="Times New Roman"/>
                      <w:sz w:val="24"/>
                      <w:szCs w:val="24"/>
                    </w:rPr>
                  </w:pPr>
                </w:p>
              </w:tc>
              <w:tc>
                <w:tcPr>
                  <w:tcW w:w="1056" w:type="dxa"/>
                  <w:vMerge/>
                </w:tcPr>
                <w:p w:rsidR="00B84CAB" w:rsidRPr="00D108F3" w:rsidRDefault="00B84CAB" w:rsidP="00C43B8E">
                  <w:pPr>
                    <w:pStyle w:val="Galvene"/>
                    <w:jc w:val="center"/>
                    <w:rPr>
                      <w:rFonts w:ascii="Times New Roman" w:hAnsi="Times New Roman" w:cs="Times New Roman"/>
                      <w:sz w:val="24"/>
                      <w:szCs w:val="24"/>
                    </w:rPr>
                  </w:pPr>
                </w:p>
              </w:tc>
              <w:tc>
                <w:tcPr>
                  <w:tcW w:w="1361" w:type="dxa"/>
                  <w:vMerge/>
                  <w:vAlign w:val="center"/>
                </w:tcPr>
                <w:p w:rsidR="00B84CAB" w:rsidRPr="00D108F3" w:rsidRDefault="00B84CAB" w:rsidP="00C43B8E">
                  <w:pPr>
                    <w:pStyle w:val="naisf"/>
                    <w:jc w:val="center"/>
                    <w:rPr>
                      <w:b/>
                    </w:rPr>
                  </w:pPr>
                </w:p>
              </w:tc>
              <w:tc>
                <w:tcPr>
                  <w:tcW w:w="1259" w:type="dxa"/>
                  <w:shd w:val="clear" w:color="auto" w:fill="auto"/>
                  <w:vAlign w:val="center"/>
                </w:tcPr>
                <w:p w:rsidR="00B84CAB" w:rsidRPr="00D108F3" w:rsidRDefault="00B84CAB" w:rsidP="00C43B8E">
                  <w:pPr>
                    <w:pStyle w:val="naisf"/>
                    <w:spacing w:before="0" w:after="0"/>
                    <w:ind w:firstLine="0"/>
                    <w:jc w:val="center"/>
                    <w:rPr>
                      <w:b/>
                    </w:rPr>
                  </w:pPr>
                  <w:r w:rsidRPr="00D108F3">
                    <w:t>0</w:t>
                  </w:r>
                </w:p>
              </w:tc>
              <w:tc>
                <w:tcPr>
                  <w:tcW w:w="1354" w:type="dxa"/>
                  <w:shd w:val="clear" w:color="auto" w:fill="auto"/>
                  <w:vAlign w:val="center"/>
                </w:tcPr>
                <w:p w:rsidR="00B84CAB" w:rsidRPr="00D108F3" w:rsidRDefault="00B84CAB" w:rsidP="00C43B8E">
                  <w:pPr>
                    <w:pStyle w:val="naisf"/>
                    <w:spacing w:before="0" w:after="0"/>
                    <w:ind w:firstLine="0"/>
                    <w:jc w:val="center"/>
                    <w:rPr>
                      <w:b/>
                    </w:rPr>
                  </w:pPr>
                  <w:r w:rsidRPr="00D108F3">
                    <w:t>0</w:t>
                  </w:r>
                </w:p>
              </w:tc>
              <w:tc>
                <w:tcPr>
                  <w:tcW w:w="1358" w:type="dxa"/>
                  <w:shd w:val="clear" w:color="auto" w:fill="auto"/>
                  <w:vAlign w:val="center"/>
                </w:tcPr>
                <w:p w:rsidR="00B84CAB" w:rsidRPr="00D108F3" w:rsidRDefault="00B84CAB" w:rsidP="00C43B8E">
                  <w:pPr>
                    <w:pStyle w:val="naisf"/>
                    <w:spacing w:before="0" w:after="0"/>
                    <w:ind w:firstLine="0"/>
                    <w:jc w:val="center"/>
                    <w:rPr>
                      <w:b/>
                    </w:rPr>
                  </w:pPr>
                  <w:r w:rsidRPr="00D108F3">
                    <w:t>0</w:t>
                  </w:r>
                </w:p>
              </w:tc>
            </w:tr>
            <w:tr w:rsidR="00B84CAB" w:rsidRPr="00D108F3" w:rsidTr="003921DD">
              <w:trPr>
                <w:trHeight w:val="698"/>
                <w:jc w:val="center"/>
              </w:trPr>
              <w:tc>
                <w:tcPr>
                  <w:tcW w:w="2662" w:type="dxa"/>
                  <w:vMerge/>
                  <w:tcBorders>
                    <w:bottom w:val="single" w:sz="4" w:space="0" w:color="auto"/>
                  </w:tcBorders>
                </w:tcPr>
                <w:p w:rsidR="00B84CAB" w:rsidRPr="00D108F3" w:rsidRDefault="00B84CAB" w:rsidP="00C43B8E">
                  <w:pPr>
                    <w:rPr>
                      <w:rFonts w:ascii="Times New Roman" w:hAnsi="Times New Roman" w:cs="Times New Roman"/>
                      <w:sz w:val="24"/>
                      <w:szCs w:val="24"/>
                    </w:rPr>
                  </w:pPr>
                </w:p>
              </w:tc>
              <w:tc>
                <w:tcPr>
                  <w:tcW w:w="1056" w:type="dxa"/>
                  <w:vMerge/>
                  <w:tcBorders>
                    <w:bottom w:val="single" w:sz="4" w:space="0" w:color="auto"/>
                  </w:tcBorders>
                </w:tcPr>
                <w:p w:rsidR="00B84CAB" w:rsidRPr="00D108F3" w:rsidRDefault="00B84CAB" w:rsidP="00C43B8E">
                  <w:pPr>
                    <w:pStyle w:val="Galvene"/>
                    <w:jc w:val="center"/>
                    <w:rPr>
                      <w:rFonts w:ascii="Times New Roman" w:hAnsi="Times New Roman" w:cs="Times New Roman"/>
                      <w:sz w:val="24"/>
                      <w:szCs w:val="24"/>
                    </w:rPr>
                  </w:pPr>
                </w:p>
              </w:tc>
              <w:tc>
                <w:tcPr>
                  <w:tcW w:w="1361" w:type="dxa"/>
                  <w:vMerge/>
                  <w:tcBorders>
                    <w:bottom w:val="single" w:sz="4" w:space="0" w:color="auto"/>
                  </w:tcBorders>
                  <w:vAlign w:val="center"/>
                </w:tcPr>
                <w:p w:rsidR="00B84CAB" w:rsidRPr="00D108F3" w:rsidRDefault="00B84CAB" w:rsidP="00C43B8E">
                  <w:pPr>
                    <w:pStyle w:val="naisf"/>
                    <w:spacing w:before="0" w:after="0"/>
                    <w:ind w:firstLine="0"/>
                    <w:jc w:val="center"/>
                    <w:rPr>
                      <w:b/>
                    </w:rPr>
                  </w:pPr>
                </w:p>
              </w:tc>
              <w:tc>
                <w:tcPr>
                  <w:tcW w:w="1259" w:type="dxa"/>
                  <w:tcBorders>
                    <w:bottom w:val="single" w:sz="4" w:space="0" w:color="auto"/>
                  </w:tcBorders>
                  <w:shd w:val="clear" w:color="auto" w:fill="auto"/>
                  <w:vAlign w:val="center"/>
                </w:tcPr>
                <w:p w:rsidR="00B84CAB" w:rsidRPr="00D108F3" w:rsidRDefault="00B84CAB" w:rsidP="00C43B8E">
                  <w:pPr>
                    <w:pStyle w:val="naisf"/>
                    <w:spacing w:before="0" w:after="0"/>
                    <w:ind w:firstLine="0"/>
                    <w:jc w:val="center"/>
                    <w:rPr>
                      <w:b/>
                    </w:rPr>
                  </w:pPr>
                  <w:r w:rsidRPr="00D108F3">
                    <w:t>0</w:t>
                  </w:r>
                </w:p>
              </w:tc>
              <w:tc>
                <w:tcPr>
                  <w:tcW w:w="1354" w:type="dxa"/>
                  <w:tcBorders>
                    <w:bottom w:val="single" w:sz="4" w:space="0" w:color="auto"/>
                  </w:tcBorders>
                  <w:shd w:val="clear" w:color="auto" w:fill="auto"/>
                  <w:vAlign w:val="center"/>
                </w:tcPr>
                <w:p w:rsidR="00B84CAB" w:rsidRPr="00D108F3" w:rsidRDefault="00B84CAB" w:rsidP="00C43B8E">
                  <w:pPr>
                    <w:pStyle w:val="naisf"/>
                    <w:spacing w:before="0" w:after="0"/>
                    <w:ind w:firstLine="0"/>
                    <w:jc w:val="center"/>
                    <w:rPr>
                      <w:b/>
                    </w:rPr>
                  </w:pPr>
                  <w:r w:rsidRPr="00D108F3">
                    <w:t>0</w:t>
                  </w:r>
                </w:p>
              </w:tc>
              <w:tc>
                <w:tcPr>
                  <w:tcW w:w="1358" w:type="dxa"/>
                  <w:tcBorders>
                    <w:bottom w:val="single" w:sz="4" w:space="0" w:color="auto"/>
                  </w:tcBorders>
                  <w:shd w:val="clear" w:color="auto" w:fill="auto"/>
                  <w:vAlign w:val="center"/>
                </w:tcPr>
                <w:p w:rsidR="00B84CAB" w:rsidRPr="00D108F3" w:rsidRDefault="00B84CAB" w:rsidP="00C43B8E">
                  <w:pPr>
                    <w:pStyle w:val="naisf"/>
                    <w:spacing w:before="0" w:after="0"/>
                    <w:ind w:firstLine="0"/>
                    <w:jc w:val="center"/>
                    <w:rPr>
                      <w:b/>
                    </w:rPr>
                  </w:pPr>
                  <w:r w:rsidRPr="00D108F3">
                    <w:t>0</w:t>
                  </w:r>
                </w:p>
              </w:tc>
            </w:tr>
            <w:tr w:rsidR="00B84CAB" w:rsidRPr="00D108F3" w:rsidTr="003921DD">
              <w:trPr>
                <w:trHeight w:val="603"/>
                <w:jc w:val="center"/>
              </w:trPr>
              <w:tc>
                <w:tcPr>
                  <w:tcW w:w="2662" w:type="dxa"/>
                  <w:tcBorders>
                    <w:top w:val="nil"/>
                    <w:bottom w:val="single" w:sz="4" w:space="0" w:color="auto"/>
                  </w:tcBorders>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t>5. Precizēta finansiālā ietekme:</w:t>
                  </w:r>
                </w:p>
              </w:tc>
              <w:tc>
                <w:tcPr>
                  <w:tcW w:w="1056" w:type="dxa"/>
                  <w:vMerge w:val="restart"/>
                  <w:tcBorders>
                    <w:top w:val="nil"/>
                  </w:tcBorders>
                  <w:vAlign w:val="center"/>
                </w:tcPr>
                <w:p w:rsidR="00B84CAB" w:rsidRPr="00D108F3" w:rsidRDefault="00B84CAB" w:rsidP="00C43B8E">
                  <w:pPr>
                    <w:pStyle w:val="Galvene"/>
                    <w:jc w:val="center"/>
                    <w:rPr>
                      <w:rFonts w:ascii="Times New Roman" w:hAnsi="Times New Roman" w:cs="Times New Roman"/>
                      <w:sz w:val="24"/>
                      <w:szCs w:val="24"/>
                    </w:rPr>
                  </w:pPr>
                  <w:r w:rsidRPr="00D108F3">
                    <w:rPr>
                      <w:rFonts w:ascii="Times New Roman" w:hAnsi="Times New Roman" w:cs="Times New Roman"/>
                      <w:sz w:val="24"/>
                      <w:szCs w:val="24"/>
                    </w:rPr>
                    <w:t>X</w:t>
                  </w:r>
                </w:p>
              </w:tc>
              <w:tc>
                <w:tcPr>
                  <w:tcW w:w="1361" w:type="dxa"/>
                  <w:tcBorders>
                    <w:top w:val="nil"/>
                    <w:bottom w:val="single" w:sz="4" w:space="0" w:color="auto"/>
                  </w:tcBorders>
                  <w:vAlign w:val="center"/>
                </w:tcPr>
                <w:p w:rsidR="00B84CAB" w:rsidRPr="00D108F3" w:rsidRDefault="00B84CAB" w:rsidP="00C43B8E">
                  <w:pPr>
                    <w:pStyle w:val="naislab"/>
                    <w:spacing w:before="0" w:after="0"/>
                    <w:jc w:val="center"/>
                  </w:pPr>
                  <w:r w:rsidRPr="00D108F3">
                    <w:t>0</w:t>
                  </w:r>
                </w:p>
              </w:tc>
              <w:tc>
                <w:tcPr>
                  <w:tcW w:w="1259" w:type="dxa"/>
                  <w:tcBorders>
                    <w:top w:val="nil"/>
                    <w:bottom w:val="single" w:sz="4" w:space="0" w:color="auto"/>
                  </w:tcBorders>
                  <w:vAlign w:val="center"/>
                </w:tcPr>
                <w:p w:rsidR="00B84CAB" w:rsidRPr="00D108F3" w:rsidRDefault="00B84CAB" w:rsidP="00C43B8E">
                  <w:pPr>
                    <w:pStyle w:val="naisf"/>
                    <w:spacing w:before="0" w:after="0"/>
                    <w:ind w:firstLine="0"/>
                    <w:jc w:val="center"/>
                  </w:pPr>
                  <w:r w:rsidRPr="00D108F3">
                    <w:t>0</w:t>
                  </w:r>
                </w:p>
              </w:tc>
              <w:tc>
                <w:tcPr>
                  <w:tcW w:w="1354" w:type="dxa"/>
                  <w:tcBorders>
                    <w:top w:val="nil"/>
                    <w:bottom w:val="single" w:sz="4" w:space="0" w:color="auto"/>
                  </w:tcBorders>
                  <w:vAlign w:val="center"/>
                </w:tcPr>
                <w:p w:rsidR="00B84CAB" w:rsidRPr="00D108F3" w:rsidRDefault="00B84CAB" w:rsidP="00C43B8E">
                  <w:pPr>
                    <w:pStyle w:val="naisf"/>
                    <w:spacing w:before="0" w:after="0"/>
                    <w:ind w:firstLine="0"/>
                    <w:jc w:val="center"/>
                  </w:pPr>
                  <w:r w:rsidRPr="00D108F3">
                    <w:t>0</w:t>
                  </w:r>
                </w:p>
              </w:tc>
              <w:tc>
                <w:tcPr>
                  <w:tcW w:w="1358" w:type="dxa"/>
                  <w:tcBorders>
                    <w:top w:val="nil"/>
                    <w:bottom w:val="single" w:sz="4" w:space="0" w:color="auto"/>
                  </w:tcBorders>
                  <w:vAlign w:val="center"/>
                </w:tcPr>
                <w:p w:rsidR="00B84CAB" w:rsidRPr="00D108F3" w:rsidRDefault="00B84CAB" w:rsidP="00C43B8E">
                  <w:pPr>
                    <w:pStyle w:val="Galvene"/>
                    <w:jc w:val="center"/>
                    <w:rPr>
                      <w:rFonts w:ascii="Times New Roman" w:hAnsi="Times New Roman" w:cs="Times New Roman"/>
                      <w:sz w:val="24"/>
                      <w:szCs w:val="24"/>
                    </w:rPr>
                  </w:pPr>
                  <w:r w:rsidRPr="00D108F3">
                    <w:rPr>
                      <w:rFonts w:ascii="Times New Roman" w:hAnsi="Times New Roman" w:cs="Times New Roman"/>
                      <w:sz w:val="24"/>
                      <w:szCs w:val="24"/>
                    </w:rPr>
                    <w:t>0</w:t>
                  </w:r>
                </w:p>
              </w:tc>
            </w:tr>
            <w:tr w:rsidR="00B84CAB" w:rsidRPr="00D108F3" w:rsidTr="003921DD">
              <w:trPr>
                <w:trHeight w:val="295"/>
                <w:jc w:val="center"/>
              </w:trPr>
              <w:tc>
                <w:tcPr>
                  <w:tcW w:w="2662" w:type="dxa"/>
                  <w:tcBorders>
                    <w:top w:val="nil"/>
                  </w:tcBorders>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lastRenderedPageBreak/>
                    <w:t>5.1. valsts pamatbudžets</w:t>
                  </w:r>
                </w:p>
              </w:tc>
              <w:tc>
                <w:tcPr>
                  <w:tcW w:w="1056" w:type="dxa"/>
                  <w:vMerge/>
                  <w:vAlign w:val="center"/>
                </w:tcPr>
                <w:p w:rsidR="00B84CAB" w:rsidRPr="00D108F3" w:rsidRDefault="00B84CAB" w:rsidP="00C43B8E">
                  <w:pPr>
                    <w:pStyle w:val="naisf"/>
                    <w:spacing w:before="0" w:after="0"/>
                    <w:ind w:firstLine="0"/>
                    <w:jc w:val="center"/>
                  </w:pPr>
                </w:p>
              </w:tc>
              <w:tc>
                <w:tcPr>
                  <w:tcW w:w="1361" w:type="dxa"/>
                  <w:tcBorders>
                    <w:top w:val="nil"/>
                  </w:tcBorders>
                  <w:vAlign w:val="center"/>
                </w:tcPr>
                <w:p w:rsidR="00B84CAB" w:rsidRPr="00D108F3" w:rsidRDefault="00B84CAB" w:rsidP="00C43B8E">
                  <w:pPr>
                    <w:pStyle w:val="naislab"/>
                    <w:spacing w:before="0" w:after="0"/>
                    <w:jc w:val="center"/>
                  </w:pPr>
                  <w:r w:rsidRPr="00D108F3">
                    <w:t>0</w:t>
                  </w:r>
                </w:p>
              </w:tc>
              <w:tc>
                <w:tcPr>
                  <w:tcW w:w="1259" w:type="dxa"/>
                  <w:tcBorders>
                    <w:top w:val="nil"/>
                  </w:tcBorders>
                  <w:vAlign w:val="center"/>
                </w:tcPr>
                <w:p w:rsidR="00B84CAB" w:rsidRPr="00D108F3" w:rsidRDefault="00B84CAB" w:rsidP="00C43B8E">
                  <w:pPr>
                    <w:pStyle w:val="naislab"/>
                    <w:spacing w:before="0" w:after="0"/>
                    <w:jc w:val="center"/>
                    <w:rPr>
                      <w:b/>
                    </w:rPr>
                  </w:pPr>
                  <w:r w:rsidRPr="00D108F3">
                    <w:t>0</w:t>
                  </w:r>
                </w:p>
              </w:tc>
              <w:tc>
                <w:tcPr>
                  <w:tcW w:w="1354" w:type="dxa"/>
                  <w:tcBorders>
                    <w:top w:val="nil"/>
                  </w:tcBorders>
                  <w:vAlign w:val="center"/>
                </w:tcPr>
                <w:p w:rsidR="00B84CAB" w:rsidRPr="00D108F3" w:rsidRDefault="00B84CAB" w:rsidP="00C43B8E">
                  <w:pPr>
                    <w:pStyle w:val="naislab"/>
                    <w:spacing w:before="0" w:after="0"/>
                    <w:jc w:val="center"/>
                    <w:rPr>
                      <w:b/>
                    </w:rPr>
                  </w:pPr>
                  <w:r w:rsidRPr="00D108F3">
                    <w:t>0</w:t>
                  </w:r>
                </w:p>
              </w:tc>
              <w:tc>
                <w:tcPr>
                  <w:tcW w:w="1358" w:type="dxa"/>
                  <w:tcBorders>
                    <w:top w:val="nil"/>
                  </w:tcBorders>
                  <w:vAlign w:val="center"/>
                </w:tcPr>
                <w:p w:rsidR="00B84CAB" w:rsidRPr="00D108F3" w:rsidRDefault="00B84CAB"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t>5.2. speciālais budžets</w:t>
                  </w:r>
                </w:p>
              </w:tc>
              <w:tc>
                <w:tcPr>
                  <w:tcW w:w="1056" w:type="dxa"/>
                  <w:vMerge/>
                  <w:vAlign w:val="center"/>
                </w:tcPr>
                <w:p w:rsidR="00B84CAB" w:rsidRPr="00D108F3" w:rsidRDefault="00B84CAB" w:rsidP="00C43B8E">
                  <w:pPr>
                    <w:pStyle w:val="naisf"/>
                    <w:spacing w:before="0" w:after="0"/>
                    <w:ind w:firstLine="0"/>
                    <w:jc w:val="center"/>
                  </w:pPr>
                </w:p>
              </w:tc>
              <w:tc>
                <w:tcPr>
                  <w:tcW w:w="1361" w:type="dxa"/>
                  <w:vAlign w:val="center"/>
                </w:tcPr>
                <w:p w:rsidR="00B84CAB" w:rsidRPr="00D108F3" w:rsidRDefault="00B84CAB" w:rsidP="00C43B8E">
                  <w:pPr>
                    <w:pStyle w:val="naisf"/>
                    <w:spacing w:before="0" w:after="0"/>
                    <w:ind w:firstLine="0"/>
                    <w:jc w:val="center"/>
                    <w:rPr>
                      <w:b/>
                    </w:rPr>
                  </w:pPr>
                  <w:r w:rsidRPr="00D108F3">
                    <w:t>0</w:t>
                  </w:r>
                </w:p>
              </w:tc>
              <w:tc>
                <w:tcPr>
                  <w:tcW w:w="1259" w:type="dxa"/>
                  <w:vAlign w:val="center"/>
                </w:tcPr>
                <w:p w:rsidR="00B84CAB" w:rsidRPr="00D108F3" w:rsidRDefault="00B84CAB" w:rsidP="00C43B8E">
                  <w:pPr>
                    <w:pStyle w:val="naisf"/>
                    <w:spacing w:before="0" w:after="0"/>
                    <w:ind w:firstLine="0"/>
                    <w:jc w:val="center"/>
                    <w:rPr>
                      <w:b/>
                    </w:rPr>
                  </w:pPr>
                  <w:r w:rsidRPr="00D108F3">
                    <w:t>0</w:t>
                  </w:r>
                </w:p>
              </w:tc>
              <w:tc>
                <w:tcPr>
                  <w:tcW w:w="1354" w:type="dxa"/>
                  <w:vAlign w:val="center"/>
                </w:tcPr>
                <w:p w:rsidR="00B84CAB" w:rsidRPr="00D108F3" w:rsidRDefault="00B84CAB" w:rsidP="00C43B8E">
                  <w:pPr>
                    <w:pStyle w:val="naisf"/>
                    <w:spacing w:before="0" w:after="0"/>
                    <w:ind w:firstLine="0"/>
                    <w:jc w:val="center"/>
                    <w:rPr>
                      <w:b/>
                    </w:rPr>
                  </w:pPr>
                  <w:r w:rsidRPr="00D108F3">
                    <w:t>0</w:t>
                  </w:r>
                </w:p>
              </w:tc>
              <w:tc>
                <w:tcPr>
                  <w:tcW w:w="1358" w:type="dxa"/>
                  <w:vAlign w:val="center"/>
                </w:tcPr>
                <w:p w:rsidR="00B84CAB" w:rsidRPr="00D108F3" w:rsidRDefault="00B84CAB"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t xml:space="preserve">5.3. pašvaldību budžets </w:t>
                  </w:r>
                </w:p>
              </w:tc>
              <w:tc>
                <w:tcPr>
                  <w:tcW w:w="1056" w:type="dxa"/>
                  <w:vMerge/>
                  <w:vAlign w:val="center"/>
                </w:tcPr>
                <w:p w:rsidR="00B84CAB" w:rsidRPr="00D108F3" w:rsidRDefault="00B84CAB" w:rsidP="00C43B8E">
                  <w:pPr>
                    <w:pStyle w:val="naisf"/>
                    <w:spacing w:before="0" w:after="0"/>
                    <w:ind w:firstLine="0"/>
                    <w:jc w:val="center"/>
                  </w:pPr>
                </w:p>
              </w:tc>
              <w:tc>
                <w:tcPr>
                  <w:tcW w:w="1361" w:type="dxa"/>
                  <w:vAlign w:val="center"/>
                </w:tcPr>
                <w:p w:rsidR="00B84CAB" w:rsidRPr="00D108F3" w:rsidRDefault="00B84CAB" w:rsidP="00C43B8E">
                  <w:pPr>
                    <w:pStyle w:val="naisf"/>
                    <w:spacing w:before="0" w:after="0"/>
                    <w:ind w:firstLine="0"/>
                    <w:jc w:val="center"/>
                    <w:rPr>
                      <w:b/>
                    </w:rPr>
                  </w:pPr>
                  <w:r w:rsidRPr="00D108F3">
                    <w:t>0</w:t>
                  </w:r>
                </w:p>
              </w:tc>
              <w:tc>
                <w:tcPr>
                  <w:tcW w:w="1259" w:type="dxa"/>
                  <w:vAlign w:val="center"/>
                </w:tcPr>
                <w:p w:rsidR="00B84CAB" w:rsidRPr="00D108F3" w:rsidRDefault="00B84CAB" w:rsidP="00C43B8E">
                  <w:pPr>
                    <w:pStyle w:val="naisf"/>
                    <w:spacing w:before="0" w:after="0"/>
                    <w:ind w:firstLine="0"/>
                    <w:jc w:val="center"/>
                    <w:rPr>
                      <w:b/>
                    </w:rPr>
                  </w:pPr>
                  <w:r w:rsidRPr="00D108F3">
                    <w:t>0</w:t>
                  </w:r>
                </w:p>
              </w:tc>
              <w:tc>
                <w:tcPr>
                  <w:tcW w:w="1354" w:type="dxa"/>
                  <w:vAlign w:val="center"/>
                </w:tcPr>
                <w:p w:rsidR="00B84CAB" w:rsidRPr="00D108F3" w:rsidRDefault="00B84CAB" w:rsidP="00C43B8E">
                  <w:pPr>
                    <w:pStyle w:val="naisf"/>
                    <w:spacing w:before="0" w:after="0"/>
                    <w:ind w:firstLine="0"/>
                    <w:jc w:val="center"/>
                    <w:rPr>
                      <w:b/>
                    </w:rPr>
                  </w:pPr>
                  <w:r w:rsidRPr="00D108F3">
                    <w:t>0</w:t>
                  </w:r>
                </w:p>
              </w:tc>
              <w:tc>
                <w:tcPr>
                  <w:tcW w:w="1358" w:type="dxa"/>
                  <w:vAlign w:val="center"/>
                </w:tcPr>
                <w:p w:rsidR="00B84CAB" w:rsidRPr="00D108F3" w:rsidRDefault="00B84CAB" w:rsidP="00C43B8E">
                  <w:pPr>
                    <w:pStyle w:val="naisf"/>
                    <w:spacing w:before="0" w:after="0"/>
                    <w:ind w:firstLine="0"/>
                    <w:jc w:val="center"/>
                    <w:rPr>
                      <w:b/>
                    </w:rPr>
                  </w:pPr>
                  <w:r w:rsidRPr="00D108F3">
                    <w:t>0</w:t>
                  </w:r>
                </w:p>
              </w:tc>
            </w:tr>
            <w:tr w:rsidR="00B84CAB" w:rsidRPr="00D108F3" w:rsidTr="003921DD">
              <w:trPr>
                <w:jc w:val="center"/>
              </w:trPr>
              <w:tc>
                <w:tcPr>
                  <w:tcW w:w="2662" w:type="dxa"/>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t>6. Detalizēts ieņēmumu un izdevu</w:t>
                  </w:r>
                  <w:r w:rsidRPr="00D108F3">
                    <w:rPr>
                      <w:rFonts w:ascii="Times New Roman" w:hAnsi="Times New Roman" w:cs="Times New Roman"/>
                      <w:sz w:val="24"/>
                      <w:szCs w:val="24"/>
                    </w:rPr>
                    <w:softHyphen/>
                    <w:t>mu aprēķins (ja nepieciešams, detalizētu ieņēmumu un izdevumu aprēķinu var pievienot anotācijas pielikumā):</w:t>
                  </w:r>
                </w:p>
              </w:tc>
              <w:tc>
                <w:tcPr>
                  <w:tcW w:w="6388" w:type="dxa"/>
                  <w:gridSpan w:val="5"/>
                  <w:vMerge w:val="restart"/>
                </w:tcPr>
                <w:p w:rsidR="00024FE0" w:rsidRPr="00D108F3" w:rsidRDefault="00024FE0" w:rsidP="00C43B8E">
                  <w:pPr>
                    <w:pStyle w:val="naisf"/>
                    <w:spacing w:before="0" w:after="0"/>
                    <w:ind w:firstLine="0"/>
                  </w:pPr>
                  <w:r w:rsidRPr="00D108F3">
                    <w:t>Lai nodrošinātu vienreizēja Latvijas maksājuma veikšanu Starptautiskās Krimināltiesas biroja ēkas celtniecībai</w:t>
                  </w:r>
                  <w:r w:rsidR="00C43B8E">
                    <w:t>,</w:t>
                  </w:r>
                  <w:r w:rsidRPr="00D108F3">
                    <w:t xml:space="preserve"> Tieslietu ministrijai (Ministrijas vadībai un administrācijai) papildus nepieciešami </w:t>
                  </w:r>
                  <w:r w:rsidR="00D672AA">
                    <w:t>29</w:t>
                  </w:r>
                  <w:r w:rsidRPr="00D108F3">
                    <w:t> </w:t>
                  </w:r>
                  <w:r w:rsidR="00D672AA">
                    <w:t>155</w:t>
                  </w:r>
                  <w:r w:rsidRPr="00D108F3">
                    <w:t xml:space="preserve"> lati (41 </w:t>
                  </w:r>
                  <w:r w:rsidR="00D672AA">
                    <w:t>483</w:t>
                  </w:r>
                  <w:r w:rsidRPr="00D108F3">
                    <w:t xml:space="preserve"> EUR). </w:t>
                  </w:r>
                </w:p>
                <w:p w:rsidR="00B84CAB" w:rsidRPr="00D108F3" w:rsidRDefault="00024FE0" w:rsidP="008116D1">
                  <w:pPr>
                    <w:pStyle w:val="naisf"/>
                    <w:spacing w:before="0" w:after="0"/>
                    <w:ind w:firstLine="0"/>
                  </w:pPr>
                  <w:r w:rsidRPr="00D108F3">
                    <w:t>Tieslietu ministrija</w:t>
                  </w:r>
                  <w:r w:rsidR="008116D1" w:rsidRPr="00D108F3">
                    <w:t>i</w:t>
                  </w:r>
                  <w:r w:rsidR="003D0EEF" w:rsidRPr="00D108F3">
                    <w:t xml:space="preserve"> likuma „Par valsts budžetu 2013.gadam” ietvaros šim mērķim nav piešķirta dotācija</w:t>
                  </w:r>
                  <w:r w:rsidR="008116D1" w:rsidRPr="00D108F3">
                    <w:t xml:space="preserve"> </w:t>
                  </w:r>
                  <w:r w:rsidR="003D0EEF" w:rsidRPr="00D108F3">
                    <w:t xml:space="preserve">un </w:t>
                  </w:r>
                  <w:r w:rsidR="008116D1" w:rsidRPr="00D108F3">
                    <w:t xml:space="preserve">nav finansiālu iespēju </w:t>
                  </w:r>
                  <w:r w:rsidRPr="00D108F3">
                    <w:t>SKT biroja ēkas celtniecības līdzfinansēšanu nodrošināt piešķirtā budžeta ietvaros</w:t>
                  </w:r>
                  <w:r w:rsidR="003D0EEF" w:rsidRPr="00D108F3">
                    <w:t xml:space="preserve"> pārdalot finansējumu starp programmām un apakšprogrammām.</w:t>
                  </w:r>
                </w:p>
                <w:p w:rsidR="00933D2B" w:rsidRPr="00D108F3" w:rsidRDefault="00933D2B" w:rsidP="00933D2B">
                  <w:pPr>
                    <w:pStyle w:val="naisf"/>
                    <w:spacing w:before="0" w:after="0"/>
                    <w:ind w:firstLine="0"/>
                    <w:rPr>
                      <w:bCs/>
                    </w:rPr>
                  </w:pPr>
                  <w:r w:rsidRPr="00D108F3">
                    <w:t xml:space="preserve">Finansējuma modeļu variantu izvērtējums pievienots anotācijai. </w:t>
                  </w:r>
                </w:p>
              </w:tc>
            </w:tr>
            <w:tr w:rsidR="00B84CAB" w:rsidRPr="00D108F3" w:rsidTr="003921DD">
              <w:trPr>
                <w:jc w:val="center"/>
              </w:trPr>
              <w:tc>
                <w:tcPr>
                  <w:tcW w:w="2662" w:type="dxa"/>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t>6.1. detalizēts ieņēmumu aprēķins</w:t>
                  </w:r>
                </w:p>
              </w:tc>
              <w:tc>
                <w:tcPr>
                  <w:tcW w:w="6388" w:type="dxa"/>
                  <w:gridSpan w:val="5"/>
                  <w:vMerge/>
                </w:tcPr>
                <w:p w:rsidR="00B84CAB" w:rsidRPr="00D108F3" w:rsidRDefault="00B84CAB" w:rsidP="00C43B8E">
                  <w:pPr>
                    <w:pStyle w:val="naisf"/>
                    <w:spacing w:before="0" w:after="0"/>
                    <w:ind w:firstLine="0"/>
                    <w:rPr>
                      <w:b/>
                      <w:i/>
                      <w:highlight w:val="yellow"/>
                    </w:rPr>
                  </w:pPr>
                </w:p>
              </w:tc>
            </w:tr>
            <w:tr w:rsidR="00B84CAB" w:rsidRPr="00D108F3" w:rsidTr="003921DD">
              <w:trPr>
                <w:trHeight w:val="692"/>
                <w:jc w:val="center"/>
              </w:trPr>
              <w:tc>
                <w:tcPr>
                  <w:tcW w:w="2662" w:type="dxa"/>
                </w:tcPr>
                <w:p w:rsidR="00B84CAB" w:rsidRPr="00D108F3" w:rsidRDefault="00B84CAB" w:rsidP="00882D7A">
                  <w:pPr>
                    <w:rPr>
                      <w:rFonts w:ascii="Times New Roman" w:hAnsi="Times New Roman" w:cs="Times New Roman"/>
                      <w:sz w:val="24"/>
                      <w:szCs w:val="24"/>
                    </w:rPr>
                  </w:pPr>
                  <w:r w:rsidRPr="00D108F3">
                    <w:rPr>
                      <w:rFonts w:ascii="Times New Roman" w:hAnsi="Times New Roman" w:cs="Times New Roman"/>
                      <w:sz w:val="24"/>
                      <w:szCs w:val="24"/>
                    </w:rPr>
                    <w:t>6.2. detalizēts izdevumu aprēķins</w:t>
                  </w:r>
                </w:p>
              </w:tc>
              <w:tc>
                <w:tcPr>
                  <w:tcW w:w="6388" w:type="dxa"/>
                  <w:gridSpan w:val="5"/>
                  <w:vMerge/>
                </w:tcPr>
                <w:p w:rsidR="00B84CAB" w:rsidRPr="00D108F3" w:rsidRDefault="00B84CAB" w:rsidP="00C43B8E">
                  <w:pPr>
                    <w:pStyle w:val="naisf"/>
                    <w:spacing w:before="0" w:after="0"/>
                    <w:ind w:firstLine="0"/>
                    <w:rPr>
                      <w:b/>
                      <w:i/>
                      <w:highlight w:val="yellow"/>
                    </w:rPr>
                  </w:pPr>
                </w:p>
              </w:tc>
            </w:tr>
            <w:tr w:rsidR="00B84CAB" w:rsidRPr="00D108F3" w:rsidTr="003921DD">
              <w:trPr>
                <w:jc w:val="center"/>
              </w:trPr>
              <w:tc>
                <w:tcPr>
                  <w:tcW w:w="2662" w:type="dxa"/>
                  <w:tcBorders>
                    <w:bottom w:val="nil"/>
                  </w:tcBorders>
                </w:tcPr>
                <w:p w:rsidR="00B84CAB" w:rsidRPr="00D108F3" w:rsidRDefault="00B84CAB" w:rsidP="00C43B8E">
                  <w:pPr>
                    <w:rPr>
                      <w:rFonts w:ascii="Times New Roman" w:hAnsi="Times New Roman" w:cs="Times New Roman"/>
                      <w:sz w:val="24"/>
                      <w:szCs w:val="24"/>
                    </w:rPr>
                  </w:pPr>
                  <w:r w:rsidRPr="00D108F3">
                    <w:rPr>
                      <w:rFonts w:ascii="Times New Roman" w:hAnsi="Times New Roman" w:cs="Times New Roman"/>
                      <w:sz w:val="24"/>
                      <w:szCs w:val="24"/>
                    </w:rPr>
                    <w:t>7. Cita informācija</w:t>
                  </w:r>
                </w:p>
              </w:tc>
              <w:tc>
                <w:tcPr>
                  <w:tcW w:w="6388" w:type="dxa"/>
                  <w:gridSpan w:val="5"/>
                  <w:tcBorders>
                    <w:bottom w:val="nil"/>
                  </w:tcBorders>
                </w:tcPr>
                <w:p w:rsidR="00B84CAB" w:rsidRPr="00D108F3" w:rsidRDefault="00B84CAB" w:rsidP="00C43B8E">
                  <w:pPr>
                    <w:pStyle w:val="naisf"/>
                    <w:tabs>
                      <w:tab w:val="left" w:pos="4644"/>
                    </w:tabs>
                    <w:spacing w:before="0" w:after="0"/>
                    <w:ind w:firstLine="0"/>
                    <w:rPr>
                      <w:b/>
                      <w:i/>
                      <w:highlight w:val="yellow"/>
                    </w:rPr>
                  </w:pPr>
                  <w:r w:rsidRPr="00D108F3">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A5516C" w:rsidRPr="00D108F3" w:rsidRDefault="00A5516C" w:rsidP="00C43B8E">
            <w:pPr>
              <w:spacing w:after="0" w:line="240" w:lineRule="auto"/>
              <w:jc w:val="center"/>
              <w:rPr>
                <w:rFonts w:ascii="Times New Roman" w:eastAsia="Times New Roman" w:hAnsi="Times New Roman" w:cs="Times New Roman"/>
                <w:b/>
                <w:sz w:val="24"/>
                <w:szCs w:val="24"/>
                <w:lang w:eastAsia="lv-LV"/>
              </w:rPr>
            </w:pPr>
          </w:p>
        </w:tc>
      </w:tr>
      <w:tr w:rsidR="00A77B55" w:rsidRPr="00D108F3" w:rsidTr="00BB6D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65" w:type="dxa"/>
            <w:gridSpan w:val="4"/>
          </w:tcPr>
          <w:p w:rsidR="00D672AA" w:rsidRDefault="00D672AA" w:rsidP="00476BF0">
            <w:pPr>
              <w:spacing w:after="0" w:line="240" w:lineRule="auto"/>
              <w:jc w:val="center"/>
              <w:rPr>
                <w:rFonts w:ascii="Times New Roman" w:eastAsia="Times New Roman" w:hAnsi="Times New Roman" w:cs="Times New Roman"/>
                <w:b/>
                <w:sz w:val="24"/>
                <w:szCs w:val="24"/>
                <w:lang w:eastAsia="lv-LV"/>
              </w:rPr>
            </w:pPr>
          </w:p>
          <w:p w:rsidR="00A77B55" w:rsidRDefault="00A77B55" w:rsidP="00476BF0">
            <w:pPr>
              <w:spacing w:after="0" w:line="240" w:lineRule="auto"/>
              <w:jc w:val="center"/>
              <w:rPr>
                <w:rFonts w:ascii="Times New Roman" w:eastAsia="Times New Roman" w:hAnsi="Times New Roman" w:cs="Times New Roman"/>
                <w:b/>
                <w:sz w:val="24"/>
                <w:szCs w:val="24"/>
                <w:lang w:eastAsia="lv-LV"/>
              </w:rPr>
            </w:pPr>
            <w:r w:rsidRPr="00D108F3">
              <w:rPr>
                <w:rFonts w:ascii="Times New Roman" w:eastAsia="Times New Roman" w:hAnsi="Times New Roman" w:cs="Times New Roman"/>
                <w:b/>
                <w:sz w:val="24"/>
                <w:szCs w:val="24"/>
                <w:lang w:eastAsia="lv-LV"/>
              </w:rPr>
              <w:t>VII. Tiesību akta projekta izpildes nodrošināšana un tās ietekme uz institūcijām</w:t>
            </w:r>
          </w:p>
          <w:p w:rsidR="00D672AA" w:rsidRPr="00D108F3" w:rsidRDefault="00D672AA" w:rsidP="00476BF0">
            <w:pPr>
              <w:spacing w:after="0" w:line="240" w:lineRule="auto"/>
              <w:jc w:val="center"/>
              <w:rPr>
                <w:rFonts w:ascii="Times New Roman" w:eastAsia="Times New Roman" w:hAnsi="Times New Roman" w:cs="Times New Roman"/>
                <w:sz w:val="24"/>
                <w:szCs w:val="24"/>
                <w:lang w:eastAsia="lv-LV"/>
              </w:rPr>
            </w:pPr>
          </w:p>
        </w:tc>
      </w:tr>
      <w:tr w:rsidR="00A77B55" w:rsidRPr="00D108F3" w:rsidTr="00392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7"/>
        </w:trPr>
        <w:tc>
          <w:tcPr>
            <w:tcW w:w="507"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1.</w:t>
            </w:r>
          </w:p>
        </w:tc>
        <w:tc>
          <w:tcPr>
            <w:tcW w:w="2180" w:type="dxa"/>
            <w:gridSpan w:val="2"/>
          </w:tcPr>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Projekta izpildē iesaistītās institūcijas</w:t>
            </w:r>
          </w:p>
        </w:tc>
        <w:tc>
          <w:tcPr>
            <w:tcW w:w="6378" w:type="dxa"/>
          </w:tcPr>
          <w:p w:rsidR="00A77B55" w:rsidRPr="00D108F3" w:rsidRDefault="00A77B55" w:rsidP="00C43B8E">
            <w:pPr>
              <w:tabs>
                <w:tab w:val="left" w:pos="567"/>
              </w:tabs>
              <w:spacing w:after="0" w:line="240" w:lineRule="auto"/>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Finanšu ministrija, Tieslietu ministrija</w:t>
            </w:r>
            <w:r w:rsidR="000C087F" w:rsidRPr="00D108F3">
              <w:rPr>
                <w:rFonts w:ascii="Times New Roman" w:eastAsia="Times New Roman" w:hAnsi="Times New Roman" w:cs="Times New Roman"/>
                <w:sz w:val="24"/>
                <w:szCs w:val="24"/>
                <w:lang w:eastAsia="lv-LV"/>
              </w:rPr>
              <w:t>.</w:t>
            </w:r>
          </w:p>
        </w:tc>
      </w:tr>
      <w:tr w:rsidR="00A77B55" w:rsidRPr="00D108F3" w:rsidTr="00392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3"/>
        </w:trPr>
        <w:tc>
          <w:tcPr>
            <w:tcW w:w="507"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2.</w:t>
            </w:r>
          </w:p>
        </w:tc>
        <w:tc>
          <w:tcPr>
            <w:tcW w:w="2180" w:type="dxa"/>
            <w:gridSpan w:val="2"/>
          </w:tcPr>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Projekta izpildes ietekme uz pārvaldes funkcijām</w:t>
            </w:r>
          </w:p>
        </w:tc>
        <w:tc>
          <w:tcPr>
            <w:tcW w:w="6378" w:type="dxa"/>
          </w:tcPr>
          <w:p w:rsidR="00A77B55" w:rsidRPr="00D108F3" w:rsidRDefault="00C43B8E" w:rsidP="00C43B8E">
            <w:pPr>
              <w:tabs>
                <w:tab w:val="left" w:pos="99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neietekmē valsts pārvaldes funkcijas.</w:t>
            </w:r>
          </w:p>
        </w:tc>
      </w:tr>
      <w:tr w:rsidR="00A77B55" w:rsidRPr="00D108F3" w:rsidTr="00392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5"/>
        </w:trPr>
        <w:tc>
          <w:tcPr>
            <w:tcW w:w="507"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3.</w:t>
            </w:r>
          </w:p>
        </w:tc>
        <w:tc>
          <w:tcPr>
            <w:tcW w:w="2180" w:type="dxa"/>
            <w:gridSpan w:val="2"/>
          </w:tcPr>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Projekta izpildes ietekme uz pārvaldes institucionālo struktūru.</w:t>
            </w:r>
          </w:p>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Jaunu institūciju izveide</w:t>
            </w:r>
          </w:p>
        </w:tc>
        <w:tc>
          <w:tcPr>
            <w:tcW w:w="6378" w:type="dxa"/>
          </w:tcPr>
          <w:p w:rsidR="00A77B55" w:rsidRPr="00D108F3" w:rsidRDefault="00A77B55" w:rsidP="000C087F">
            <w:pPr>
              <w:spacing w:after="0" w:line="240" w:lineRule="auto"/>
              <w:ind w:right="57"/>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xml:space="preserve">Rīkojuma projekta izpildei jaunas valsts pārvaldes institūcijas netiks radītas. </w:t>
            </w:r>
          </w:p>
        </w:tc>
      </w:tr>
      <w:tr w:rsidR="00A77B55" w:rsidRPr="00D108F3" w:rsidTr="00392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0"/>
        </w:trPr>
        <w:tc>
          <w:tcPr>
            <w:tcW w:w="507"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4.</w:t>
            </w:r>
          </w:p>
        </w:tc>
        <w:tc>
          <w:tcPr>
            <w:tcW w:w="2180" w:type="dxa"/>
            <w:gridSpan w:val="2"/>
          </w:tcPr>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Projekta izpildes ietekme uz pārvaldes institucionālo struktūru.</w:t>
            </w:r>
          </w:p>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Esošu institūciju likvidācija</w:t>
            </w:r>
          </w:p>
        </w:tc>
        <w:tc>
          <w:tcPr>
            <w:tcW w:w="6378" w:type="dxa"/>
          </w:tcPr>
          <w:p w:rsidR="00A77B55" w:rsidRPr="00D108F3" w:rsidRDefault="00A77B55" w:rsidP="000C087F">
            <w:pPr>
              <w:tabs>
                <w:tab w:val="left" w:pos="567"/>
              </w:tabs>
              <w:spacing w:after="0" w:line="240" w:lineRule="auto"/>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xml:space="preserve">Saistībā ar </w:t>
            </w:r>
            <w:r w:rsidR="00C43B8E">
              <w:rPr>
                <w:rFonts w:ascii="Times New Roman" w:eastAsia="Times New Roman" w:hAnsi="Times New Roman" w:cs="Times New Roman"/>
                <w:sz w:val="24"/>
                <w:szCs w:val="24"/>
                <w:lang w:eastAsia="lv-LV"/>
              </w:rPr>
              <w:t>r</w:t>
            </w:r>
            <w:r w:rsidRPr="00D108F3">
              <w:rPr>
                <w:rFonts w:ascii="Times New Roman" w:eastAsia="Times New Roman" w:hAnsi="Times New Roman" w:cs="Times New Roman"/>
                <w:sz w:val="24"/>
                <w:szCs w:val="24"/>
                <w:lang w:eastAsia="lv-LV"/>
              </w:rPr>
              <w:t>īkojuma projekta izpildi nav plānots likvidēt esošās valsts pārvaldes institūcijas.</w:t>
            </w:r>
          </w:p>
        </w:tc>
      </w:tr>
      <w:tr w:rsidR="00A77B55" w:rsidRPr="00D108F3" w:rsidTr="00392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507"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5.</w:t>
            </w:r>
          </w:p>
        </w:tc>
        <w:tc>
          <w:tcPr>
            <w:tcW w:w="2180" w:type="dxa"/>
            <w:gridSpan w:val="2"/>
          </w:tcPr>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Projekta izpildes ietekme uz pārvaldes institucionālo struktūru.</w:t>
            </w:r>
          </w:p>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xml:space="preserve">Esošu institūciju </w:t>
            </w:r>
            <w:r w:rsidRPr="00D108F3">
              <w:rPr>
                <w:rFonts w:ascii="Times New Roman" w:eastAsia="Times New Roman" w:hAnsi="Times New Roman" w:cs="Times New Roman"/>
                <w:sz w:val="24"/>
                <w:szCs w:val="24"/>
                <w:lang w:eastAsia="lv-LV"/>
              </w:rPr>
              <w:lastRenderedPageBreak/>
              <w:t>reorganizācija</w:t>
            </w:r>
          </w:p>
        </w:tc>
        <w:tc>
          <w:tcPr>
            <w:tcW w:w="6378" w:type="dxa"/>
          </w:tcPr>
          <w:p w:rsidR="00A77B55" w:rsidRPr="00D108F3" w:rsidRDefault="00A77B55" w:rsidP="000C087F">
            <w:pPr>
              <w:spacing w:after="0" w:line="240" w:lineRule="auto"/>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lastRenderedPageBreak/>
              <w:t>Saistībā ar Rīkojuma projekta izpildi nav plānots reorganizēt esošās valsts pārvaldes institūcijas.</w:t>
            </w:r>
          </w:p>
        </w:tc>
      </w:tr>
      <w:tr w:rsidR="00A77B55" w:rsidRPr="00D108F3" w:rsidTr="00392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6"/>
        </w:trPr>
        <w:tc>
          <w:tcPr>
            <w:tcW w:w="507" w:type="dxa"/>
          </w:tcPr>
          <w:p w:rsidR="00A77B55" w:rsidRPr="00D108F3" w:rsidRDefault="00A77B55" w:rsidP="00C43B8E">
            <w:pPr>
              <w:spacing w:before="75" w:after="75"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lastRenderedPageBreak/>
              <w:t> 6.</w:t>
            </w:r>
          </w:p>
        </w:tc>
        <w:tc>
          <w:tcPr>
            <w:tcW w:w="2180" w:type="dxa"/>
            <w:gridSpan w:val="2"/>
          </w:tcPr>
          <w:p w:rsidR="00A77B55" w:rsidRPr="00D108F3" w:rsidRDefault="00A77B55" w:rsidP="00C43B8E">
            <w:pPr>
              <w:spacing w:after="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 Cita informācija</w:t>
            </w:r>
          </w:p>
        </w:tc>
        <w:tc>
          <w:tcPr>
            <w:tcW w:w="6378" w:type="dxa"/>
          </w:tcPr>
          <w:p w:rsidR="00A77B55" w:rsidRPr="00D108F3" w:rsidRDefault="00A77B55" w:rsidP="00C43B8E">
            <w:pPr>
              <w:spacing w:after="0" w:line="240" w:lineRule="auto"/>
              <w:jc w:val="both"/>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Nav.</w:t>
            </w:r>
          </w:p>
        </w:tc>
      </w:tr>
    </w:tbl>
    <w:p w:rsidR="00095349" w:rsidRDefault="00A77B55" w:rsidP="00D672AA">
      <w:pPr>
        <w:tabs>
          <w:tab w:val="left" w:pos="6710"/>
        </w:tabs>
        <w:spacing w:before="120" w:after="240" w:line="240" w:lineRule="auto"/>
        <w:rPr>
          <w:rFonts w:ascii="Times New Roman" w:eastAsia="Times New Roman" w:hAnsi="Times New Roman" w:cs="Times New Roman"/>
          <w:sz w:val="24"/>
          <w:szCs w:val="24"/>
          <w:lang w:eastAsia="lv-LV"/>
        </w:rPr>
      </w:pPr>
      <w:r w:rsidRPr="00D108F3">
        <w:rPr>
          <w:rFonts w:ascii="Times New Roman" w:eastAsia="Times New Roman" w:hAnsi="Times New Roman" w:cs="Times New Roman"/>
          <w:sz w:val="24"/>
          <w:szCs w:val="24"/>
          <w:lang w:eastAsia="lv-LV"/>
        </w:rPr>
        <w:t>Anotācijas IV, V un VI sadaļa - projekts šīs jomas neskar.</w:t>
      </w:r>
    </w:p>
    <w:p w:rsidR="00095349" w:rsidRDefault="00095349" w:rsidP="00D672AA">
      <w:pPr>
        <w:tabs>
          <w:tab w:val="left" w:pos="6710"/>
        </w:tabs>
        <w:spacing w:before="120" w:after="240" w:line="240" w:lineRule="auto"/>
        <w:rPr>
          <w:rFonts w:ascii="Times New Roman" w:eastAsia="Times New Roman" w:hAnsi="Times New Roman" w:cs="Times New Roman"/>
          <w:sz w:val="24"/>
          <w:szCs w:val="24"/>
          <w:lang w:eastAsia="lv-LV"/>
        </w:rPr>
      </w:pPr>
    </w:p>
    <w:p w:rsidR="00095349" w:rsidRDefault="00095349" w:rsidP="00D672AA">
      <w:pPr>
        <w:tabs>
          <w:tab w:val="left" w:pos="6710"/>
        </w:tabs>
        <w:spacing w:before="120" w:after="24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p>
    <w:p w:rsidR="00D672AA" w:rsidRDefault="002D567F" w:rsidP="00D672AA">
      <w:pPr>
        <w:tabs>
          <w:tab w:val="left" w:pos="6710"/>
        </w:tabs>
        <w:spacing w:before="120" w:after="240" w:line="240" w:lineRule="auto"/>
        <w:rPr>
          <w:rFonts w:ascii="Times New Roman" w:eastAsia="Times New Roman" w:hAnsi="Times New Roman" w:cs="Times New Roman"/>
          <w:sz w:val="24"/>
          <w:szCs w:val="24"/>
        </w:rPr>
      </w:pPr>
      <w:r w:rsidRPr="00ED028A">
        <w:rPr>
          <w:rFonts w:ascii="Times New Roman" w:eastAsia="Times New Roman" w:hAnsi="Times New Roman" w:cs="Times New Roman"/>
          <w:sz w:val="24"/>
          <w:szCs w:val="24"/>
        </w:rPr>
        <w:t>Tieslietu ministrs</w:t>
      </w:r>
      <w:r w:rsidRPr="00ED028A">
        <w:rPr>
          <w:rFonts w:ascii="Times New Roman" w:eastAsia="Times New Roman" w:hAnsi="Times New Roman" w:cs="Times New Roman"/>
          <w:sz w:val="24"/>
          <w:szCs w:val="24"/>
        </w:rPr>
        <w:tab/>
      </w:r>
      <w:r w:rsidRPr="00ED028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D028A">
        <w:rPr>
          <w:rFonts w:ascii="Times New Roman" w:eastAsia="Times New Roman" w:hAnsi="Times New Roman" w:cs="Times New Roman"/>
          <w:sz w:val="24"/>
          <w:szCs w:val="24"/>
        </w:rPr>
        <w:t>J. Bordāns</w:t>
      </w:r>
    </w:p>
    <w:p w:rsidR="00095349" w:rsidRDefault="00095349" w:rsidP="00D672AA">
      <w:pPr>
        <w:tabs>
          <w:tab w:val="left" w:pos="6710"/>
        </w:tabs>
        <w:spacing w:before="120" w:after="240" w:line="240" w:lineRule="auto"/>
        <w:rPr>
          <w:rFonts w:ascii="Times New Roman" w:eastAsia="Times New Roman" w:hAnsi="Times New Roman" w:cs="Times New Roman"/>
          <w:sz w:val="24"/>
          <w:szCs w:val="24"/>
        </w:rPr>
      </w:pPr>
    </w:p>
    <w:p w:rsidR="00D672AA" w:rsidRDefault="00095349" w:rsidP="00D672AA">
      <w:pPr>
        <w:tabs>
          <w:tab w:val="left" w:pos="67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lang w:eastAsia="lv-LV"/>
        </w:rPr>
        <w:t>23</w:t>
      </w:r>
      <w:r w:rsidR="00FE621E" w:rsidRPr="00D108F3">
        <w:rPr>
          <w:rFonts w:ascii="Times New Roman" w:eastAsia="Times New Roman" w:hAnsi="Times New Roman" w:cs="Times New Roman"/>
          <w:sz w:val="20"/>
          <w:szCs w:val="20"/>
          <w:lang w:eastAsia="lv-LV"/>
        </w:rPr>
        <w:t>.0</w:t>
      </w:r>
      <w:r w:rsidR="00DF70E6">
        <w:rPr>
          <w:rFonts w:ascii="Times New Roman" w:eastAsia="Times New Roman" w:hAnsi="Times New Roman" w:cs="Times New Roman"/>
          <w:sz w:val="20"/>
          <w:szCs w:val="20"/>
          <w:lang w:eastAsia="lv-LV"/>
        </w:rPr>
        <w:t>5</w:t>
      </w:r>
      <w:r w:rsidR="00DA111F">
        <w:rPr>
          <w:rFonts w:ascii="Times New Roman" w:eastAsia="Times New Roman" w:hAnsi="Times New Roman" w:cs="Times New Roman"/>
          <w:sz w:val="20"/>
          <w:szCs w:val="20"/>
          <w:lang w:eastAsia="lv-LV"/>
        </w:rPr>
        <w:t xml:space="preserve">.2013 </w:t>
      </w:r>
      <w:r>
        <w:rPr>
          <w:rFonts w:ascii="Times New Roman" w:eastAsia="Times New Roman" w:hAnsi="Times New Roman" w:cs="Times New Roman"/>
          <w:sz w:val="20"/>
          <w:szCs w:val="20"/>
          <w:lang w:eastAsia="lv-LV"/>
        </w:rPr>
        <w:t>10:1</w:t>
      </w:r>
      <w:r w:rsidR="00DF70E6">
        <w:rPr>
          <w:rFonts w:ascii="Times New Roman" w:eastAsia="Times New Roman" w:hAnsi="Times New Roman" w:cs="Times New Roman"/>
          <w:sz w:val="20"/>
          <w:szCs w:val="20"/>
          <w:lang w:eastAsia="lv-LV"/>
        </w:rPr>
        <w:t>0</w:t>
      </w:r>
    </w:p>
    <w:p w:rsidR="00FE621E" w:rsidRPr="00D672AA" w:rsidRDefault="000C087F" w:rsidP="00D672AA">
      <w:pPr>
        <w:tabs>
          <w:tab w:val="left" w:pos="6710"/>
        </w:tabs>
        <w:spacing w:after="0" w:line="240" w:lineRule="auto"/>
        <w:rPr>
          <w:rFonts w:ascii="Times New Roman" w:eastAsia="Times New Roman" w:hAnsi="Times New Roman" w:cs="Times New Roman"/>
          <w:sz w:val="24"/>
          <w:szCs w:val="24"/>
        </w:rPr>
      </w:pPr>
      <w:r w:rsidRPr="00D108F3">
        <w:rPr>
          <w:rFonts w:ascii="Times New Roman" w:eastAsia="Times New Roman" w:hAnsi="Times New Roman" w:cs="Times New Roman"/>
          <w:sz w:val="20"/>
          <w:szCs w:val="20"/>
          <w:lang w:eastAsia="lv-LV"/>
        </w:rPr>
        <w:t>L.Mantiņa</w:t>
      </w:r>
    </w:p>
    <w:p w:rsidR="00FE621E" w:rsidRPr="00D108F3" w:rsidRDefault="00DF70E6" w:rsidP="00D672AA">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00095349">
        <w:rPr>
          <w:rFonts w:ascii="Times New Roman" w:eastAsia="Times New Roman" w:hAnsi="Times New Roman" w:cs="Times New Roman"/>
          <w:sz w:val="20"/>
          <w:szCs w:val="20"/>
          <w:lang w:eastAsia="lv-LV"/>
        </w:rPr>
        <w:t>82</w:t>
      </w:r>
    </w:p>
    <w:p w:rsidR="003921DD" w:rsidRPr="00D108F3" w:rsidRDefault="00A77B55" w:rsidP="00D672AA">
      <w:pPr>
        <w:spacing w:after="0" w:line="240" w:lineRule="auto"/>
        <w:jc w:val="both"/>
        <w:rPr>
          <w:rFonts w:ascii="Times New Roman" w:eastAsia="Times New Roman" w:hAnsi="Times New Roman" w:cs="Times New Roman"/>
          <w:sz w:val="20"/>
          <w:szCs w:val="20"/>
          <w:lang w:eastAsia="lv-LV"/>
        </w:rPr>
      </w:pPr>
      <w:r w:rsidRPr="00D108F3">
        <w:rPr>
          <w:rFonts w:ascii="Times New Roman" w:eastAsia="Times New Roman" w:hAnsi="Times New Roman" w:cs="Times New Roman"/>
          <w:sz w:val="20"/>
          <w:szCs w:val="20"/>
          <w:lang w:eastAsia="lv-LV"/>
        </w:rPr>
        <w:t>670</w:t>
      </w:r>
      <w:r w:rsidR="000C087F" w:rsidRPr="00D108F3">
        <w:rPr>
          <w:rFonts w:ascii="Times New Roman" w:eastAsia="Times New Roman" w:hAnsi="Times New Roman" w:cs="Times New Roman"/>
          <w:sz w:val="20"/>
          <w:szCs w:val="20"/>
          <w:lang w:eastAsia="lv-LV"/>
        </w:rPr>
        <w:t>36911</w:t>
      </w:r>
    </w:p>
    <w:p w:rsidR="00C43B8E" w:rsidRPr="00D108F3" w:rsidRDefault="00D045F8" w:rsidP="00D672AA">
      <w:pPr>
        <w:spacing w:after="0" w:line="240" w:lineRule="auto"/>
        <w:jc w:val="both"/>
        <w:rPr>
          <w:rFonts w:ascii="Times New Roman" w:hAnsi="Times New Roman" w:cs="Times New Roman"/>
          <w:sz w:val="20"/>
          <w:szCs w:val="20"/>
        </w:rPr>
      </w:pPr>
      <w:hyperlink r:id="rId9" w:history="1">
        <w:r w:rsidR="009C58A6" w:rsidRPr="00D108F3">
          <w:rPr>
            <w:rStyle w:val="Hipersaite"/>
            <w:rFonts w:ascii="Times New Roman" w:eastAsia="Times New Roman" w:hAnsi="Times New Roman" w:cs="Times New Roman"/>
            <w:sz w:val="20"/>
            <w:szCs w:val="20"/>
            <w:lang w:eastAsia="lv-LV"/>
          </w:rPr>
          <w:t>Luize.Mantina@tm.gov.lv</w:t>
        </w:r>
      </w:hyperlink>
    </w:p>
    <w:sectPr w:rsidR="00C43B8E" w:rsidRPr="00D108F3" w:rsidSect="00DA111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EA" w:rsidRDefault="004356EA">
      <w:pPr>
        <w:spacing w:after="0" w:line="240" w:lineRule="auto"/>
      </w:pPr>
      <w:r>
        <w:separator/>
      </w:r>
    </w:p>
  </w:endnote>
  <w:endnote w:type="continuationSeparator" w:id="0">
    <w:p w:rsidR="004356EA" w:rsidRDefault="0043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EA" w:rsidRPr="00DA111F" w:rsidRDefault="00DF70E6" w:rsidP="003921DD">
    <w:pPr>
      <w:pStyle w:val="Kjene"/>
      <w:jc w:val="both"/>
      <w:rPr>
        <w:rFonts w:ascii="Times New Roman" w:hAnsi="Times New Roman" w:cs="Times New Roman"/>
        <w:sz w:val="20"/>
        <w:szCs w:val="20"/>
      </w:rPr>
    </w:pPr>
    <w:bookmarkStart w:id="1" w:name="OLE_LINK3"/>
    <w:bookmarkStart w:id="2" w:name="OLE_LINK4"/>
    <w:bookmarkStart w:id="3" w:name="_Hlk302117065"/>
    <w:r>
      <w:rPr>
        <w:rFonts w:ascii="Times New Roman" w:hAnsi="Times New Roman" w:cs="Times New Roman"/>
        <w:sz w:val="20"/>
        <w:szCs w:val="20"/>
      </w:rPr>
      <w:t>TMAnot_</w:t>
    </w:r>
    <w:r w:rsidR="00FF513D">
      <w:rPr>
        <w:rFonts w:ascii="Times New Roman" w:hAnsi="Times New Roman" w:cs="Times New Roman"/>
        <w:sz w:val="20"/>
        <w:szCs w:val="20"/>
      </w:rPr>
      <w:t>2</w:t>
    </w:r>
    <w:r w:rsidR="004A2A0E">
      <w:rPr>
        <w:rFonts w:ascii="Times New Roman" w:hAnsi="Times New Roman" w:cs="Times New Roman"/>
        <w:sz w:val="20"/>
        <w:szCs w:val="20"/>
      </w:rPr>
      <w:t>7</w:t>
    </w:r>
    <w:r>
      <w:rPr>
        <w:rFonts w:ascii="Times New Roman" w:hAnsi="Times New Roman" w:cs="Times New Roman"/>
        <w:sz w:val="20"/>
        <w:szCs w:val="20"/>
      </w:rPr>
      <w:t>05</w:t>
    </w:r>
    <w:r w:rsidR="004356EA" w:rsidRPr="00DA111F">
      <w:rPr>
        <w:rFonts w:ascii="Times New Roman" w:hAnsi="Times New Roman" w:cs="Times New Roman"/>
        <w:sz w:val="20"/>
        <w:szCs w:val="20"/>
      </w:rPr>
      <w:t xml:space="preserve">13_SKT; </w:t>
    </w:r>
    <w:bookmarkEnd w:id="1"/>
    <w:bookmarkEnd w:id="2"/>
    <w:bookmarkEnd w:id="3"/>
    <w:r w:rsidR="004356EA" w:rsidRPr="00DA111F">
      <w:rPr>
        <w:rFonts w:ascii="Times New Roman" w:hAnsi="Times New Roman" w:cs="Times New Roman"/>
        <w:sz w:val="20"/>
        <w:szCs w:val="20"/>
      </w:rPr>
      <w:t>Ministru kabineta rīkojuma projekta „Par Starptautiskās Krimināltiesas biroja ēkas celtniecībai nepieciešamā finansējuma Latvijas daļas apmaksu”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1F" w:rsidRPr="00DA111F" w:rsidRDefault="00D045F8" w:rsidP="00DA111F">
    <w:pPr>
      <w:pStyle w:val="Kjene"/>
      <w:jc w:val="both"/>
      <w:rPr>
        <w:rFonts w:ascii="Times New Roman" w:hAnsi="Times New Roman" w:cs="Times New Roman"/>
        <w:sz w:val="20"/>
        <w:szCs w:val="20"/>
      </w:rPr>
    </w:pPr>
    <w:r>
      <w:rPr>
        <w:rFonts w:ascii="Times New Roman" w:hAnsi="Times New Roman" w:cs="Times New Roman"/>
        <w:sz w:val="20"/>
        <w:szCs w:val="20"/>
      </w:rPr>
      <w:t>TMAnot_27</w:t>
    </w:r>
    <w:r w:rsidR="00781682">
      <w:rPr>
        <w:rFonts w:ascii="Times New Roman" w:hAnsi="Times New Roman" w:cs="Times New Roman"/>
        <w:sz w:val="20"/>
        <w:szCs w:val="20"/>
      </w:rPr>
      <w:t>05</w:t>
    </w:r>
    <w:r w:rsidR="00DA111F" w:rsidRPr="00DA111F">
      <w:rPr>
        <w:rFonts w:ascii="Times New Roman" w:hAnsi="Times New Roman" w:cs="Times New Roman"/>
        <w:sz w:val="20"/>
        <w:szCs w:val="20"/>
      </w:rPr>
      <w:t>13_SKT; Ministru kabineta rīkojuma projekta „Par Starptautiskās Krimināltiesas biroja ēkas celtniecībai nepieciešamā finansējuma Latvijas daļas apmaksu”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EA" w:rsidRDefault="004356EA">
      <w:pPr>
        <w:spacing w:after="0" w:line="240" w:lineRule="auto"/>
      </w:pPr>
      <w:r>
        <w:separator/>
      </w:r>
    </w:p>
  </w:footnote>
  <w:footnote w:type="continuationSeparator" w:id="0">
    <w:p w:rsidR="004356EA" w:rsidRDefault="0043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9813"/>
      <w:docPartObj>
        <w:docPartGallery w:val="Page Numbers (Top of Page)"/>
        <w:docPartUnique/>
      </w:docPartObj>
    </w:sdtPr>
    <w:sdtEndPr>
      <w:rPr>
        <w:rFonts w:ascii="Times New Roman" w:hAnsi="Times New Roman" w:cs="Times New Roman"/>
      </w:rPr>
    </w:sdtEndPr>
    <w:sdtContent>
      <w:p w:rsidR="004356EA" w:rsidRPr="00DA111F" w:rsidRDefault="0097086B">
        <w:pPr>
          <w:pStyle w:val="Galvene"/>
          <w:jc w:val="center"/>
          <w:rPr>
            <w:rFonts w:ascii="Times New Roman" w:hAnsi="Times New Roman" w:cs="Times New Roman"/>
          </w:rPr>
        </w:pPr>
        <w:r w:rsidRPr="00DA111F">
          <w:rPr>
            <w:rFonts w:ascii="Times New Roman" w:hAnsi="Times New Roman" w:cs="Times New Roman"/>
          </w:rPr>
          <w:fldChar w:fldCharType="begin"/>
        </w:r>
        <w:r w:rsidR="004356EA" w:rsidRPr="00DA111F">
          <w:rPr>
            <w:rFonts w:ascii="Times New Roman" w:hAnsi="Times New Roman" w:cs="Times New Roman"/>
          </w:rPr>
          <w:instrText xml:space="preserve"> PAGE   \* MERGEFORMAT </w:instrText>
        </w:r>
        <w:r w:rsidRPr="00DA111F">
          <w:rPr>
            <w:rFonts w:ascii="Times New Roman" w:hAnsi="Times New Roman" w:cs="Times New Roman"/>
          </w:rPr>
          <w:fldChar w:fldCharType="separate"/>
        </w:r>
        <w:r w:rsidR="00D045F8">
          <w:rPr>
            <w:rFonts w:ascii="Times New Roman" w:hAnsi="Times New Roman" w:cs="Times New Roman"/>
            <w:noProof/>
          </w:rPr>
          <w:t>5</w:t>
        </w:r>
        <w:r w:rsidRPr="00DA111F">
          <w:rPr>
            <w:rFonts w:ascii="Times New Roman" w:hAnsi="Times New Roman" w:cs="Times New Roman"/>
          </w:rPr>
          <w:fldChar w:fldCharType="end"/>
        </w:r>
      </w:p>
    </w:sdtContent>
  </w:sdt>
  <w:p w:rsidR="004356EA" w:rsidRDefault="004356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6BE"/>
    <w:multiLevelType w:val="hybridMultilevel"/>
    <w:tmpl w:val="D2ACCF16"/>
    <w:lvl w:ilvl="0" w:tplc="0426000F">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55"/>
    <w:rsid w:val="000226DB"/>
    <w:rsid w:val="00024FE0"/>
    <w:rsid w:val="00095349"/>
    <w:rsid w:val="000C087F"/>
    <w:rsid w:val="000C2A2D"/>
    <w:rsid w:val="000F446A"/>
    <w:rsid w:val="0011113F"/>
    <w:rsid w:val="00126772"/>
    <w:rsid w:val="00143577"/>
    <w:rsid w:val="002D567F"/>
    <w:rsid w:val="003921DD"/>
    <w:rsid w:val="0039719E"/>
    <w:rsid w:val="003B5B3B"/>
    <w:rsid w:val="003C02FF"/>
    <w:rsid w:val="003C6953"/>
    <w:rsid w:val="003D0EEF"/>
    <w:rsid w:val="004356EA"/>
    <w:rsid w:val="00476BF0"/>
    <w:rsid w:val="004A2A0E"/>
    <w:rsid w:val="004A4ACF"/>
    <w:rsid w:val="004A6A2E"/>
    <w:rsid w:val="004B4EAE"/>
    <w:rsid w:val="004C6327"/>
    <w:rsid w:val="004F568D"/>
    <w:rsid w:val="00524A40"/>
    <w:rsid w:val="005D7010"/>
    <w:rsid w:val="00613C85"/>
    <w:rsid w:val="006218A8"/>
    <w:rsid w:val="00663DF2"/>
    <w:rsid w:val="006A2D89"/>
    <w:rsid w:val="006E2086"/>
    <w:rsid w:val="00781682"/>
    <w:rsid w:val="007C34FC"/>
    <w:rsid w:val="008116D1"/>
    <w:rsid w:val="008550D9"/>
    <w:rsid w:val="00882D7A"/>
    <w:rsid w:val="00891192"/>
    <w:rsid w:val="008943F7"/>
    <w:rsid w:val="008B0AF1"/>
    <w:rsid w:val="00933D2B"/>
    <w:rsid w:val="0097086B"/>
    <w:rsid w:val="009C58A6"/>
    <w:rsid w:val="00A26538"/>
    <w:rsid w:val="00A5516C"/>
    <w:rsid w:val="00A569C0"/>
    <w:rsid w:val="00A77B55"/>
    <w:rsid w:val="00AE51BC"/>
    <w:rsid w:val="00B3313A"/>
    <w:rsid w:val="00B64277"/>
    <w:rsid w:val="00B84CAB"/>
    <w:rsid w:val="00B85425"/>
    <w:rsid w:val="00BB6D02"/>
    <w:rsid w:val="00C419E1"/>
    <w:rsid w:val="00C43B8E"/>
    <w:rsid w:val="00C615AB"/>
    <w:rsid w:val="00C640CA"/>
    <w:rsid w:val="00D00307"/>
    <w:rsid w:val="00D045F8"/>
    <w:rsid w:val="00D052EE"/>
    <w:rsid w:val="00D108F3"/>
    <w:rsid w:val="00D23242"/>
    <w:rsid w:val="00D672AA"/>
    <w:rsid w:val="00DA111F"/>
    <w:rsid w:val="00DF70E6"/>
    <w:rsid w:val="00E17E48"/>
    <w:rsid w:val="00E3217F"/>
    <w:rsid w:val="00E626BA"/>
    <w:rsid w:val="00E66ED3"/>
    <w:rsid w:val="00E8632F"/>
    <w:rsid w:val="00EA17CF"/>
    <w:rsid w:val="00EB0194"/>
    <w:rsid w:val="00FE621E"/>
    <w:rsid w:val="00FF5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7B5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77B55"/>
    <w:rPr>
      <w:color w:val="0000FF" w:themeColor="hyperlink"/>
      <w:u w:val="single"/>
    </w:rPr>
  </w:style>
  <w:style w:type="paragraph" w:styleId="Kjene">
    <w:name w:val="footer"/>
    <w:basedOn w:val="Parasts"/>
    <w:link w:val="KjeneRakstz"/>
    <w:unhideWhenUsed/>
    <w:rsid w:val="00A77B55"/>
    <w:pPr>
      <w:tabs>
        <w:tab w:val="center" w:pos="4153"/>
        <w:tab w:val="right" w:pos="8306"/>
      </w:tabs>
      <w:spacing w:after="0" w:line="240" w:lineRule="auto"/>
    </w:pPr>
  </w:style>
  <w:style w:type="character" w:customStyle="1" w:styleId="KjeneRakstz">
    <w:name w:val="Kājene Rakstz."/>
    <w:basedOn w:val="Noklusjumarindkopasfonts"/>
    <w:link w:val="Kjene"/>
    <w:rsid w:val="00A77B55"/>
  </w:style>
  <w:style w:type="paragraph" w:styleId="Galvene">
    <w:name w:val="header"/>
    <w:basedOn w:val="Parasts"/>
    <w:link w:val="GalveneRakstz"/>
    <w:uiPriority w:val="99"/>
    <w:unhideWhenUsed/>
    <w:rsid w:val="007C34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34FC"/>
  </w:style>
  <w:style w:type="paragraph" w:styleId="Balonteksts">
    <w:name w:val="Balloon Text"/>
    <w:basedOn w:val="Parasts"/>
    <w:link w:val="BalontekstsRakstz"/>
    <w:uiPriority w:val="99"/>
    <w:semiHidden/>
    <w:unhideWhenUsed/>
    <w:rsid w:val="007C34F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34FC"/>
    <w:rPr>
      <w:rFonts w:ascii="Tahoma" w:hAnsi="Tahoma" w:cs="Tahoma"/>
      <w:sz w:val="16"/>
      <w:szCs w:val="16"/>
    </w:rPr>
  </w:style>
  <w:style w:type="character" w:styleId="Komentraatsauce">
    <w:name w:val="annotation reference"/>
    <w:basedOn w:val="Noklusjumarindkopasfonts"/>
    <w:uiPriority w:val="99"/>
    <w:semiHidden/>
    <w:unhideWhenUsed/>
    <w:rsid w:val="00613C85"/>
    <w:rPr>
      <w:sz w:val="16"/>
      <w:szCs w:val="16"/>
    </w:rPr>
  </w:style>
  <w:style w:type="paragraph" w:styleId="Komentrateksts">
    <w:name w:val="annotation text"/>
    <w:basedOn w:val="Parasts"/>
    <w:link w:val="KomentratekstsRakstz"/>
    <w:uiPriority w:val="99"/>
    <w:semiHidden/>
    <w:unhideWhenUsed/>
    <w:rsid w:val="00613C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13C85"/>
    <w:rPr>
      <w:sz w:val="20"/>
      <w:szCs w:val="20"/>
    </w:rPr>
  </w:style>
  <w:style w:type="paragraph" w:styleId="Komentratma">
    <w:name w:val="annotation subject"/>
    <w:basedOn w:val="Komentrateksts"/>
    <w:next w:val="Komentrateksts"/>
    <w:link w:val="KomentratmaRakstz"/>
    <w:uiPriority w:val="99"/>
    <w:semiHidden/>
    <w:unhideWhenUsed/>
    <w:rsid w:val="00613C85"/>
    <w:rPr>
      <w:b/>
      <w:bCs/>
    </w:rPr>
  </w:style>
  <w:style w:type="character" w:customStyle="1" w:styleId="KomentratmaRakstz">
    <w:name w:val="Komentāra tēma Rakstz."/>
    <w:basedOn w:val="KomentratekstsRakstz"/>
    <w:link w:val="Komentratma"/>
    <w:uiPriority w:val="99"/>
    <w:semiHidden/>
    <w:rsid w:val="00613C85"/>
    <w:rPr>
      <w:b/>
      <w:bCs/>
      <w:sz w:val="20"/>
      <w:szCs w:val="20"/>
    </w:rPr>
  </w:style>
  <w:style w:type="paragraph" w:customStyle="1" w:styleId="naisf">
    <w:name w:val="naisf"/>
    <w:basedOn w:val="Parasts"/>
    <w:rsid w:val="00A5516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A5516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A5516C"/>
    <w:pPr>
      <w:spacing w:before="75" w:after="75" w:line="240" w:lineRule="auto"/>
      <w:jc w:val="right"/>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7B5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77B55"/>
    <w:rPr>
      <w:color w:val="0000FF" w:themeColor="hyperlink"/>
      <w:u w:val="single"/>
    </w:rPr>
  </w:style>
  <w:style w:type="paragraph" w:styleId="Kjene">
    <w:name w:val="footer"/>
    <w:basedOn w:val="Parasts"/>
    <w:link w:val="KjeneRakstz"/>
    <w:unhideWhenUsed/>
    <w:rsid w:val="00A77B55"/>
    <w:pPr>
      <w:tabs>
        <w:tab w:val="center" w:pos="4153"/>
        <w:tab w:val="right" w:pos="8306"/>
      </w:tabs>
      <w:spacing w:after="0" w:line="240" w:lineRule="auto"/>
    </w:pPr>
  </w:style>
  <w:style w:type="character" w:customStyle="1" w:styleId="KjeneRakstz">
    <w:name w:val="Kājene Rakstz."/>
    <w:basedOn w:val="Noklusjumarindkopasfonts"/>
    <w:link w:val="Kjene"/>
    <w:rsid w:val="00A77B55"/>
  </w:style>
  <w:style w:type="paragraph" w:styleId="Galvene">
    <w:name w:val="header"/>
    <w:basedOn w:val="Parasts"/>
    <w:link w:val="GalveneRakstz"/>
    <w:uiPriority w:val="99"/>
    <w:unhideWhenUsed/>
    <w:rsid w:val="007C34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34FC"/>
  </w:style>
  <w:style w:type="paragraph" w:styleId="Balonteksts">
    <w:name w:val="Balloon Text"/>
    <w:basedOn w:val="Parasts"/>
    <w:link w:val="BalontekstsRakstz"/>
    <w:uiPriority w:val="99"/>
    <w:semiHidden/>
    <w:unhideWhenUsed/>
    <w:rsid w:val="007C34F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34FC"/>
    <w:rPr>
      <w:rFonts w:ascii="Tahoma" w:hAnsi="Tahoma" w:cs="Tahoma"/>
      <w:sz w:val="16"/>
      <w:szCs w:val="16"/>
    </w:rPr>
  </w:style>
  <w:style w:type="character" w:styleId="Komentraatsauce">
    <w:name w:val="annotation reference"/>
    <w:basedOn w:val="Noklusjumarindkopasfonts"/>
    <w:uiPriority w:val="99"/>
    <w:semiHidden/>
    <w:unhideWhenUsed/>
    <w:rsid w:val="00613C85"/>
    <w:rPr>
      <w:sz w:val="16"/>
      <w:szCs w:val="16"/>
    </w:rPr>
  </w:style>
  <w:style w:type="paragraph" w:styleId="Komentrateksts">
    <w:name w:val="annotation text"/>
    <w:basedOn w:val="Parasts"/>
    <w:link w:val="KomentratekstsRakstz"/>
    <w:uiPriority w:val="99"/>
    <w:semiHidden/>
    <w:unhideWhenUsed/>
    <w:rsid w:val="00613C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13C85"/>
    <w:rPr>
      <w:sz w:val="20"/>
      <w:szCs w:val="20"/>
    </w:rPr>
  </w:style>
  <w:style w:type="paragraph" w:styleId="Komentratma">
    <w:name w:val="annotation subject"/>
    <w:basedOn w:val="Komentrateksts"/>
    <w:next w:val="Komentrateksts"/>
    <w:link w:val="KomentratmaRakstz"/>
    <w:uiPriority w:val="99"/>
    <w:semiHidden/>
    <w:unhideWhenUsed/>
    <w:rsid w:val="00613C85"/>
    <w:rPr>
      <w:b/>
      <w:bCs/>
    </w:rPr>
  </w:style>
  <w:style w:type="character" w:customStyle="1" w:styleId="KomentratmaRakstz">
    <w:name w:val="Komentāra tēma Rakstz."/>
    <w:basedOn w:val="KomentratekstsRakstz"/>
    <w:link w:val="Komentratma"/>
    <w:uiPriority w:val="99"/>
    <w:semiHidden/>
    <w:rsid w:val="00613C85"/>
    <w:rPr>
      <w:b/>
      <w:bCs/>
      <w:sz w:val="20"/>
      <w:szCs w:val="20"/>
    </w:rPr>
  </w:style>
  <w:style w:type="paragraph" w:customStyle="1" w:styleId="naisf">
    <w:name w:val="naisf"/>
    <w:basedOn w:val="Parasts"/>
    <w:rsid w:val="00A5516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A5516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A5516C"/>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ize.Mantin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1215-5879-42FD-9FA6-8AA7A632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5327</Words>
  <Characters>3037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Starptautiskās Krimināltiesas biroja ēkas celtniecībai nepieciešamā finansējuma Latvijas daļas apmaksu”</vt:lpstr>
      <vt:lpstr>TMAnot_020413</vt:lpstr>
    </vt:vector>
  </TitlesOfParts>
  <Company>Tieslietu Sektors</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Starptautiskās Krimināltiesas biroja ēkas celtniecībai nepieciešamā finansējuma Latvijas daļas apmaksu”</dc:title>
  <dc:subject>Ministru kabineta rīkojuma projekta sākotnējās ietekmes novērtējuma ziņojums (anotācija)</dc:subject>
  <dc:creator>L.Mantiņa</dc:creator>
  <dc:description>67036911, Luize.Mantina@tm.gov.lv</dc:description>
  <cp:lastModifiedBy>Luize Mantina</cp:lastModifiedBy>
  <cp:revision>4</cp:revision>
  <dcterms:created xsi:type="dcterms:W3CDTF">2013-05-27T11:08:00Z</dcterms:created>
  <dcterms:modified xsi:type="dcterms:W3CDTF">2013-05-27T11:14:00Z</dcterms:modified>
</cp:coreProperties>
</file>