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C45" w:rsidRPr="001D668F" w:rsidRDefault="001D5F17" w:rsidP="001D668F">
      <w:pPr>
        <w:spacing w:after="0"/>
        <w:jc w:val="center"/>
        <w:rPr>
          <w:rFonts w:ascii="Times New Roman" w:hAnsi="Times New Roman"/>
          <w:b/>
          <w:sz w:val="28"/>
          <w:szCs w:val="28"/>
        </w:rPr>
      </w:pPr>
      <w:r w:rsidRPr="001D668F">
        <w:rPr>
          <w:rFonts w:ascii="Times New Roman" w:hAnsi="Times New Roman"/>
          <w:b/>
          <w:sz w:val="28"/>
          <w:szCs w:val="28"/>
        </w:rPr>
        <w:t>Ministru kabineta noteikumu projekta „</w:t>
      </w:r>
      <w:r w:rsidR="001D668F" w:rsidRPr="001D668F">
        <w:rPr>
          <w:rFonts w:ascii="Times New Roman" w:hAnsi="Times New Roman"/>
          <w:b/>
          <w:sz w:val="28"/>
          <w:szCs w:val="28"/>
        </w:rPr>
        <w:t>Ar juridisko palīdzību saistīto izmaksu atlīdzināšanas noteikumi</w:t>
      </w:r>
      <w:r w:rsidRPr="001D668F">
        <w:rPr>
          <w:rFonts w:ascii="Times New Roman" w:hAnsi="Times New Roman"/>
          <w:b/>
          <w:sz w:val="28"/>
          <w:szCs w:val="28"/>
        </w:rPr>
        <w:t xml:space="preserve">” </w:t>
      </w:r>
      <w:r w:rsidRPr="001D668F">
        <w:rPr>
          <w:rFonts w:ascii="Times New Roman" w:eastAsia="Times New Roman" w:hAnsi="Times New Roman"/>
          <w:b/>
          <w:bCs/>
          <w:sz w:val="28"/>
          <w:szCs w:val="28"/>
          <w:lang w:eastAsia="lv-LV"/>
        </w:rPr>
        <w:t>sākotnējās ietekmes novērtējuma ziņojums (anotācija)</w:t>
      </w:r>
    </w:p>
    <w:p w:rsidR="001D5F17" w:rsidRDefault="001D5F17" w:rsidP="001D5F17">
      <w:pPr>
        <w:spacing w:after="0"/>
        <w:jc w:val="center"/>
        <w:rPr>
          <w:rFonts w:ascii="Times New Roman" w:eastAsia="Times New Roman" w:hAnsi="Times New Roman"/>
          <w:b/>
          <w:bCs/>
          <w:sz w:val="28"/>
          <w:szCs w:val="28"/>
          <w:lang w:eastAsia="lv-LV"/>
        </w:rPr>
      </w:pPr>
    </w:p>
    <w:tbl>
      <w:tblPr>
        <w:tblpPr w:leftFromText="180" w:rightFromText="180" w:vertAnchor="text" w:horzAnchor="margin" w:tblpXSpec="center" w:tblpY="14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3"/>
        <w:gridCol w:w="4315"/>
        <w:gridCol w:w="4354"/>
      </w:tblGrid>
      <w:tr w:rsidR="001D5F17" w:rsidRPr="001D5F17" w:rsidTr="006E218F">
        <w:tc>
          <w:tcPr>
            <w:tcW w:w="9072" w:type="dxa"/>
            <w:gridSpan w:val="3"/>
            <w:vAlign w:val="center"/>
          </w:tcPr>
          <w:p w:rsidR="001D5F17" w:rsidRPr="001D5F17" w:rsidRDefault="001D5F17" w:rsidP="001D5F17">
            <w:pPr>
              <w:pStyle w:val="naisnod"/>
              <w:spacing w:before="0" w:after="0"/>
              <w:jc w:val="center"/>
              <w:rPr>
                <w:b/>
                <w:sz w:val="28"/>
                <w:szCs w:val="28"/>
              </w:rPr>
            </w:pPr>
            <w:r w:rsidRPr="001D5F17">
              <w:rPr>
                <w:b/>
                <w:sz w:val="28"/>
                <w:szCs w:val="28"/>
              </w:rPr>
              <w:t>I. Tiesību akta projekta izstrādes nepieciešamība</w:t>
            </w:r>
          </w:p>
        </w:tc>
      </w:tr>
      <w:tr w:rsidR="001D5F17" w:rsidRPr="007607AC" w:rsidTr="006E218F">
        <w:trPr>
          <w:trHeight w:val="630"/>
        </w:trPr>
        <w:tc>
          <w:tcPr>
            <w:tcW w:w="403" w:type="dxa"/>
          </w:tcPr>
          <w:p w:rsidR="001D5F17" w:rsidRPr="001D5F17" w:rsidRDefault="001D5F17" w:rsidP="001D5F17">
            <w:pPr>
              <w:pStyle w:val="naiskr"/>
              <w:spacing w:before="0" w:after="0"/>
              <w:rPr>
                <w:sz w:val="28"/>
                <w:szCs w:val="28"/>
              </w:rPr>
            </w:pPr>
            <w:r w:rsidRPr="001D5F17">
              <w:rPr>
                <w:sz w:val="28"/>
                <w:szCs w:val="28"/>
              </w:rPr>
              <w:t>1.</w:t>
            </w:r>
          </w:p>
        </w:tc>
        <w:tc>
          <w:tcPr>
            <w:tcW w:w="4315" w:type="dxa"/>
          </w:tcPr>
          <w:p w:rsidR="001D5F17" w:rsidRPr="001D5F17" w:rsidRDefault="001D5F17" w:rsidP="001D5F17">
            <w:pPr>
              <w:pStyle w:val="naiskr"/>
              <w:spacing w:before="0" w:after="0"/>
              <w:ind w:hanging="10"/>
              <w:rPr>
                <w:sz w:val="28"/>
                <w:szCs w:val="28"/>
              </w:rPr>
            </w:pPr>
            <w:r w:rsidRPr="001D5F17">
              <w:rPr>
                <w:sz w:val="28"/>
                <w:szCs w:val="28"/>
              </w:rPr>
              <w:t>Pamatojums</w:t>
            </w:r>
          </w:p>
        </w:tc>
        <w:tc>
          <w:tcPr>
            <w:tcW w:w="4354" w:type="dxa"/>
          </w:tcPr>
          <w:p w:rsidR="00E065E5" w:rsidRPr="007607AC" w:rsidRDefault="00E065E5" w:rsidP="00E065E5">
            <w:pPr>
              <w:spacing w:after="0" w:line="240" w:lineRule="auto"/>
              <w:jc w:val="both"/>
              <w:rPr>
                <w:rFonts w:ascii="Times New Roman" w:hAnsi="Times New Roman"/>
                <w:sz w:val="28"/>
                <w:szCs w:val="28"/>
              </w:rPr>
            </w:pPr>
            <w:r w:rsidRPr="007607AC">
              <w:rPr>
                <w:rFonts w:ascii="Times New Roman" w:hAnsi="Times New Roman"/>
                <w:sz w:val="28"/>
                <w:szCs w:val="28"/>
              </w:rPr>
              <w:t xml:space="preserve">Š.g. </w:t>
            </w:r>
            <w:r w:rsidR="00630451" w:rsidRPr="007607AC">
              <w:rPr>
                <w:rFonts w:ascii="Times New Roman" w:hAnsi="Times New Roman"/>
                <w:sz w:val="28"/>
                <w:szCs w:val="28"/>
              </w:rPr>
              <w:t>1. jūlijā</w:t>
            </w:r>
            <w:r w:rsidRPr="007607AC">
              <w:rPr>
                <w:rFonts w:ascii="Times New Roman" w:hAnsi="Times New Roman"/>
                <w:sz w:val="28"/>
                <w:szCs w:val="28"/>
              </w:rPr>
              <w:t xml:space="preserve"> </w:t>
            </w:r>
            <w:r w:rsidR="007607AC" w:rsidRPr="007607AC">
              <w:rPr>
                <w:rFonts w:ascii="Times New Roman" w:hAnsi="Times New Roman"/>
                <w:sz w:val="28"/>
                <w:szCs w:val="28"/>
              </w:rPr>
              <w:t>pieņemtais</w:t>
            </w:r>
            <w:r w:rsidRPr="007607AC">
              <w:rPr>
                <w:rFonts w:ascii="Times New Roman" w:hAnsi="Times New Roman"/>
                <w:sz w:val="28"/>
                <w:szCs w:val="28"/>
              </w:rPr>
              <w:t xml:space="preserve"> likums „Grozījumi Valsts pārvaldes iestāžu nodarīto zaudējumu atlīdzināšanas likumā”, k</w:t>
            </w:r>
            <w:r w:rsidR="007607AC">
              <w:rPr>
                <w:rFonts w:ascii="Times New Roman" w:hAnsi="Times New Roman"/>
                <w:sz w:val="28"/>
                <w:szCs w:val="28"/>
              </w:rPr>
              <w:t>ura 2. pants</w:t>
            </w:r>
            <w:r w:rsidRPr="007607AC">
              <w:rPr>
                <w:rFonts w:ascii="Times New Roman" w:hAnsi="Times New Roman"/>
                <w:sz w:val="28"/>
                <w:szCs w:val="28"/>
              </w:rPr>
              <w:t xml:space="preserve"> paredz izteikt Valsts pārvaldes iestāžu nodarīto zaudējumu atlīdzināšanas likuma 7. panta trešās daļas trešo teikumu šādā redakcija:</w:t>
            </w:r>
          </w:p>
          <w:p w:rsidR="001D5F17" w:rsidRPr="007607AC" w:rsidRDefault="00E065E5" w:rsidP="00E065E5">
            <w:pPr>
              <w:spacing w:after="0" w:line="240" w:lineRule="auto"/>
              <w:jc w:val="both"/>
              <w:rPr>
                <w:rFonts w:ascii="Times New Roman" w:hAnsi="Times New Roman"/>
                <w:sz w:val="28"/>
                <w:szCs w:val="28"/>
              </w:rPr>
            </w:pPr>
            <w:r w:rsidRPr="007607AC">
              <w:rPr>
                <w:rFonts w:ascii="Times New Roman" w:hAnsi="Times New Roman"/>
                <w:sz w:val="28"/>
                <w:szCs w:val="28"/>
              </w:rPr>
              <w:t>„Šo izmaksu maksimālo apmēru nosaka Ministru kabinets.”</w:t>
            </w:r>
          </w:p>
        </w:tc>
      </w:tr>
      <w:tr w:rsidR="001D5F17" w:rsidRPr="001D5F17" w:rsidTr="006E218F">
        <w:trPr>
          <w:trHeight w:val="472"/>
        </w:trPr>
        <w:tc>
          <w:tcPr>
            <w:tcW w:w="403" w:type="dxa"/>
          </w:tcPr>
          <w:p w:rsidR="001D5F17" w:rsidRPr="001D5F17" w:rsidRDefault="001D5F17" w:rsidP="001D5F17">
            <w:pPr>
              <w:pStyle w:val="naiskr"/>
              <w:spacing w:before="0" w:after="0"/>
              <w:rPr>
                <w:sz w:val="28"/>
                <w:szCs w:val="28"/>
              </w:rPr>
            </w:pPr>
            <w:r w:rsidRPr="001D5F17">
              <w:rPr>
                <w:sz w:val="28"/>
                <w:szCs w:val="28"/>
              </w:rPr>
              <w:t>2.</w:t>
            </w:r>
          </w:p>
        </w:tc>
        <w:tc>
          <w:tcPr>
            <w:tcW w:w="4315" w:type="dxa"/>
          </w:tcPr>
          <w:p w:rsidR="001D5F17" w:rsidRPr="001D5F17" w:rsidRDefault="001D5F17" w:rsidP="001D5F17">
            <w:pPr>
              <w:pStyle w:val="naiskr"/>
              <w:tabs>
                <w:tab w:val="left" w:pos="170"/>
              </w:tabs>
              <w:spacing w:before="0" w:after="0"/>
              <w:rPr>
                <w:sz w:val="28"/>
                <w:szCs w:val="28"/>
              </w:rPr>
            </w:pPr>
            <w:r w:rsidRPr="001D5F17">
              <w:rPr>
                <w:sz w:val="28"/>
                <w:szCs w:val="28"/>
              </w:rPr>
              <w:t>Pašreizējā situācija un problēmas</w:t>
            </w:r>
          </w:p>
        </w:tc>
        <w:tc>
          <w:tcPr>
            <w:tcW w:w="4354" w:type="dxa"/>
          </w:tcPr>
          <w:p w:rsidR="001D5F17" w:rsidRDefault="001E4D28" w:rsidP="001E4D28">
            <w:pPr>
              <w:pStyle w:val="naiskr"/>
              <w:spacing w:before="0" w:after="0"/>
              <w:jc w:val="both"/>
              <w:rPr>
                <w:sz w:val="28"/>
                <w:szCs w:val="28"/>
              </w:rPr>
            </w:pPr>
            <w:r>
              <w:rPr>
                <w:sz w:val="28"/>
                <w:szCs w:val="28"/>
              </w:rPr>
              <w:t xml:space="preserve">Valsts pārvaldes iestāžu nodarīto zaudējumu atlīdzināšanas likuma (turpmāk – </w:t>
            </w:r>
            <w:r w:rsidRPr="001E4D28">
              <w:rPr>
                <w:sz w:val="28"/>
                <w:szCs w:val="28"/>
              </w:rPr>
              <w:t>likums) mērķis ir nodrošināt privātpersonai Satversmē un Administratīvā procesa likumā noteiktās tiesības uz atbilstīgu atlīdzinājumu par mantisko zaudējumu vai personisko kaitējumu, arī morālo kaitējumu, kas tai nodarīts ar valsts pārvaldes iestādes prettiesisku administratīvo aktu vai prettiesisku faktisko rīcību.</w:t>
            </w:r>
          </w:p>
          <w:p w:rsidR="001E4D28" w:rsidRDefault="001E4D28" w:rsidP="001E4D28">
            <w:pPr>
              <w:pStyle w:val="naiskr"/>
              <w:spacing w:before="0" w:after="0"/>
              <w:jc w:val="both"/>
              <w:rPr>
                <w:sz w:val="28"/>
                <w:szCs w:val="28"/>
              </w:rPr>
            </w:pPr>
            <w:r>
              <w:rPr>
                <w:sz w:val="28"/>
                <w:szCs w:val="28"/>
              </w:rPr>
              <w:t>Likuma 7. pantā trešā daļa paredz, ka m</w:t>
            </w:r>
            <w:r w:rsidRPr="001E4D28">
              <w:rPr>
                <w:sz w:val="28"/>
                <w:szCs w:val="28"/>
              </w:rPr>
              <w:t xml:space="preserve">antiskais zaudējums aptver arī izmaksas, kas saistītas ar juridisko palīdzību. </w:t>
            </w:r>
            <w:r>
              <w:rPr>
                <w:sz w:val="28"/>
                <w:szCs w:val="28"/>
              </w:rPr>
              <w:t>Tāpat likuma 7. panta trešajā daļā ir iekļauts pilnvarojums Ministru kabinetam noteikt izmaksu, kas ir saistītas ar juridisko palīdzību, maksimālo apmēru.</w:t>
            </w:r>
          </w:p>
          <w:p w:rsidR="00B725C4" w:rsidRDefault="001E4D28" w:rsidP="001E4D28">
            <w:pPr>
              <w:pStyle w:val="naiskr"/>
              <w:spacing w:before="0" w:after="0"/>
              <w:jc w:val="both"/>
              <w:rPr>
                <w:sz w:val="28"/>
                <w:szCs w:val="28"/>
              </w:rPr>
            </w:pPr>
            <w:r>
              <w:rPr>
                <w:sz w:val="28"/>
                <w:szCs w:val="28"/>
              </w:rPr>
              <w:t>Šobrīd normatīvie akti neparedz, kādā apmērā valsts atlīdzina zaudējumus, kas privātpersonai ir radušies</w:t>
            </w:r>
            <w:r w:rsidR="00E71667">
              <w:rPr>
                <w:sz w:val="28"/>
                <w:szCs w:val="28"/>
              </w:rPr>
              <w:t>,</w:t>
            </w:r>
            <w:r>
              <w:rPr>
                <w:sz w:val="28"/>
                <w:szCs w:val="28"/>
              </w:rPr>
              <w:t xml:space="preserve"> administratīvā procesa ietvaros izmantojot juridisko palīdzību.</w:t>
            </w:r>
            <w:r w:rsidR="00C71FCC">
              <w:rPr>
                <w:sz w:val="28"/>
                <w:szCs w:val="28"/>
              </w:rPr>
              <w:t xml:space="preserve"> Praksē izmaksu, kas ir saistītas ar juridisko </w:t>
            </w:r>
            <w:r w:rsidR="00C71FCC">
              <w:rPr>
                <w:sz w:val="28"/>
                <w:szCs w:val="28"/>
              </w:rPr>
              <w:lastRenderedPageBreak/>
              <w:t xml:space="preserve">palīdzību, apmērus nosaka pēc analoģijas ar </w:t>
            </w:r>
            <w:r w:rsidR="00C71FCC" w:rsidRPr="00572375">
              <w:rPr>
                <w:sz w:val="28"/>
                <w:szCs w:val="28"/>
              </w:rPr>
              <w:t>Ministru kabineta 2009. gada 22. decembra noteikumos Nr. 1493 „</w:t>
            </w:r>
            <w:r w:rsidR="00C71FCC" w:rsidRPr="00572375">
              <w:rPr>
                <w:bCs/>
                <w:sz w:val="28"/>
                <w:szCs w:val="28"/>
              </w:rPr>
              <w:t>Noteikumi par valsts nodrošinātās juridiskās palīdzības apjomu, samaksas apmēru, atlīdzināmajiem izdevumiem un to izmaksas kārtību”</w:t>
            </w:r>
            <w:r w:rsidR="00C71FCC">
              <w:rPr>
                <w:bCs/>
                <w:sz w:val="28"/>
                <w:szCs w:val="28"/>
              </w:rPr>
              <w:t xml:space="preserve">. </w:t>
            </w:r>
            <w:r w:rsidR="00C71FCC">
              <w:rPr>
                <w:sz w:val="28"/>
                <w:szCs w:val="28"/>
              </w:rPr>
              <w:t>Taču i</w:t>
            </w:r>
            <w:r>
              <w:rPr>
                <w:sz w:val="28"/>
                <w:szCs w:val="28"/>
              </w:rPr>
              <w:t xml:space="preserve">evērojot to, ka likums paredz tiesības privātpersonai saņemt atlīdzinājumu par saņemto juridisko palīdzību, secināms, ka patlaban privātpersona </w:t>
            </w:r>
            <w:r w:rsidR="00B725C4">
              <w:rPr>
                <w:sz w:val="28"/>
                <w:szCs w:val="28"/>
              </w:rPr>
              <w:t xml:space="preserve">saskaņā ar </w:t>
            </w:r>
            <w:r w:rsidR="00B725C4" w:rsidRPr="00C71FCC">
              <w:rPr>
                <w:sz w:val="28"/>
                <w:szCs w:val="28"/>
              </w:rPr>
              <w:t xml:space="preserve">Valsts pārvaldes iestāžu nodarīto zaudējumu atlīdzināšanas likumu </w:t>
            </w:r>
            <w:r w:rsidRPr="00C71FCC">
              <w:rPr>
                <w:sz w:val="28"/>
                <w:szCs w:val="28"/>
              </w:rPr>
              <w:t>ir tiesīga pieprasīt atlīdzināt izmaksas, kas ir saistītas ar juridisko palīdzību, neierobežotā apmērā.</w:t>
            </w:r>
            <w:r w:rsidR="00B725C4">
              <w:rPr>
                <w:sz w:val="28"/>
                <w:szCs w:val="28"/>
              </w:rPr>
              <w:t xml:space="preserve"> </w:t>
            </w:r>
          </w:p>
          <w:p w:rsidR="00B5663F" w:rsidRDefault="00ED1375" w:rsidP="00C71FCC">
            <w:pPr>
              <w:pStyle w:val="naiskr"/>
              <w:spacing w:before="0" w:after="0"/>
              <w:jc w:val="both"/>
              <w:rPr>
                <w:sz w:val="28"/>
                <w:szCs w:val="28"/>
              </w:rPr>
            </w:pPr>
            <w:r w:rsidRPr="00C71FCC">
              <w:rPr>
                <w:sz w:val="28"/>
                <w:szCs w:val="28"/>
              </w:rPr>
              <w:t xml:space="preserve">Ievērojot minēto, </w:t>
            </w:r>
            <w:r w:rsidR="00C71FCC">
              <w:rPr>
                <w:sz w:val="28"/>
                <w:szCs w:val="28"/>
              </w:rPr>
              <w:t xml:space="preserve">ir lietderīgi noteikt zināmus </w:t>
            </w:r>
            <w:r w:rsidR="008C6E0A">
              <w:rPr>
                <w:sz w:val="28"/>
                <w:szCs w:val="28"/>
              </w:rPr>
              <w:t>ie</w:t>
            </w:r>
            <w:r w:rsidR="00C71FCC">
              <w:rPr>
                <w:sz w:val="28"/>
                <w:szCs w:val="28"/>
              </w:rPr>
              <w:t xml:space="preserve">robežojumus atlīdzību izmaksai par juridiskajiem pakalpojumiem. Tādējādi atlīdzināmo izmaksu, kas ir saistītas ar juridisko palīdzību, apmēru būs iespējams prognozēt, kā arī tiks nodrošināta savlaicīga izmaksu atlīdzināšana, tādējādi nodrošinot optimālu nodarīto zaudējumu atlīdzināšanu samērīgos termiņos visām personām, kas ar šādu prasību pret iestādi ir vērsusies. </w:t>
            </w:r>
          </w:p>
          <w:p w:rsidR="00C71FCC" w:rsidRPr="001D5F17" w:rsidRDefault="00C71FCC" w:rsidP="00C71FCC">
            <w:pPr>
              <w:pStyle w:val="naiskr"/>
              <w:spacing w:before="0" w:after="0"/>
              <w:jc w:val="both"/>
              <w:rPr>
                <w:sz w:val="28"/>
                <w:szCs w:val="28"/>
              </w:rPr>
            </w:pPr>
            <w:r>
              <w:rPr>
                <w:sz w:val="28"/>
                <w:szCs w:val="28"/>
              </w:rPr>
              <w:t xml:space="preserve">Atlīdzināmo </w:t>
            </w:r>
            <w:r w:rsidR="008C6E0A">
              <w:rPr>
                <w:sz w:val="28"/>
                <w:szCs w:val="28"/>
              </w:rPr>
              <w:t xml:space="preserve">mantisko </w:t>
            </w:r>
            <w:r>
              <w:rPr>
                <w:sz w:val="28"/>
                <w:szCs w:val="28"/>
              </w:rPr>
              <w:t>zaudējumu</w:t>
            </w:r>
            <w:r w:rsidR="008C6E0A">
              <w:rPr>
                <w:sz w:val="28"/>
                <w:szCs w:val="28"/>
              </w:rPr>
              <w:t>, kas ir saistīti ar juridiskās palīdzības saņemšanu,</w:t>
            </w:r>
            <w:r>
              <w:rPr>
                <w:sz w:val="28"/>
                <w:szCs w:val="28"/>
              </w:rPr>
              <w:t xml:space="preserve"> apmēra ierobežošana ir pamatojama arī ar to, ka viens no administratīvā procesa pamatprincipiem ir objektīvās izmeklēšanas princips, kura piemērošana samazina privātpersonas nepieciešamību pēc juridiskās palīdzības.</w:t>
            </w:r>
          </w:p>
        </w:tc>
      </w:tr>
      <w:tr w:rsidR="001D5F17" w:rsidRPr="001D5F17" w:rsidTr="006E218F">
        <w:trPr>
          <w:trHeight w:val="1071"/>
        </w:trPr>
        <w:tc>
          <w:tcPr>
            <w:tcW w:w="403" w:type="dxa"/>
          </w:tcPr>
          <w:p w:rsidR="001D5F17" w:rsidRPr="001D5F17" w:rsidRDefault="001D5F17" w:rsidP="001D5F17">
            <w:pPr>
              <w:pStyle w:val="naiskr"/>
              <w:spacing w:before="0" w:after="0"/>
              <w:rPr>
                <w:sz w:val="28"/>
                <w:szCs w:val="28"/>
              </w:rPr>
            </w:pPr>
            <w:r w:rsidRPr="001D5F17">
              <w:rPr>
                <w:sz w:val="28"/>
                <w:szCs w:val="28"/>
              </w:rPr>
              <w:lastRenderedPageBreak/>
              <w:t>3.</w:t>
            </w:r>
          </w:p>
        </w:tc>
        <w:tc>
          <w:tcPr>
            <w:tcW w:w="4315" w:type="dxa"/>
          </w:tcPr>
          <w:p w:rsidR="001D5F17" w:rsidRPr="001D5F17" w:rsidRDefault="001D5F17" w:rsidP="001D5F17">
            <w:pPr>
              <w:pStyle w:val="naiskr"/>
              <w:spacing w:before="0" w:after="0"/>
              <w:rPr>
                <w:sz w:val="28"/>
                <w:szCs w:val="28"/>
              </w:rPr>
            </w:pPr>
            <w:r w:rsidRPr="001D5F17">
              <w:rPr>
                <w:sz w:val="28"/>
                <w:szCs w:val="28"/>
              </w:rPr>
              <w:t>Saistītie politikas ietekmes novērtējumi un pētījumi</w:t>
            </w:r>
          </w:p>
        </w:tc>
        <w:tc>
          <w:tcPr>
            <w:tcW w:w="4354" w:type="dxa"/>
          </w:tcPr>
          <w:p w:rsidR="001D5F17" w:rsidRPr="0039314F" w:rsidRDefault="0039314F" w:rsidP="001D5F17">
            <w:pPr>
              <w:pStyle w:val="Vresteksts"/>
              <w:rPr>
                <w:sz w:val="28"/>
                <w:szCs w:val="28"/>
              </w:rPr>
            </w:pPr>
            <w:r w:rsidRPr="0039314F">
              <w:rPr>
                <w:sz w:val="28"/>
                <w:szCs w:val="28"/>
              </w:rPr>
              <w:t>Projekts šo jomu neskar</w:t>
            </w:r>
          </w:p>
        </w:tc>
      </w:tr>
      <w:tr w:rsidR="001D5F17" w:rsidRPr="001D5F17" w:rsidTr="006E218F">
        <w:trPr>
          <w:trHeight w:val="384"/>
        </w:trPr>
        <w:tc>
          <w:tcPr>
            <w:tcW w:w="403" w:type="dxa"/>
          </w:tcPr>
          <w:p w:rsidR="001D5F17" w:rsidRPr="001D5F17" w:rsidRDefault="001D5F17" w:rsidP="001D5F17">
            <w:pPr>
              <w:pStyle w:val="naiskr"/>
              <w:spacing w:before="0" w:after="0"/>
              <w:rPr>
                <w:sz w:val="28"/>
                <w:szCs w:val="28"/>
              </w:rPr>
            </w:pPr>
            <w:r w:rsidRPr="001D5F17">
              <w:rPr>
                <w:sz w:val="28"/>
                <w:szCs w:val="28"/>
              </w:rPr>
              <w:t>4.</w:t>
            </w:r>
          </w:p>
        </w:tc>
        <w:tc>
          <w:tcPr>
            <w:tcW w:w="4315" w:type="dxa"/>
          </w:tcPr>
          <w:p w:rsidR="001D5F17" w:rsidRPr="001D5F17" w:rsidRDefault="001D5F17" w:rsidP="001D5F17">
            <w:pPr>
              <w:pStyle w:val="naiskr"/>
              <w:spacing w:before="0" w:after="0"/>
              <w:rPr>
                <w:sz w:val="28"/>
                <w:szCs w:val="28"/>
              </w:rPr>
            </w:pPr>
            <w:r w:rsidRPr="001D5F17">
              <w:rPr>
                <w:sz w:val="28"/>
                <w:szCs w:val="28"/>
              </w:rPr>
              <w:t>Tiesiskā regulējuma mērķis un būtība</w:t>
            </w:r>
          </w:p>
        </w:tc>
        <w:tc>
          <w:tcPr>
            <w:tcW w:w="4354" w:type="dxa"/>
          </w:tcPr>
          <w:p w:rsidR="001D5F17" w:rsidRDefault="0039314F" w:rsidP="0039314F">
            <w:pPr>
              <w:pStyle w:val="naiskr"/>
              <w:jc w:val="both"/>
              <w:rPr>
                <w:sz w:val="28"/>
                <w:szCs w:val="28"/>
              </w:rPr>
            </w:pPr>
            <w:r>
              <w:rPr>
                <w:sz w:val="28"/>
                <w:szCs w:val="28"/>
              </w:rPr>
              <w:t>Noteikumu projekta mērķis ir noteikt atlīdzināmo izmaksu, kas ir saistītas ar juridisko palīdzību, maksimālo ampēru.</w:t>
            </w:r>
            <w:r w:rsidR="00421026">
              <w:rPr>
                <w:sz w:val="28"/>
                <w:szCs w:val="28"/>
              </w:rPr>
              <w:t xml:space="preserve"> </w:t>
            </w:r>
          </w:p>
          <w:p w:rsidR="00421026" w:rsidRDefault="00421026" w:rsidP="0039314F">
            <w:pPr>
              <w:pStyle w:val="naiskr"/>
              <w:jc w:val="both"/>
              <w:rPr>
                <w:sz w:val="28"/>
                <w:szCs w:val="28"/>
              </w:rPr>
            </w:pPr>
            <w:r>
              <w:rPr>
                <w:sz w:val="28"/>
                <w:szCs w:val="28"/>
              </w:rPr>
              <w:t xml:space="preserve">Noteikumu projektā ir iekļauts regulējums par </w:t>
            </w:r>
            <w:r w:rsidR="008500C4">
              <w:rPr>
                <w:sz w:val="28"/>
                <w:szCs w:val="28"/>
              </w:rPr>
              <w:t>šādu juridisko palīdzību</w:t>
            </w:r>
            <w:r>
              <w:rPr>
                <w:sz w:val="28"/>
                <w:szCs w:val="28"/>
              </w:rPr>
              <w:t>:</w:t>
            </w:r>
          </w:p>
          <w:p w:rsidR="00421026" w:rsidRDefault="00421026" w:rsidP="00421026">
            <w:pPr>
              <w:pStyle w:val="naiskr"/>
              <w:jc w:val="both"/>
              <w:rPr>
                <w:sz w:val="28"/>
                <w:szCs w:val="28"/>
              </w:rPr>
            </w:pPr>
            <w:r>
              <w:rPr>
                <w:sz w:val="28"/>
                <w:szCs w:val="28"/>
              </w:rPr>
              <w:t>1) juridiskās konsultācijas;</w:t>
            </w:r>
          </w:p>
          <w:p w:rsidR="00421026" w:rsidRDefault="008500C4" w:rsidP="00421026">
            <w:pPr>
              <w:pStyle w:val="naiskr"/>
              <w:jc w:val="both"/>
              <w:rPr>
                <w:sz w:val="28"/>
                <w:szCs w:val="28"/>
              </w:rPr>
            </w:pPr>
            <w:r>
              <w:rPr>
                <w:sz w:val="28"/>
                <w:szCs w:val="28"/>
              </w:rPr>
              <w:t>2</w:t>
            </w:r>
            <w:r w:rsidR="00421026">
              <w:rPr>
                <w:sz w:val="28"/>
                <w:szCs w:val="28"/>
              </w:rPr>
              <w:t xml:space="preserve">) </w:t>
            </w:r>
            <w:r w:rsidR="00421026" w:rsidRPr="000B699D">
              <w:rPr>
                <w:sz w:val="28"/>
                <w:szCs w:val="28"/>
              </w:rPr>
              <w:t>pieteikuma, blakus sūdzības va</w:t>
            </w:r>
            <w:r w:rsidR="00421026">
              <w:rPr>
                <w:sz w:val="28"/>
                <w:szCs w:val="28"/>
              </w:rPr>
              <w:t xml:space="preserve">i </w:t>
            </w:r>
            <w:r w:rsidR="00E67653">
              <w:rPr>
                <w:sz w:val="28"/>
                <w:szCs w:val="28"/>
              </w:rPr>
              <w:t>administratīvā līguma (</w:t>
            </w:r>
            <w:r w:rsidR="00421026">
              <w:rPr>
                <w:sz w:val="28"/>
                <w:szCs w:val="28"/>
              </w:rPr>
              <w:t>izlīguma</w:t>
            </w:r>
            <w:r w:rsidR="00E67653">
              <w:rPr>
                <w:sz w:val="28"/>
                <w:szCs w:val="28"/>
              </w:rPr>
              <w:t>)</w:t>
            </w:r>
            <w:r w:rsidR="00421026">
              <w:rPr>
                <w:sz w:val="28"/>
                <w:szCs w:val="28"/>
              </w:rPr>
              <w:t xml:space="preserve"> sastādīšana</w:t>
            </w:r>
            <w:r w:rsidR="00421026" w:rsidRPr="000B699D">
              <w:rPr>
                <w:sz w:val="28"/>
                <w:szCs w:val="28"/>
              </w:rPr>
              <w:t>;</w:t>
            </w:r>
          </w:p>
          <w:p w:rsidR="00421026" w:rsidRDefault="008500C4" w:rsidP="00421026">
            <w:pPr>
              <w:spacing w:after="12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w:t>
            </w:r>
            <w:r w:rsidR="00421026">
              <w:rPr>
                <w:rFonts w:ascii="Times New Roman" w:eastAsia="Times New Roman" w:hAnsi="Times New Roman"/>
                <w:sz w:val="28"/>
                <w:szCs w:val="28"/>
                <w:lang w:eastAsia="lv-LV"/>
              </w:rPr>
              <w:t xml:space="preserve">) </w:t>
            </w:r>
            <w:r w:rsidR="00421026" w:rsidRPr="000B699D">
              <w:rPr>
                <w:rFonts w:ascii="Times New Roman" w:eastAsia="Times New Roman" w:hAnsi="Times New Roman"/>
                <w:sz w:val="28"/>
                <w:szCs w:val="28"/>
                <w:lang w:eastAsia="lv-LV"/>
              </w:rPr>
              <w:t xml:space="preserve">apelācijas sūdzības </w:t>
            </w:r>
            <w:r w:rsidR="00421026">
              <w:rPr>
                <w:rFonts w:ascii="Times New Roman" w:eastAsia="Times New Roman" w:hAnsi="Times New Roman"/>
                <w:sz w:val="28"/>
                <w:szCs w:val="28"/>
                <w:lang w:eastAsia="lv-LV"/>
              </w:rPr>
              <w:t xml:space="preserve">un </w:t>
            </w:r>
            <w:proofErr w:type="spellStart"/>
            <w:r w:rsidR="00421026">
              <w:rPr>
                <w:rFonts w:ascii="Times New Roman" w:eastAsia="Times New Roman" w:hAnsi="Times New Roman"/>
                <w:sz w:val="28"/>
                <w:szCs w:val="28"/>
                <w:lang w:eastAsia="lv-LV"/>
              </w:rPr>
              <w:t>pretapelācijas</w:t>
            </w:r>
            <w:proofErr w:type="spellEnd"/>
            <w:r w:rsidR="00421026">
              <w:rPr>
                <w:rFonts w:ascii="Times New Roman" w:eastAsia="Times New Roman" w:hAnsi="Times New Roman"/>
                <w:sz w:val="28"/>
                <w:szCs w:val="28"/>
                <w:lang w:eastAsia="lv-LV"/>
              </w:rPr>
              <w:t xml:space="preserve"> sūdzības sastādīšana</w:t>
            </w:r>
            <w:r w:rsidR="00421026" w:rsidRPr="000B699D">
              <w:rPr>
                <w:rFonts w:ascii="Times New Roman" w:eastAsia="Times New Roman" w:hAnsi="Times New Roman"/>
                <w:sz w:val="28"/>
                <w:szCs w:val="28"/>
                <w:lang w:eastAsia="lv-LV"/>
              </w:rPr>
              <w:t>;</w:t>
            </w:r>
          </w:p>
          <w:p w:rsidR="00421026" w:rsidRDefault="008500C4" w:rsidP="00421026">
            <w:pPr>
              <w:spacing w:after="12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4</w:t>
            </w:r>
            <w:r w:rsidR="00421026">
              <w:rPr>
                <w:rFonts w:ascii="Times New Roman" w:eastAsia="Times New Roman" w:hAnsi="Times New Roman"/>
                <w:sz w:val="28"/>
                <w:szCs w:val="28"/>
                <w:lang w:eastAsia="lv-LV"/>
              </w:rPr>
              <w:t>) kasācijas sūdzības sastādīšana</w:t>
            </w:r>
            <w:r w:rsidR="00421026" w:rsidRPr="000B699D">
              <w:rPr>
                <w:rFonts w:ascii="Times New Roman" w:eastAsia="Times New Roman" w:hAnsi="Times New Roman"/>
                <w:sz w:val="28"/>
                <w:szCs w:val="28"/>
                <w:lang w:eastAsia="lv-LV"/>
              </w:rPr>
              <w:t>;</w:t>
            </w:r>
          </w:p>
          <w:p w:rsidR="00421026" w:rsidRDefault="008500C4" w:rsidP="00421026">
            <w:pPr>
              <w:spacing w:after="12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w:t>
            </w:r>
            <w:r w:rsidR="00421026">
              <w:rPr>
                <w:rFonts w:ascii="Times New Roman" w:eastAsia="Times New Roman" w:hAnsi="Times New Roman"/>
                <w:sz w:val="28"/>
                <w:szCs w:val="28"/>
                <w:lang w:eastAsia="lv-LV"/>
              </w:rPr>
              <w:t xml:space="preserve">) </w:t>
            </w:r>
            <w:r w:rsidR="00421026" w:rsidRPr="000B699D">
              <w:rPr>
                <w:rFonts w:ascii="Times New Roman" w:eastAsia="Times New Roman" w:hAnsi="Times New Roman"/>
                <w:sz w:val="28"/>
                <w:szCs w:val="28"/>
                <w:lang w:eastAsia="lv-LV"/>
              </w:rPr>
              <w:t>tāda dokumenta sastādīšanu, kas nepieciešams lietas izšķiršanai (</w:t>
            </w:r>
            <w:r>
              <w:rPr>
                <w:rFonts w:ascii="Times New Roman" w:eastAsia="Times New Roman" w:hAnsi="Times New Roman"/>
                <w:sz w:val="28"/>
                <w:szCs w:val="28"/>
                <w:lang w:eastAsia="lv-LV"/>
              </w:rPr>
              <w:t xml:space="preserve">iesniegumi, </w:t>
            </w:r>
            <w:r w:rsidR="00421026">
              <w:rPr>
                <w:rFonts w:ascii="Times New Roman" w:eastAsia="Times New Roman" w:hAnsi="Times New Roman"/>
                <w:sz w:val="28"/>
                <w:szCs w:val="28"/>
                <w:lang w:eastAsia="lv-LV"/>
              </w:rPr>
              <w:t>lūgumi</w:t>
            </w:r>
            <w:r w:rsidR="00421026" w:rsidRPr="000B699D">
              <w:rPr>
                <w:rFonts w:ascii="Times New Roman" w:eastAsia="Times New Roman" w:hAnsi="Times New Roman"/>
                <w:sz w:val="28"/>
                <w:szCs w:val="28"/>
                <w:lang w:eastAsia="lv-LV"/>
              </w:rPr>
              <w:t xml:space="preserve"> vai paskaidrojumi</w:t>
            </w:r>
            <w:r>
              <w:rPr>
                <w:rFonts w:ascii="Times New Roman" w:eastAsia="Times New Roman" w:hAnsi="Times New Roman"/>
                <w:sz w:val="28"/>
                <w:szCs w:val="28"/>
                <w:lang w:eastAsia="lv-LV"/>
              </w:rPr>
              <w:t>)</w:t>
            </w:r>
            <w:r w:rsidR="00421026" w:rsidRPr="000B699D">
              <w:rPr>
                <w:rFonts w:ascii="Times New Roman" w:eastAsia="Times New Roman" w:hAnsi="Times New Roman"/>
                <w:sz w:val="28"/>
                <w:szCs w:val="28"/>
                <w:lang w:eastAsia="lv-LV"/>
              </w:rPr>
              <w:t xml:space="preserve">; </w:t>
            </w:r>
          </w:p>
          <w:p w:rsidR="00421026" w:rsidRDefault="008500C4" w:rsidP="00421026">
            <w:pPr>
              <w:spacing w:after="12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6</w:t>
            </w:r>
            <w:r w:rsidR="00421026">
              <w:rPr>
                <w:rFonts w:ascii="Times New Roman" w:eastAsia="Times New Roman" w:hAnsi="Times New Roman"/>
                <w:sz w:val="28"/>
                <w:szCs w:val="28"/>
                <w:lang w:eastAsia="lv-LV"/>
              </w:rPr>
              <w:t>)</w:t>
            </w:r>
            <w:r w:rsidR="00421026" w:rsidRPr="000B699D">
              <w:rPr>
                <w:rFonts w:ascii="Times New Roman" w:eastAsia="Times New Roman" w:hAnsi="Times New Roman"/>
                <w:sz w:val="28"/>
                <w:szCs w:val="28"/>
                <w:lang w:eastAsia="lv-LV"/>
              </w:rPr>
              <w:t xml:space="preserve"> dokumentu papildinājum</w:t>
            </w:r>
            <w:r w:rsidR="00421026">
              <w:rPr>
                <w:rFonts w:ascii="Times New Roman" w:eastAsia="Times New Roman" w:hAnsi="Times New Roman"/>
                <w:sz w:val="28"/>
                <w:szCs w:val="28"/>
                <w:lang w:eastAsia="lv-LV"/>
              </w:rPr>
              <w:t>u</w:t>
            </w:r>
            <w:r w:rsidR="00421026" w:rsidRPr="000B699D">
              <w:rPr>
                <w:rFonts w:ascii="Times New Roman" w:eastAsia="Times New Roman" w:hAnsi="Times New Roman"/>
                <w:sz w:val="28"/>
                <w:szCs w:val="28"/>
                <w:lang w:eastAsia="lv-LV"/>
              </w:rPr>
              <w:t xml:space="preserve"> sastādīšan</w:t>
            </w:r>
            <w:r w:rsidR="00421026">
              <w:rPr>
                <w:rFonts w:ascii="Times New Roman" w:eastAsia="Times New Roman" w:hAnsi="Times New Roman"/>
                <w:sz w:val="28"/>
                <w:szCs w:val="28"/>
                <w:lang w:eastAsia="lv-LV"/>
              </w:rPr>
              <w:t>a</w:t>
            </w:r>
            <w:r w:rsidR="00421026" w:rsidRPr="000B699D">
              <w:rPr>
                <w:rFonts w:ascii="Times New Roman" w:eastAsia="Times New Roman" w:hAnsi="Times New Roman"/>
                <w:sz w:val="28"/>
                <w:szCs w:val="28"/>
                <w:lang w:eastAsia="lv-LV"/>
              </w:rPr>
              <w:t>;</w:t>
            </w:r>
          </w:p>
          <w:p w:rsidR="00421026" w:rsidRDefault="008500C4" w:rsidP="00421026">
            <w:pPr>
              <w:spacing w:after="12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7</w:t>
            </w:r>
            <w:r w:rsidR="00421026">
              <w:rPr>
                <w:rFonts w:ascii="Times New Roman" w:eastAsia="Times New Roman" w:hAnsi="Times New Roman"/>
                <w:sz w:val="28"/>
                <w:szCs w:val="28"/>
                <w:lang w:eastAsia="lv-LV"/>
              </w:rPr>
              <w:t xml:space="preserve">) </w:t>
            </w:r>
            <w:r w:rsidR="00421026" w:rsidRPr="000B699D">
              <w:rPr>
                <w:rFonts w:ascii="Times New Roman" w:eastAsia="Times New Roman" w:hAnsi="Times New Roman"/>
                <w:sz w:val="28"/>
                <w:szCs w:val="28"/>
                <w:lang w:eastAsia="lv-LV"/>
              </w:rPr>
              <w:t>pārstāvīb</w:t>
            </w:r>
            <w:r w:rsidR="00421026">
              <w:rPr>
                <w:rFonts w:ascii="Times New Roman" w:eastAsia="Times New Roman" w:hAnsi="Times New Roman"/>
                <w:sz w:val="28"/>
                <w:szCs w:val="28"/>
                <w:lang w:eastAsia="lv-LV"/>
              </w:rPr>
              <w:t>a</w:t>
            </w:r>
            <w:r w:rsidR="00421026" w:rsidRPr="000B699D">
              <w:rPr>
                <w:rFonts w:ascii="Times New Roman" w:eastAsia="Times New Roman" w:hAnsi="Times New Roman"/>
                <w:sz w:val="28"/>
                <w:szCs w:val="28"/>
                <w:lang w:eastAsia="lv-LV"/>
              </w:rPr>
              <w:t xml:space="preserve"> tiesas sēdē;</w:t>
            </w:r>
          </w:p>
          <w:p w:rsidR="00421026" w:rsidRPr="00572375" w:rsidRDefault="008500C4" w:rsidP="00572375">
            <w:pPr>
              <w:pStyle w:val="naiskr"/>
              <w:jc w:val="both"/>
              <w:rPr>
                <w:sz w:val="28"/>
                <w:szCs w:val="28"/>
              </w:rPr>
            </w:pPr>
            <w:r>
              <w:rPr>
                <w:sz w:val="28"/>
                <w:szCs w:val="28"/>
              </w:rPr>
              <w:t>8</w:t>
            </w:r>
            <w:r w:rsidR="00421026">
              <w:rPr>
                <w:sz w:val="28"/>
                <w:szCs w:val="28"/>
              </w:rPr>
              <w:t>)</w:t>
            </w:r>
            <w:r w:rsidR="00421026" w:rsidRPr="000B699D">
              <w:rPr>
                <w:sz w:val="28"/>
                <w:szCs w:val="28"/>
              </w:rPr>
              <w:t xml:space="preserve"> </w:t>
            </w:r>
            <w:r w:rsidR="00421026" w:rsidRPr="00572375">
              <w:rPr>
                <w:sz w:val="28"/>
                <w:szCs w:val="28"/>
              </w:rPr>
              <w:t>iepazīšanās ar lietas materiāliem.</w:t>
            </w:r>
          </w:p>
          <w:p w:rsidR="00421026" w:rsidRDefault="00572375" w:rsidP="00572375">
            <w:pPr>
              <w:spacing w:after="0" w:line="240" w:lineRule="auto"/>
              <w:jc w:val="both"/>
              <w:rPr>
                <w:rFonts w:ascii="Times New Roman" w:eastAsia="Times New Roman" w:hAnsi="Times New Roman"/>
                <w:bCs/>
                <w:sz w:val="28"/>
                <w:szCs w:val="28"/>
                <w:lang w:eastAsia="lv-LV"/>
              </w:rPr>
            </w:pPr>
            <w:r w:rsidRPr="00572375">
              <w:rPr>
                <w:rFonts w:ascii="Times New Roman" w:hAnsi="Times New Roman"/>
                <w:sz w:val="28"/>
                <w:szCs w:val="28"/>
              </w:rPr>
              <w:t>Noteikumu projektā iekļautais regulējums ir izstrādāts pēc analoģijas ar Ministru kabineta 2009. gada 22. decembra noteikumos Nr. 1493 „</w:t>
            </w:r>
            <w:r w:rsidRPr="00572375">
              <w:rPr>
                <w:rFonts w:ascii="Times New Roman" w:eastAsia="Times New Roman" w:hAnsi="Times New Roman"/>
                <w:bCs/>
                <w:sz w:val="28"/>
                <w:szCs w:val="28"/>
                <w:lang w:eastAsia="lv-LV"/>
              </w:rPr>
              <w:t>Noteikumi par valsts nodrošinātās juridiskās palīdzības apjomu, samaksas apmēru, atlīdzināmajiem izdevumiem un to izmaksas kārtību”</w:t>
            </w:r>
            <w:r>
              <w:rPr>
                <w:rFonts w:ascii="Times New Roman" w:eastAsia="Times New Roman" w:hAnsi="Times New Roman"/>
                <w:bCs/>
                <w:sz w:val="28"/>
                <w:szCs w:val="28"/>
                <w:lang w:eastAsia="lv-LV"/>
              </w:rPr>
              <w:t xml:space="preserve"> ietverto regulējumu par valsts nodrošinātās juridiskās palīdzības samaksas apmēru.</w:t>
            </w:r>
            <w:r w:rsidR="00ED1375">
              <w:rPr>
                <w:rFonts w:ascii="Times New Roman" w:eastAsia="Times New Roman" w:hAnsi="Times New Roman"/>
                <w:bCs/>
                <w:sz w:val="28"/>
                <w:szCs w:val="28"/>
                <w:lang w:eastAsia="lv-LV"/>
              </w:rPr>
              <w:t xml:space="preserve"> </w:t>
            </w:r>
          </w:p>
          <w:p w:rsidR="00E67653" w:rsidRPr="00572375" w:rsidRDefault="00E67653" w:rsidP="00572375">
            <w:pPr>
              <w:spacing w:after="0" w:line="240" w:lineRule="auto"/>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lastRenderedPageBreak/>
              <w:t xml:space="preserve">Ievērojot iepriekš minēto, noteikumu projektā ir paredzēta iespēja saņemt atlīdzību arī par juridisko pakalpojumu – administratīvā līguma (izlīguma) sastādīšana. Šāds pakalpojuma veids ir iekļauts arī </w:t>
            </w:r>
            <w:r w:rsidRPr="00572375">
              <w:rPr>
                <w:rFonts w:ascii="Times New Roman" w:hAnsi="Times New Roman"/>
                <w:sz w:val="28"/>
                <w:szCs w:val="28"/>
              </w:rPr>
              <w:t>Ministru kabineta 2009. gada 22. decembra noteikumos Nr. 1493 „</w:t>
            </w:r>
            <w:r w:rsidRPr="00572375">
              <w:rPr>
                <w:rFonts w:ascii="Times New Roman" w:eastAsia="Times New Roman" w:hAnsi="Times New Roman"/>
                <w:bCs/>
                <w:sz w:val="28"/>
                <w:szCs w:val="28"/>
                <w:lang w:eastAsia="lv-LV"/>
              </w:rPr>
              <w:t>Noteikumi par valsts nodrošinātās juridiskās palīdzības apjomu, samaksas apmēru, atlīdzināmajiem izdevumiem un to izmaksas kārtību”</w:t>
            </w:r>
            <w:r>
              <w:rPr>
                <w:rFonts w:ascii="Times New Roman" w:eastAsia="Times New Roman" w:hAnsi="Times New Roman"/>
                <w:bCs/>
                <w:sz w:val="28"/>
                <w:szCs w:val="28"/>
                <w:lang w:eastAsia="lv-LV"/>
              </w:rPr>
              <w:t>, turklāt, ievērojot to, ka administratīvā līguma noslēgšanu var ierosināt gan iestāde, gan privātpersona, turklāt iestādei nav pienākuma sagatavot un slēgt administratīvo līgumu, praksē var pastāvēt situācijas, kad administratīvo līgumu sastāda pati privātpersona vai tās pārstāvis. Ievērojot minēto, nav pamata ierobežot privātpersonas tiesības saņemt atlīdzinājumu par administratīvā līguma sastādīšanu.</w:t>
            </w:r>
            <w:r w:rsidR="008733E9">
              <w:rPr>
                <w:rFonts w:ascii="Times New Roman" w:eastAsia="Times New Roman" w:hAnsi="Times New Roman"/>
                <w:bCs/>
                <w:sz w:val="28"/>
                <w:szCs w:val="28"/>
                <w:lang w:eastAsia="lv-LV"/>
              </w:rPr>
              <w:t xml:space="preserve"> Turklāt, ņemot vērā to, ka administratīvā līguma (izlīguma) slēgšana praksē netiek bieži izmantota, noteikumu projektā iekļautais regulējums veicinās administratīvi tiesisko attiecību noregulēšanu, izmantojot administratīvo līgumu (izlīgumu).</w:t>
            </w:r>
          </w:p>
          <w:p w:rsidR="00421026" w:rsidRPr="002E3593" w:rsidRDefault="001E688F" w:rsidP="00C71FCC">
            <w:pPr>
              <w:pStyle w:val="naiskr"/>
              <w:jc w:val="both"/>
              <w:rPr>
                <w:sz w:val="28"/>
                <w:szCs w:val="28"/>
              </w:rPr>
            </w:pPr>
            <w:r>
              <w:rPr>
                <w:sz w:val="28"/>
                <w:szCs w:val="28"/>
              </w:rPr>
              <w:t xml:space="preserve">Pēc noteikumu projektā iekļautā regulējuma spēkā stāšanās privātpersona administratīvā procesa ietvaros, pamatojoties uz likumu, no iestādes varēs pieprasīt zaudējumus, kas </w:t>
            </w:r>
            <w:r w:rsidRPr="002E3593">
              <w:rPr>
                <w:sz w:val="28"/>
                <w:szCs w:val="28"/>
              </w:rPr>
              <w:t xml:space="preserve">ir radušies, izmantojot juridisko palīdzību, ierobežotā apmērā. </w:t>
            </w:r>
          </w:p>
          <w:p w:rsidR="00576EC7" w:rsidRDefault="00576EC7" w:rsidP="00576EC7">
            <w:pPr>
              <w:spacing w:after="0" w:line="240" w:lineRule="auto"/>
              <w:jc w:val="both"/>
              <w:rPr>
                <w:rFonts w:ascii="Times New Roman" w:eastAsia="Times New Roman" w:hAnsi="Times New Roman"/>
                <w:bCs/>
                <w:sz w:val="28"/>
                <w:szCs w:val="28"/>
                <w:lang w:eastAsia="lv-LV"/>
              </w:rPr>
            </w:pPr>
            <w:r w:rsidRPr="002E3593">
              <w:rPr>
                <w:rFonts w:ascii="Times New Roman" w:hAnsi="Times New Roman"/>
                <w:sz w:val="28"/>
                <w:szCs w:val="28"/>
              </w:rPr>
              <w:t>Atšķirībā no Ministru kabineta 2009. gada 22. decembra noteikumiem Nr. 1493 „</w:t>
            </w:r>
            <w:r w:rsidRPr="002E3593">
              <w:rPr>
                <w:rFonts w:ascii="Times New Roman" w:eastAsia="Times New Roman" w:hAnsi="Times New Roman"/>
                <w:bCs/>
                <w:sz w:val="28"/>
                <w:szCs w:val="28"/>
                <w:lang w:eastAsia="lv-LV"/>
              </w:rPr>
              <w:t xml:space="preserve">Noteikumi </w:t>
            </w:r>
            <w:r w:rsidRPr="002E3593">
              <w:rPr>
                <w:rFonts w:ascii="Times New Roman" w:eastAsia="Times New Roman" w:hAnsi="Times New Roman"/>
                <w:bCs/>
                <w:sz w:val="28"/>
                <w:szCs w:val="28"/>
                <w:lang w:eastAsia="lv-LV"/>
              </w:rPr>
              <w:lastRenderedPageBreak/>
              <w:t>par valsts nodrošinātās juridiskās palīdzības apjomu, samaksas apmēru, atlīdzināmajiem izdevumiem un to izmaksas kārtību”</w:t>
            </w:r>
            <w:r w:rsidRPr="002E3593">
              <w:rPr>
                <w:rFonts w:ascii="Times New Roman" w:hAnsi="Times New Roman"/>
                <w:bCs/>
                <w:sz w:val="28"/>
                <w:szCs w:val="28"/>
              </w:rPr>
              <w:t xml:space="preserve">, kā arī no Ministru kabineta 2004. gada 24. augusta </w:t>
            </w:r>
            <w:r w:rsidRPr="00576EC7">
              <w:rPr>
                <w:rFonts w:ascii="Times New Roman" w:hAnsi="Times New Roman"/>
                <w:bCs/>
                <w:sz w:val="28"/>
                <w:szCs w:val="28"/>
              </w:rPr>
              <w:t xml:space="preserve">noteikumiem Nr. 735 „ </w:t>
            </w:r>
            <w:r w:rsidRPr="00576EC7">
              <w:rPr>
                <w:rFonts w:ascii="Times New Roman" w:eastAsia="Times New Roman" w:hAnsi="Times New Roman"/>
                <w:bCs/>
                <w:sz w:val="28"/>
                <w:szCs w:val="28"/>
                <w:lang w:eastAsia="lv-LV"/>
              </w:rPr>
              <w:t>Noteikumi par atlīdzības izmaksas kārtību un tās apmēru fiziskās personas pārstāvim administratīvajā lietā, kas adresātam ir sarežģīta”</w:t>
            </w:r>
            <w:r>
              <w:rPr>
                <w:rFonts w:ascii="Times New Roman" w:eastAsia="Times New Roman" w:hAnsi="Times New Roman"/>
                <w:bCs/>
                <w:sz w:val="28"/>
                <w:szCs w:val="28"/>
                <w:lang w:eastAsia="lv-LV"/>
              </w:rPr>
              <w:t xml:space="preserve">, atlīdzība par juridiskās palīdzības izmantošanu tiks izmaksāta privātpersonai, kas šo palīdzību izmantojusi, nevis pašam pārstāvim. Noteikumu projektā iekļautais regulējums tika sagatavots, ņemot vērā šo atšķirību. </w:t>
            </w:r>
          </w:p>
          <w:p w:rsidR="002E3593" w:rsidRPr="00576EC7" w:rsidRDefault="002E3593" w:rsidP="002E3593">
            <w:pPr>
              <w:spacing w:after="0" w:line="240" w:lineRule="auto"/>
              <w:jc w:val="both"/>
              <w:rPr>
                <w:rFonts w:ascii="Verdana" w:eastAsia="Times New Roman" w:hAnsi="Verdana"/>
                <w:b/>
                <w:bCs/>
                <w:sz w:val="28"/>
                <w:szCs w:val="28"/>
                <w:lang w:eastAsia="lv-LV"/>
              </w:rPr>
            </w:pPr>
          </w:p>
        </w:tc>
      </w:tr>
      <w:tr w:rsidR="001D5F17" w:rsidRPr="001D5F17" w:rsidTr="006E218F">
        <w:trPr>
          <w:trHeight w:val="476"/>
        </w:trPr>
        <w:tc>
          <w:tcPr>
            <w:tcW w:w="403" w:type="dxa"/>
          </w:tcPr>
          <w:p w:rsidR="001D5F17" w:rsidRPr="001D5F17" w:rsidRDefault="001D5F17" w:rsidP="001D5F17">
            <w:pPr>
              <w:pStyle w:val="naiskr"/>
              <w:spacing w:before="0" w:after="0"/>
              <w:rPr>
                <w:sz w:val="28"/>
                <w:szCs w:val="28"/>
              </w:rPr>
            </w:pPr>
            <w:r w:rsidRPr="001D5F17">
              <w:rPr>
                <w:sz w:val="28"/>
                <w:szCs w:val="28"/>
              </w:rPr>
              <w:lastRenderedPageBreak/>
              <w:t>5.</w:t>
            </w:r>
          </w:p>
        </w:tc>
        <w:tc>
          <w:tcPr>
            <w:tcW w:w="4315" w:type="dxa"/>
          </w:tcPr>
          <w:p w:rsidR="001D5F17" w:rsidRPr="001D5F17" w:rsidRDefault="001D5F17" w:rsidP="001D5F17">
            <w:pPr>
              <w:pStyle w:val="naiskr"/>
              <w:spacing w:before="0" w:after="0"/>
              <w:rPr>
                <w:sz w:val="28"/>
                <w:szCs w:val="28"/>
              </w:rPr>
            </w:pPr>
            <w:r w:rsidRPr="001D5F17">
              <w:rPr>
                <w:sz w:val="28"/>
                <w:szCs w:val="28"/>
              </w:rPr>
              <w:t>Projekta izstrādē iesaistītās institūcijas</w:t>
            </w:r>
          </w:p>
        </w:tc>
        <w:tc>
          <w:tcPr>
            <w:tcW w:w="4354" w:type="dxa"/>
          </w:tcPr>
          <w:p w:rsidR="001D5F17" w:rsidRPr="001D5F17" w:rsidRDefault="00421026" w:rsidP="001D5F17">
            <w:pPr>
              <w:pStyle w:val="naiskr"/>
              <w:spacing w:before="0" w:after="0"/>
              <w:rPr>
                <w:sz w:val="28"/>
                <w:szCs w:val="28"/>
              </w:rPr>
            </w:pPr>
            <w:r>
              <w:rPr>
                <w:sz w:val="28"/>
                <w:szCs w:val="28"/>
              </w:rPr>
              <w:t>Tieslietu ministrija</w:t>
            </w:r>
            <w:r w:rsidR="00576EC7">
              <w:rPr>
                <w:sz w:val="28"/>
                <w:szCs w:val="28"/>
              </w:rPr>
              <w:t>, Finanšu ministrija</w:t>
            </w:r>
          </w:p>
        </w:tc>
      </w:tr>
      <w:tr w:rsidR="001D5F17" w:rsidRPr="001D5F17" w:rsidTr="006E218F">
        <w:trPr>
          <w:trHeight w:val="1340"/>
        </w:trPr>
        <w:tc>
          <w:tcPr>
            <w:tcW w:w="403" w:type="dxa"/>
          </w:tcPr>
          <w:p w:rsidR="001D5F17" w:rsidRPr="001D5F17" w:rsidRDefault="001D5F17" w:rsidP="001D5F17">
            <w:pPr>
              <w:pStyle w:val="naiskr"/>
              <w:spacing w:before="0" w:after="0"/>
              <w:rPr>
                <w:sz w:val="28"/>
                <w:szCs w:val="28"/>
              </w:rPr>
            </w:pPr>
            <w:r w:rsidRPr="001D5F17">
              <w:rPr>
                <w:sz w:val="28"/>
                <w:szCs w:val="28"/>
              </w:rPr>
              <w:t>6.</w:t>
            </w:r>
          </w:p>
        </w:tc>
        <w:tc>
          <w:tcPr>
            <w:tcW w:w="4315" w:type="dxa"/>
          </w:tcPr>
          <w:p w:rsidR="001D5F17" w:rsidRPr="001D5F17" w:rsidRDefault="001D5F17" w:rsidP="001D5F17">
            <w:pPr>
              <w:pStyle w:val="naiskr"/>
              <w:spacing w:before="0" w:after="0"/>
              <w:rPr>
                <w:i/>
                <w:sz w:val="28"/>
                <w:szCs w:val="28"/>
                <w:highlight w:val="yellow"/>
              </w:rPr>
            </w:pPr>
            <w:r w:rsidRPr="00576EC7">
              <w:rPr>
                <w:sz w:val="28"/>
                <w:szCs w:val="28"/>
              </w:rPr>
              <w:t>Iemesli, kādēļ netika nodrošināta sabiedrības līdzdalība</w:t>
            </w:r>
          </w:p>
        </w:tc>
        <w:tc>
          <w:tcPr>
            <w:tcW w:w="4354" w:type="dxa"/>
          </w:tcPr>
          <w:p w:rsidR="001D5F17" w:rsidRPr="001D5F17" w:rsidRDefault="00576EC7" w:rsidP="001D5F17">
            <w:pPr>
              <w:pStyle w:val="Vresteksts"/>
              <w:rPr>
                <w:sz w:val="28"/>
                <w:szCs w:val="28"/>
              </w:rPr>
            </w:pPr>
            <w:r>
              <w:rPr>
                <w:sz w:val="28"/>
                <w:szCs w:val="28"/>
              </w:rPr>
              <w:t>Nav attiecināms</w:t>
            </w:r>
          </w:p>
        </w:tc>
      </w:tr>
      <w:tr w:rsidR="001D5F17" w:rsidRPr="001D5F17" w:rsidTr="006E218F">
        <w:tc>
          <w:tcPr>
            <w:tcW w:w="403" w:type="dxa"/>
          </w:tcPr>
          <w:p w:rsidR="001D5F17" w:rsidRPr="001D5F17" w:rsidRDefault="001D5F17" w:rsidP="001D5F17">
            <w:pPr>
              <w:pStyle w:val="naiskr"/>
              <w:spacing w:before="0" w:after="0"/>
              <w:rPr>
                <w:sz w:val="28"/>
                <w:szCs w:val="28"/>
              </w:rPr>
            </w:pPr>
            <w:r w:rsidRPr="001D5F17">
              <w:rPr>
                <w:sz w:val="28"/>
                <w:szCs w:val="28"/>
              </w:rPr>
              <w:t>7.</w:t>
            </w:r>
          </w:p>
        </w:tc>
        <w:tc>
          <w:tcPr>
            <w:tcW w:w="4315" w:type="dxa"/>
          </w:tcPr>
          <w:p w:rsidR="001D5F17" w:rsidRPr="001D5F17" w:rsidRDefault="001D5F17" w:rsidP="001D5F17">
            <w:pPr>
              <w:pStyle w:val="naiskr"/>
              <w:spacing w:before="0" w:after="0"/>
              <w:rPr>
                <w:sz w:val="28"/>
                <w:szCs w:val="28"/>
              </w:rPr>
            </w:pPr>
            <w:r w:rsidRPr="001D5F17">
              <w:rPr>
                <w:sz w:val="28"/>
                <w:szCs w:val="28"/>
              </w:rPr>
              <w:t>Cita informācija</w:t>
            </w:r>
          </w:p>
        </w:tc>
        <w:tc>
          <w:tcPr>
            <w:tcW w:w="4354" w:type="dxa"/>
          </w:tcPr>
          <w:p w:rsidR="001D5F17" w:rsidRPr="001D5F17" w:rsidRDefault="00B725C4" w:rsidP="00FF47C8">
            <w:pPr>
              <w:pStyle w:val="naiskr"/>
              <w:rPr>
                <w:sz w:val="28"/>
                <w:szCs w:val="28"/>
              </w:rPr>
            </w:pPr>
            <w:r>
              <w:rPr>
                <w:sz w:val="28"/>
                <w:szCs w:val="28"/>
              </w:rPr>
              <w:t>Nav</w:t>
            </w:r>
          </w:p>
        </w:tc>
      </w:tr>
    </w:tbl>
    <w:p w:rsidR="001D5F17" w:rsidRPr="001D5F17" w:rsidRDefault="001D5F17" w:rsidP="001D5F17">
      <w:pPr>
        <w:pStyle w:val="naisf"/>
        <w:spacing w:before="0" w:after="0"/>
        <w:rPr>
          <w:sz w:val="28"/>
          <w:szCs w:val="28"/>
        </w:rPr>
      </w:pPr>
    </w:p>
    <w:tbl>
      <w:tblPr>
        <w:tblpPr w:leftFromText="180" w:rightFromText="180" w:vertAnchor="text" w:horzAnchor="margin" w:tblpXSpec="center" w:tblpY="149"/>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3991"/>
        <w:gridCol w:w="4743"/>
      </w:tblGrid>
      <w:tr w:rsidR="001D5F17" w:rsidRPr="001D5F17" w:rsidTr="006E218F">
        <w:tc>
          <w:tcPr>
            <w:tcW w:w="9165" w:type="dxa"/>
            <w:gridSpan w:val="3"/>
            <w:vAlign w:val="center"/>
          </w:tcPr>
          <w:p w:rsidR="001D5F17" w:rsidRPr="001D5F17" w:rsidRDefault="001D5F17" w:rsidP="001D5F17">
            <w:pPr>
              <w:pStyle w:val="naisnod"/>
              <w:spacing w:before="0" w:after="0"/>
              <w:jc w:val="center"/>
              <w:rPr>
                <w:b/>
                <w:sz w:val="28"/>
                <w:szCs w:val="28"/>
              </w:rPr>
            </w:pPr>
            <w:r w:rsidRPr="001D5F17">
              <w:rPr>
                <w:b/>
                <w:sz w:val="28"/>
                <w:szCs w:val="28"/>
              </w:rPr>
              <w:t>II. Tiesību akta projekta ietekme uz sabiedrību</w:t>
            </w:r>
          </w:p>
        </w:tc>
      </w:tr>
      <w:tr w:rsidR="001D5F17" w:rsidRPr="001D5F17" w:rsidTr="006E218F">
        <w:trPr>
          <w:trHeight w:val="467"/>
        </w:trPr>
        <w:tc>
          <w:tcPr>
            <w:tcW w:w="431" w:type="dxa"/>
          </w:tcPr>
          <w:p w:rsidR="001D5F17" w:rsidRPr="001D5F17" w:rsidRDefault="001D5F17" w:rsidP="001D5F17">
            <w:pPr>
              <w:pStyle w:val="naiskr"/>
              <w:spacing w:before="0" w:after="0"/>
              <w:rPr>
                <w:sz w:val="28"/>
                <w:szCs w:val="28"/>
              </w:rPr>
            </w:pPr>
            <w:r w:rsidRPr="001D5F17">
              <w:rPr>
                <w:sz w:val="28"/>
                <w:szCs w:val="28"/>
              </w:rPr>
              <w:t>1.</w:t>
            </w:r>
          </w:p>
        </w:tc>
        <w:tc>
          <w:tcPr>
            <w:tcW w:w="3991" w:type="dxa"/>
          </w:tcPr>
          <w:p w:rsidR="001D5F17" w:rsidRPr="001D5F17" w:rsidRDefault="001D5F17" w:rsidP="001D5F17">
            <w:pPr>
              <w:pStyle w:val="naiskr"/>
              <w:spacing w:before="0" w:after="0"/>
              <w:rPr>
                <w:sz w:val="28"/>
                <w:szCs w:val="28"/>
              </w:rPr>
            </w:pPr>
            <w:r w:rsidRPr="001D5F17">
              <w:rPr>
                <w:sz w:val="28"/>
                <w:szCs w:val="28"/>
              </w:rPr>
              <w:t>Sabiedrības mērķgrupa</w:t>
            </w:r>
          </w:p>
        </w:tc>
        <w:tc>
          <w:tcPr>
            <w:tcW w:w="4743" w:type="dxa"/>
          </w:tcPr>
          <w:p w:rsidR="001D5F17" w:rsidRPr="001D5F17" w:rsidRDefault="001D5F17" w:rsidP="00B725C4">
            <w:pPr>
              <w:pStyle w:val="naiskr"/>
              <w:spacing w:before="0" w:after="0"/>
              <w:ind w:hanging="57"/>
              <w:jc w:val="both"/>
              <w:rPr>
                <w:sz w:val="28"/>
                <w:szCs w:val="28"/>
              </w:rPr>
            </w:pPr>
            <w:r w:rsidRPr="001D5F17">
              <w:rPr>
                <w:iCs/>
                <w:sz w:val="28"/>
                <w:szCs w:val="28"/>
              </w:rPr>
              <w:t> </w:t>
            </w:r>
            <w:r w:rsidR="00B725C4">
              <w:rPr>
                <w:iCs/>
                <w:sz w:val="28"/>
                <w:szCs w:val="28"/>
              </w:rPr>
              <w:t>Personas, kuras ir iesaistītas publiski tiesiskajās attiecībās ar iestādēm</w:t>
            </w:r>
            <w:r w:rsidR="00ED1375">
              <w:rPr>
                <w:iCs/>
                <w:sz w:val="28"/>
                <w:szCs w:val="28"/>
              </w:rPr>
              <w:t xml:space="preserve"> un attiecībā uz kurām tika veikta prettiesiska faktiskā rīcība vai izdots prettiesisks administratīvais akts</w:t>
            </w:r>
            <w:r w:rsidR="00B725C4">
              <w:rPr>
                <w:iCs/>
                <w:sz w:val="28"/>
                <w:szCs w:val="28"/>
              </w:rPr>
              <w:t>.</w:t>
            </w:r>
          </w:p>
        </w:tc>
      </w:tr>
      <w:tr w:rsidR="001D5F17" w:rsidRPr="001D5F17" w:rsidTr="006E218F">
        <w:trPr>
          <w:trHeight w:val="523"/>
        </w:trPr>
        <w:tc>
          <w:tcPr>
            <w:tcW w:w="431" w:type="dxa"/>
          </w:tcPr>
          <w:p w:rsidR="001D5F17" w:rsidRPr="001D5F17" w:rsidRDefault="001D5F17" w:rsidP="001D5F17">
            <w:pPr>
              <w:pStyle w:val="naiskr"/>
              <w:spacing w:before="0" w:after="0"/>
              <w:rPr>
                <w:sz w:val="28"/>
                <w:szCs w:val="28"/>
              </w:rPr>
            </w:pPr>
            <w:r w:rsidRPr="001D5F17">
              <w:rPr>
                <w:sz w:val="28"/>
                <w:szCs w:val="28"/>
              </w:rPr>
              <w:t>2.</w:t>
            </w:r>
          </w:p>
        </w:tc>
        <w:tc>
          <w:tcPr>
            <w:tcW w:w="3991" w:type="dxa"/>
          </w:tcPr>
          <w:p w:rsidR="001D5F17" w:rsidRPr="001D5F17" w:rsidRDefault="001D5F17" w:rsidP="001D5F17">
            <w:pPr>
              <w:pStyle w:val="naiskr"/>
              <w:spacing w:before="0" w:after="0"/>
              <w:rPr>
                <w:sz w:val="28"/>
                <w:szCs w:val="28"/>
              </w:rPr>
            </w:pPr>
            <w:r w:rsidRPr="001D5F17">
              <w:rPr>
                <w:sz w:val="28"/>
                <w:szCs w:val="28"/>
              </w:rPr>
              <w:t>Citas sabiedrības grupas (bez mērķgrupas), kuras tiesiskais regulējums arī ietekmē vai varētu ietekmēt</w:t>
            </w:r>
          </w:p>
        </w:tc>
        <w:tc>
          <w:tcPr>
            <w:tcW w:w="4743" w:type="dxa"/>
          </w:tcPr>
          <w:p w:rsidR="001D5F17" w:rsidRPr="001D5F17" w:rsidRDefault="00B725C4" w:rsidP="001D5F17">
            <w:pPr>
              <w:pStyle w:val="naiskr"/>
              <w:spacing w:before="0" w:after="0"/>
              <w:rPr>
                <w:sz w:val="28"/>
                <w:szCs w:val="28"/>
              </w:rPr>
            </w:pPr>
            <w:r w:rsidRPr="0039314F">
              <w:rPr>
                <w:sz w:val="28"/>
                <w:szCs w:val="28"/>
              </w:rPr>
              <w:t>Projekts šo jomu neskar</w:t>
            </w:r>
          </w:p>
        </w:tc>
      </w:tr>
      <w:tr w:rsidR="001D5F17" w:rsidRPr="001D5F17" w:rsidTr="006E218F">
        <w:trPr>
          <w:trHeight w:val="517"/>
        </w:trPr>
        <w:tc>
          <w:tcPr>
            <w:tcW w:w="431" w:type="dxa"/>
          </w:tcPr>
          <w:p w:rsidR="001D5F17" w:rsidRPr="001D5F17" w:rsidRDefault="001D5F17" w:rsidP="001D5F17">
            <w:pPr>
              <w:pStyle w:val="naiskr"/>
              <w:spacing w:before="0" w:after="0"/>
              <w:rPr>
                <w:sz w:val="28"/>
                <w:szCs w:val="28"/>
              </w:rPr>
            </w:pPr>
            <w:r w:rsidRPr="001D5F17">
              <w:rPr>
                <w:sz w:val="28"/>
                <w:szCs w:val="28"/>
              </w:rPr>
              <w:t>3.</w:t>
            </w:r>
          </w:p>
        </w:tc>
        <w:tc>
          <w:tcPr>
            <w:tcW w:w="3991" w:type="dxa"/>
          </w:tcPr>
          <w:p w:rsidR="001D5F17" w:rsidRPr="001D5F17" w:rsidRDefault="001D5F17" w:rsidP="001D5F17">
            <w:pPr>
              <w:pStyle w:val="naiskr"/>
              <w:spacing w:before="0" w:after="0"/>
              <w:rPr>
                <w:sz w:val="28"/>
                <w:szCs w:val="28"/>
              </w:rPr>
            </w:pPr>
            <w:r w:rsidRPr="00576EC7">
              <w:rPr>
                <w:sz w:val="28"/>
                <w:szCs w:val="28"/>
              </w:rPr>
              <w:t>Tiesiskā regulējuma finansiālā ietekme</w:t>
            </w:r>
          </w:p>
        </w:tc>
        <w:tc>
          <w:tcPr>
            <w:tcW w:w="4743" w:type="dxa"/>
          </w:tcPr>
          <w:p w:rsidR="001D5F17" w:rsidRPr="001D5F17" w:rsidRDefault="00576EC7" w:rsidP="00576EC7">
            <w:pPr>
              <w:pStyle w:val="naiskr"/>
              <w:spacing w:before="0" w:after="0"/>
              <w:jc w:val="both"/>
              <w:rPr>
                <w:sz w:val="28"/>
                <w:szCs w:val="28"/>
              </w:rPr>
            </w:pPr>
            <w:r>
              <w:rPr>
                <w:sz w:val="28"/>
                <w:szCs w:val="28"/>
              </w:rPr>
              <w:t>Noteikumu projektam nav finansiālās ietekmes, jo izmaksas, kas ir saistītas ar juridiskās palīdzības saņemšanu, patlaban tiek atlīdzinātas pēc analoģijas ar</w:t>
            </w:r>
            <w:r w:rsidRPr="00572375">
              <w:rPr>
                <w:sz w:val="28"/>
                <w:szCs w:val="28"/>
              </w:rPr>
              <w:t xml:space="preserve"> Ministru kabineta 2009. gada 22. decembra noteikum</w:t>
            </w:r>
            <w:r>
              <w:rPr>
                <w:sz w:val="28"/>
                <w:szCs w:val="28"/>
              </w:rPr>
              <w:t>iem</w:t>
            </w:r>
            <w:r w:rsidRPr="00572375">
              <w:rPr>
                <w:sz w:val="28"/>
                <w:szCs w:val="28"/>
              </w:rPr>
              <w:t xml:space="preserve"> Nr. 1493 „</w:t>
            </w:r>
            <w:r w:rsidRPr="00572375">
              <w:rPr>
                <w:bCs/>
                <w:sz w:val="28"/>
                <w:szCs w:val="28"/>
              </w:rPr>
              <w:t xml:space="preserve">Noteikumi par valsts nodrošinātās </w:t>
            </w:r>
            <w:r w:rsidRPr="00572375">
              <w:rPr>
                <w:bCs/>
                <w:sz w:val="28"/>
                <w:szCs w:val="28"/>
              </w:rPr>
              <w:lastRenderedPageBreak/>
              <w:t>juridiskās palīdzības apjomu, samaksas apmēru, atlīdzināmajiem izdevumiem un to izmaksas kārtību”</w:t>
            </w:r>
            <w:r>
              <w:rPr>
                <w:bCs/>
                <w:sz w:val="28"/>
                <w:szCs w:val="28"/>
              </w:rPr>
              <w:t>. Atlīdzināmo izmaksu apmēri, kas ir iekļauti noteikumu projektā, tāpat ir noteikti pēc analoģijas ar iepriekš minētajiem Ministru kabineta noteikumiem, tādējādi noteikumu projektā iekļautais regulējums neietekmēs atlīdzināmo izmaksu apmērus.</w:t>
            </w:r>
          </w:p>
        </w:tc>
      </w:tr>
      <w:tr w:rsidR="001D5F17" w:rsidRPr="001D5F17" w:rsidTr="006E218F">
        <w:trPr>
          <w:trHeight w:val="517"/>
        </w:trPr>
        <w:tc>
          <w:tcPr>
            <w:tcW w:w="431" w:type="dxa"/>
          </w:tcPr>
          <w:p w:rsidR="001D5F17" w:rsidRPr="001D5F17" w:rsidRDefault="001D5F17" w:rsidP="001D5F17">
            <w:pPr>
              <w:pStyle w:val="naiskr"/>
              <w:spacing w:before="0" w:after="0"/>
              <w:rPr>
                <w:sz w:val="28"/>
                <w:szCs w:val="28"/>
              </w:rPr>
            </w:pPr>
            <w:r w:rsidRPr="001D5F17">
              <w:rPr>
                <w:sz w:val="28"/>
                <w:szCs w:val="28"/>
              </w:rPr>
              <w:lastRenderedPageBreak/>
              <w:t>4.</w:t>
            </w:r>
          </w:p>
        </w:tc>
        <w:tc>
          <w:tcPr>
            <w:tcW w:w="3991" w:type="dxa"/>
          </w:tcPr>
          <w:p w:rsidR="001D5F17" w:rsidRPr="001D5F17" w:rsidRDefault="001D5F17" w:rsidP="001D5F17">
            <w:pPr>
              <w:pStyle w:val="naiskr"/>
              <w:spacing w:before="0" w:after="0"/>
              <w:rPr>
                <w:sz w:val="28"/>
                <w:szCs w:val="28"/>
              </w:rPr>
            </w:pPr>
            <w:r w:rsidRPr="00ED1375">
              <w:rPr>
                <w:sz w:val="28"/>
                <w:szCs w:val="28"/>
              </w:rPr>
              <w:t>Tiesiskā regulējuma nefinansiālā ietekme</w:t>
            </w:r>
          </w:p>
        </w:tc>
        <w:tc>
          <w:tcPr>
            <w:tcW w:w="4743" w:type="dxa"/>
          </w:tcPr>
          <w:p w:rsidR="001D5F17" w:rsidRPr="001D5F17" w:rsidRDefault="00F2797E" w:rsidP="00ED1375">
            <w:pPr>
              <w:pStyle w:val="naiskr"/>
              <w:spacing w:before="0" w:after="0"/>
              <w:jc w:val="both"/>
              <w:rPr>
                <w:sz w:val="28"/>
                <w:szCs w:val="28"/>
              </w:rPr>
            </w:pPr>
            <w:r>
              <w:rPr>
                <w:sz w:val="28"/>
                <w:szCs w:val="28"/>
              </w:rPr>
              <w:t>Zaudējumus, kas radušies, administratīvā procesa ietvaros izmantojot juridisko palīdzību, privātpersona, pamatojoties uz  likumu, būs tiesīga pieprasīt ierobežotā apmērā.  Pārējos zaudējumus, kas būs saistīti ar juridiskās palīdzības saņemšanu, privātpersonas būs tiesīgas pieprasīt vispārējā kārtībā.</w:t>
            </w:r>
            <w:r w:rsidR="00B5663F">
              <w:rPr>
                <w:sz w:val="28"/>
                <w:szCs w:val="28"/>
              </w:rPr>
              <w:t xml:space="preserve"> </w:t>
            </w:r>
          </w:p>
        </w:tc>
      </w:tr>
      <w:tr w:rsidR="001D5F17" w:rsidRPr="001D5F17" w:rsidTr="006E218F">
        <w:trPr>
          <w:trHeight w:val="531"/>
        </w:trPr>
        <w:tc>
          <w:tcPr>
            <w:tcW w:w="431" w:type="dxa"/>
          </w:tcPr>
          <w:p w:rsidR="001D5F17" w:rsidRPr="001D5F17" w:rsidRDefault="001D5F17" w:rsidP="001D5F17">
            <w:pPr>
              <w:pStyle w:val="naiskr"/>
              <w:spacing w:before="0" w:after="0"/>
              <w:rPr>
                <w:sz w:val="28"/>
                <w:szCs w:val="28"/>
              </w:rPr>
            </w:pPr>
            <w:r w:rsidRPr="001D5F17">
              <w:rPr>
                <w:sz w:val="28"/>
                <w:szCs w:val="28"/>
              </w:rPr>
              <w:t>5.</w:t>
            </w:r>
          </w:p>
        </w:tc>
        <w:tc>
          <w:tcPr>
            <w:tcW w:w="3991" w:type="dxa"/>
          </w:tcPr>
          <w:p w:rsidR="001D5F17" w:rsidRPr="001D5F17" w:rsidRDefault="001D5F17" w:rsidP="001D5F17">
            <w:pPr>
              <w:pStyle w:val="naiskr"/>
              <w:spacing w:before="0" w:after="0"/>
              <w:rPr>
                <w:sz w:val="28"/>
                <w:szCs w:val="28"/>
              </w:rPr>
            </w:pPr>
            <w:r w:rsidRPr="001D5F17">
              <w:rPr>
                <w:sz w:val="28"/>
                <w:szCs w:val="28"/>
              </w:rPr>
              <w:t>Administratīvās procedūras raksturojums</w:t>
            </w:r>
          </w:p>
        </w:tc>
        <w:tc>
          <w:tcPr>
            <w:tcW w:w="4743" w:type="dxa"/>
          </w:tcPr>
          <w:p w:rsidR="001D5F17" w:rsidRPr="001D5F17" w:rsidRDefault="00ED1375" w:rsidP="00ED1375">
            <w:pPr>
              <w:pStyle w:val="naiskr"/>
              <w:spacing w:before="0" w:after="0"/>
              <w:jc w:val="both"/>
              <w:rPr>
                <w:sz w:val="28"/>
                <w:szCs w:val="28"/>
              </w:rPr>
            </w:pPr>
            <w:r>
              <w:rPr>
                <w:sz w:val="28"/>
                <w:szCs w:val="28"/>
              </w:rPr>
              <w:t>Zaudējumu atlīdzināšanas kārtība ir atrunāta likumā. Ievērojot to, ka izmaksas, kas ir saistītas ar juridisko palīdzību, ir uzskatāmas par mantisko zaudējumu, šīs izmaksas tiks atlīdzinātas likumā noteiktajā kārtībā.</w:t>
            </w:r>
          </w:p>
        </w:tc>
      </w:tr>
      <w:tr w:rsidR="001D5F17" w:rsidRPr="001D5F17" w:rsidTr="006E218F">
        <w:trPr>
          <w:trHeight w:val="357"/>
        </w:trPr>
        <w:tc>
          <w:tcPr>
            <w:tcW w:w="431" w:type="dxa"/>
          </w:tcPr>
          <w:p w:rsidR="001D5F17" w:rsidRPr="001D5F17" w:rsidRDefault="001D5F17" w:rsidP="001D5F17">
            <w:pPr>
              <w:pStyle w:val="naiskr"/>
              <w:spacing w:before="0" w:after="0"/>
              <w:rPr>
                <w:sz w:val="28"/>
                <w:szCs w:val="28"/>
              </w:rPr>
            </w:pPr>
            <w:r w:rsidRPr="001D5F17">
              <w:rPr>
                <w:sz w:val="28"/>
                <w:szCs w:val="28"/>
              </w:rPr>
              <w:t>6.</w:t>
            </w:r>
          </w:p>
        </w:tc>
        <w:tc>
          <w:tcPr>
            <w:tcW w:w="3991" w:type="dxa"/>
          </w:tcPr>
          <w:p w:rsidR="001D5F17" w:rsidRPr="001D5F17" w:rsidRDefault="001D5F17" w:rsidP="001D5F17">
            <w:pPr>
              <w:pStyle w:val="naiskr"/>
              <w:spacing w:before="0" w:after="0"/>
              <w:rPr>
                <w:sz w:val="28"/>
                <w:szCs w:val="28"/>
              </w:rPr>
            </w:pPr>
            <w:r w:rsidRPr="001D5F17">
              <w:rPr>
                <w:sz w:val="28"/>
                <w:szCs w:val="28"/>
              </w:rPr>
              <w:t>Administratīvo izmaksu monetārs novērtējums</w:t>
            </w:r>
          </w:p>
        </w:tc>
        <w:tc>
          <w:tcPr>
            <w:tcW w:w="4743" w:type="dxa"/>
          </w:tcPr>
          <w:p w:rsidR="001D5F17" w:rsidRPr="001D5F17" w:rsidRDefault="001E688F" w:rsidP="001D5F17">
            <w:pPr>
              <w:pStyle w:val="naiskr"/>
              <w:spacing w:before="0" w:after="0"/>
              <w:rPr>
                <w:sz w:val="28"/>
                <w:szCs w:val="28"/>
              </w:rPr>
            </w:pPr>
            <w:r w:rsidRPr="0039314F">
              <w:rPr>
                <w:sz w:val="28"/>
                <w:szCs w:val="28"/>
              </w:rPr>
              <w:t>Projekts šo jomu neskar</w:t>
            </w:r>
          </w:p>
        </w:tc>
      </w:tr>
      <w:tr w:rsidR="001D5F17" w:rsidRPr="001D5F17" w:rsidTr="006E218F">
        <w:tc>
          <w:tcPr>
            <w:tcW w:w="431" w:type="dxa"/>
          </w:tcPr>
          <w:p w:rsidR="001D5F17" w:rsidRPr="001D5F17" w:rsidRDefault="001D5F17" w:rsidP="001D5F17">
            <w:pPr>
              <w:pStyle w:val="naiskr"/>
              <w:spacing w:before="0" w:after="0"/>
              <w:rPr>
                <w:sz w:val="28"/>
                <w:szCs w:val="28"/>
              </w:rPr>
            </w:pPr>
            <w:r w:rsidRPr="001D5F17">
              <w:rPr>
                <w:sz w:val="28"/>
                <w:szCs w:val="28"/>
              </w:rPr>
              <w:t>7.</w:t>
            </w:r>
          </w:p>
        </w:tc>
        <w:tc>
          <w:tcPr>
            <w:tcW w:w="3991" w:type="dxa"/>
          </w:tcPr>
          <w:p w:rsidR="001D5F17" w:rsidRPr="001D5F17" w:rsidRDefault="001D5F17" w:rsidP="001D5F17">
            <w:pPr>
              <w:pStyle w:val="naiskr"/>
              <w:spacing w:before="0" w:after="0"/>
              <w:rPr>
                <w:sz w:val="28"/>
                <w:szCs w:val="28"/>
              </w:rPr>
            </w:pPr>
            <w:r w:rsidRPr="001D5F17">
              <w:rPr>
                <w:sz w:val="28"/>
                <w:szCs w:val="28"/>
              </w:rPr>
              <w:t>Cita informācija</w:t>
            </w:r>
          </w:p>
        </w:tc>
        <w:tc>
          <w:tcPr>
            <w:tcW w:w="4743" w:type="dxa"/>
          </w:tcPr>
          <w:p w:rsidR="001D5F17" w:rsidRPr="001D5F17" w:rsidRDefault="001E688F" w:rsidP="001D5F17">
            <w:pPr>
              <w:pStyle w:val="naiskr"/>
              <w:spacing w:before="0" w:after="0"/>
              <w:rPr>
                <w:sz w:val="28"/>
                <w:szCs w:val="28"/>
              </w:rPr>
            </w:pPr>
            <w:r>
              <w:rPr>
                <w:sz w:val="28"/>
                <w:szCs w:val="28"/>
              </w:rPr>
              <w:t>Nav</w:t>
            </w:r>
          </w:p>
        </w:tc>
      </w:tr>
    </w:tbl>
    <w:p w:rsidR="001D5F17" w:rsidRPr="001D5F17" w:rsidRDefault="001D5F17" w:rsidP="001D5F17">
      <w:pPr>
        <w:pStyle w:val="naisf"/>
        <w:spacing w:before="0" w:after="0"/>
        <w:rPr>
          <w:sz w:val="28"/>
          <w:szCs w:val="28"/>
        </w:rPr>
      </w:pPr>
    </w:p>
    <w:tbl>
      <w:tblPr>
        <w:tblW w:w="9155"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3"/>
        <w:gridCol w:w="1214"/>
        <w:gridCol w:w="1492"/>
        <w:gridCol w:w="1492"/>
        <w:gridCol w:w="1492"/>
        <w:gridCol w:w="1492"/>
      </w:tblGrid>
      <w:tr w:rsidR="001D5F17" w:rsidRPr="001D5F17" w:rsidTr="006E218F">
        <w:trPr>
          <w:trHeight w:val="652"/>
          <w:jc w:val="center"/>
        </w:trPr>
        <w:tc>
          <w:tcPr>
            <w:tcW w:w="9155" w:type="dxa"/>
            <w:gridSpan w:val="6"/>
          </w:tcPr>
          <w:p w:rsidR="001D5F17" w:rsidRPr="001D5F17" w:rsidRDefault="001D5F17" w:rsidP="001D5F17">
            <w:pPr>
              <w:pStyle w:val="naisnod"/>
              <w:spacing w:before="0" w:after="0"/>
              <w:jc w:val="center"/>
              <w:rPr>
                <w:b/>
                <w:i/>
                <w:sz w:val="28"/>
                <w:szCs w:val="28"/>
              </w:rPr>
            </w:pPr>
            <w:r w:rsidRPr="001D5F17">
              <w:rPr>
                <w:sz w:val="28"/>
                <w:szCs w:val="28"/>
              </w:rPr>
              <w:br w:type="page"/>
            </w:r>
            <w:r w:rsidRPr="00576EC7">
              <w:rPr>
                <w:b/>
                <w:sz w:val="28"/>
                <w:szCs w:val="28"/>
              </w:rPr>
              <w:t>III. Tiesību akta projekta ietekme uz valsts budžetu un pašvaldību budžetiem</w:t>
            </w:r>
          </w:p>
        </w:tc>
      </w:tr>
      <w:tr w:rsidR="001D5F17" w:rsidRPr="001D5F17" w:rsidTr="0086671B">
        <w:trPr>
          <w:jc w:val="center"/>
        </w:trPr>
        <w:tc>
          <w:tcPr>
            <w:tcW w:w="2166" w:type="dxa"/>
            <w:vMerge w:val="restart"/>
            <w:vAlign w:val="center"/>
          </w:tcPr>
          <w:p w:rsidR="001D5F17" w:rsidRPr="001D5F17" w:rsidRDefault="001D5F17" w:rsidP="001D5F17">
            <w:pPr>
              <w:pStyle w:val="naisf"/>
              <w:spacing w:before="0" w:after="0"/>
              <w:jc w:val="center"/>
              <w:rPr>
                <w:b/>
                <w:sz w:val="28"/>
                <w:szCs w:val="28"/>
              </w:rPr>
            </w:pPr>
            <w:r w:rsidRPr="001D5F17">
              <w:rPr>
                <w:b/>
                <w:sz w:val="28"/>
                <w:szCs w:val="28"/>
              </w:rPr>
              <w:t>Rādītāji</w:t>
            </w:r>
          </w:p>
        </w:tc>
        <w:tc>
          <w:tcPr>
            <w:tcW w:w="2606" w:type="dxa"/>
            <w:gridSpan w:val="2"/>
            <w:vMerge w:val="restart"/>
            <w:vAlign w:val="center"/>
          </w:tcPr>
          <w:p w:rsidR="001D5F17" w:rsidRPr="001D5F17" w:rsidRDefault="0086671B" w:rsidP="0086671B">
            <w:pPr>
              <w:pStyle w:val="naisf"/>
              <w:spacing w:before="0" w:after="0"/>
              <w:jc w:val="center"/>
              <w:rPr>
                <w:b/>
                <w:sz w:val="28"/>
                <w:szCs w:val="28"/>
              </w:rPr>
            </w:pPr>
            <w:r>
              <w:rPr>
                <w:b/>
                <w:sz w:val="28"/>
                <w:szCs w:val="28"/>
              </w:rPr>
              <w:t>2011. </w:t>
            </w:r>
            <w:r w:rsidR="001D5F17" w:rsidRPr="001D5F17">
              <w:rPr>
                <w:b/>
                <w:sz w:val="28"/>
                <w:szCs w:val="28"/>
              </w:rPr>
              <w:t>gads</w:t>
            </w:r>
          </w:p>
        </w:tc>
        <w:tc>
          <w:tcPr>
            <w:tcW w:w="4383" w:type="dxa"/>
            <w:gridSpan w:val="3"/>
            <w:vAlign w:val="center"/>
          </w:tcPr>
          <w:p w:rsidR="001D5F17" w:rsidRPr="001D5F17" w:rsidRDefault="001D5F17" w:rsidP="001D5F17">
            <w:pPr>
              <w:pStyle w:val="naisf"/>
              <w:spacing w:before="0" w:after="0"/>
              <w:jc w:val="center"/>
              <w:rPr>
                <w:b/>
                <w:i/>
                <w:sz w:val="28"/>
                <w:szCs w:val="28"/>
              </w:rPr>
            </w:pPr>
            <w:r w:rsidRPr="001D5F17">
              <w:rPr>
                <w:sz w:val="28"/>
                <w:szCs w:val="28"/>
              </w:rPr>
              <w:t>Turpmākie trīs gadi (tūkst</w:t>
            </w:r>
            <w:smartTag w:uri="schemas-tilde-lv/tildestengine" w:element="currency2">
              <w:smartTagPr>
                <w:attr w:name="currency_text" w:val="latu"/>
                <w:attr w:name="currency_value" w:val="."/>
                <w:attr w:name="currency_key" w:val="LVL"/>
                <w:attr w:name="currency_id" w:val="48"/>
              </w:smartTagPr>
              <w:r w:rsidRPr="001D5F17">
                <w:rPr>
                  <w:sz w:val="28"/>
                  <w:szCs w:val="28"/>
                </w:rPr>
                <w:t>. latu</w:t>
              </w:r>
            </w:smartTag>
            <w:r w:rsidRPr="001D5F17">
              <w:rPr>
                <w:sz w:val="28"/>
                <w:szCs w:val="28"/>
              </w:rPr>
              <w:t>)</w:t>
            </w:r>
          </w:p>
        </w:tc>
      </w:tr>
      <w:tr w:rsidR="001D5F17" w:rsidRPr="001D5F17" w:rsidTr="0086671B">
        <w:trPr>
          <w:jc w:val="center"/>
        </w:trPr>
        <w:tc>
          <w:tcPr>
            <w:tcW w:w="2166" w:type="dxa"/>
            <w:vMerge/>
            <w:vAlign w:val="center"/>
          </w:tcPr>
          <w:p w:rsidR="001D5F17" w:rsidRPr="001D5F17" w:rsidRDefault="001D5F17" w:rsidP="001D5F17">
            <w:pPr>
              <w:pStyle w:val="naisf"/>
              <w:spacing w:before="0" w:after="0"/>
              <w:jc w:val="center"/>
              <w:rPr>
                <w:b/>
                <w:i/>
                <w:sz w:val="28"/>
                <w:szCs w:val="28"/>
              </w:rPr>
            </w:pPr>
          </w:p>
        </w:tc>
        <w:tc>
          <w:tcPr>
            <w:tcW w:w="2606" w:type="dxa"/>
            <w:gridSpan w:val="2"/>
            <w:vMerge/>
            <w:vAlign w:val="center"/>
          </w:tcPr>
          <w:p w:rsidR="001D5F17" w:rsidRPr="001D5F17" w:rsidRDefault="001D5F17" w:rsidP="001D5F17">
            <w:pPr>
              <w:pStyle w:val="naisf"/>
              <w:spacing w:before="0" w:after="0"/>
              <w:jc w:val="center"/>
              <w:rPr>
                <w:b/>
                <w:i/>
                <w:sz w:val="28"/>
                <w:szCs w:val="28"/>
              </w:rPr>
            </w:pPr>
          </w:p>
        </w:tc>
        <w:tc>
          <w:tcPr>
            <w:tcW w:w="1461" w:type="dxa"/>
            <w:vAlign w:val="center"/>
          </w:tcPr>
          <w:p w:rsidR="001D5F17" w:rsidRPr="001D5F17" w:rsidRDefault="0086671B" w:rsidP="001D5F17">
            <w:pPr>
              <w:pStyle w:val="naisf"/>
              <w:spacing w:before="0" w:after="0"/>
              <w:jc w:val="center"/>
              <w:rPr>
                <w:b/>
                <w:i/>
                <w:sz w:val="28"/>
                <w:szCs w:val="28"/>
              </w:rPr>
            </w:pPr>
            <w:r>
              <w:rPr>
                <w:b/>
                <w:bCs/>
                <w:sz w:val="28"/>
                <w:szCs w:val="28"/>
              </w:rPr>
              <w:t>2012. gads</w:t>
            </w:r>
          </w:p>
        </w:tc>
        <w:tc>
          <w:tcPr>
            <w:tcW w:w="1461" w:type="dxa"/>
            <w:vAlign w:val="center"/>
          </w:tcPr>
          <w:p w:rsidR="001D5F17" w:rsidRPr="001D5F17" w:rsidRDefault="0086671B" w:rsidP="001D5F17">
            <w:pPr>
              <w:pStyle w:val="naisf"/>
              <w:spacing w:before="0" w:after="0"/>
              <w:jc w:val="center"/>
              <w:rPr>
                <w:b/>
                <w:i/>
                <w:sz w:val="28"/>
                <w:szCs w:val="28"/>
              </w:rPr>
            </w:pPr>
            <w:r>
              <w:rPr>
                <w:b/>
                <w:bCs/>
                <w:sz w:val="28"/>
                <w:szCs w:val="28"/>
              </w:rPr>
              <w:t>2013. gads</w:t>
            </w:r>
          </w:p>
        </w:tc>
        <w:tc>
          <w:tcPr>
            <w:tcW w:w="1461" w:type="dxa"/>
            <w:vAlign w:val="center"/>
          </w:tcPr>
          <w:p w:rsidR="001D5F17" w:rsidRPr="001D5F17" w:rsidRDefault="0086671B" w:rsidP="001D5F17">
            <w:pPr>
              <w:pStyle w:val="naisf"/>
              <w:spacing w:before="0" w:after="0"/>
              <w:jc w:val="center"/>
              <w:rPr>
                <w:b/>
                <w:i/>
                <w:sz w:val="28"/>
                <w:szCs w:val="28"/>
              </w:rPr>
            </w:pPr>
            <w:r>
              <w:rPr>
                <w:b/>
                <w:bCs/>
                <w:sz w:val="28"/>
                <w:szCs w:val="28"/>
              </w:rPr>
              <w:t>2014. gads</w:t>
            </w:r>
          </w:p>
        </w:tc>
      </w:tr>
      <w:tr w:rsidR="001D5F17" w:rsidRPr="001D5F17" w:rsidTr="0086671B">
        <w:trPr>
          <w:jc w:val="center"/>
        </w:trPr>
        <w:tc>
          <w:tcPr>
            <w:tcW w:w="2166" w:type="dxa"/>
            <w:vMerge/>
            <w:vAlign w:val="center"/>
          </w:tcPr>
          <w:p w:rsidR="001D5F17" w:rsidRPr="001D5F17" w:rsidRDefault="001D5F17" w:rsidP="001D5F17">
            <w:pPr>
              <w:pStyle w:val="naisf"/>
              <w:spacing w:before="0" w:after="0"/>
              <w:jc w:val="center"/>
              <w:rPr>
                <w:b/>
                <w:i/>
                <w:sz w:val="28"/>
                <w:szCs w:val="28"/>
              </w:rPr>
            </w:pPr>
          </w:p>
        </w:tc>
        <w:tc>
          <w:tcPr>
            <w:tcW w:w="1273" w:type="dxa"/>
            <w:vAlign w:val="center"/>
          </w:tcPr>
          <w:p w:rsidR="001D5F17" w:rsidRPr="001D5F17" w:rsidRDefault="001D5F17" w:rsidP="001D5F17">
            <w:pPr>
              <w:pStyle w:val="naisf"/>
              <w:spacing w:before="0" w:after="0"/>
              <w:jc w:val="center"/>
              <w:rPr>
                <w:b/>
                <w:i/>
                <w:sz w:val="28"/>
                <w:szCs w:val="28"/>
              </w:rPr>
            </w:pPr>
            <w:r w:rsidRPr="001D5F17">
              <w:rPr>
                <w:sz w:val="28"/>
                <w:szCs w:val="28"/>
              </w:rPr>
              <w:t>Saskaņā ar valsts budžetu kārtējam gadam</w:t>
            </w:r>
          </w:p>
        </w:tc>
        <w:tc>
          <w:tcPr>
            <w:tcW w:w="1333" w:type="dxa"/>
            <w:vAlign w:val="center"/>
          </w:tcPr>
          <w:p w:rsidR="001D5F17" w:rsidRPr="001D5F17" w:rsidRDefault="001D5F17" w:rsidP="001D5F17">
            <w:pPr>
              <w:pStyle w:val="naisf"/>
              <w:spacing w:before="0" w:after="0"/>
              <w:jc w:val="center"/>
              <w:rPr>
                <w:b/>
                <w:i/>
                <w:sz w:val="28"/>
                <w:szCs w:val="28"/>
              </w:rPr>
            </w:pPr>
            <w:r w:rsidRPr="001D5F17">
              <w:rPr>
                <w:sz w:val="28"/>
                <w:szCs w:val="28"/>
              </w:rPr>
              <w:t>Izmaiņas kārtējā gadā, salīdzinot ar budžetu kārtējam gadam</w:t>
            </w:r>
          </w:p>
        </w:tc>
        <w:tc>
          <w:tcPr>
            <w:tcW w:w="1461" w:type="dxa"/>
            <w:vAlign w:val="center"/>
          </w:tcPr>
          <w:p w:rsidR="001D5F17" w:rsidRPr="001D5F17" w:rsidRDefault="001D5F17" w:rsidP="001D5F17">
            <w:pPr>
              <w:pStyle w:val="naisf"/>
              <w:spacing w:before="0" w:after="0"/>
              <w:jc w:val="center"/>
              <w:rPr>
                <w:b/>
                <w:i/>
                <w:sz w:val="28"/>
                <w:szCs w:val="28"/>
              </w:rPr>
            </w:pPr>
            <w:r w:rsidRPr="001D5F17">
              <w:rPr>
                <w:sz w:val="28"/>
                <w:szCs w:val="28"/>
              </w:rPr>
              <w:t>Izmaiņas, salīdzinot ar kārtējo (n) gadu</w:t>
            </w:r>
          </w:p>
        </w:tc>
        <w:tc>
          <w:tcPr>
            <w:tcW w:w="1461" w:type="dxa"/>
            <w:vAlign w:val="center"/>
          </w:tcPr>
          <w:p w:rsidR="001D5F17" w:rsidRPr="001D5F17" w:rsidRDefault="001D5F17" w:rsidP="001D5F17">
            <w:pPr>
              <w:pStyle w:val="naisf"/>
              <w:spacing w:before="0" w:after="0"/>
              <w:jc w:val="center"/>
              <w:rPr>
                <w:b/>
                <w:i/>
                <w:sz w:val="28"/>
                <w:szCs w:val="28"/>
              </w:rPr>
            </w:pPr>
            <w:r w:rsidRPr="001D5F17">
              <w:rPr>
                <w:sz w:val="28"/>
                <w:szCs w:val="28"/>
              </w:rPr>
              <w:t>Izmaiņas, salīdzinot ar kārtējo (n) gadu</w:t>
            </w:r>
          </w:p>
        </w:tc>
        <w:tc>
          <w:tcPr>
            <w:tcW w:w="1461" w:type="dxa"/>
            <w:vAlign w:val="center"/>
          </w:tcPr>
          <w:p w:rsidR="001D5F17" w:rsidRPr="001D5F17" w:rsidRDefault="001D5F17" w:rsidP="001D5F17">
            <w:pPr>
              <w:pStyle w:val="naisf"/>
              <w:spacing w:before="0" w:after="0"/>
              <w:jc w:val="center"/>
              <w:rPr>
                <w:b/>
                <w:i/>
                <w:sz w:val="28"/>
                <w:szCs w:val="28"/>
              </w:rPr>
            </w:pPr>
            <w:r w:rsidRPr="001D5F17">
              <w:rPr>
                <w:sz w:val="28"/>
                <w:szCs w:val="28"/>
              </w:rPr>
              <w:t>Izmaiņas, salīdzinot ar kārtējo (n) gadu</w:t>
            </w:r>
          </w:p>
        </w:tc>
      </w:tr>
      <w:tr w:rsidR="001D5F17" w:rsidRPr="001D5F17" w:rsidTr="0086671B">
        <w:trPr>
          <w:jc w:val="center"/>
        </w:trPr>
        <w:tc>
          <w:tcPr>
            <w:tcW w:w="2166" w:type="dxa"/>
            <w:vAlign w:val="center"/>
          </w:tcPr>
          <w:p w:rsidR="001D5F17" w:rsidRPr="001D5F17" w:rsidRDefault="001D5F17" w:rsidP="001D5F17">
            <w:pPr>
              <w:pStyle w:val="naisf"/>
              <w:spacing w:before="0" w:after="0"/>
              <w:jc w:val="center"/>
              <w:rPr>
                <w:bCs/>
                <w:sz w:val="28"/>
                <w:szCs w:val="28"/>
              </w:rPr>
            </w:pPr>
            <w:r w:rsidRPr="001D5F17">
              <w:rPr>
                <w:bCs/>
                <w:sz w:val="28"/>
                <w:szCs w:val="28"/>
              </w:rPr>
              <w:t>1</w:t>
            </w:r>
          </w:p>
        </w:tc>
        <w:tc>
          <w:tcPr>
            <w:tcW w:w="1273" w:type="dxa"/>
            <w:vAlign w:val="center"/>
          </w:tcPr>
          <w:p w:rsidR="001D5F17" w:rsidRPr="001D5F17" w:rsidRDefault="001D5F17" w:rsidP="001D5F17">
            <w:pPr>
              <w:pStyle w:val="naisf"/>
              <w:spacing w:before="0" w:after="0"/>
              <w:jc w:val="center"/>
              <w:rPr>
                <w:bCs/>
                <w:sz w:val="28"/>
                <w:szCs w:val="28"/>
              </w:rPr>
            </w:pPr>
            <w:r w:rsidRPr="001D5F17">
              <w:rPr>
                <w:bCs/>
                <w:sz w:val="28"/>
                <w:szCs w:val="28"/>
              </w:rPr>
              <w:t>2</w:t>
            </w:r>
          </w:p>
        </w:tc>
        <w:tc>
          <w:tcPr>
            <w:tcW w:w="1333" w:type="dxa"/>
            <w:vAlign w:val="center"/>
          </w:tcPr>
          <w:p w:rsidR="001D5F17" w:rsidRPr="001D5F17" w:rsidRDefault="001D5F17" w:rsidP="001D5F17">
            <w:pPr>
              <w:pStyle w:val="naisf"/>
              <w:spacing w:before="0" w:after="0"/>
              <w:jc w:val="center"/>
              <w:rPr>
                <w:bCs/>
                <w:sz w:val="28"/>
                <w:szCs w:val="28"/>
              </w:rPr>
            </w:pPr>
            <w:r w:rsidRPr="001D5F17">
              <w:rPr>
                <w:bCs/>
                <w:sz w:val="28"/>
                <w:szCs w:val="28"/>
              </w:rPr>
              <w:t>3</w:t>
            </w:r>
          </w:p>
        </w:tc>
        <w:tc>
          <w:tcPr>
            <w:tcW w:w="1461" w:type="dxa"/>
            <w:vAlign w:val="center"/>
          </w:tcPr>
          <w:p w:rsidR="001D5F17" w:rsidRPr="001D5F17" w:rsidRDefault="001D5F17" w:rsidP="001D5F17">
            <w:pPr>
              <w:pStyle w:val="naisf"/>
              <w:spacing w:before="0" w:after="0"/>
              <w:jc w:val="center"/>
              <w:rPr>
                <w:bCs/>
                <w:sz w:val="28"/>
                <w:szCs w:val="28"/>
              </w:rPr>
            </w:pPr>
            <w:r w:rsidRPr="001D5F17">
              <w:rPr>
                <w:bCs/>
                <w:sz w:val="28"/>
                <w:szCs w:val="28"/>
              </w:rPr>
              <w:t>4</w:t>
            </w:r>
          </w:p>
        </w:tc>
        <w:tc>
          <w:tcPr>
            <w:tcW w:w="1461" w:type="dxa"/>
            <w:vAlign w:val="center"/>
          </w:tcPr>
          <w:p w:rsidR="001D5F17" w:rsidRPr="001D5F17" w:rsidRDefault="001D5F17" w:rsidP="001D5F17">
            <w:pPr>
              <w:pStyle w:val="naisf"/>
              <w:spacing w:before="0" w:after="0"/>
              <w:jc w:val="center"/>
              <w:rPr>
                <w:bCs/>
                <w:sz w:val="28"/>
                <w:szCs w:val="28"/>
              </w:rPr>
            </w:pPr>
            <w:r w:rsidRPr="001D5F17">
              <w:rPr>
                <w:bCs/>
                <w:sz w:val="28"/>
                <w:szCs w:val="28"/>
              </w:rPr>
              <w:t>5</w:t>
            </w:r>
          </w:p>
        </w:tc>
        <w:tc>
          <w:tcPr>
            <w:tcW w:w="1461" w:type="dxa"/>
            <w:vAlign w:val="center"/>
          </w:tcPr>
          <w:p w:rsidR="001D5F17" w:rsidRPr="001D5F17" w:rsidRDefault="001D5F17" w:rsidP="001D5F17">
            <w:pPr>
              <w:pStyle w:val="naisf"/>
              <w:spacing w:before="0" w:after="0"/>
              <w:jc w:val="center"/>
              <w:rPr>
                <w:bCs/>
                <w:sz w:val="28"/>
                <w:szCs w:val="28"/>
              </w:rPr>
            </w:pPr>
            <w:r w:rsidRPr="001D5F17">
              <w:rPr>
                <w:bCs/>
                <w:sz w:val="28"/>
                <w:szCs w:val="28"/>
              </w:rPr>
              <w:t>6</w:t>
            </w:r>
          </w:p>
        </w:tc>
      </w:tr>
      <w:tr w:rsidR="0086671B" w:rsidRPr="001D5F17" w:rsidTr="0086671B">
        <w:trPr>
          <w:jc w:val="center"/>
        </w:trPr>
        <w:tc>
          <w:tcPr>
            <w:tcW w:w="2166" w:type="dxa"/>
          </w:tcPr>
          <w:p w:rsidR="0086671B" w:rsidRPr="001D5F17" w:rsidRDefault="0086671B" w:rsidP="001D5F17">
            <w:pPr>
              <w:pStyle w:val="naisf"/>
              <w:spacing w:before="0" w:after="0"/>
              <w:rPr>
                <w:i/>
                <w:sz w:val="28"/>
                <w:szCs w:val="28"/>
              </w:rPr>
            </w:pPr>
            <w:r w:rsidRPr="001D5F17">
              <w:rPr>
                <w:sz w:val="28"/>
                <w:szCs w:val="28"/>
              </w:rPr>
              <w:t>1. Budžeta ieņēmumi:</w:t>
            </w:r>
          </w:p>
        </w:tc>
        <w:tc>
          <w:tcPr>
            <w:tcW w:w="1273" w:type="dxa"/>
          </w:tcPr>
          <w:p w:rsidR="0086671B" w:rsidRPr="00F95912" w:rsidRDefault="0086671B" w:rsidP="00AC51E3">
            <w:pPr>
              <w:pStyle w:val="naisf"/>
              <w:spacing w:before="0" w:after="0"/>
              <w:rPr>
                <w:sz w:val="28"/>
                <w:szCs w:val="28"/>
              </w:rPr>
            </w:pPr>
            <w:r>
              <w:rPr>
                <w:sz w:val="28"/>
                <w:szCs w:val="28"/>
              </w:rPr>
              <w:t>200,0</w:t>
            </w:r>
          </w:p>
        </w:tc>
        <w:tc>
          <w:tcPr>
            <w:tcW w:w="1333" w:type="dxa"/>
          </w:tcPr>
          <w:p w:rsidR="0086671B" w:rsidRPr="00F95912" w:rsidRDefault="0086671B" w:rsidP="00AC51E3">
            <w:pPr>
              <w:pStyle w:val="naisf"/>
              <w:spacing w:before="0" w:after="0"/>
              <w:rPr>
                <w:sz w:val="28"/>
                <w:szCs w:val="28"/>
              </w:rPr>
            </w:pPr>
            <w:r>
              <w:rPr>
                <w:sz w:val="28"/>
                <w:szCs w:val="28"/>
              </w:rPr>
              <w:t>0</w:t>
            </w:r>
          </w:p>
        </w:tc>
        <w:tc>
          <w:tcPr>
            <w:tcW w:w="1461" w:type="dxa"/>
          </w:tcPr>
          <w:p w:rsidR="0086671B" w:rsidRPr="00F95912" w:rsidRDefault="0086671B" w:rsidP="00AC51E3">
            <w:pPr>
              <w:pStyle w:val="naisf"/>
              <w:spacing w:before="0" w:after="0"/>
              <w:rPr>
                <w:sz w:val="28"/>
                <w:szCs w:val="28"/>
              </w:rPr>
            </w:pPr>
            <w:r>
              <w:rPr>
                <w:sz w:val="28"/>
                <w:szCs w:val="28"/>
              </w:rPr>
              <w:t>0</w:t>
            </w:r>
          </w:p>
        </w:tc>
        <w:tc>
          <w:tcPr>
            <w:tcW w:w="1461" w:type="dxa"/>
          </w:tcPr>
          <w:p w:rsidR="0086671B" w:rsidRPr="00F95912" w:rsidRDefault="0086671B" w:rsidP="00AC51E3">
            <w:pPr>
              <w:pStyle w:val="naisf"/>
              <w:spacing w:before="0" w:after="0"/>
              <w:rPr>
                <w:sz w:val="28"/>
                <w:szCs w:val="28"/>
              </w:rPr>
            </w:pPr>
            <w:r>
              <w:rPr>
                <w:sz w:val="28"/>
                <w:szCs w:val="28"/>
              </w:rPr>
              <w:t>0</w:t>
            </w:r>
          </w:p>
        </w:tc>
        <w:tc>
          <w:tcPr>
            <w:tcW w:w="1461" w:type="dxa"/>
          </w:tcPr>
          <w:p w:rsidR="0086671B" w:rsidRPr="00F95912" w:rsidRDefault="0086671B" w:rsidP="00AC51E3">
            <w:pPr>
              <w:pStyle w:val="naisf"/>
              <w:spacing w:before="0" w:after="0"/>
              <w:rPr>
                <w:sz w:val="28"/>
                <w:szCs w:val="28"/>
              </w:rPr>
            </w:pPr>
            <w:r>
              <w:rPr>
                <w:sz w:val="28"/>
                <w:szCs w:val="28"/>
              </w:rPr>
              <w:t>0</w:t>
            </w:r>
          </w:p>
        </w:tc>
      </w:tr>
      <w:tr w:rsidR="0086671B" w:rsidRPr="001D5F17" w:rsidTr="0086671B">
        <w:trPr>
          <w:jc w:val="center"/>
        </w:trPr>
        <w:tc>
          <w:tcPr>
            <w:tcW w:w="2166" w:type="dxa"/>
          </w:tcPr>
          <w:p w:rsidR="0086671B" w:rsidRPr="001D5F17" w:rsidRDefault="0086671B" w:rsidP="001D5F17">
            <w:pPr>
              <w:pStyle w:val="naisf"/>
              <w:spacing w:before="0" w:after="0"/>
              <w:rPr>
                <w:i/>
                <w:sz w:val="28"/>
                <w:szCs w:val="28"/>
              </w:rPr>
            </w:pPr>
            <w:r w:rsidRPr="001D5F17">
              <w:rPr>
                <w:sz w:val="28"/>
                <w:szCs w:val="28"/>
              </w:rPr>
              <w:t xml:space="preserve">1.1. valsts </w:t>
            </w:r>
            <w:r w:rsidRPr="001D5F17">
              <w:rPr>
                <w:sz w:val="28"/>
                <w:szCs w:val="28"/>
              </w:rPr>
              <w:lastRenderedPageBreak/>
              <w:t>pamatbudžets, tai skaitā ieņēmumi no maksas pakalpo-</w:t>
            </w:r>
            <w:proofErr w:type="spellStart"/>
            <w:r w:rsidRPr="001D5F17">
              <w:rPr>
                <w:sz w:val="28"/>
                <w:szCs w:val="28"/>
              </w:rPr>
              <w:t>jumiem</w:t>
            </w:r>
            <w:proofErr w:type="spellEnd"/>
            <w:r w:rsidRPr="001D5F17">
              <w:rPr>
                <w:sz w:val="28"/>
                <w:szCs w:val="28"/>
              </w:rPr>
              <w:t xml:space="preserve"> un citi pašu ieņēmumi</w:t>
            </w:r>
          </w:p>
        </w:tc>
        <w:tc>
          <w:tcPr>
            <w:tcW w:w="1273" w:type="dxa"/>
          </w:tcPr>
          <w:p w:rsidR="0086671B" w:rsidRPr="00F95912" w:rsidRDefault="0086671B" w:rsidP="00AC51E3">
            <w:pPr>
              <w:pStyle w:val="naisf"/>
              <w:spacing w:before="0" w:after="0"/>
              <w:rPr>
                <w:sz w:val="28"/>
                <w:szCs w:val="28"/>
              </w:rPr>
            </w:pPr>
            <w:r>
              <w:rPr>
                <w:sz w:val="28"/>
                <w:szCs w:val="28"/>
              </w:rPr>
              <w:lastRenderedPageBreak/>
              <w:t>200,0</w:t>
            </w:r>
          </w:p>
        </w:tc>
        <w:tc>
          <w:tcPr>
            <w:tcW w:w="1333" w:type="dxa"/>
          </w:tcPr>
          <w:p w:rsidR="0086671B" w:rsidRPr="00F95912" w:rsidRDefault="0086671B" w:rsidP="00AC51E3">
            <w:pPr>
              <w:pStyle w:val="naisf"/>
              <w:spacing w:before="0" w:after="0"/>
              <w:rPr>
                <w:sz w:val="28"/>
                <w:szCs w:val="28"/>
              </w:rPr>
            </w:pPr>
            <w:r>
              <w:rPr>
                <w:sz w:val="28"/>
                <w:szCs w:val="28"/>
              </w:rPr>
              <w:t>0</w:t>
            </w:r>
          </w:p>
        </w:tc>
        <w:tc>
          <w:tcPr>
            <w:tcW w:w="1461" w:type="dxa"/>
          </w:tcPr>
          <w:p w:rsidR="0086671B" w:rsidRPr="00F95912" w:rsidRDefault="0086671B" w:rsidP="00AC51E3">
            <w:pPr>
              <w:pStyle w:val="naisf"/>
              <w:spacing w:before="0" w:after="0"/>
              <w:rPr>
                <w:sz w:val="28"/>
                <w:szCs w:val="28"/>
              </w:rPr>
            </w:pPr>
            <w:r>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F95912" w:rsidRDefault="0086671B" w:rsidP="00AC51E3">
            <w:pPr>
              <w:pStyle w:val="naisf"/>
              <w:spacing w:before="0" w:after="0"/>
              <w:rPr>
                <w:sz w:val="28"/>
                <w:szCs w:val="28"/>
              </w:rPr>
            </w:pPr>
            <w:r>
              <w:rPr>
                <w:sz w:val="28"/>
                <w:szCs w:val="28"/>
              </w:rPr>
              <w:t>0</w:t>
            </w:r>
          </w:p>
        </w:tc>
      </w:tr>
      <w:tr w:rsidR="0086671B" w:rsidRPr="001D5F17" w:rsidTr="0086671B">
        <w:trPr>
          <w:jc w:val="center"/>
        </w:trPr>
        <w:tc>
          <w:tcPr>
            <w:tcW w:w="2166" w:type="dxa"/>
          </w:tcPr>
          <w:p w:rsidR="0086671B" w:rsidRPr="001D5F17" w:rsidRDefault="0086671B" w:rsidP="001D5F17">
            <w:pPr>
              <w:pStyle w:val="naisf"/>
              <w:spacing w:before="0" w:after="0"/>
              <w:rPr>
                <w:i/>
                <w:sz w:val="28"/>
                <w:szCs w:val="28"/>
              </w:rPr>
            </w:pPr>
            <w:r w:rsidRPr="001D5F17">
              <w:rPr>
                <w:sz w:val="28"/>
                <w:szCs w:val="28"/>
              </w:rPr>
              <w:lastRenderedPageBreak/>
              <w:t>1.2. valsts speciālais budžets</w:t>
            </w:r>
          </w:p>
        </w:tc>
        <w:tc>
          <w:tcPr>
            <w:tcW w:w="1273" w:type="dxa"/>
          </w:tcPr>
          <w:p w:rsidR="0086671B" w:rsidRPr="00F95912" w:rsidRDefault="0086671B" w:rsidP="00AC51E3">
            <w:pPr>
              <w:pStyle w:val="naisf"/>
              <w:spacing w:before="0" w:after="0"/>
              <w:rPr>
                <w:sz w:val="28"/>
                <w:szCs w:val="28"/>
              </w:rPr>
            </w:pPr>
            <w:r>
              <w:rPr>
                <w:sz w:val="28"/>
                <w:szCs w:val="28"/>
              </w:rPr>
              <w:t>0</w:t>
            </w:r>
          </w:p>
        </w:tc>
        <w:tc>
          <w:tcPr>
            <w:tcW w:w="1333"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r>
      <w:tr w:rsidR="0086671B" w:rsidRPr="001D5F17" w:rsidTr="0086671B">
        <w:trPr>
          <w:jc w:val="center"/>
        </w:trPr>
        <w:tc>
          <w:tcPr>
            <w:tcW w:w="2166" w:type="dxa"/>
          </w:tcPr>
          <w:p w:rsidR="0086671B" w:rsidRPr="001D5F17" w:rsidRDefault="0086671B" w:rsidP="001D5F17">
            <w:pPr>
              <w:pStyle w:val="naisf"/>
              <w:spacing w:before="0" w:after="0"/>
              <w:rPr>
                <w:i/>
                <w:sz w:val="28"/>
                <w:szCs w:val="28"/>
              </w:rPr>
            </w:pPr>
            <w:r w:rsidRPr="001D5F17">
              <w:rPr>
                <w:sz w:val="28"/>
                <w:szCs w:val="28"/>
              </w:rPr>
              <w:t>1.3. pašvaldību budžets</w:t>
            </w:r>
          </w:p>
        </w:tc>
        <w:tc>
          <w:tcPr>
            <w:tcW w:w="1273" w:type="dxa"/>
          </w:tcPr>
          <w:p w:rsidR="0086671B" w:rsidRPr="00F95912" w:rsidRDefault="0086671B" w:rsidP="00AC51E3">
            <w:pPr>
              <w:pStyle w:val="naisf"/>
              <w:spacing w:before="0" w:after="0"/>
              <w:rPr>
                <w:sz w:val="28"/>
                <w:szCs w:val="28"/>
              </w:rPr>
            </w:pPr>
            <w:r>
              <w:rPr>
                <w:sz w:val="28"/>
                <w:szCs w:val="28"/>
              </w:rPr>
              <w:t>0</w:t>
            </w:r>
          </w:p>
        </w:tc>
        <w:tc>
          <w:tcPr>
            <w:tcW w:w="1333"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r>
      <w:tr w:rsidR="0086671B" w:rsidRPr="001D5F17" w:rsidTr="0086671B">
        <w:trPr>
          <w:jc w:val="center"/>
        </w:trPr>
        <w:tc>
          <w:tcPr>
            <w:tcW w:w="2166" w:type="dxa"/>
          </w:tcPr>
          <w:p w:rsidR="0086671B" w:rsidRPr="001D5F17" w:rsidRDefault="0086671B" w:rsidP="001D5F17">
            <w:pPr>
              <w:jc w:val="both"/>
              <w:rPr>
                <w:rFonts w:ascii="Times New Roman" w:hAnsi="Times New Roman"/>
                <w:sz w:val="28"/>
                <w:szCs w:val="28"/>
              </w:rPr>
            </w:pPr>
            <w:r w:rsidRPr="001D5F17">
              <w:rPr>
                <w:rFonts w:ascii="Times New Roman" w:hAnsi="Times New Roman"/>
                <w:sz w:val="28"/>
                <w:szCs w:val="28"/>
              </w:rPr>
              <w:t>2. Budžeta izdevumi:</w:t>
            </w:r>
          </w:p>
        </w:tc>
        <w:tc>
          <w:tcPr>
            <w:tcW w:w="1273" w:type="dxa"/>
          </w:tcPr>
          <w:p w:rsidR="0086671B" w:rsidRPr="00F95912" w:rsidRDefault="0086671B" w:rsidP="00AC51E3">
            <w:pPr>
              <w:pStyle w:val="naisf"/>
              <w:spacing w:before="0" w:after="0"/>
              <w:rPr>
                <w:sz w:val="28"/>
                <w:szCs w:val="28"/>
              </w:rPr>
            </w:pPr>
            <w:r>
              <w:rPr>
                <w:sz w:val="28"/>
                <w:szCs w:val="28"/>
              </w:rPr>
              <w:t xml:space="preserve"> 200,0</w:t>
            </w:r>
          </w:p>
        </w:tc>
        <w:tc>
          <w:tcPr>
            <w:tcW w:w="1333"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r>
      <w:tr w:rsidR="0086671B" w:rsidRPr="001D5F17" w:rsidTr="0086671B">
        <w:trPr>
          <w:jc w:val="center"/>
        </w:trPr>
        <w:tc>
          <w:tcPr>
            <w:tcW w:w="2166" w:type="dxa"/>
          </w:tcPr>
          <w:p w:rsidR="0086671B" w:rsidRPr="001D5F17" w:rsidRDefault="0086671B" w:rsidP="001D5F17">
            <w:pPr>
              <w:jc w:val="both"/>
              <w:rPr>
                <w:rFonts w:ascii="Times New Roman" w:hAnsi="Times New Roman"/>
                <w:sz w:val="28"/>
                <w:szCs w:val="28"/>
              </w:rPr>
            </w:pPr>
            <w:r w:rsidRPr="001D5F17">
              <w:rPr>
                <w:rFonts w:ascii="Times New Roman" w:hAnsi="Times New Roman"/>
                <w:sz w:val="28"/>
                <w:szCs w:val="28"/>
              </w:rPr>
              <w:t>2.1. valsts pamatbudžets</w:t>
            </w:r>
          </w:p>
        </w:tc>
        <w:tc>
          <w:tcPr>
            <w:tcW w:w="1273" w:type="dxa"/>
          </w:tcPr>
          <w:p w:rsidR="0086671B" w:rsidRPr="00F95912" w:rsidRDefault="0086671B" w:rsidP="00AC51E3">
            <w:pPr>
              <w:pStyle w:val="naisf"/>
              <w:spacing w:before="0" w:after="0"/>
              <w:rPr>
                <w:sz w:val="28"/>
                <w:szCs w:val="28"/>
              </w:rPr>
            </w:pPr>
            <w:r>
              <w:rPr>
                <w:sz w:val="28"/>
                <w:szCs w:val="28"/>
              </w:rPr>
              <w:t>200,0</w:t>
            </w:r>
          </w:p>
        </w:tc>
        <w:tc>
          <w:tcPr>
            <w:tcW w:w="1333"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r>
      <w:tr w:rsidR="0086671B" w:rsidRPr="001D5F17" w:rsidTr="0086671B">
        <w:trPr>
          <w:jc w:val="center"/>
        </w:trPr>
        <w:tc>
          <w:tcPr>
            <w:tcW w:w="2166" w:type="dxa"/>
          </w:tcPr>
          <w:p w:rsidR="0086671B" w:rsidRPr="001D5F17" w:rsidRDefault="0086671B" w:rsidP="001D5F17">
            <w:pPr>
              <w:jc w:val="both"/>
              <w:rPr>
                <w:rFonts w:ascii="Times New Roman" w:hAnsi="Times New Roman"/>
                <w:sz w:val="28"/>
                <w:szCs w:val="28"/>
              </w:rPr>
            </w:pPr>
            <w:r w:rsidRPr="001D5F17">
              <w:rPr>
                <w:rFonts w:ascii="Times New Roman" w:hAnsi="Times New Roman"/>
                <w:sz w:val="28"/>
                <w:szCs w:val="28"/>
              </w:rPr>
              <w:t>2.2. valsts speciālais budžets</w:t>
            </w:r>
          </w:p>
        </w:tc>
        <w:tc>
          <w:tcPr>
            <w:tcW w:w="1273" w:type="dxa"/>
          </w:tcPr>
          <w:p w:rsidR="0086671B" w:rsidRPr="00F95912" w:rsidRDefault="0086671B" w:rsidP="00AC51E3">
            <w:pPr>
              <w:pStyle w:val="naisf"/>
              <w:spacing w:before="0" w:after="0"/>
              <w:rPr>
                <w:sz w:val="28"/>
                <w:szCs w:val="28"/>
              </w:rPr>
            </w:pPr>
            <w:r>
              <w:rPr>
                <w:sz w:val="28"/>
                <w:szCs w:val="28"/>
              </w:rPr>
              <w:t>0</w:t>
            </w:r>
          </w:p>
        </w:tc>
        <w:tc>
          <w:tcPr>
            <w:tcW w:w="1333"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r>
      <w:tr w:rsidR="0086671B" w:rsidRPr="001D5F17" w:rsidTr="0086671B">
        <w:trPr>
          <w:jc w:val="center"/>
        </w:trPr>
        <w:tc>
          <w:tcPr>
            <w:tcW w:w="2166" w:type="dxa"/>
          </w:tcPr>
          <w:p w:rsidR="0086671B" w:rsidRPr="001D5F17" w:rsidRDefault="0086671B" w:rsidP="001D5F17">
            <w:pPr>
              <w:jc w:val="both"/>
              <w:rPr>
                <w:rFonts w:ascii="Times New Roman" w:hAnsi="Times New Roman"/>
                <w:sz w:val="28"/>
                <w:szCs w:val="28"/>
              </w:rPr>
            </w:pPr>
            <w:r w:rsidRPr="001D5F17">
              <w:rPr>
                <w:rFonts w:ascii="Times New Roman" w:hAnsi="Times New Roman"/>
                <w:sz w:val="28"/>
                <w:szCs w:val="28"/>
              </w:rPr>
              <w:t xml:space="preserve">2.3. pašvaldību budžets </w:t>
            </w:r>
          </w:p>
        </w:tc>
        <w:tc>
          <w:tcPr>
            <w:tcW w:w="1273" w:type="dxa"/>
          </w:tcPr>
          <w:p w:rsidR="0086671B" w:rsidRPr="00F95912" w:rsidRDefault="0086671B" w:rsidP="00AC51E3">
            <w:pPr>
              <w:pStyle w:val="naisf"/>
              <w:spacing w:before="0" w:after="0"/>
              <w:rPr>
                <w:sz w:val="28"/>
                <w:szCs w:val="28"/>
              </w:rPr>
            </w:pPr>
            <w:r>
              <w:rPr>
                <w:sz w:val="28"/>
                <w:szCs w:val="28"/>
              </w:rPr>
              <w:t>0</w:t>
            </w:r>
          </w:p>
        </w:tc>
        <w:tc>
          <w:tcPr>
            <w:tcW w:w="1333"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r>
      <w:tr w:rsidR="0086671B" w:rsidRPr="001D5F17" w:rsidTr="0086671B">
        <w:trPr>
          <w:jc w:val="center"/>
        </w:trPr>
        <w:tc>
          <w:tcPr>
            <w:tcW w:w="2166" w:type="dxa"/>
          </w:tcPr>
          <w:p w:rsidR="0086671B" w:rsidRPr="001D5F17" w:rsidRDefault="0086671B" w:rsidP="001D5F17">
            <w:pPr>
              <w:jc w:val="both"/>
              <w:rPr>
                <w:rFonts w:ascii="Times New Roman" w:hAnsi="Times New Roman"/>
                <w:sz w:val="28"/>
                <w:szCs w:val="28"/>
              </w:rPr>
            </w:pPr>
            <w:r w:rsidRPr="001D5F17">
              <w:rPr>
                <w:rFonts w:ascii="Times New Roman" w:hAnsi="Times New Roman"/>
                <w:sz w:val="28"/>
                <w:szCs w:val="28"/>
              </w:rPr>
              <w:t>3. Finansiālā ietekme:</w:t>
            </w:r>
          </w:p>
        </w:tc>
        <w:tc>
          <w:tcPr>
            <w:tcW w:w="1273" w:type="dxa"/>
            <w:shd w:val="clear" w:color="auto" w:fill="auto"/>
            <w:vAlign w:val="center"/>
          </w:tcPr>
          <w:p w:rsidR="0086671B" w:rsidRPr="001D5F17" w:rsidRDefault="0086671B" w:rsidP="00AC51E3">
            <w:pPr>
              <w:pStyle w:val="naisf"/>
              <w:spacing w:before="0" w:after="0"/>
              <w:jc w:val="center"/>
              <w:rPr>
                <w:sz w:val="28"/>
                <w:szCs w:val="28"/>
              </w:rPr>
            </w:pPr>
            <w:r>
              <w:rPr>
                <w:sz w:val="28"/>
                <w:szCs w:val="28"/>
              </w:rPr>
              <w:t>0</w:t>
            </w:r>
          </w:p>
        </w:tc>
        <w:tc>
          <w:tcPr>
            <w:tcW w:w="1333"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r>
      <w:tr w:rsidR="0086671B" w:rsidRPr="001D5F17" w:rsidTr="0086671B">
        <w:trPr>
          <w:jc w:val="center"/>
        </w:trPr>
        <w:tc>
          <w:tcPr>
            <w:tcW w:w="2166" w:type="dxa"/>
          </w:tcPr>
          <w:p w:rsidR="0086671B" w:rsidRPr="0086671B" w:rsidRDefault="0086671B" w:rsidP="001D5F17">
            <w:pPr>
              <w:jc w:val="both"/>
              <w:rPr>
                <w:rFonts w:ascii="Times New Roman" w:hAnsi="Times New Roman"/>
                <w:sz w:val="28"/>
                <w:szCs w:val="28"/>
              </w:rPr>
            </w:pPr>
            <w:r w:rsidRPr="0086671B">
              <w:rPr>
                <w:rFonts w:ascii="Times New Roman" w:hAnsi="Times New Roman"/>
                <w:sz w:val="28"/>
                <w:szCs w:val="28"/>
              </w:rPr>
              <w:t>3.1. valsts pamatbudžets</w:t>
            </w:r>
          </w:p>
        </w:tc>
        <w:tc>
          <w:tcPr>
            <w:tcW w:w="1273" w:type="dxa"/>
            <w:shd w:val="clear" w:color="auto" w:fill="auto"/>
          </w:tcPr>
          <w:p w:rsidR="0086671B" w:rsidRPr="0086671B" w:rsidRDefault="0086671B" w:rsidP="00AC51E3">
            <w:pPr>
              <w:pStyle w:val="naisf"/>
              <w:spacing w:before="0" w:after="0"/>
              <w:rPr>
                <w:sz w:val="28"/>
                <w:szCs w:val="28"/>
              </w:rPr>
            </w:pPr>
            <w:r w:rsidRPr="0086671B">
              <w:rPr>
                <w:sz w:val="28"/>
                <w:szCs w:val="28"/>
              </w:rPr>
              <w:t>0</w:t>
            </w:r>
          </w:p>
        </w:tc>
        <w:tc>
          <w:tcPr>
            <w:tcW w:w="1333"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r>
      <w:tr w:rsidR="0086671B" w:rsidRPr="001D5F17" w:rsidTr="0086671B">
        <w:trPr>
          <w:jc w:val="center"/>
        </w:trPr>
        <w:tc>
          <w:tcPr>
            <w:tcW w:w="2166" w:type="dxa"/>
          </w:tcPr>
          <w:p w:rsidR="0086671B" w:rsidRPr="0086671B" w:rsidRDefault="0086671B" w:rsidP="001D5F17">
            <w:pPr>
              <w:jc w:val="both"/>
              <w:rPr>
                <w:rFonts w:ascii="Times New Roman" w:hAnsi="Times New Roman"/>
                <w:sz w:val="28"/>
                <w:szCs w:val="28"/>
              </w:rPr>
            </w:pPr>
            <w:r w:rsidRPr="0086671B">
              <w:rPr>
                <w:rFonts w:ascii="Times New Roman" w:hAnsi="Times New Roman"/>
                <w:sz w:val="28"/>
                <w:szCs w:val="28"/>
              </w:rPr>
              <w:t>3.2. speciālais budžets</w:t>
            </w:r>
          </w:p>
        </w:tc>
        <w:tc>
          <w:tcPr>
            <w:tcW w:w="1273" w:type="dxa"/>
            <w:shd w:val="clear" w:color="auto" w:fill="auto"/>
          </w:tcPr>
          <w:p w:rsidR="0086671B" w:rsidRPr="0086671B" w:rsidRDefault="0086671B" w:rsidP="00AC51E3">
            <w:pPr>
              <w:pStyle w:val="naisf"/>
              <w:spacing w:before="0" w:after="0"/>
              <w:rPr>
                <w:sz w:val="28"/>
                <w:szCs w:val="28"/>
              </w:rPr>
            </w:pPr>
            <w:r w:rsidRPr="0086671B">
              <w:rPr>
                <w:sz w:val="28"/>
                <w:szCs w:val="28"/>
              </w:rPr>
              <w:t>0</w:t>
            </w:r>
          </w:p>
        </w:tc>
        <w:tc>
          <w:tcPr>
            <w:tcW w:w="1333"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r>
      <w:tr w:rsidR="0086671B" w:rsidRPr="001D5F17" w:rsidTr="0086671B">
        <w:trPr>
          <w:jc w:val="center"/>
        </w:trPr>
        <w:tc>
          <w:tcPr>
            <w:tcW w:w="2166" w:type="dxa"/>
          </w:tcPr>
          <w:p w:rsidR="0086671B" w:rsidRPr="0086671B" w:rsidRDefault="0086671B" w:rsidP="001D5F17">
            <w:pPr>
              <w:jc w:val="both"/>
              <w:rPr>
                <w:rFonts w:ascii="Times New Roman" w:hAnsi="Times New Roman"/>
                <w:sz w:val="28"/>
                <w:szCs w:val="28"/>
              </w:rPr>
            </w:pPr>
            <w:r w:rsidRPr="0086671B">
              <w:rPr>
                <w:rFonts w:ascii="Times New Roman" w:hAnsi="Times New Roman"/>
                <w:sz w:val="28"/>
                <w:szCs w:val="28"/>
              </w:rPr>
              <w:t xml:space="preserve">3.3. pašvaldību budžets </w:t>
            </w:r>
          </w:p>
        </w:tc>
        <w:tc>
          <w:tcPr>
            <w:tcW w:w="1273" w:type="dxa"/>
            <w:shd w:val="clear" w:color="auto" w:fill="auto"/>
          </w:tcPr>
          <w:p w:rsidR="0086671B" w:rsidRPr="0086671B" w:rsidRDefault="0086671B" w:rsidP="00AC51E3">
            <w:pPr>
              <w:pStyle w:val="naisf"/>
              <w:spacing w:before="0" w:after="0"/>
              <w:rPr>
                <w:sz w:val="28"/>
                <w:szCs w:val="28"/>
              </w:rPr>
            </w:pPr>
            <w:r w:rsidRPr="0086671B">
              <w:rPr>
                <w:sz w:val="28"/>
                <w:szCs w:val="28"/>
              </w:rPr>
              <w:t>0</w:t>
            </w:r>
          </w:p>
        </w:tc>
        <w:tc>
          <w:tcPr>
            <w:tcW w:w="1333"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c>
          <w:tcPr>
            <w:tcW w:w="1461" w:type="dxa"/>
          </w:tcPr>
          <w:p w:rsidR="0086671B" w:rsidRPr="0086671B" w:rsidRDefault="0086671B" w:rsidP="00AC51E3">
            <w:pPr>
              <w:pStyle w:val="naisf"/>
              <w:spacing w:before="0" w:after="0"/>
              <w:rPr>
                <w:sz w:val="28"/>
                <w:szCs w:val="28"/>
              </w:rPr>
            </w:pPr>
            <w:r w:rsidRPr="0086671B">
              <w:rPr>
                <w:sz w:val="28"/>
                <w:szCs w:val="28"/>
              </w:rPr>
              <w:t>0</w:t>
            </w:r>
          </w:p>
        </w:tc>
      </w:tr>
      <w:tr w:rsidR="0086671B" w:rsidRPr="001D5F17" w:rsidTr="0086671B">
        <w:trPr>
          <w:jc w:val="center"/>
        </w:trPr>
        <w:tc>
          <w:tcPr>
            <w:tcW w:w="2166" w:type="dxa"/>
            <w:vMerge w:val="restart"/>
          </w:tcPr>
          <w:p w:rsidR="0086671B" w:rsidRPr="001D5F17" w:rsidRDefault="0086671B" w:rsidP="001D5F17">
            <w:pPr>
              <w:jc w:val="both"/>
              <w:rPr>
                <w:rFonts w:ascii="Times New Roman" w:hAnsi="Times New Roman"/>
                <w:sz w:val="28"/>
                <w:szCs w:val="28"/>
              </w:rPr>
            </w:pPr>
            <w:r w:rsidRPr="001D5F17">
              <w:rPr>
                <w:rFonts w:ascii="Times New Roman" w:hAnsi="Times New Roman"/>
                <w:sz w:val="28"/>
                <w:szCs w:val="28"/>
              </w:rPr>
              <w:t>4. Finanšu līdzekļi papildu izde</w:t>
            </w:r>
            <w:r w:rsidRPr="001D5F17">
              <w:rPr>
                <w:rFonts w:ascii="Times New Roman" w:hAnsi="Times New Roman"/>
                <w:sz w:val="28"/>
                <w:szCs w:val="28"/>
              </w:rPr>
              <w:softHyphen/>
              <w:t xml:space="preserve">vumu finansēšanai (kompensējošu izdevumu </w:t>
            </w:r>
            <w:r w:rsidRPr="001D5F17">
              <w:rPr>
                <w:rFonts w:ascii="Times New Roman" w:hAnsi="Times New Roman"/>
                <w:sz w:val="28"/>
                <w:szCs w:val="28"/>
              </w:rPr>
              <w:lastRenderedPageBreak/>
              <w:t>samazinājumu norāda ar "+" zīmi)</w:t>
            </w:r>
          </w:p>
        </w:tc>
        <w:tc>
          <w:tcPr>
            <w:tcW w:w="1273" w:type="dxa"/>
            <w:vMerge w:val="restart"/>
          </w:tcPr>
          <w:p w:rsidR="0086671B" w:rsidRPr="001D5F17" w:rsidRDefault="0086671B" w:rsidP="00AC51E3">
            <w:pPr>
              <w:pStyle w:val="naisf"/>
              <w:spacing w:before="0" w:after="0"/>
              <w:jc w:val="center"/>
              <w:rPr>
                <w:i/>
                <w:sz w:val="28"/>
                <w:szCs w:val="28"/>
              </w:rPr>
            </w:pPr>
            <w:r w:rsidRPr="001D5F17">
              <w:rPr>
                <w:sz w:val="28"/>
                <w:szCs w:val="28"/>
              </w:rPr>
              <w:lastRenderedPageBreak/>
              <w:t>X</w:t>
            </w:r>
          </w:p>
        </w:tc>
        <w:tc>
          <w:tcPr>
            <w:tcW w:w="1333" w:type="dxa"/>
          </w:tcPr>
          <w:p w:rsidR="0086671B" w:rsidRPr="001D5F17" w:rsidRDefault="0086671B" w:rsidP="00AC51E3">
            <w:pPr>
              <w:pStyle w:val="naisf"/>
              <w:spacing w:before="0" w:after="0"/>
              <w:rPr>
                <w:b/>
                <w:i/>
                <w:sz w:val="28"/>
                <w:szCs w:val="28"/>
              </w:rPr>
            </w:pPr>
          </w:p>
        </w:tc>
        <w:tc>
          <w:tcPr>
            <w:tcW w:w="1461" w:type="dxa"/>
          </w:tcPr>
          <w:p w:rsidR="0086671B" w:rsidRPr="001D5F17" w:rsidRDefault="0086671B" w:rsidP="00AC51E3">
            <w:pPr>
              <w:pStyle w:val="naisf"/>
              <w:spacing w:before="0" w:after="0"/>
              <w:rPr>
                <w:b/>
                <w:i/>
                <w:sz w:val="28"/>
                <w:szCs w:val="28"/>
              </w:rPr>
            </w:pPr>
          </w:p>
        </w:tc>
        <w:tc>
          <w:tcPr>
            <w:tcW w:w="1461" w:type="dxa"/>
          </w:tcPr>
          <w:p w:rsidR="0086671B" w:rsidRPr="001D5F17" w:rsidRDefault="0086671B" w:rsidP="00AC51E3">
            <w:pPr>
              <w:pStyle w:val="naisf"/>
              <w:spacing w:before="0" w:after="0"/>
              <w:rPr>
                <w:b/>
                <w:i/>
                <w:sz w:val="28"/>
                <w:szCs w:val="28"/>
              </w:rPr>
            </w:pPr>
          </w:p>
        </w:tc>
        <w:tc>
          <w:tcPr>
            <w:tcW w:w="1461" w:type="dxa"/>
          </w:tcPr>
          <w:p w:rsidR="0086671B" w:rsidRPr="001D5F17" w:rsidRDefault="0086671B" w:rsidP="00AC51E3">
            <w:pPr>
              <w:pStyle w:val="naisf"/>
              <w:spacing w:before="0" w:after="0"/>
              <w:rPr>
                <w:b/>
                <w:i/>
                <w:sz w:val="28"/>
                <w:szCs w:val="28"/>
              </w:rPr>
            </w:pPr>
          </w:p>
        </w:tc>
      </w:tr>
      <w:tr w:rsidR="0086671B" w:rsidRPr="001D5F17" w:rsidTr="0086671B">
        <w:trPr>
          <w:jc w:val="center"/>
        </w:trPr>
        <w:tc>
          <w:tcPr>
            <w:tcW w:w="2166" w:type="dxa"/>
            <w:vMerge/>
          </w:tcPr>
          <w:p w:rsidR="0086671B" w:rsidRPr="001D5F17" w:rsidRDefault="0086671B" w:rsidP="001D5F17">
            <w:pPr>
              <w:jc w:val="both"/>
              <w:rPr>
                <w:rFonts w:ascii="Times New Roman" w:hAnsi="Times New Roman"/>
                <w:sz w:val="28"/>
                <w:szCs w:val="28"/>
              </w:rPr>
            </w:pPr>
          </w:p>
        </w:tc>
        <w:tc>
          <w:tcPr>
            <w:tcW w:w="1273" w:type="dxa"/>
            <w:vMerge/>
          </w:tcPr>
          <w:p w:rsidR="0086671B" w:rsidRPr="001D5F17" w:rsidRDefault="0086671B" w:rsidP="001D5F17">
            <w:pPr>
              <w:pStyle w:val="naisf"/>
              <w:spacing w:before="0" w:after="0"/>
              <w:jc w:val="center"/>
              <w:rPr>
                <w:i/>
                <w:sz w:val="28"/>
                <w:szCs w:val="28"/>
              </w:rPr>
            </w:pPr>
          </w:p>
        </w:tc>
        <w:tc>
          <w:tcPr>
            <w:tcW w:w="1333" w:type="dxa"/>
          </w:tcPr>
          <w:p w:rsidR="0086671B" w:rsidRPr="001D5F17" w:rsidRDefault="0086671B" w:rsidP="001D5F17">
            <w:pPr>
              <w:pStyle w:val="naisf"/>
              <w:spacing w:before="0" w:after="0"/>
              <w:rPr>
                <w:b/>
                <w:i/>
                <w:sz w:val="28"/>
                <w:szCs w:val="28"/>
              </w:rPr>
            </w:pPr>
          </w:p>
        </w:tc>
        <w:tc>
          <w:tcPr>
            <w:tcW w:w="1461" w:type="dxa"/>
          </w:tcPr>
          <w:p w:rsidR="0086671B" w:rsidRPr="001D5F17" w:rsidRDefault="0086671B" w:rsidP="001D5F17">
            <w:pPr>
              <w:pStyle w:val="naisf"/>
              <w:spacing w:before="0" w:after="0"/>
              <w:rPr>
                <w:b/>
                <w:i/>
                <w:sz w:val="28"/>
                <w:szCs w:val="28"/>
              </w:rPr>
            </w:pPr>
          </w:p>
        </w:tc>
        <w:tc>
          <w:tcPr>
            <w:tcW w:w="1461" w:type="dxa"/>
          </w:tcPr>
          <w:p w:rsidR="0086671B" w:rsidRPr="001D5F17" w:rsidRDefault="0086671B" w:rsidP="001D5F17">
            <w:pPr>
              <w:pStyle w:val="naisf"/>
              <w:spacing w:before="0" w:after="0"/>
              <w:rPr>
                <w:b/>
                <w:i/>
                <w:sz w:val="28"/>
                <w:szCs w:val="28"/>
              </w:rPr>
            </w:pPr>
          </w:p>
        </w:tc>
        <w:tc>
          <w:tcPr>
            <w:tcW w:w="1461" w:type="dxa"/>
          </w:tcPr>
          <w:p w:rsidR="0086671B" w:rsidRPr="001D5F17" w:rsidRDefault="0086671B" w:rsidP="001D5F17">
            <w:pPr>
              <w:pStyle w:val="naisf"/>
              <w:spacing w:before="0" w:after="0"/>
              <w:rPr>
                <w:b/>
                <w:i/>
                <w:sz w:val="28"/>
                <w:szCs w:val="28"/>
              </w:rPr>
            </w:pPr>
          </w:p>
        </w:tc>
      </w:tr>
      <w:tr w:rsidR="0086671B" w:rsidRPr="001D5F17" w:rsidTr="0086671B">
        <w:trPr>
          <w:jc w:val="center"/>
        </w:trPr>
        <w:tc>
          <w:tcPr>
            <w:tcW w:w="2166" w:type="dxa"/>
            <w:vMerge/>
          </w:tcPr>
          <w:p w:rsidR="0086671B" w:rsidRPr="001D5F17" w:rsidRDefault="0086671B" w:rsidP="001D5F17">
            <w:pPr>
              <w:jc w:val="both"/>
              <w:rPr>
                <w:rFonts w:ascii="Times New Roman" w:hAnsi="Times New Roman"/>
                <w:sz w:val="28"/>
                <w:szCs w:val="28"/>
              </w:rPr>
            </w:pPr>
          </w:p>
        </w:tc>
        <w:tc>
          <w:tcPr>
            <w:tcW w:w="1273" w:type="dxa"/>
            <w:vMerge/>
          </w:tcPr>
          <w:p w:rsidR="0086671B" w:rsidRPr="001D5F17" w:rsidRDefault="0086671B" w:rsidP="001D5F17">
            <w:pPr>
              <w:pStyle w:val="naisf"/>
              <w:spacing w:before="0" w:after="0"/>
              <w:jc w:val="center"/>
              <w:rPr>
                <w:i/>
                <w:sz w:val="28"/>
                <w:szCs w:val="28"/>
              </w:rPr>
            </w:pPr>
          </w:p>
        </w:tc>
        <w:tc>
          <w:tcPr>
            <w:tcW w:w="1333" w:type="dxa"/>
          </w:tcPr>
          <w:p w:rsidR="0086671B" w:rsidRPr="001D5F17" w:rsidRDefault="0086671B" w:rsidP="001D5F17">
            <w:pPr>
              <w:pStyle w:val="naisf"/>
              <w:spacing w:before="0" w:after="0"/>
              <w:rPr>
                <w:b/>
                <w:i/>
                <w:sz w:val="28"/>
                <w:szCs w:val="28"/>
              </w:rPr>
            </w:pPr>
            <w:r w:rsidRPr="003C5DDF">
              <w:rPr>
                <w:sz w:val="28"/>
                <w:szCs w:val="28"/>
              </w:rPr>
              <w:t>Nav attiecināms</w:t>
            </w:r>
          </w:p>
        </w:tc>
        <w:tc>
          <w:tcPr>
            <w:tcW w:w="1461" w:type="dxa"/>
          </w:tcPr>
          <w:p w:rsidR="0086671B" w:rsidRPr="001D5F17" w:rsidRDefault="0086671B" w:rsidP="001D5F17">
            <w:pPr>
              <w:pStyle w:val="naisf"/>
              <w:spacing w:before="0" w:after="0"/>
              <w:rPr>
                <w:b/>
                <w:i/>
                <w:sz w:val="28"/>
                <w:szCs w:val="28"/>
              </w:rPr>
            </w:pPr>
            <w:r w:rsidRPr="003C5DDF">
              <w:rPr>
                <w:sz w:val="28"/>
                <w:szCs w:val="28"/>
              </w:rPr>
              <w:t>Nav attiecināms</w:t>
            </w:r>
          </w:p>
        </w:tc>
        <w:tc>
          <w:tcPr>
            <w:tcW w:w="1461" w:type="dxa"/>
          </w:tcPr>
          <w:p w:rsidR="0086671B" w:rsidRPr="001D5F17" w:rsidRDefault="0086671B" w:rsidP="001D5F17">
            <w:pPr>
              <w:pStyle w:val="naisf"/>
              <w:spacing w:before="0" w:after="0"/>
              <w:rPr>
                <w:b/>
                <w:i/>
                <w:sz w:val="28"/>
                <w:szCs w:val="28"/>
              </w:rPr>
            </w:pPr>
            <w:r w:rsidRPr="003C5DDF">
              <w:rPr>
                <w:sz w:val="28"/>
                <w:szCs w:val="28"/>
              </w:rPr>
              <w:t>Nav attiecināms</w:t>
            </w:r>
          </w:p>
        </w:tc>
        <w:tc>
          <w:tcPr>
            <w:tcW w:w="1461" w:type="dxa"/>
          </w:tcPr>
          <w:p w:rsidR="0086671B" w:rsidRPr="001D5F17" w:rsidRDefault="0086671B" w:rsidP="001D5F17">
            <w:pPr>
              <w:pStyle w:val="naisf"/>
              <w:spacing w:before="0" w:after="0"/>
              <w:rPr>
                <w:b/>
                <w:i/>
                <w:sz w:val="28"/>
                <w:szCs w:val="28"/>
              </w:rPr>
            </w:pPr>
            <w:r w:rsidRPr="003C5DDF">
              <w:rPr>
                <w:sz w:val="28"/>
                <w:szCs w:val="28"/>
              </w:rPr>
              <w:t>Nav attiecināms</w:t>
            </w:r>
          </w:p>
        </w:tc>
      </w:tr>
      <w:tr w:rsidR="0086671B" w:rsidRPr="001D5F17" w:rsidTr="0086671B">
        <w:trPr>
          <w:jc w:val="center"/>
        </w:trPr>
        <w:tc>
          <w:tcPr>
            <w:tcW w:w="2166" w:type="dxa"/>
          </w:tcPr>
          <w:p w:rsidR="0086671B" w:rsidRPr="001D5F17" w:rsidRDefault="0086671B" w:rsidP="001D5F17">
            <w:pPr>
              <w:jc w:val="both"/>
              <w:rPr>
                <w:rFonts w:ascii="Times New Roman" w:hAnsi="Times New Roman"/>
                <w:sz w:val="28"/>
                <w:szCs w:val="28"/>
              </w:rPr>
            </w:pPr>
            <w:r w:rsidRPr="001D5F17">
              <w:rPr>
                <w:rFonts w:ascii="Times New Roman" w:hAnsi="Times New Roman"/>
                <w:sz w:val="28"/>
                <w:szCs w:val="28"/>
              </w:rPr>
              <w:lastRenderedPageBreak/>
              <w:t>5. Precizēta finansiālā ietekme:</w:t>
            </w:r>
          </w:p>
        </w:tc>
        <w:tc>
          <w:tcPr>
            <w:tcW w:w="1273" w:type="dxa"/>
            <w:vMerge w:val="restart"/>
          </w:tcPr>
          <w:p w:rsidR="0086671B" w:rsidRPr="001D5F17" w:rsidRDefault="0086671B" w:rsidP="00AC51E3">
            <w:pPr>
              <w:pStyle w:val="naisf"/>
              <w:spacing w:before="0" w:after="0"/>
              <w:jc w:val="center"/>
              <w:rPr>
                <w:i/>
                <w:sz w:val="28"/>
                <w:szCs w:val="28"/>
              </w:rPr>
            </w:pPr>
            <w:r w:rsidRPr="001D5F17">
              <w:rPr>
                <w:sz w:val="28"/>
                <w:szCs w:val="28"/>
              </w:rPr>
              <w:t>X</w:t>
            </w:r>
          </w:p>
        </w:tc>
        <w:tc>
          <w:tcPr>
            <w:tcW w:w="1333" w:type="dxa"/>
          </w:tcPr>
          <w:p w:rsidR="0086671B" w:rsidRPr="00F95912" w:rsidRDefault="0086671B" w:rsidP="00AC51E3">
            <w:pPr>
              <w:pStyle w:val="naisf"/>
              <w:spacing w:before="0" w:after="0"/>
              <w:rPr>
                <w:sz w:val="28"/>
                <w:szCs w:val="28"/>
              </w:rPr>
            </w:pPr>
            <w:r w:rsidRPr="003C5DDF">
              <w:rPr>
                <w:sz w:val="28"/>
                <w:szCs w:val="28"/>
              </w:rPr>
              <w:t>Nav attiecināms</w:t>
            </w:r>
          </w:p>
        </w:tc>
        <w:tc>
          <w:tcPr>
            <w:tcW w:w="1461" w:type="dxa"/>
          </w:tcPr>
          <w:p w:rsidR="0086671B" w:rsidRPr="00F95912" w:rsidRDefault="0086671B" w:rsidP="00AC51E3">
            <w:pPr>
              <w:pStyle w:val="naisf"/>
              <w:spacing w:before="0" w:after="0"/>
              <w:rPr>
                <w:sz w:val="28"/>
                <w:szCs w:val="28"/>
              </w:rPr>
            </w:pPr>
            <w:r w:rsidRPr="003C5DDF">
              <w:rPr>
                <w:sz w:val="28"/>
                <w:szCs w:val="28"/>
              </w:rPr>
              <w:t>Nav attiecināms</w:t>
            </w:r>
          </w:p>
        </w:tc>
        <w:tc>
          <w:tcPr>
            <w:tcW w:w="1461" w:type="dxa"/>
          </w:tcPr>
          <w:p w:rsidR="0086671B" w:rsidRPr="00F95912" w:rsidRDefault="0086671B" w:rsidP="00AC51E3">
            <w:pPr>
              <w:pStyle w:val="naisf"/>
              <w:spacing w:before="0" w:after="0"/>
              <w:rPr>
                <w:sz w:val="28"/>
                <w:szCs w:val="28"/>
              </w:rPr>
            </w:pPr>
            <w:r w:rsidRPr="003C5DDF">
              <w:rPr>
                <w:sz w:val="28"/>
                <w:szCs w:val="28"/>
              </w:rPr>
              <w:t>Nav attiecināms</w:t>
            </w:r>
          </w:p>
        </w:tc>
        <w:tc>
          <w:tcPr>
            <w:tcW w:w="1461" w:type="dxa"/>
          </w:tcPr>
          <w:p w:rsidR="0086671B" w:rsidRPr="00F95912" w:rsidRDefault="0086671B" w:rsidP="00AC51E3">
            <w:pPr>
              <w:pStyle w:val="naisf"/>
              <w:spacing w:before="0" w:after="0"/>
              <w:rPr>
                <w:sz w:val="28"/>
                <w:szCs w:val="28"/>
              </w:rPr>
            </w:pPr>
            <w:r w:rsidRPr="003C5DDF">
              <w:rPr>
                <w:sz w:val="28"/>
                <w:szCs w:val="28"/>
              </w:rPr>
              <w:t>Nav attiecināms</w:t>
            </w:r>
          </w:p>
        </w:tc>
      </w:tr>
      <w:tr w:rsidR="001D5F17" w:rsidRPr="001D5F17" w:rsidTr="0086671B">
        <w:trPr>
          <w:jc w:val="center"/>
        </w:trPr>
        <w:tc>
          <w:tcPr>
            <w:tcW w:w="2166" w:type="dxa"/>
          </w:tcPr>
          <w:p w:rsidR="001D5F17" w:rsidRPr="001D5F17" w:rsidRDefault="001D5F17" w:rsidP="001D5F17">
            <w:pPr>
              <w:jc w:val="both"/>
              <w:rPr>
                <w:rFonts w:ascii="Times New Roman" w:hAnsi="Times New Roman"/>
                <w:sz w:val="28"/>
                <w:szCs w:val="28"/>
              </w:rPr>
            </w:pPr>
            <w:r w:rsidRPr="001D5F17">
              <w:rPr>
                <w:rFonts w:ascii="Times New Roman" w:hAnsi="Times New Roman"/>
                <w:sz w:val="28"/>
                <w:szCs w:val="28"/>
              </w:rPr>
              <w:t>5.1. valsts pamatbudžets</w:t>
            </w:r>
          </w:p>
        </w:tc>
        <w:tc>
          <w:tcPr>
            <w:tcW w:w="1273" w:type="dxa"/>
            <w:vMerge/>
            <w:vAlign w:val="center"/>
          </w:tcPr>
          <w:p w:rsidR="001D5F17" w:rsidRPr="001D5F17" w:rsidRDefault="001D5F17" w:rsidP="001D5F17">
            <w:pPr>
              <w:pStyle w:val="naisf"/>
              <w:spacing w:before="0" w:after="0"/>
              <w:jc w:val="center"/>
              <w:rPr>
                <w:i/>
                <w:sz w:val="28"/>
                <w:szCs w:val="28"/>
              </w:rPr>
            </w:pPr>
          </w:p>
        </w:tc>
        <w:tc>
          <w:tcPr>
            <w:tcW w:w="1333" w:type="dxa"/>
          </w:tcPr>
          <w:p w:rsidR="001D5F17" w:rsidRPr="001D5F17" w:rsidRDefault="001D5F17" w:rsidP="001D5F17">
            <w:pPr>
              <w:pStyle w:val="naisf"/>
              <w:spacing w:before="0" w:after="0"/>
              <w:rPr>
                <w:b/>
                <w:i/>
                <w:sz w:val="28"/>
                <w:szCs w:val="28"/>
              </w:rPr>
            </w:pPr>
          </w:p>
        </w:tc>
        <w:tc>
          <w:tcPr>
            <w:tcW w:w="1461" w:type="dxa"/>
          </w:tcPr>
          <w:p w:rsidR="001D5F17" w:rsidRPr="001D5F17" w:rsidRDefault="001D5F17" w:rsidP="001D5F17">
            <w:pPr>
              <w:pStyle w:val="naisf"/>
              <w:spacing w:before="0" w:after="0"/>
              <w:rPr>
                <w:b/>
                <w:i/>
                <w:sz w:val="28"/>
                <w:szCs w:val="28"/>
              </w:rPr>
            </w:pPr>
          </w:p>
        </w:tc>
        <w:tc>
          <w:tcPr>
            <w:tcW w:w="1461" w:type="dxa"/>
          </w:tcPr>
          <w:p w:rsidR="001D5F17" w:rsidRPr="001D5F17" w:rsidRDefault="001D5F17" w:rsidP="001D5F17">
            <w:pPr>
              <w:pStyle w:val="naisf"/>
              <w:spacing w:before="0" w:after="0"/>
              <w:rPr>
                <w:b/>
                <w:i/>
                <w:sz w:val="28"/>
                <w:szCs w:val="28"/>
              </w:rPr>
            </w:pPr>
          </w:p>
        </w:tc>
        <w:tc>
          <w:tcPr>
            <w:tcW w:w="1461" w:type="dxa"/>
          </w:tcPr>
          <w:p w:rsidR="001D5F17" w:rsidRPr="001D5F17" w:rsidRDefault="001D5F17" w:rsidP="001D5F17">
            <w:pPr>
              <w:pStyle w:val="naisf"/>
              <w:spacing w:before="0" w:after="0"/>
              <w:rPr>
                <w:b/>
                <w:i/>
                <w:sz w:val="28"/>
                <w:szCs w:val="28"/>
              </w:rPr>
            </w:pPr>
          </w:p>
        </w:tc>
      </w:tr>
      <w:tr w:rsidR="001D5F17" w:rsidRPr="001D5F17" w:rsidTr="0086671B">
        <w:trPr>
          <w:jc w:val="center"/>
        </w:trPr>
        <w:tc>
          <w:tcPr>
            <w:tcW w:w="2166" w:type="dxa"/>
          </w:tcPr>
          <w:p w:rsidR="001D5F17" w:rsidRPr="001D5F17" w:rsidRDefault="001D5F17" w:rsidP="001D5F17">
            <w:pPr>
              <w:jc w:val="both"/>
              <w:rPr>
                <w:rFonts w:ascii="Times New Roman" w:hAnsi="Times New Roman"/>
                <w:sz w:val="28"/>
                <w:szCs w:val="28"/>
              </w:rPr>
            </w:pPr>
            <w:r w:rsidRPr="001D5F17">
              <w:rPr>
                <w:rFonts w:ascii="Times New Roman" w:hAnsi="Times New Roman"/>
                <w:sz w:val="28"/>
                <w:szCs w:val="28"/>
              </w:rPr>
              <w:t>5.2. speciālais budžets</w:t>
            </w:r>
          </w:p>
        </w:tc>
        <w:tc>
          <w:tcPr>
            <w:tcW w:w="1273" w:type="dxa"/>
            <w:vMerge/>
            <w:vAlign w:val="center"/>
          </w:tcPr>
          <w:p w:rsidR="001D5F17" w:rsidRPr="001D5F17" w:rsidRDefault="001D5F17" w:rsidP="001D5F17">
            <w:pPr>
              <w:pStyle w:val="naisf"/>
              <w:spacing w:before="0" w:after="0"/>
              <w:jc w:val="center"/>
              <w:rPr>
                <w:i/>
                <w:sz w:val="28"/>
                <w:szCs w:val="28"/>
              </w:rPr>
            </w:pPr>
          </w:p>
        </w:tc>
        <w:tc>
          <w:tcPr>
            <w:tcW w:w="1333" w:type="dxa"/>
          </w:tcPr>
          <w:p w:rsidR="001D5F17" w:rsidRPr="001D5F17" w:rsidRDefault="001D5F17" w:rsidP="001D5F17">
            <w:pPr>
              <w:pStyle w:val="naisf"/>
              <w:spacing w:before="0" w:after="0"/>
              <w:rPr>
                <w:b/>
                <w:i/>
                <w:sz w:val="28"/>
                <w:szCs w:val="28"/>
              </w:rPr>
            </w:pPr>
          </w:p>
        </w:tc>
        <w:tc>
          <w:tcPr>
            <w:tcW w:w="1461" w:type="dxa"/>
          </w:tcPr>
          <w:p w:rsidR="001D5F17" w:rsidRPr="001D5F17" w:rsidRDefault="001D5F17" w:rsidP="001D5F17">
            <w:pPr>
              <w:pStyle w:val="naisf"/>
              <w:spacing w:before="0" w:after="0"/>
              <w:rPr>
                <w:b/>
                <w:i/>
                <w:sz w:val="28"/>
                <w:szCs w:val="28"/>
              </w:rPr>
            </w:pPr>
          </w:p>
        </w:tc>
        <w:tc>
          <w:tcPr>
            <w:tcW w:w="1461" w:type="dxa"/>
          </w:tcPr>
          <w:p w:rsidR="001D5F17" w:rsidRPr="001D5F17" w:rsidRDefault="001D5F17" w:rsidP="001D5F17">
            <w:pPr>
              <w:pStyle w:val="naisf"/>
              <w:spacing w:before="0" w:after="0"/>
              <w:rPr>
                <w:b/>
                <w:i/>
                <w:sz w:val="28"/>
                <w:szCs w:val="28"/>
              </w:rPr>
            </w:pPr>
          </w:p>
        </w:tc>
        <w:tc>
          <w:tcPr>
            <w:tcW w:w="1461" w:type="dxa"/>
          </w:tcPr>
          <w:p w:rsidR="001D5F17" w:rsidRPr="001D5F17" w:rsidRDefault="001D5F17" w:rsidP="001D5F17">
            <w:pPr>
              <w:pStyle w:val="naisf"/>
              <w:spacing w:before="0" w:after="0"/>
              <w:rPr>
                <w:b/>
                <w:i/>
                <w:sz w:val="28"/>
                <w:szCs w:val="28"/>
              </w:rPr>
            </w:pPr>
          </w:p>
        </w:tc>
      </w:tr>
      <w:tr w:rsidR="001D5F17" w:rsidRPr="001D5F17" w:rsidTr="0086671B">
        <w:trPr>
          <w:jc w:val="center"/>
        </w:trPr>
        <w:tc>
          <w:tcPr>
            <w:tcW w:w="2166" w:type="dxa"/>
          </w:tcPr>
          <w:p w:rsidR="001D5F17" w:rsidRPr="001D5F17" w:rsidRDefault="001D5F17" w:rsidP="001D5F17">
            <w:pPr>
              <w:jc w:val="both"/>
              <w:rPr>
                <w:rFonts w:ascii="Times New Roman" w:hAnsi="Times New Roman"/>
                <w:sz w:val="28"/>
                <w:szCs w:val="28"/>
              </w:rPr>
            </w:pPr>
            <w:r w:rsidRPr="001D5F17">
              <w:rPr>
                <w:rFonts w:ascii="Times New Roman" w:hAnsi="Times New Roman"/>
                <w:sz w:val="28"/>
                <w:szCs w:val="28"/>
              </w:rPr>
              <w:t xml:space="preserve">5.3. pašvaldību budžets </w:t>
            </w:r>
          </w:p>
        </w:tc>
        <w:tc>
          <w:tcPr>
            <w:tcW w:w="1273" w:type="dxa"/>
            <w:vMerge/>
            <w:vAlign w:val="center"/>
          </w:tcPr>
          <w:p w:rsidR="001D5F17" w:rsidRPr="001D5F17" w:rsidRDefault="001D5F17" w:rsidP="001D5F17">
            <w:pPr>
              <w:pStyle w:val="naisf"/>
              <w:spacing w:before="0" w:after="0"/>
              <w:jc w:val="center"/>
              <w:rPr>
                <w:i/>
                <w:sz w:val="28"/>
                <w:szCs w:val="28"/>
              </w:rPr>
            </w:pPr>
          </w:p>
        </w:tc>
        <w:tc>
          <w:tcPr>
            <w:tcW w:w="1333" w:type="dxa"/>
          </w:tcPr>
          <w:p w:rsidR="001D5F17" w:rsidRPr="001D5F17" w:rsidRDefault="001D5F17" w:rsidP="001D5F17">
            <w:pPr>
              <w:pStyle w:val="naisf"/>
              <w:spacing w:before="0" w:after="0"/>
              <w:rPr>
                <w:b/>
                <w:i/>
                <w:sz w:val="28"/>
                <w:szCs w:val="28"/>
              </w:rPr>
            </w:pPr>
          </w:p>
        </w:tc>
        <w:tc>
          <w:tcPr>
            <w:tcW w:w="1461" w:type="dxa"/>
          </w:tcPr>
          <w:p w:rsidR="001D5F17" w:rsidRPr="001D5F17" w:rsidRDefault="001D5F17" w:rsidP="001D5F17">
            <w:pPr>
              <w:pStyle w:val="naisf"/>
              <w:spacing w:before="0" w:after="0"/>
              <w:rPr>
                <w:b/>
                <w:i/>
                <w:sz w:val="28"/>
                <w:szCs w:val="28"/>
              </w:rPr>
            </w:pPr>
          </w:p>
        </w:tc>
        <w:tc>
          <w:tcPr>
            <w:tcW w:w="1461" w:type="dxa"/>
          </w:tcPr>
          <w:p w:rsidR="001D5F17" w:rsidRPr="001D5F17" w:rsidRDefault="001D5F17" w:rsidP="001D5F17">
            <w:pPr>
              <w:pStyle w:val="naisf"/>
              <w:spacing w:before="0" w:after="0"/>
              <w:rPr>
                <w:b/>
                <w:i/>
                <w:sz w:val="28"/>
                <w:szCs w:val="28"/>
              </w:rPr>
            </w:pPr>
          </w:p>
        </w:tc>
        <w:tc>
          <w:tcPr>
            <w:tcW w:w="1461" w:type="dxa"/>
          </w:tcPr>
          <w:p w:rsidR="001D5F17" w:rsidRPr="001D5F17" w:rsidRDefault="001D5F17" w:rsidP="001D5F17">
            <w:pPr>
              <w:pStyle w:val="naisf"/>
              <w:spacing w:before="0" w:after="0"/>
              <w:rPr>
                <w:b/>
                <w:i/>
                <w:sz w:val="28"/>
                <w:szCs w:val="28"/>
              </w:rPr>
            </w:pPr>
          </w:p>
        </w:tc>
      </w:tr>
      <w:tr w:rsidR="001D5F17" w:rsidRPr="001D5F17" w:rsidTr="0086671B">
        <w:trPr>
          <w:jc w:val="center"/>
        </w:trPr>
        <w:tc>
          <w:tcPr>
            <w:tcW w:w="2166" w:type="dxa"/>
          </w:tcPr>
          <w:p w:rsidR="001D5F17" w:rsidRPr="001D5F17" w:rsidRDefault="001D5F17" w:rsidP="001D5F17">
            <w:pPr>
              <w:jc w:val="both"/>
              <w:rPr>
                <w:rFonts w:ascii="Times New Roman" w:hAnsi="Times New Roman"/>
                <w:sz w:val="28"/>
                <w:szCs w:val="28"/>
              </w:rPr>
            </w:pPr>
            <w:r w:rsidRPr="001D5F17">
              <w:rPr>
                <w:rFonts w:ascii="Times New Roman" w:hAnsi="Times New Roman"/>
                <w:sz w:val="28"/>
                <w:szCs w:val="28"/>
              </w:rPr>
              <w:t>6. Detalizēts ieņēmumu un izdevu</w:t>
            </w:r>
            <w:r w:rsidRPr="001D5F17">
              <w:rPr>
                <w:rFonts w:ascii="Times New Roman" w:hAnsi="Times New Roman"/>
                <w:sz w:val="28"/>
                <w:szCs w:val="28"/>
              </w:rPr>
              <w:softHyphen/>
              <w:t>mu aprēķins (ja nepieciešams, detalizētu ieņēmumu un izdevumu aprēķinu var pievienot anotācijas pielikumā):</w:t>
            </w:r>
          </w:p>
        </w:tc>
        <w:tc>
          <w:tcPr>
            <w:tcW w:w="6989" w:type="dxa"/>
            <w:gridSpan w:val="5"/>
            <w:vMerge w:val="restart"/>
            <w:vAlign w:val="center"/>
          </w:tcPr>
          <w:p w:rsidR="001D5F17" w:rsidRPr="00ED5D2B" w:rsidRDefault="00ED5D2B" w:rsidP="001D5F17">
            <w:pPr>
              <w:pStyle w:val="naisf"/>
              <w:spacing w:before="0" w:after="0"/>
              <w:rPr>
                <w:sz w:val="28"/>
                <w:szCs w:val="28"/>
              </w:rPr>
            </w:pPr>
            <w:r w:rsidRPr="00ED5D2B">
              <w:rPr>
                <w:sz w:val="28"/>
                <w:szCs w:val="28"/>
              </w:rPr>
              <w:t>Nav attiecināms</w:t>
            </w:r>
          </w:p>
        </w:tc>
      </w:tr>
      <w:tr w:rsidR="001D5F17" w:rsidRPr="001D5F17" w:rsidTr="0086671B">
        <w:trPr>
          <w:jc w:val="center"/>
        </w:trPr>
        <w:tc>
          <w:tcPr>
            <w:tcW w:w="2166" w:type="dxa"/>
          </w:tcPr>
          <w:p w:rsidR="001D5F17" w:rsidRPr="001D5F17" w:rsidRDefault="001D5F17" w:rsidP="001D5F17">
            <w:pPr>
              <w:jc w:val="both"/>
              <w:rPr>
                <w:rFonts w:ascii="Times New Roman" w:hAnsi="Times New Roman"/>
                <w:sz w:val="28"/>
                <w:szCs w:val="28"/>
              </w:rPr>
            </w:pPr>
            <w:r w:rsidRPr="001D5F17">
              <w:rPr>
                <w:rFonts w:ascii="Times New Roman" w:hAnsi="Times New Roman"/>
                <w:sz w:val="28"/>
                <w:szCs w:val="28"/>
              </w:rPr>
              <w:t>6.1. detalizēts ieņēmumu aprēķins</w:t>
            </w:r>
          </w:p>
        </w:tc>
        <w:tc>
          <w:tcPr>
            <w:tcW w:w="6989" w:type="dxa"/>
            <w:gridSpan w:val="5"/>
            <w:vMerge/>
          </w:tcPr>
          <w:p w:rsidR="001D5F17" w:rsidRPr="001D5F17" w:rsidRDefault="001D5F17" w:rsidP="001D5F17">
            <w:pPr>
              <w:pStyle w:val="naisf"/>
              <w:spacing w:before="0" w:after="0"/>
              <w:rPr>
                <w:b/>
                <w:i/>
                <w:sz w:val="28"/>
                <w:szCs w:val="28"/>
              </w:rPr>
            </w:pPr>
          </w:p>
        </w:tc>
      </w:tr>
      <w:tr w:rsidR="001D5F17" w:rsidRPr="001D5F17" w:rsidTr="0086671B">
        <w:trPr>
          <w:jc w:val="center"/>
        </w:trPr>
        <w:tc>
          <w:tcPr>
            <w:tcW w:w="2166" w:type="dxa"/>
          </w:tcPr>
          <w:p w:rsidR="001D5F17" w:rsidRPr="001D5F17" w:rsidRDefault="001D5F17" w:rsidP="001D5F17">
            <w:pPr>
              <w:jc w:val="both"/>
              <w:rPr>
                <w:rFonts w:ascii="Times New Roman" w:hAnsi="Times New Roman"/>
                <w:sz w:val="28"/>
                <w:szCs w:val="28"/>
              </w:rPr>
            </w:pPr>
            <w:r w:rsidRPr="001D5F17">
              <w:rPr>
                <w:rFonts w:ascii="Times New Roman" w:hAnsi="Times New Roman"/>
                <w:sz w:val="28"/>
                <w:szCs w:val="28"/>
              </w:rPr>
              <w:t>6.2. detalizēts izdevumu aprēķins</w:t>
            </w:r>
          </w:p>
        </w:tc>
        <w:tc>
          <w:tcPr>
            <w:tcW w:w="6989" w:type="dxa"/>
            <w:gridSpan w:val="5"/>
            <w:vMerge/>
          </w:tcPr>
          <w:p w:rsidR="001D5F17" w:rsidRPr="001D5F17" w:rsidRDefault="001D5F17" w:rsidP="001D5F17">
            <w:pPr>
              <w:pStyle w:val="naisf"/>
              <w:spacing w:before="0" w:after="0"/>
              <w:rPr>
                <w:b/>
                <w:i/>
                <w:sz w:val="28"/>
                <w:szCs w:val="28"/>
              </w:rPr>
            </w:pPr>
          </w:p>
        </w:tc>
      </w:tr>
      <w:tr w:rsidR="001D5F17" w:rsidRPr="001D5F17" w:rsidTr="0086671B">
        <w:trPr>
          <w:jc w:val="center"/>
        </w:trPr>
        <w:tc>
          <w:tcPr>
            <w:tcW w:w="2166" w:type="dxa"/>
          </w:tcPr>
          <w:p w:rsidR="001D5F17" w:rsidRPr="001D5F17" w:rsidRDefault="001D5F17" w:rsidP="001D5F17">
            <w:pPr>
              <w:jc w:val="both"/>
              <w:rPr>
                <w:rFonts w:ascii="Times New Roman" w:hAnsi="Times New Roman"/>
                <w:sz w:val="28"/>
                <w:szCs w:val="28"/>
              </w:rPr>
            </w:pPr>
            <w:r w:rsidRPr="001D5F17">
              <w:rPr>
                <w:rFonts w:ascii="Times New Roman" w:hAnsi="Times New Roman"/>
                <w:sz w:val="28"/>
                <w:szCs w:val="28"/>
              </w:rPr>
              <w:t>7. Cita informācija</w:t>
            </w:r>
          </w:p>
        </w:tc>
        <w:tc>
          <w:tcPr>
            <w:tcW w:w="6989" w:type="dxa"/>
            <w:gridSpan w:val="5"/>
          </w:tcPr>
          <w:p w:rsidR="001D5F17" w:rsidRPr="001D5F17" w:rsidRDefault="0086671B" w:rsidP="003477B6">
            <w:pPr>
              <w:spacing w:after="0" w:line="240" w:lineRule="auto"/>
              <w:jc w:val="both"/>
              <w:rPr>
                <w:b/>
                <w:i/>
                <w:sz w:val="28"/>
                <w:szCs w:val="28"/>
              </w:rPr>
            </w:pPr>
            <w:r w:rsidRPr="003477B6">
              <w:rPr>
                <w:rFonts w:ascii="Times New Roman" w:eastAsia="BatangChe" w:hAnsi="Times New Roman"/>
                <w:sz w:val="28"/>
                <w:szCs w:val="28"/>
              </w:rPr>
              <w:t xml:space="preserve">Valsts pārvaldes iestāžu nodarītie zaudējumi tiek atlīdzināti no </w:t>
            </w:r>
            <w:r>
              <w:rPr>
                <w:rFonts w:ascii="Times New Roman" w:eastAsia="BatangChe" w:hAnsi="Times New Roman"/>
                <w:sz w:val="28"/>
                <w:szCs w:val="28"/>
              </w:rPr>
              <w:t xml:space="preserve">Finanšu ministrijas </w:t>
            </w:r>
            <w:r w:rsidRPr="003477B6">
              <w:rPr>
                <w:rFonts w:ascii="Times New Roman" w:eastAsia="BatangChe" w:hAnsi="Times New Roman"/>
                <w:sz w:val="28"/>
                <w:szCs w:val="28"/>
              </w:rPr>
              <w:t xml:space="preserve">valsts budžeta apakšprogrammas 41.09.00 „Valsts pārvaldes iestāžu nodarīto zaudējumu atlīdzināšana”. Saskaņā ar likumu „Par valsts budžetu </w:t>
            </w:r>
            <w:r w:rsidRPr="003477B6">
              <w:rPr>
                <w:rFonts w:ascii="Times New Roman" w:eastAsia="BatangChe" w:hAnsi="Times New Roman"/>
                <w:sz w:val="28"/>
                <w:szCs w:val="28"/>
              </w:rPr>
              <w:lastRenderedPageBreak/>
              <w:t>2011.</w:t>
            </w:r>
            <w:r>
              <w:rPr>
                <w:rFonts w:ascii="Times New Roman" w:eastAsia="BatangChe" w:hAnsi="Times New Roman"/>
                <w:sz w:val="28"/>
                <w:szCs w:val="28"/>
              </w:rPr>
              <w:t> </w:t>
            </w:r>
            <w:r w:rsidRPr="003477B6">
              <w:rPr>
                <w:rFonts w:ascii="Times New Roman" w:eastAsia="BatangChe" w:hAnsi="Times New Roman"/>
                <w:sz w:val="28"/>
                <w:szCs w:val="28"/>
              </w:rPr>
              <w:t xml:space="preserve">gadam” </w:t>
            </w:r>
            <w:r>
              <w:rPr>
                <w:rFonts w:ascii="Times New Roman" w:eastAsia="BatangChe" w:hAnsi="Times New Roman"/>
                <w:sz w:val="28"/>
                <w:szCs w:val="28"/>
              </w:rPr>
              <w:t>2011. </w:t>
            </w:r>
            <w:r w:rsidRPr="003477B6">
              <w:rPr>
                <w:rFonts w:ascii="Times New Roman" w:eastAsia="BatangChe" w:hAnsi="Times New Roman"/>
                <w:sz w:val="28"/>
                <w:szCs w:val="28"/>
              </w:rPr>
              <w:t xml:space="preserve">gada finansējums zaudējumu atlīdzināšanai ir LVL 200 000. </w:t>
            </w:r>
            <w:r>
              <w:rPr>
                <w:rFonts w:ascii="Times New Roman" w:eastAsia="BatangChe" w:hAnsi="Times New Roman"/>
                <w:sz w:val="28"/>
                <w:szCs w:val="28"/>
              </w:rPr>
              <w:t xml:space="preserve">Ministru kabineta apstiprinātajos Finanšu ministrijai valsts budžeta bāzes izdevumos 2012.-2014.g.g. šai apakšprogrammai paredzēts finansējums 80 000 latu apmērā. Finanšu ministrija </w:t>
            </w:r>
            <w:r w:rsidRPr="003477B6">
              <w:rPr>
                <w:rFonts w:ascii="Times New Roman" w:eastAsia="BatangChe" w:hAnsi="Times New Roman"/>
                <w:sz w:val="28"/>
                <w:szCs w:val="28"/>
              </w:rPr>
              <w:t xml:space="preserve"> plāno</w:t>
            </w:r>
            <w:r>
              <w:rPr>
                <w:rFonts w:ascii="Times New Roman" w:eastAsia="BatangChe" w:hAnsi="Times New Roman"/>
                <w:sz w:val="28"/>
                <w:szCs w:val="28"/>
              </w:rPr>
              <w:t xml:space="preserve"> vērsties ar lūgumu </w:t>
            </w:r>
            <w:r w:rsidRPr="003477B6">
              <w:rPr>
                <w:rFonts w:ascii="Times New Roman" w:eastAsia="BatangChe" w:hAnsi="Times New Roman"/>
                <w:sz w:val="28"/>
                <w:szCs w:val="28"/>
              </w:rPr>
              <w:t xml:space="preserve"> palielin</w:t>
            </w:r>
            <w:r>
              <w:rPr>
                <w:rFonts w:ascii="Times New Roman" w:eastAsia="BatangChe" w:hAnsi="Times New Roman"/>
                <w:sz w:val="28"/>
                <w:szCs w:val="28"/>
              </w:rPr>
              <w:t>ā</w:t>
            </w:r>
            <w:r w:rsidRPr="003477B6">
              <w:rPr>
                <w:rFonts w:ascii="Times New Roman" w:eastAsia="BatangChe" w:hAnsi="Times New Roman"/>
                <w:sz w:val="28"/>
                <w:szCs w:val="28"/>
              </w:rPr>
              <w:t>t</w:t>
            </w:r>
            <w:r>
              <w:rPr>
                <w:rFonts w:ascii="Times New Roman" w:eastAsia="BatangChe" w:hAnsi="Times New Roman"/>
                <w:sz w:val="28"/>
                <w:szCs w:val="28"/>
              </w:rPr>
              <w:t xml:space="preserve"> šim mērķim </w:t>
            </w:r>
            <w:r w:rsidRPr="003477B6">
              <w:rPr>
                <w:rFonts w:ascii="Times New Roman" w:eastAsia="BatangChe" w:hAnsi="Times New Roman"/>
                <w:sz w:val="28"/>
                <w:szCs w:val="28"/>
              </w:rPr>
              <w:t xml:space="preserve"> plāno</w:t>
            </w:r>
            <w:r>
              <w:rPr>
                <w:rFonts w:ascii="Times New Roman" w:eastAsia="BatangChe" w:hAnsi="Times New Roman"/>
                <w:sz w:val="28"/>
                <w:szCs w:val="28"/>
              </w:rPr>
              <w:t>to finansējumu līdz LVL 200 000</w:t>
            </w:r>
            <w:r w:rsidRPr="003477B6">
              <w:rPr>
                <w:rFonts w:ascii="Times New Roman" w:eastAsia="BatangChe" w:hAnsi="Times New Roman"/>
                <w:sz w:val="28"/>
                <w:szCs w:val="28"/>
              </w:rPr>
              <w:t>.</w:t>
            </w:r>
          </w:p>
        </w:tc>
      </w:tr>
    </w:tbl>
    <w:p w:rsidR="000273E4" w:rsidRDefault="000273E4" w:rsidP="00DD6BB2">
      <w:pPr>
        <w:spacing w:line="240" w:lineRule="auto"/>
        <w:rPr>
          <w:rFonts w:ascii="Times New Roman" w:hAnsi="Times New Roman"/>
          <w:sz w:val="26"/>
          <w:szCs w:val="26"/>
        </w:rPr>
      </w:pPr>
    </w:p>
    <w:p w:rsidR="001E688F" w:rsidRPr="001E688F" w:rsidRDefault="001E688F" w:rsidP="00DD6BB2">
      <w:pPr>
        <w:spacing w:line="240" w:lineRule="auto"/>
        <w:rPr>
          <w:rFonts w:ascii="Times New Roman" w:hAnsi="Times New Roman"/>
          <w:sz w:val="28"/>
          <w:szCs w:val="28"/>
        </w:rPr>
      </w:pPr>
      <w:r w:rsidRPr="001E688F">
        <w:rPr>
          <w:rFonts w:ascii="Times New Roman" w:hAnsi="Times New Roman"/>
          <w:sz w:val="28"/>
          <w:szCs w:val="28"/>
        </w:rPr>
        <w:t>Anotācijas IV</w:t>
      </w:r>
      <w:r w:rsidR="00740B5C">
        <w:rPr>
          <w:rFonts w:ascii="Times New Roman" w:hAnsi="Times New Roman"/>
          <w:sz w:val="28"/>
          <w:szCs w:val="28"/>
        </w:rPr>
        <w:t xml:space="preserve">, </w:t>
      </w:r>
      <w:r w:rsidRPr="001E688F">
        <w:rPr>
          <w:rFonts w:ascii="Times New Roman" w:hAnsi="Times New Roman"/>
          <w:sz w:val="28"/>
          <w:szCs w:val="28"/>
        </w:rPr>
        <w:t>V</w:t>
      </w:r>
      <w:r w:rsidR="00740B5C">
        <w:rPr>
          <w:rFonts w:ascii="Times New Roman" w:hAnsi="Times New Roman"/>
          <w:sz w:val="28"/>
          <w:szCs w:val="28"/>
        </w:rPr>
        <w:t>, VI un VII</w:t>
      </w:r>
      <w:r w:rsidRPr="001E688F">
        <w:rPr>
          <w:rFonts w:ascii="Times New Roman" w:hAnsi="Times New Roman"/>
          <w:sz w:val="28"/>
          <w:szCs w:val="28"/>
        </w:rPr>
        <w:t xml:space="preserve"> sadaļa – projekts šīs jomas neskar</w:t>
      </w:r>
    </w:p>
    <w:p w:rsidR="00576EC7" w:rsidRPr="00DD6BB2" w:rsidRDefault="00576EC7" w:rsidP="00DD6BB2">
      <w:pPr>
        <w:spacing w:line="240" w:lineRule="auto"/>
        <w:rPr>
          <w:rFonts w:ascii="Times New Roman" w:hAnsi="Times New Roman"/>
          <w:sz w:val="26"/>
          <w:szCs w:val="26"/>
        </w:rPr>
      </w:pPr>
    </w:p>
    <w:p w:rsidR="00683ED4" w:rsidRPr="00FF47C8" w:rsidRDefault="00683ED4" w:rsidP="00DD6BB2">
      <w:pPr>
        <w:spacing w:after="0" w:line="240" w:lineRule="auto"/>
        <w:rPr>
          <w:rFonts w:ascii="Times New Roman" w:hAnsi="Times New Roman"/>
          <w:bCs/>
          <w:sz w:val="28"/>
          <w:szCs w:val="28"/>
        </w:rPr>
      </w:pPr>
      <w:r w:rsidRPr="00FF47C8">
        <w:rPr>
          <w:rFonts w:ascii="Times New Roman" w:hAnsi="Times New Roman"/>
          <w:bCs/>
          <w:sz w:val="28"/>
          <w:szCs w:val="28"/>
        </w:rPr>
        <w:t>Tieslietu ministrs</w:t>
      </w:r>
      <w:r w:rsidRPr="00FF47C8">
        <w:rPr>
          <w:rFonts w:ascii="Times New Roman" w:hAnsi="Times New Roman"/>
          <w:bCs/>
          <w:sz w:val="28"/>
          <w:szCs w:val="28"/>
        </w:rPr>
        <w:tab/>
        <w:t xml:space="preserve">                                                                   </w:t>
      </w:r>
      <w:r w:rsidR="004D531E" w:rsidRPr="00FF47C8">
        <w:rPr>
          <w:rFonts w:ascii="Times New Roman" w:hAnsi="Times New Roman"/>
          <w:bCs/>
          <w:sz w:val="28"/>
          <w:szCs w:val="28"/>
        </w:rPr>
        <w:t xml:space="preserve">       </w:t>
      </w:r>
      <w:r w:rsidRPr="00FF47C8">
        <w:rPr>
          <w:rFonts w:ascii="Times New Roman" w:hAnsi="Times New Roman"/>
          <w:bCs/>
          <w:sz w:val="28"/>
          <w:szCs w:val="28"/>
        </w:rPr>
        <w:t>A. Štokenbergs</w:t>
      </w:r>
    </w:p>
    <w:p w:rsidR="00683ED4" w:rsidRDefault="00683ED4" w:rsidP="001210E9">
      <w:pPr>
        <w:spacing w:after="0" w:line="240" w:lineRule="auto"/>
        <w:rPr>
          <w:rFonts w:ascii="Times New Roman" w:hAnsi="Times New Roman"/>
          <w:sz w:val="28"/>
          <w:szCs w:val="28"/>
        </w:rPr>
      </w:pPr>
      <w:r w:rsidRPr="00FF47C8">
        <w:rPr>
          <w:rFonts w:ascii="Times New Roman" w:hAnsi="Times New Roman"/>
          <w:sz w:val="28"/>
          <w:szCs w:val="28"/>
        </w:rPr>
        <w:tab/>
        <w:t xml:space="preserve"> </w:t>
      </w:r>
    </w:p>
    <w:p w:rsidR="001C60B4" w:rsidRDefault="001C60B4" w:rsidP="001210E9">
      <w:pPr>
        <w:spacing w:after="0" w:line="240" w:lineRule="auto"/>
        <w:rPr>
          <w:rFonts w:ascii="Times New Roman" w:hAnsi="Times New Roman"/>
          <w:sz w:val="26"/>
          <w:szCs w:val="26"/>
        </w:rPr>
      </w:pPr>
    </w:p>
    <w:p w:rsidR="00683ED4" w:rsidRPr="00576EC7" w:rsidRDefault="000E1262" w:rsidP="001210E9">
      <w:pPr>
        <w:pStyle w:val="Kjene"/>
        <w:tabs>
          <w:tab w:val="clear" w:pos="4153"/>
          <w:tab w:val="clear" w:pos="8306"/>
        </w:tabs>
        <w:contextualSpacing/>
        <w:rPr>
          <w:rFonts w:ascii="Times New Roman" w:hAnsi="Times New Roman"/>
          <w:sz w:val="20"/>
          <w:szCs w:val="20"/>
        </w:rPr>
      </w:pPr>
      <w:r>
        <w:rPr>
          <w:rFonts w:ascii="Times New Roman" w:hAnsi="Times New Roman"/>
          <w:sz w:val="20"/>
          <w:szCs w:val="20"/>
        </w:rPr>
        <w:t>2</w:t>
      </w:r>
      <w:r w:rsidR="00133490">
        <w:rPr>
          <w:rFonts w:ascii="Times New Roman" w:hAnsi="Times New Roman"/>
          <w:sz w:val="20"/>
          <w:szCs w:val="20"/>
        </w:rPr>
        <w:t>7</w:t>
      </w:r>
      <w:r w:rsidR="00FF7A5E">
        <w:rPr>
          <w:rFonts w:ascii="Times New Roman" w:hAnsi="Times New Roman"/>
          <w:sz w:val="20"/>
          <w:szCs w:val="20"/>
        </w:rPr>
        <w:t>.09</w:t>
      </w:r>
      <w:r w:rsidR="008D2E89">
        <w:rPr>
          <w:rFonts w:ascii="Times New Roman" w:hAnsi="Times New Roman"/>
          <w:sz w:val="20"/>
          <w:szCs w:val="20"/>
        </w:rPr>
        <w:t>.2011. 10</w:t>
      </w:r>
      <w:r w:rsidR="00576EC7">
        <w:rPr>
          <w:rFonts w:ascii="Times New Roman" w:hAnsi="Times New Roman"/>
          <w:sz w:val="20"/>
          <w:szCs w:val="20"/>
        </w:rPr>
        <w:t>:</w:t>
      </w:r>
      <w:r w:rsidR="008D2E89">
        <w:rPr>
          <w:rFonts w:ascii="Times New Roman" w:hAnsi="Times New Roman"/>
          <w:sz w:val="20"/>
          <w:szCs w:val="20"/>
        </w:rPr>
        <w:t>34</w:t>
      </w:r>
    </w:p>
    <w:p w:rsidR="00683ED4" w:rsidRPr="00576EC7" w:rsidRDefault="001210E9" w:rsidP="00DD6BB2">
      <w:pPr>
        <w:pStyle w:val="Kjene"/>
        <w:tabs>
          <w:tab w:val="clear" w:pos="4153"/>
          <w:tab w:val="clear" w:pos="8306"/>
        </w:tabs>
        <w:spacing w:before="100" w:beforeAutospacing="1" w:after="100" w:afterAutospacing="1"/>
        <w:contextualSpacing/>
        <w:rPr>
          <w:rFonts w:ascii="Times New Roman" w:hAnsi="Times New Roman"/>
          <w:sz w:val="20"/>
          <w:szCs w:val="20"/>
        </w:rPr>
      </w:pPr>
      <w:r>
        <w:rPr>
          <w:rFonts w:ascii="Times New Roman" w:hAnsi="Times New Roman"/>
          <w:sz w:val="20"/>
          <w:szCs w:val="20"/>
        </w:rPr>
        <w:t>1 266</w:t>
      </w:r>
    </w:p>
    <w:p w:rsidR="00683ED4" w:rsidRPr="00576EC7" w:rsidRDefault="00683ED4" w:rsidP="00DD6BB2">
      <w:pPr>
        <w:pStyle w:val="Kjene"/>
        <w:tabs>
          <w:tab w:val="clear" w:pos="4153"/>
          <w:tab w:val="clear" w:pos="8306"/>
        </w:tabs>
        <w:spacing w:before="100" w:beforeAutospacing="1" w:after="100" w:afterAutospacing="1"/>
        <w:contextualSpacing/>
        <w:rPr>
          <w:rFonts w:ascii="Times New Roman" w:hAnsi="Times New Roman"/>
          <w:sz w:val="20"/>
          <w:szCs w:val="20"/>
        </w:rPr>
      </w:pPr>
      <w:r w:rsidRPr="00576EC7">
        <w:rPr>
          <w:rFonts w:ascii="Times New Roman" w:hAnsi="Times New Roman"/>
          <w:sz w:val="20"/>
          <w:szCs w:val="20"/>
        </w:rPr>
        <w:t>N. Laveniece-Straupmane</w:t>
      </w:r>
    </w:p>
    <w:p w:rsidR="00683ED4" w:rsidRPr="00DD6BB2" w:rsidRDefault="00683ED4" w:rsidP="00DD6BB2">
      <w:pPr>
        <w:pStyle w:val="Kjene"/>
        <w:tabs>
          <w:tab w:val="clear" w:pos="4153"/>
          <w:tab w:val="clear" w:pos="8306"/>
        </w:tabs>
        <w:spacing w:before="100" w:beforeAutospacing="1" w:after="100" w:afterAutospacing="1"/>
        <w:contextualSpacing/>
        <w:rPr>
          <w:rFonts w:ascii="Times New Roman" w:hAnsi="Times New Roman"/>
          <w:i/>
          <w:sz w:val="20"/>
          <w:szCs w:val="20"/>
        </w:rPr>
      </w:pPr>
      <w:r w:rsidRPr="00576EC7">
        <w:rPr>
          <w:rFonts w:ascii="Times New Roman" w:hAnsi="Times New Roman"/>
          <w:sz w:val="20"/>
          <w:szCs w:val="20"/>
        </w:rPr>
        <w:t>67036908, Natalija.Laveniece-Straupmane@tm.gov.lv</w:t>
      </w:r>
    </w:p>
    <w:p w:rsidR="000273E4" w:rsidRPr="00DD6BB2" w:rsidRDefault="000273E4" w:rsidP="00DD6BB2">
      <w:pPr>
        <w:spacing w:line="240" w:lineRule="auto"/>
        <w:rPr>
          <w:rFonts w:ascii="Times New Roman" w:hAnsi="Times New Roman"/>
          <w:i/>
          <w:sz w:val="26"/>
          <w:szCs w:val="26"/>
        </w:rPr>
      </w:pPr>
    </w:p>
    <w:sectPr w:rsidR="000273E4" w:rsidRPr="00DD6BB2" w:rsidSect="00683ED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901" w:rsidRDefault="005B1901" w:rsidP="000273E4">
      <w:pPr>
        <w:spacing w:after="0" w:line="240" w:lineRule="auto"/>
      </w:pPr>
      <w:r>
        <w:separator/>
      </w:r>
    </w:p>
  </w:endnote>
  <w:endnote w:type="continuationSeparator" w:id="0">
    <w:p w:rsidR="005B1901" w:rsidRDefault="005B1901" w:rsidP="00027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A8" w:rsidRDefault="00EF2DA8">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3490">
    <w:pPr>
      <w:spacing w:after="0"/>
      <w:jc w:val="both"/>
    </w:pPr>
    <w:r w:rsidRPr="00133490">
      <w:rPr>
        <w:rFonts w:ascii="Times New Roman" w:hAnsi="Times New Roman"/>
        <w:sz w:val="20"/>
        <w:szCs w:val="20"/>
      </w:rPr>
      <w:t>TMAnot_270911_atl</w:t>
    </w:r>
    <w:r w:rsidR="001D668F" w:rsidRPr="000273E4">
      <w:rPr>
        <w:rFonts w:ascii="Times New Roman" w:hAnsi="Times New Roman"/>
        <w:sz w:val="20"/>
        <w:szCs w:val="20"/>
      </w:rPr>
      <w:t xml:space="preserve">; </w:t>
    </w:r>
    <w:r w:rsidR="001D668F" w:rsidRPr="001D668F">
      <w:rPr>
        <w:rFonts w:ascii="Times New Roman" w:hAnsi="Times New Roman"/>
        <w:sz w:val="20"/>
        <w:szCs w:val="20"/>
      </w:rPr>
      <w:t xml:space="preserve">Ministru kabineta noteikumu projekta „Ar juridisko palīdzību saistīto izmaksu atlīdzināšanas noteikumi” </w:t>
    </w:r>
    <w:r w:rsidR="001D668F" w:rsidRPr="001D668F">
      <w:rPr>
        <w:rFonts w:ascii="Times New Roman" w:eastAsia="Times New Roman" w:hAnsi="Times New Roman"/>
        <w:bCs/>
        <w:sz w:val="20"/>
        <w:szCs w:val="20"/>
        <w:lang w:eastAsia="lv-LV"/>
      </w:rPr>
      <w:t>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587" w:rsidRPr="000273E4" w:rsidRDefault="00133490" w:rsidP="000273E4">
    <w:pPr>
      <w:pStyle w:val="Kjene"/>
    </w:pPr>
    <w:r w:rsidRPr="00133490">
      <w:rPr>
        <w:rFonts w:ascii="Times New Roman" w:hAnsi="Times New Roman"/>
        <w:sz w:val="20"/>
        <w:szCs w:val="20"/>
      </w:rPr>
      <w:t>TMAnot_270911_atl</w:t>
    </w:r>
    <w:r w:rsidR="00287587" w:rsidRPr="000273E4">
      <w:rPr>
        <w:rFonts w:ascii="Times New Roman" w:hAnsi="Times New Roman"/>
        <w:sz w:val="20"/>
        <w:szCs w:val="20"/>
      </w:rPr>
      <w:t xml:space="preserve">; </w:t>
    </w:r>
    <w:r w:rsidR="001D668F" w:rsidRPr="001D668F">
      <w:rPr>
        <w:rFonts w:ascii="Times New Roman" w:hAnsi="Times New Roman"/>
        <w:sz w:val="20"/>
        <w:szCs w:val="20"/>
      </w:rPr>
      <w:t xml:space="preserve">Ministru kabineta noteikumu projekta „Ar juridisko palīdzību saistīto izmaksu atlīdzināšanas noteikumi” </w:t>
    </w:r>
    <w:r w:rsidR="001D668F" w:rsidRPr="001D668F">
      <w:rPr>
        <w:rFonts w:ascii="Times New Roman" w:eastAsia="Times New Roman" w:hAnsi="Times New Roman"/>
        <w:bCs/>
        <w:sz w:val="20"/>
        <w:szCs w:val="20"/>
        <w:lang w:eastAsia="lv-LV"/>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901" w:rsidRDefault="005B1901" w:rsidP="000273E4">
      <w:pPr>
        <w:spacing w:after="0" w:line="240" w:lineRule="auto"/>
      </w:pPr>
      <w:r>
        <w:separator/>
      </w:r>
    </w:p>
  </w:footnote>
  <w:footnote w:type="continuationSeparator" w:id="0">
    <w:p w:rsidR="005B1901" w:rsidRDefault="005B1901" w:rsidP="00027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A8" w:rsidRDefault="00EF2DA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0617"/>
      <w:docPartObj>
        <w:docPartGallery w:val="Page Numbers (Top of Page)"/>
        <w:docPartUnique/>
      </w:docPartObj>
    </w:sdtPr>
    <w:sdtEndPr>
      <w:rPr>
        <w:rFonts w:ascii="Times New Roman" w:hAnsi="Times New Roman"/>
        <w:sz w:val="24"/>
        <w:szCs w:val="24"/>
      </w:rPr>
    </w:sdtEndPr>
    <w:sdtContent>
      <w:p w:rsidR="00287587" w:rsidRPr="00D75B2D" w:rsidRDefault="00A12E67" w:rsidP="000273E4">
        <w:pPr>
          <w:pStyle w:val="Galvene"/>
          <w:jc w:val="center"/>
          <w:rPr>
            <w:rFonts w:ascii="Times New Roman" w:hAnsi="Times New Roman"/>
            <w:sz w:val="24"/>
            <w:szCs w:val="24"/>
          </w:rPr>
        </w:pPr>
        <w:r w:rsidRPr="00D75B2D">
          <w:rPr>
            <w:rFonts w:ascii="Times New Roman" w:hAnsi="Times New Roman"/>
            <w:sz w:val="24"/>
            <w:szCs w:val="24"/>
          </w:rPr>
          <w:fldChar w:fldCharType="begin"/>
        </w:r>
        <w:r w:rsidR="00952B93" w:rsidRPr="00D75B2D">
          <w:rPr>
            <w:rFonts w:ascii="Times New Roman" w:hAnsi="Times New Roman"/>
            <w:sz w:val="24"/>
            <w:szCs w:val="24"/>
          </w:rPr>
          <w:instrText xml:space="preserve"> PAGE   \* MERGEFORMAT </w:instrText>
        </w:r>
        <w:r w:rsidRPr="00D75B2D">
          <w:rPr>
            <w:rFonts w:ascii="Times New Roman" w:hAnsi="Times New Roman"/>
            <w:sz w:val="24"/>
            <w:szCs w:val="24"/>
          </w:rPr>
          <w:fldChar w:fldCharType="separate"/>
        </w:r>
        <w:r w:rsidR="008D2E89">
          <w:rPr>
            <w:rFonts w:ascii="Times New Roman" w:hAnsi="Times New Roman"/>
            <w:noProof/>
            <w:sz w:val="24"/>
            <w:szCs w:val="24"/>
          </w:rPr>
          <w:t>9</w:t>
        </w:r>
        <w:r w:rsidRPr="00D75B2D">
          <w:rPr>
            <w:rFonts w:ascii="Times New Roman" w:hAnsi="Times New Roman"/>
            <w:sz w:val="24"/>
            <w:szCs w:val="24"/>
          </w:rPr>
          <w:fldChar w:fldCharType="end"/>
        </w:r>
      </w:p>
    </w:sdtContent>
  </w:sdt>
  <w:p w:rsidR="00287587" w:rsidRDefault="00287587">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DA8" w:rsidRDefault="00EF2DA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3EB1"/>
    <w:multiLevelType w:val="hybridMultilevel"/>
    <w:tmpl w:val="9A5EA7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03244B"/>
    <w:multiLevelType w:val="hybridMultilevel"/>
    <w:tmpl w:val="A1548A02"/>
    <w:lvl w:ilvl="0" w:tplc="483E091A">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
    <w:nsid w:val="29ED1D5B"/>
    <w:multiLevelType w:val="hybridMultilevel"/>
    <w:tmpl w:val="3C2CD504"/>
    <w:lvl w:ilvl="0" w:tplc="41A6D43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3066638C"/>
    <w:multiLevelType w:val="hybridMultilevel"/>
    <w:tmpl w:val="274284BC"/>
    <w:lvl w:ilvl="0" w:tplc="996C5FA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4EF67D17"/>
    <w:multiLevelType w:val="hybridMultilevel"/>
    <w:tmpl w:val="96468A6C"/>
    <w:lvl w:ilvl="0" w:tplc="C046BBA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50F058FE"/>
    <w:multiLevelType w:val="hybridMultilevel"/>
    <w:tmpl w:val="837A536E"/>
    <w:lvl w:ilvl="0" w:tplc="C046BBA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558B75B0"/>
    <w:multiLevelType w:val="hybridMultilevel"/>
    <w:tmpl w:val="A2CAB74A"/>
    <w:lvl w:ilvl="0" w:tplc="C046BBA6">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30C45"/>
    <w:rsid w:val="00011D05"/>
    <w:rsid w:val="000273E4"/>
    <w:rsid w:val="0003158B"/>
    <w:rsid w:val="00045C96"/>
    <w:rsid w:val="00050869"/>
    <w:rsid w:val="00065C5A"/>
    <w:rsid w:val="00066E7F"/>
    <w:rsid w:val="00080F43"/>
    <w:rsid w:val="0008549A"/>
    <w:rsid w:val="000E1262"/>
    <w:rsid w:val="000F24F8"/>
    <w:rsid w:val="0011771F"/>
    <w:rsid w:val="001210E9"/>
    <w:rsid w:val="00121983"/>
    <w:rsid w:val="00133490"/>
    <w:rsid w:val="0016745F"/>
    <w:rsid w:val="00167547"/>
    <w:rsid w:val="001915A3"/>
    <w:rsid w:val="001C60B4"/>
    <w:rsid w:val="001D5F17"/>
    <w:rsid w:val="001D668F"/>
    <w:rsid w:val="001E12C9"/>
    <w:rsid w:val="001E4D28"/>
    <w:rsid w:val="001E688F"/>
    <w:rsid w:val="002326FA"/>
    <w:rsid w:val="002561DD"/>
    <w:rsid w:val="00287587"/>
    <w:rsid w:val="002B374B"/>
    <w:rsid w:val="002B7997"/>
    <w:rsid w:val="002C75B6"/>
    <w:rsid w:val="002D6D8B"/>
    <w:rsid w:val="002E3593"/>
    <w:rsid w:val="002E75C1"/>
    <w:rsid w:val="002F617F"/>
    <w:rsid w:val="003027B2"/>
    <w:rsid w:val="00315BFB"/>
    <w:rsid w:val="003477B6"/>
    <w:rsid w:val="0036179E"/>
    <w:rsid w:val="0039314F"/>
    <w:rsid w:val="00396A7B"/>
    <w:rsid w:val="003A1529"/>
    <w:rsid w:val="003E3450"/>
    <w:rsid w:val="00421026"/>
    <w:rsid w:val="004308C6"/>
    <w:rsid w:val="004B77AE"/>
    <w:rsid w:val="004D531E"/>
    <w:rsid w:val="004E2B67"/>
    <w:rsid w:val="00523932"/>
    <w:rsid w:val="00525211"/>
    <w:rsid w:val="00537618"/>
    <w:rsid w:val="0054321E"/>
    <w:rsid w:val="00560080"/>
    <w:rsid w:val="00570AF2"/>
    <w:rsid w:val="00572375"/>
    <w:rsid w:val="00576EC7"/>
    <w:rsid w:val="005B1901"/>
    <w:rsid w:val="00630451"/>
    <w:rsid w:val="00652C15"/>
    <w:rsid w:val="00683ED4"/>
    <w:rsid w:val="00687373"/>
    <w:rsid w:val="006B4DFE"/>
    <w:rsid w:val="006E218F"/>
    <w:rsid w:val="0071197F"/>
    <w:rsid w:val="00712E63"/>
    <w:rsid w:val="007331DF"/>
    <w:rsid w:val="00737125"/>
    <w:rsid w:val="00740B5C"/>
    <w:rsid w:val="00743C8B"/>
    <w:rsid w:val="007607AC"/>
    <w:rsid w:val="00764447"/>
    <w:rsid w:val="007D3D71"/>
    <w:rsid w:val="007F5D0C"/>
    <w:rsid w:val="00814A5F"/>
    <w:rsid w:val="00846F6B"/>
    <w:rsid w:val="008500C4"/>
    <w:rsid w:val="00854272"/>
    <w:rsid w:val="0086671B"/>
    <w:rsid w:val="008733E9"/>
    <w:rsid w:val="00875AC8"/>
    <w:rsid w:val="008917F2"/>
    <w:rsid w:val="008C6E0A"/>
    <w:rsid w:val="008D2E89"/>
    <w:rsid w:val="008D301D"/>
    <w:rsid w:val="0090569F"/>
    <w:rsid w:val="0092600A"/>
    <w:rsid w:val="00952B93"/>
    <w:rsid w:val="009D228E"/>
    <w:rsid w:val="009E7693"/>
    <w:rsid w:val="00A12E67"/>
    <w:rsid w:val="00A30400"/>
    <w:rsid w:val="00A30C45"/>
    <w:rsid w:val="00A60994"/>
    <w:rsid w:val="00A87952"/>
    <w:rsid w:val="00AB1960"/>
    <w:rsid w:val="00AE4C19"/>
    <w:rsid w:val="00AF4573"/>
    <w:rsid w:val="00B52132"/>
    <w:rsid w:val="00B5663F"/>
    <w:rsid w:val="00B725C4"/>
    <w:rsid w:val="00C20115"/>
    <w:rsid w:val="00C416A4"/>
    <w:rsid w:val="00C42268"/>
    <w:rsid w:val="00C541D9"/>
    <w:rsid w:val="00C548FD"/>
    <w:rsid w:val="00C67595"/>
    <w:rsid w:val="00C71FCC"/>
    <w:rsid w:val="00C828D1"/>
    <w:rsid w:val="00CB3488"/>
    <w:rsid w:val="00CC6813"/>
    <w:rsid w:val="00D24A2D"/>
    <w:rsid w:val="00D32E26"/>
    <w:rsid w:val="00D75B2D"/>
    <w:rsid w:val="00DA05A8"/>
    <w:rsid w:val="00DC02AA"/>
    <w:rsid w:val="00DD1159"/>
    <w:rsid w:val="00DD6BB2"/>
    <w:rsid w:val="00DE4267"/>
    <w:rsid w:val="00E02202"/>
    <w:rsid w:val="00E03EA7"/>
    <w:rsid w:val="00E065E5"/>
    <w:rsid w:val="00E07D4E"/>
    <w:rsid w:val="00E26583"/>
    <w:rsid w:val="00E437E9"/>
    <w:rsid w:val="00E524D1"/>
    <w:rsid w:val="00E654E9"/>
    <w:rsid w:val="00E67653"/>
    <w:rsid w:val="00E71667"/>
    <w:rsid w:val="00E718B2"/>
    <w:rsid w:val="00E75D67"/>
    <w:rsid w:val="00E867A7"/>
    <w:rsid w:val="00E92C9E"/>
    <w:rsid w:val="00EB4FA7"/>
    <w:rsid w:val="00EC7B1E"/>
    <w:rsid w:val="00ED1375"/>
    <w:rsid w:val="00ED5D2B"/>
    <w:rsid w:val="00EE394E"/>
    <w:rsid w:val="00EF2DA8"/>
    <w:rsid w:val="00EF76FB"/>
    <w:rsid w:val="00F15CAF"/>
    <w:rsid w:val="00F2797E"/>
    <w:rsid w:val="00F379AE"/>
    <w:rsid w:val="00F52CD9"/>
    <w:rsid w:val="00FC6ADF"/>
    <w:rsid w:val="00FF47C8"/>
    <w:rsid w:val="00FF7A5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E12C9"/>
    <w:pPr>
      <w:spacing w:after="200" w:line="276" w:lineRule="auto"/>
    </w:pPr>
    <w:rPr>
      <w:sz w:val="22"/>
      <w:szCs w:val="22"/>
      <w:lang w:eastAsia="en-US"/>
    </w:rPr>
  </w:style>
  <w:style w:type="paragraph" w:styleId="Virsraksts1">
    <w:name w:val="heading 1"/>
    <w:basedOn w:val="Parastais"/>
    <w:next w:val="Parastais"/>
    <w:link w:val="Virsraksts1Rakstz"/>
    <w:qFormat/>
    <w:rsid w:val="002326FA"/>
    <w:pPr>
      <w:keepNext/>
      <w:spacing w:before="240" w:after="60" w:line="240" w:lineRule="auto"/>
      <w:outlineLvl w:val="0"/>
    </w:pPr>
    <w:rPr>
      <w:rFonts w:ascii="Arial" w:eastAsia="Times New Roman"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ais"/>
    <w:rsid w:val="00A30C4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Parastais"/>
    <w:rsid w:val="00A30C4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Parastais"/>
    <w:rsid w:val="00A30C4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lab">
    <w:name w:val="naislab"/>
    <w:basedOn w:val="Parastais"/>
    <w:rsid w:val="00A30C4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ais"/>
    <w:rsid w:val="00A30C45"/>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ais"/>
    <w:uiPriority w:val="34"/>
    <w:qFormat/>
    <w:rsid w:val="00F52CD9"/>
    <w:pPr>
      <w:ind w:left="720"/>
      <w:contextualSpacing/>
    </w:pPr>
  </w:style>
  <w:style w:type="character" w:customStyle="1" w:styleId="Virsraksts1Rakstz">
    <w:name w:val="Virsraksts 1 Rakstz."/>
    <w:basedOn w:val="Noklusjumarindkopasfonts"/>
    <w:link w:val="Virsraksts1"/>
    <w:rsid w:val="002326FA"/>
    <w:rPr>
      <w:rFonts w:ascii="Arial" w:eastAsia="Times New Roman" w:hAnsi="Arial" w:cs="Arial"/>
      <w:b/>
      <w:bCs/>
      <w:kern w:val="32"/>
      <w:sz w:val="32"/>
      <w:szCs w:val="32"/>
      <w:lang w:eastAsia="en-US"/>
    </w:rPr>
  </w:style>
  <w:style w:type="paragraph" w:styleId="Galvene">
    <w:name w:val="header"/>
    <w:basedOn w:val="Parastais"/>
    <w:link w:val="GalveneRakstz"/>
    <w:uiPriority w:val="99"/>
    <w:unhideWhenUsed/>
    <w:rsid w:val="000273E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73E4"/>
    <w:rPr>
      <w:sz w:val="22"/>
      <w:szCs w:val="22"/>
      <w:lang w:eastAsia="en-US"/>
    </w:rPr>
  </w:style>
  <w:style w:type="paragraph" w:styleId="Kjene">
    <w:name w:val="footer"/>
    <w:basedOn w:val="Parastais"/>
    <w:link w:val="KjeneRakstz"/>
    <w:unhideWhenUsed/>
    <w:rsid w:val="000273E4"/>
    <w:pPr>
      <w:tabs>
        <w:tab w:val="center" w:pos="4153"/>
        <w:tab w:val="right" w:pos="8306"/>
      </w:tabs>
      <w:spacing w:after="0" w:line="240" w:lineRule="auto"/>
    </w:pPr>
  </w:style>
  <w:style w:type="character" w:customStyle="1" w:styleId="KjeneRakstz">
    <w:name w:val="Kājene Rakstz."/>
    <w:basedOn w:val="Noklusjumarindkopasfonts"/>
    <w:link w:val="Kjene"/>
    <w:rsid w:val="000273E4"/>
    <w:rPr>
      <w:sz w:val="22"/>
      <w:szCs w:val="22"/>
      <w:lang w:eastAsia="en-US"/>
    </w:rPr>
  </w:style>
  <w:style w:type="character" w:styleId="Hipersaite">
    <w:name w:val="Hyperlink"/>
    <w:basedOn w:val="Noklusjumarindkopasfonts"/>
    <w:uiPriority w:val="99"/>
    <w:unhideWhenUsed/>
    <w:rsid w:val="000273E4"/>
    <w:rPr>
      <w:color w:val="0000FF" w:themeColor="hyperlink"/>
      <w:u w:val="single"/>
    </w:rPr>
  </w:style>
  <w:style w:type="character" w:styleId="Komentraatsauce">
    <w:name w:val="annotation reference"/>
    <w:basedOn w:val="Noklusjumarindkopasfonts"/>
    <w:uiPriority w:val="99"/>
    <w:semiHidden/>
    <w:unhideWhenUsed/>
    <w:rsid w:val="00315BFB"/>
    <w:rPr>
      <w:sz w:val="16"/>
      <w:szCs w:val="16"/>
    </w:rPr>
  </w:style>
  <w:style w:type="paragraph" w:styleId="Komentrateksts">
    <w:name w:val="annotation text"/>
    <w:basedOn w:val="Parastais"/>
    <w:link w:val="KomentratekstsRakstz"/>
    <w:uiPriority w:val="99"/>
    <w:semiHidden/>
    <w:unhideWhenUsed/>
    <w:rsid w:val="00315BF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15BFB"/>
    <w:rPr>
      <w:lang w:eastAsia="en-US"/>
    </w:rPr>
  </w:style>
  <w:style w:type="paragraph" w:styleId="Komentratma">
    <w:name w:val="annotation subject"/>
    <w:basedOn w:val="Komentrateksts"/>
    <w:next w:val="Komentrateksts"/>
    <w:link w:val="KomentratmaRakstz"/>
    <w:uiPriority w:val="99"/>
    <w:semiHidden/>
    <w:unhideWhenUsed/>
    <w:rsid w:val="00315BFB"/>
    <w:rPr>
      <w:b/>
      <w:bCs/>
    </w:rPr>
  </w:style>
  <w:style w:type="character" w:customStyle="1" w:styleId="KomentratmaRakstz">
    <w:name w:val="Komentāra tēma Rakstz."/>
    <w:basedOn w:val="KomentratekstsRakstz"/>
    <w:link w:val="Komentratma"/>
    <w:uiPriority w:val="99"/>
    <w:semiHidden/>
    <w:rsid w:val="00315BFB"/>
    <w:rPr>
      <w:b/>
      <w:bCs/>
    </w:rPr>
  </w:style>
  <w:style w:type="paragraph" w:styleId="Balonteksts">
    <w:name w:val="Balloon Text"/>
    <w:basedOn w:val="Parastais"/>
    <w:link w:val="BalontekstsRakstz"/>
    <w:uiPriority w:val="99"/>
    <w:semiHidden/>
    <w:unhideWhenUsed/>
    <w:rsid w:val="00315BF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5BFB"/>
    <w:rPr>
      <w:rFonts w:ascii="Tahoma" w:hAnsi="Tahoma" w:cs="Tahoma"/>
      <w:sz w:val="16"/>
      <w:szCs w:val="16"/>
      <w:lang w:eastAsia="en-US"/>
    </w:rPr>
  </w:style>
  <w:style w:type="paragraph" w:customStyle="1" w:styleId="naispant">
    <w:name w:val="naispant"/>
    <w:basedOn w:val="Parastais"/>
    <w:rsid w:val="00683ED4"/>
    <w:pPr>
      <w:spacing w:before="100" w:beforeAutospacing="1" w:after="100" w:afterAutospacing="1" w:line="240" w:lineRule="auto"/>
    </w:pPr>
    <w:rPr>
      <w:rFonts w:ascii="Times New Roman" w:eastAsia="Times New Roman" w:hAnsi="Times New Roman"/>
      <w:sz w:val="24"/>
      <w:szCs w:val="24"/>
      <w:lang w:eastAsia="lv-LV"/>
    </w:rPr>
  </w:style>
  <w:style w:type="paragraph" w:styleId="Vresteksts">
    <w:name w:val="footnote text"/>
    <w:basedOn w:val="Parastais"/>
    <w:link w:val="VrestekstsRakstz"/>
    <w:semiHidden/>
    <w:rsid w:val="001D5F17"/>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semiHidden/>
    <w:rsid w:val="001D5F1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542795555">
      <w:bodyDiv w:val="1"/>
      <w:marLeft w:val="0"/>
      <w:marRight w:val="0"/>
      <w:marTop w:val="0"/>
      <w:marBottom w:val="0"/>
      <w:divBdr>
        <w:top w:val="none" w:sz="0" w:space="0" w:color="auto"/>
        <w:left w:val="none" w:sz="0" w:space="0" w:color="auto"/>
        <w:bottom w:val="none" w:sz="0" w:space="0" w:color="auto"/>
        <w:right w:val="none" w:sz="0" w:space="0" w:color="auto"/>
      </w:divBdr>
    </w:div>
    <w:div w:id="816186408">
      <w:bodyDiv w:val="1"/>
      <w:marLeft w:val="45"/>
      <w:marRight w:val="45"/>
      <w:marTop w:val="90"/>
      <w:marBottom w:val="90"/>
      <w:divBdr>
        <w:top w:val="none" w:sz="0" w:space="0" w:color="auto"/>
        <w:left w:val="none" w:sz="0" w:space="0" w:color="auto"/>
        <w:bottom w:val="none" w:sz="0" w:space="0" w:color="auto"/>
        <w:right w:val="none" w:sz="0" w:space="0" w:color="auto"/>
      </w:divBdr>
      <w:divsChild>
        <w:div w:id="1789204763">
          <w:marLeft w:val="0"/>
          <w:marRight w:val="0"/>
          <w:marTop w:val="0"/>
          <w:marBottom w:val="567"/>
          <w:divBdr>
            <w:top w:val="none" w:sz="0" w:space="0" w:color="auto"/>
            <w:left w:val="none" w:sz="0" w:space="0" w:color="auto"/>
            <w:bottom w:val="none" w:sz="0" w:space="0" w:color="auto"/>
            <w:right w:val="none" w:sz="0" w:space="0" w:color="auto"/>
          </w:divBdr>
        </w:div>
      </w:divsChild>
    </w:div>
    <w:div w:id="1076901125">
      <w:bodyDiv w:val="1"/>
      <w:marLeft w:val="0"/>
      <w:marRight w:val="0"/>
      <w:marTop w:val="0"/>
      <w:marBottom w:val="0"/>
      <w:divBdr>
        <w:top w:val="none" w:sz="0" w:space="0" w:color="auto"/>
        <w:left w:val="none" w:sz="0" w:space="0" w:color="auto"/>
        <w:bottom w:val="none" w:sz="0" w:space="0" w:color="auto"/>
        <w:right w:val="none" w:sz="0" w:space="0" w:color="auto"/>
      </w:divBdr>
    </w:div>
    <w:div w:id="1115904018">
      <w:bodyDiv w:val="1"/>
      <w:marLeft w:val="0"/>
      <w:marRight w:val="0"/>
      <w:marTop w:val="0"/>
      <w:marBottom w:val="0"/>
      <w:divBdr>
        <w:top w:val="none" w:sz="0" w:space="0" w:color="auto"/>
        <w:left w:val="none" w:sz="0" w:space="0" w:color="auto"/>
        <w:bottom w:val="none" w:sz="0" w:space="0" w:color="auto"/>
        <w:right w:val="none" w:sz="0" w:space="0" w:color="auto"/>
      </w:divBdr>
    </w:div>
    <w:div w:id="1129591385">
      <w:bodyDiv w:val="1"/>
      <w:marLeft w:val="43"/>
      <w:marRight w:val="43"/>
      <w:marTop w:val="86"/>
      <w:marBottom w:val="86"/>
      <w:divBdr>
        <w:top w:val="none" w:sz="0" w:space="0" w:color="auto"/>
        <w:left w:val="none" w:sz="0" w:space="0" w:color="auto"/>
        <w:bottom w:val="none" w:sz="0" w:space="0" w:color="auto"/>
        <w:right w:val="none" w:sz="0" w:space="0" w:color="auto"/>
      </w:divBdr>
      <w:divsChild>
        <w:div w:id="61980263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C29D4-7165-48C9-B7CC-FB6E8113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9</Pages>
  <Words>6426</Words>
  <Characters>3664</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Latvijas Administratīvo pārkāpumu kodeksā</vt:lpstr>
      <vt:lpstr/>
    </vt:vector>
  </TitlesOfParts>
  <Company>Tieslietu Ministrija</Company>
  <LinksUpToDate>false</LinksUpToDate>
  <CharactersWithSpaces>10070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„Ar juridisko palīdzību saistīto izmaksu atlīdzināšanas noteikumi” sākotnējās ietekmes novērtējuma ziņojums (anotācija)</dc:title>
  <dc:subject>Anotācija</dc:subject>
  <dc:creator>Tieslietu ministrija</dc:creator>
  <dc:description>Natalija.Laveniece-Straupmane@tm.gov.lv, 67036908</dc:description>
  <cp:lastModifiedBy>nl2101</cp:lastModifiedBy>
  <cp:revision>36</cp:revision>
  <cp:lastPrinted>2011-09-16T12:26:00Z</cp:lastPrinted>
  <dcterms:created xsi:type="dcterms:W3CDTF">2011-07-05T06:42:00Z</dcterms:created>
  <dcterms:modified xsi:type="dcterms:W3CDTF">2011-09-27T07:34:00Z</dcterms:modified>
</cp:coreProperties>
</file>