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D6" w:rsidRPr="00092C82" w:rsidRDefault="00ED20D6" w:rsidP="00ED20D6">
      <w:pPr>
        <w:pStyle w:val="naislab"/>
        <w:jc w:val="center"/>
        <w:outlineLvl w:val="0"/>
        <w:rPr>
          <w:b/>
          <w:sz w:val="28"/>
          <w:szCs w:val="28"/>
        </w:rPr>
      </w:pPr>
      <w:r w:rsidRPr="00092C82">
        <w:rPr>
          <w:b/>
          <w:sz w:val="28"/>
          <w:szCs w:val="28"/>
        </w:rPr>
        <w:t>Ministru kabineta noteikumu projekta „Noteikumi par kapelānu dienestu”</w:t>
      </w:r>
    </w:p>
    <w:p w:rsidR="00ED20D6" w:rsidRPr="00092C82" w:rsidRDefault="00ED20D6" w:rsidP="00ED20D6">
      <w:pPr>
        <w:pStyle w:val="naislab"/>
        <w:jc w:val="center"/>
        <w:outlineLvl w:val="0"/>
        <w:rPr>
          <w:b/>
          <w:sz w:val="28"/>
          <w:szCs w:val="28"/>
        </w:rPr>
      </w:pPr>
      <w:r w:rsidRPr="00092C82">
        <w:rPr>
          <w:b/>
          <w:sz w:val="28"/>
          <w:szCs w:val="28"/>
        </w:rPr>
        <w:t>sākotnējās ietekmes novērtējuma ziņojums (anotācija)</w:t>
      </w:r>
    </w:p>
    <w:p w:rsidR="00092C82" w:rsidRPr="00092C82" w:rsidRDefault="00092C82" w:rsidP="00ED20D6">
      <w:pPr>
        <w:pStyle w:val="naislab"/>
        <w:jc w:val="center"/>
        <w:outlineLvl w:val="0"/>
        <w:rPr>
          <w:b/>
          <w:sz w:val="28"/>
          <w:szCs w:val="28"/>
        </w:rPr>
      </w:pPr>
    </w:p>
    <w:tbl>
      <w:tblPr>
        <w:tblpPr w:leftFromText="180" w:rightFromText="180" w:vertAnchor="text" w:horzAnchor="margin" w:tblpXSpec="center" w:tblpY="149"/>
        <w:tblW w:w="97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4563"/>
        <w:gridCol w:w="4593"/>
      </w:tblGrid>
      <w:tr w:rsidR="00ED20D6" w:rsidRPr="00ED20D6" w:rsidTr="00424628">
        <w:trPr>
          <w:tblCellSpacing w:w="0" w:type="dxa"/>
        </w:trPr>
        <w:tc>
          <w:tcPr>
            <w:tcW w:w="9706" w:type="dxa"/>
            <w:gridSpan w:val="3"/>
            <w:vAlign w:val="center"/>
          </w:tcPr>
          <w:p w:rsidR="00ED20D6" w:rsidRPr="00ED20D6" w:rsidRDefault="00ED20D6" w:rsidP="00424628">
            <w:pPr>
              <w:pStyle w:val="naisnod"/>
            </w:pPr>
            <w:r w:rsidRPr="00ED20D6">
              <w:t> I Tiesību akta projekta izstrādes nepieciešamība</w:t>
            </w:r>
          </w:p>
        </w:tc>
      </w:tr>
      <w:tr w:rsidR="00ED20D6" w:rsidRPr="00ED20D6" w:rsidTr="00424628">
        <w:trPr>
          <w:trHeight w:val="630"/>
          <w:tblCellSpacing w:w="0" w:type="dxa"/>
        </w:trPr>
        <w:tc>
          <w:tcPr>
            <w:tcW w:w="550" w:type="dxa"/>
            <w:vAlign w:val="center"/>
          </w:tcPr>
          <w:p w:rsidR="00ED20D6" w:rsidRPr="00ED20D6" w:rsidRDefault="00ED20D6" w:rsidP="00424628">
            <w:pPr>
              <w:pStyle w:val="naiskr"/>
              <w:ind w:left="180" w:hanging="180"/>
            </w:pPr>
            <w:r w:rsidRPr="00ED20D6">
              <w:t>1.</w:t>
            </w:r>
          </w:p>
        </w:tc>
        <w:tc>
          <w:tcPr>
            <w:tcW w:w="4563" w:type="dxa"/>
            <w:vAlign w:val="center"/>
          </w:tcPr>
          <w:p w:rsidR="00ED20D6" w:rsidRPr="00ED20D6" w:rsidRDefault="00ED20D6" w:rsidP="00424628">
            <w:pPr>
              <w:pStyle w:val="naiskr"/>
              <w:ind w:left="180" w:hanging="10"/>
            </w:pPr>
            <w:r w:rsidRPr="00ED20D6">
              <w:t>Pamatojums</w:t>
            </w:r>
          </w:p>
        </w:tc>
        <w:tc>
          <w:tcPr>
            <w:tcW w:w="4593" w:type="dxa"/>
            <w:vAlign w:val="center"/>
          </w:tcPr>
          <w:p w:rsidR="00ED20D6" w:rsidRPr="00ED20D6" w:rsidRDefault="00ED20D6" w:rsidP="00231D6A">
            <w:pPr>
              <w:pStyle w:val="naiskr"/>
            </w:pPr>
            <w:r w:rsidRPr="00ED20D6">
              <w:t>Reliģisko organizāciju likuma 14. panta piektā daļa noteic deleģējumu Ministru kabinetam izdot noteikumus, kas paredzētu kapelānu dienestu darbību.</w:t>
            </w:r>
          </w:p>
        </w:tc>
      </w:tr>
      <w:tr w:rsidR="00ED20D6" w:rsidRPr="00ED20D6" w:rsidTr="00424628">
        <w:trPr>
          <w:trHeight w:val="706"/>
          <w:tblCellSpacing w:w="0" w:type="dxa"/>
        </w:trPr>
        <w:tc>
          <w:tcPr>
            <w:tcW w:w="550" w:type="dxa"/>
            <w:vAlign w:val="center"/>
          </w:tcPr>
          <w:p w:rsidR="00ED20D6" w:rsidRPr="00ED20D6" w:rsidRDefault="00ED20D6" w:rsidP="00424628">
            <w:pPr>
              <w:pStyle w:val="naiskr"/>
            </w:pPr>
            <w:r w:rsidRPr="00ED20D6">
              <w:t>2.</w:t>
            </w:r>
          </w:p>
        </w:tc>
        <w:tc>
          <w:tcPr>
            <w:tcW w:w="4563" w:type="dxa"/>
            <w:vAlign w:val="center"/>
          </w:tcPr>
          <w:p w:rsidR="00ED20D6" w:rsidRPr="00ED20D6" w:rsidRDefault="00ED20D6" w:rsidP="00424628">
            <w:pPr>
              <w:pStyle w:val="naiskr"/>
              <w:tabs>
                <w:tab w:val="left" w:pos="170"/>
              </w:tabs>
              <w:ind w:left="170"/>
            </w:pPr>
            <w:r w:rsidRPr="00ED20D6">
              <w:t>Pašreizējā situācija un problēmas</w:t>
            </w:r>
          </w:p>
        </w:tc>
        <w:tc>
          <w:tcPr>
            <w:tcW w:w="4593" w:type="dxa"/>
            <w:vAlign w:val="center"/>
          </w:tcPr>
          <w:p w:rsidR="00ED20D6" w:rsidRPr="00ED20D6" w:rsidRDefault="00ED20D6" w:rsidP="00231D6A">
            <w:pPr>
              <w:spacing w:before="0" w:after="0"/>
              <w:ind w:firstLine="720"/>
            </w:pPr>
            <w:r w:rsidRPr="00ED20D6">
              <w:t xml:space="preserve">Pašreiz kapelānu dienestu darbību regulē Ministru kabineta 2002. gada 2. jūlija noteikumi Nr. 277 „Noteikumi par kapelānu dienestu”. Projekts nepieciešams, lai precizētu Latvijas Republikas normatīvo aktu regulējumu pēc Reliģisko lietu pārvaldes reorganizācijas. </w:t>
            </w:r>
          </w:p>
          <w:p w:rsidR="00ED20D6" w:rsidRPr="00ED20D6" w:rsidRDefault="00ED20D6" w:rsidP="00231D6A">
            <w:pPr>
              <w:spacing w:before="0" w:after="0"/>
              <w:ind w:firstLine="720"/>
            </w:pPr>
            <w:r w:rsidRPr="00ED20D6">
              <w:t>Reliģisko organizāciju likuma 14. panta  piektā daļa noteic, ka kapelāni Latvijas Republikā darbojas saskaņā ar Ministru kabineta noteikumiem par kapelānu dienestu. Ministru kabineta 2002. gada 2. jūlija noteikumi Nr. 277 „Noteikumi par kapelānu dienestu” (turpmāk – noteikumi Nr. 277) paredz Reliģisko lietu pārvaldes kompetenci apstiprināt amatā kapelānus. Ņemot vērā, ka saskaņā ar likumu „Grozījumi Reliģisko organizāciju likumā” (stājas spēkā 2008. gada 31. decembrī) Reliģisko lietu pārvalde tika reorganizēta un tās veicamās funkcijas sadalītas, nepieciešams grozīt noteikumus Nr.277, paredzot pašreizējai iestāžu kompetencei atbilstošo regulējumu.</w:t>
            </w:r>
          </w:p>
          <w:p w:rsidR="00ED20D6" w:rsidRPr="00ED20D6" w:rsidRDefault="00ED20D6" w:rsidP="00231D6A">
            <w:pPr>
              <w:tabs>
                <w:tab w:val="left" w:pos="3109"/>
              </w:tabs>
              <w:spacing w:before="0" w:after="0"/>
              <w:ind w:firstLine="720"/>
            </w:pPr>
            <w:r w:rsidRPr="00ED20D6">
              <w:t>Izvērtējot pašreizējo kapelānu dienesta regulējumu tika konstatētas problēmas noteikumu Nr. 277 piemērošanā, proti, noteikumi Nr. 277 neparedz visu reliģisko organizāciju uzskaitījumu, kuras drīkst izvirzīt kapelānus, nenoteic kapelānu vakances izziņošanas kārtību, kapelānu iecelšanas un atcelšanas kārtību, kā arī neparedz profesionālo kapelānu asociācijas tiesības. Lai atrisinātu minētās problēmas nepieciešams izdot jaunus Ministru kabineta noteikumus, kas papildinātu un precizētu esošos regulējumu.</w:t>
            </w:r>
          </w:p>
        </w:tc>
      </w:tr>
      <w:tr w:rsidR="00ED20D6" w:rsidRPr="00ED20D6" w:rsidTr="00424628">
        <w:trPr>
          <w:trHeight w:val="626"/>
          <w:tblCellSpacing w:w="0" w:type="dxa"/>
        </w:trPr>
        <w:tc>
          <w:tcPr>
            <w:tcW w:w="550" w:type="dxa"/>
            <w:vAlign w:val="center"/>
          </w:tcPr>
          <w:p w:rsidR="00ED20D6" w:rsidRPr="00ED20D6" w:rsidRDefault="00ED20D6" w:rsidP="00424628">
            <w:pPr>
              <w:pStyle w:val="naiskr"/>
              <w:jc w:val="center"/>
            </w:pPr>
            <w:r w:rsidRPr="00ED20D6">
              <w:t>3.</w:t>
            </w:r>
          </w:p>
        </w:tc>
        <w:tc>
          <w:tcPr>
            <w:tcW w:w="4563" w:type="dxa"/>
            <w:vAlign w:val="center"/>
          </w:tcPr>
          <w:p w:rsidR="00ED20D6" w:rsidRPr="00ED20D6" w:rsidRDefault="00ED20D6" w:rsidP="00424628">
            <w:pPr>
              <w:pStyle w:val="naiskr"/>
              <w:ind w:left="170"/>
            </w:pPr>
            <w:r w:rsidRPr="00ED20D6">
              <w:t>Saistītie politikas ietekmes novērtējumi un pētījumi</w:t>
            </w:r>
          </w:p>
        </w:tc>
        <w:tc>
          <w:tcPr>
            <w:tcW w:w="4593" w:type="dxa"/>
            <w:vAlign w:val="center"/>
          </w:tcPr>
          <w:p w:rsidR="00ED20D6" w:rsidRPr="00ED20D6" w:rsidRDefault="00ED20D6" w:rsidP="00424628">
            <w:pPr>
              <w:pStyle w:val="naiskr"/>
            </w:pPr>
            <w:r w:rsidRPr="00ED20D6">
              <w:rPr>
                <w:iCs/>
              </w:rPr>
              <w:t xml:space="preserve"> Nav attiecināms.</w:t>
            </w:r>
          </w:p>
        </w:tc>
      </w:tr>
      <w:tr w:rsidR="00ED20D6" w:rsidRPr="00ED20D6" w:rsidTr="00424628">
        <w:trPr>
          <w:trHeight w:val="725"/>
          <w:tblCellSpacing w:w="0" w:type="dxa"/>
        </w:trPr>
        <w:tc>
          <w:tcPr>
            <w:tcW w:w="550" w:type="dxa"/>
            <w:vAlign w:val="center"/>
          </w:tcPr>
          <w:p w:rsidR="00ED20D6" w:rsidRPr="00ED20D6" w:rsidRDefault="00ED20D6" w:rsidP="00424628">
            <w:pPr>
              <w:pStyle w:val="naiskr"/>
              <w:jc w:val="center"/>
            </w:pPr>
            <w:r w:rsidRPr="00ED20D6">
              <w:lastRenderedPageBreak/>
              <w:t>4.</w:t>
            </w:r>
          </w:p>
        </w:tc>
        <w:tc>
          <w:tcPr>
            <w:tcW w:w="4563" w:type="dxa"/>
            <w:vAlign w:val="center"/>
          </w:tcPr>
          <w:p w:rsidR="00ED20D6" w:rsidRPr="00ED20D6" w:rsidRDefault="00ED20D6" w:rsidP="00424628">
            <w:pPr>
              <w:pStyle w:val="naiskr"/>
              <w:ind w:left="170"/>
            </w:pPr>
            <w:r w:rsidRPr="00ED20D6">
              <w:t>Tiesiskā regulējuma mērķis un būtība</w:t>
            </w:r>
          </w:p>
          <w:p w:rsidR="00ED20D6" w:rsidRPr="00ED20D6" w:rsidRDefault="00ED20D6" w:rsidP="00424628">
            <w:pPr>
              <w:pStyle w:val="naiskr"/>
              <w:ind w:left="360" w:hanging="360"/>
            </w:pPr>
          </w:p>
          <w:p w:rsidR="00ED20D6" w:rsidRPr="00ED20D6" w:rsidRDefault="00ED20D6" w:rsidP="00424628">
            <w:pPr>
              <w:pStyle w:val="naiskr"/>
              <w:ind w:left="170"/>
            </w:pPr>
          </w:p>
        </w:tc>
        <w:tc>
          <w:tcPr>
            <w:tcW w:w="4593" w:type="dxa"/>
            <w:vAlign w:val="center"/>
          </w:tcPr>
          <w:p w:rsidR="00ED20D6" w:rsidRPr="00ED20D6" w:rsidRDefault="00ED20D6" w:rsidP="00424628">
            <w:pPr>
              <w:pStyle w:val="MKNormal"/>
              <w:framePr w:hSpace="0" w:wrap="auto" w:vAnchor="margin" w:hAnchor="text" w:xAlign="left" w:yAlign="inline"/>
              <w:spacing w:before="0" w:after="0"/>
            </w:pPr>
            <w:r w:rsidRPr="00ED20D6">
              <w:rPr>
                <w:iCs/>
              </w:rPr>
              <w:t xml:space="preserve"> </w:t>
            </w:r>
            <w:r w:rsidRPr="00ED20D6">
              <w:t>Projekts paredz precizēt un papildināt esošo regulējumu par kapelānu dienestu. Tā kā paredzamie grozījumi ir apjomīgi (grozījumi ir paredzēti 9 punktos no 19), nepieciešams izstrādāt jaunus Ministru kabineta noteikumus, atzīstot noteikumus Nr.277 par spēku zaudējušiem. Projekts ir papildināts, paredzot:</w:t>
            </w:r>
          </w:p>
          <w:p w:rsidR="00ED20D6" w:rsidRPr="00ED20D6" w:rsidRDefault="00ED20D6" w:rsidP="00424628">
            <w:pPr>
              <w:pStyle w:val="MKNormal"/>
              <w:framePr w:hSpace="0" w:wrap="auto" w:vAnchor="margin" w:hAnchor="text" w:xAlign="left" w:yAlign="inline"/>
              <w:spacing w:before="0" w:after="0"/>
            </w:pPr>
            <w:r w:rsidRPr="00ED20D6">
              <w:t xml:space="preserve">1) jaunas reliģiskās organizācijas, kurām ir tiesības izvirzīt kapelānus. Reliģisko organizāciju likuma 14.panta piektā daļa paredz, ka </w:t>
            </w:r>
            <w:bookmarkStart w:id="0" w:name="bkm6"/>
            <w:r w:rsidRPr="00ED20D6">
              <w:t xml:space="preserve">kapelāni Latvijas Republikā darbojas saskaņā ar Ministru kabineta </w:t>
            </w:r>
            <w:bookmarkEnd w:id="0"/>
            <w:r w:rsidRPr="00ED20D6">
              <w:t xml:space="preserve">noteikumiem par kapelānu dienestu. Noteikumi Nr.277 noteic kapelānu dienesta darbību Latvijas Republikā. Šie Ministru kabineta noteikumi ir spēkā un darbojas šobrīd. Minēto noteikumu 5.punkts paredz, ka kapelānu amatam izvirza no Latvijas evaņģēliski luteriskās Baznīcas, Rīgas </w:t>
            </w:r>
            <w:proofErr w:type="spellStart"/>
            <w:r w:rsidRPr="00ED20D6">
              <w:t>metropolijas</w:t>
            </w:r>
            <w:proofErr w:type="spellEnd"/>
            <w:r w:rsidRPr="00ED20D6">
              <w:t xml:space="preserve"> Romas katoļu kūrijas, Latvijas Pareizticīgās Baznīcas, Latvijas Vecticībnieku </w:t>
            </w:r>
            <w:proofErr w:type="spellStart"/>
            <w:r w:rsidRPr="00ED20D6">
              <w:t>Pomoras</w:t>
            </w:r>
            <w:proofErr w:type="spellEnd"/>
            <w:r w:rsidRPr="00ED20D6">
              <w:t xml:space="preserve"> Baznīcas centrālās padomes, Latvijas Apvienotās Metodistu Baznīcas, Latvijas Baptistu draudžu savienības, Septītās Dienas Adventistu Latvijas draudžu savienības, Rīgas ebreju reliģiskās draudzes un Starptautiskās Dieva draudzes Latvijas Vasarsvētku draudžu apvienības. Līdz ar to deviņām reliģiskajām savienībām (baznīcām) jau pašlaik ir paredzētas tiesības izvirzīt kapelānus un katra no šīm organizācijām izvirza kapelānus, kas darbojas attiecīgajās iestādēs. Ņemot vērā tiesiskās paļāvības principu, kā arī apstākli, ka valsts institūciju rīcībai jābūt konsekventai un pamatotai, pašreiz nav pamata mainīt spēkā esošo reliģisko organizāciju uzskaitījumu un no jaunā vērtēt kritērijus saskaņā ar kuriem šīs organizācijas tika izvēlētas 2002.gadā. Turklāt būtu norādāms, ka astoņas no minētajām reliģiskajām organizācijām ir ieguvušas tradicionālo reliģisko organizāciju statusu, pieņemot speciālos likumus, kas regulē valsts un attiecīgo reliģisko organizāciju attiecības. Speciālajos likumos ir atrunāts, ka baznīcas kapelāni darbojas Nacionālajos bruņotajos spēkos, lidostās, ostās, sauszemes transporta stacijās, ārstniecības, medicīniskās aprūpes, sociālās aprūpes iestādēs, ieslodzījuma vietās un citur, </w:t>
            </w:r>
            <w:r w:rsidRPr="00ED20D6">
              <w:lastRenderedPageBreak/>
              <w:t xml:space="preserve">kur nav pieejama parastā garīdznieka aprūpe. </w:t>
            </w:r>
          </w:p>
          <w:p w:rsidR="00ED20D6" w:rsidRPr="00ED20D6" w:rsidRDefault="00ED20D6" w:rsidP="00424628">
            <w:pPr>
              <w:pStyle w:val="naisc"/>
              <w:spacing w:before="0" w:after="0"/>
              <w:ind w:firstLine="720"/>
              <w:jc w:val="both"/>
            </w:pPr>
            <w:r w:rsidRPr="00ED20D6">
              <w:t xml:space="preserve">Projekts tika izstrādāts, lai precizētu normatīvā akta piemērošanas gaitā atklājušos ieviestā regulējuma nepilnības, kā arī papildināt esošo regulējumu. Izvērtējot reliģiskās organizācijas, kuras var izvirzīt kapelānu amatam, tika ņemta vērā reliģisko organizāciju tiesiskā forma, pastāvēšanas ilgums, darbības atbilstība normatīvo aktu prasībām, kā arī pašu reliģisko organizāciju vēlme piedalīties kapelānu dienesta organizēšanā un darbībā. </w:t>
            </w:r>
          </w:p>
          <w:p w:rsidR="00ED20D6" w:rsidRDefault="00ED20D6" w:rsidP="00424628">
            <w:pPr>
              <w:pStyle w:val="naisc"/>
              <w:spacing w:before="0" w:after="0"/>
              <w:ind w:firstLine="720"/>
              <w:jc w:val="both"/>
            </w:pPr>
            <w:r w:rsidRPr="00ED20D6">
              <w:t xml:space="preserve">Reliģisko organizāciju likuma 3.panta trešā daļa paredz, ka reliģiskā savienība (baznīca) apvieno šajā likumā noteiktajā kārtībā reģistrētās vienas konfesijas draudzes. Reliģisko organizāciju likuma 7.panta otrā daļa paredz, ka desmit (vai vairāk) vienas konfesijas draudzes, kas ir reģistrētas Latvijas Republikā, var izveidot reliģisko savienību (baznīcu). Turklāt reliģisko savienību (baznīcu) var dibināt tikai tās reliģiskās organizācijas, kuras ir pārreģistrējušas desmit gadu laikā un ir ieguvušas pastāvīgas organizācijas statusu. Ņemot vērā minēto regulējumu, reliģiskā savienība (baznīca) ir lielāks un noturīgāks veidojums, nekā draudze, kas nodrošina tās samērīgi ilglaicīgu un nemainīgu pastāvēšanu. Līdz ar to izvirzīt kapelānu amatam var tikai reliģiskās savienības (baznīcas). Reliģisko organizāciju un to iestāžu reģistrā šobrīd ir reģistrētas 15 reliģiskās savienības (baznīcas), līdz ar to lielākajai to daļai pašlaik ir piešķirtas tiesības izvirzīt amatam kapelānu. </w:t>
            </w:r>
          </w:p>
          <w:p w:rsidR="006C50D5" w:rsidRDefault="006C50D5" w:rsidP="006C50D5">
            <w:pPr>
              <w:tabs>
                <w:tab w:val="left" w:pos="993"/>
              </w:tabs>
              <w:ind w:firstLine="992"/>
            </w:pPr>
            <w:r w:rsidRPr="00BC16C3">
              <w:t xml:space="preserve">Turklāt būtu piebilstams, ka pašlaik Latvijā ir reģistrētas vairāk kā 1000 reliģiskās organizācijas. Ja visām reģistrētajām reliģiskajām organizācijām tiktu piešķirtas tiesības veikt kapelānu dienestu, tad rastos jautājums par kapelānu garīgās aprūpes veikšanas korektumu un veidu kā kontrolēt kapelānu darbību, proti, kas veiktu kontroles funkciju pār kapelānu darbību un kas atbildētu par kapelāna prettiesisku rīcību. Pašlaik kapelāna reliģisko darbību uzrauga reliģiskā savienība (baznīca), kas izvirza kapelānu. Reliģiskajai savienībai (baznīcai) ir tiesības atsaukt kapelānu no kapelāna amata funkciju pildīšanas, ja kapelāns pārkāpj reliģiskās savienības (baznīcas) kanoniskos </w:t>
            </w:r>
            <w:r w:rsidRPr="00BC16C3">
              <w:lastRenderedPageBreak/>
              <w:t>noteikumus. Savukārt attiecīgajai iestādei, kurā kapelāns veic garīgo aprūpi, ir tiesības izbeigt darba tiesiskās attiecības, ja kapelāna darbības rezultātā personai rodas nelabvēlīgas sekas, proti, veselības traucējumi.</w:t>
            </w:r>
          </w:p>
          <w:p w:rsidR="006C50D5" w:rsidRPr="006C50D5" w:rsidRDefault="006C50D5" w:rsidP="006C50D5">
            <w:pPr>
              <w:pStyle w:val="ListParagraph"/>
              <w:tabs>
                <w:tab w:val="left" w:pos="993"/>
              </w:tabs>
              <w:spacing w:after="0" w:line="240" w:lineRule="auto"/>
              <w:ind w:left="0" w:firstLine="709"/>
              <w:rPr>
                <w:rFonts w:ascii="Times New Roman" w:eastAsia="Times New Roman" w:hAnsi="Times New Roman" w:cs="Times New Roman"/>
                <w:sz w:val="24"/>
                <w:szCs w:val="24"/>
                <w:lang w:eastAsia="lv-LV"/>
              </w:rPr>
            </w:pPr>
            <w:r w:rsidRPr="00EE6DAA">
              <w:rPr>
                <w:rFonts w:ascii="Times New Roman" w:eastAsia="Times New Roman" w:hAnsi="Times New Roman" w:cs="Times New Roman"/>
                <w:sz w:val="24"/>
                <w:szCs w:val="24"/>
                <w:lang w:eastAsia="lv-LV"/>
              </w:rPr>
              <w:t>Paskaidrojam, ka katra valsts, pamatojoties uz savu vēsturisko attīstību, attiecībām ar reliģiskajām organizācijām un noteikto reliģisko virzienu attīstību valstī, nosaka kapelānu dienesta izveidošanu, struktūru un uzbūvi. Kapelānu dienesta darbība ir valsts un reliģisko organizāciju sadarbības joma, kuras ietvaros puses sadarbojas vienotā mērķa sasniegšanai, saglabājot neitralitāti. Valsts nodrošina, lai katrai personai būtu tiesības saņemt garīgo aprūpi, bet veidu un kārtību valsts ir tiesīga izvēlēties pati, t.i.</w:t>
            </w:r>
            <w:r>
              <w:rPr>
                <w:rFonts w:ascii="Times New Roman" w:eastAsia="Times New Roman" w:hAnsi="Times New Roman" w:cs="Times New Roman"/>
                <w:sz w:val="24"/>
                <w:szCs w:val="24"/>
                <w:lang w:eastAsia="lv-LV"/>
              </w:rPr>
              <w:t>,</w:t>
            </w:r>
            <w:r w:rsidRPr="00EE6DAA">
              <w:rPr>
                <w:rFonts w:ascii="Times New Roman" w:eastAsia="Times New Roman" w:hAnsi="Times New Roman" w:cs="Times New Roman"/>
                <w:sz w:val="24"/>
                <w:szCs w:val="24"/>
                <w:lang w:eastAsia="lv-LV"/>
              </w:rPr>
              <w:t xml:space="preserve"> nenosakot kapelānu dienesta darbību, bet katrai organizācijai ļaujot pašai organizēt garīgo aprūpi, vai organizējot konkrēta no valsts budžeta apmaksāta dienesta darbību, kas nodrošina visu reliģisko organizāciju pieaicināšanu un darbības īstenošanu konkrētajās iestādēs. Latvijā jau no 2002.gada tiek nodrošināta kapelānu dienesta darbība, kas tiek finansēta no attiecīgo iestāžu budžeta un kapelāni nodrošina katrai personai iespēju saņemt atbilstošo garīgo aprūpi, vai sniedzot to paši, vai pieaicinot citu reliģisko organizāciju pārstāvjus. Līdz ar to valstij ir tiesības noteikt konkrētas organizācijas, kuras ir tiesīgas nozīmēt kapelānus. Atbilstoši Reliģisko organizāciju likuma 14.panta piektajai daļai reliģisko darbību slimnīcās, pansionātos, soda izciešanas vietās un Nacionālo bruņoto spēku formējumos reliģiskās organizācijas var veikt, ja to vēlas tajos esošās personas. Paredzētā pasākuma laiks un vieta jāsaskaņo ar attiecīgo iestāžu administrāciju. Reliģisko organizāciju darbība Nacionālo bruņoto spēku formējumos notiek, ievērojot Aizsardzības ministrijas izstrādātos noteikumus. Reliģisko organizāciju likums nosaka regulējumu un tiesības visām reliģiskajām organizācijām veikt reliģisko darbību konkrētajās iestādēs, savukārt projektā ir regulētas sevišķas valsts un reliģisko organizāciju attiecības, veidojot kapelānu dienestu kā pastāvīgu, ilglaicīgu, reglamentēto institūtu. Ņemot vērā minēto, piešķirot tiesības nozīmēt kapelānus </w:t>
            </w:r>
            <w:r w:rsidRPr="00EE6DAA">
              <w:rPr>
                <w:rFonts w:ascii="Times New Roman" w:eastAsia="Times New Roman" w:hAnsi="Times New Roman" w:cs="Times New Roman"/>
                <w:sz w:val="24"/>
                <w:szCs w:val="24"/>
                <w:lang w:eastAsia="lv-LV"/>
              </w:rPr>
              <w:lastRenderedPageBreak/>
              <w:t xml:space="preserve">konkrētajām reliģiskajām organizācijām, netiek ierobežota citu reliģisko organizāciju darbība, kā arī tām piederošo personu tiesības. </w:t>
            </w:r>
          </w:p>
          <w:p w:rsidR="006C50D5" w:rsidRDefault="00ED20D6" w:rsidP="006C50D5">
            <w:pPr>
              <w:pStyle w:val="naisc"/>
              <w:spacing w:before="0" w:after="0"/>
              <w:ind w:firstLine="720"/>
              <w:jc w:val="both"/>
            </w:pPr>
            <w:r w:rsidRPr="00ED20D6">
              <w:t xml:space="preserve">Papildus tiesības izvirzīt kapelānu amatam ir piešķirtas Latvijas Vasarsvētku draudžu Centram un Latvijas Dievturu </w:t>
            </w:r>
            <w:proofErr w:type="spellStart"/>
            <w:r w:rsidRPr="00ED20D6">
              <w:t>sadraudzei</w:t>
            </w:r>
            <w:proofErr w:type="spellEnd"/>
            <w:r w:rsidRPr="00ED20D6">
              <w:t xml:space="preserve">. Latvijas Vasarsvētku draudžu Centrs (turpmāk - Centrs) darbojas no 1991. gada, vasarsvētku konfesijas draudzes tika reģistrētas Latvijas Republikā arī pirms 1940.gada, turklāt Centra kapelāni ar Starptautiskās Dieva draudzes Latvijas Vasarsvētku draudžu apvienības starpniecību darbojas valsts iestādēs, veicot garīgo aprūpi un normatīvo aktu pārkāpumi minētās reliģiskās organizācijas darbībā nav konstatēti. Turklāt Centrs izteica vēlmi piedalīties kapelānu dienesta darbības organizēšanā. Līdzīgu vēlmi izteica Latvijas Dievturu </w:t>
            </w:r>
            <w:proofErr w:type="spellStart"/>
            <w:r w:rsidRPr="00ED20D6">
              <w:t>sadraudze</w:t>
            </w:r>
            <w:proofErr w:type="spellEnd"/>
            <w:r w:rsidRPr="00ED20D6">
              <w:t xml:space="preserve">. Minētā reliģiskā organizācija ir darbojusies arī pirms 1936. gada, kā arī saskaņā ar Reliģisko organizāciju likuma Pārejas noteikumu 3.punktu likumā paredzētās reliģisko savienību (baznīcu) tiesības ir attiecināmas arī uz Dievturu </w:t>
            </w:r>
            <w:proofErr w:type="spellStart"/>
            <w:r w:rsidRPr="00ED20D6">
              <w:t>sadraudzi</w:t>
            </w:r>
            <w:proofErr w:type="spellEnd"/>
            <w:r w:rsidRPr="00ED20D6">
              <w:t>. Turklāt attiecībā par dievturību informējam, ka juridiskajā literatūrā atrodams šāds skaidrojums: „Dievturība nav sekta, tā ir latviskā kulta piekopšanas kustība. Tā raksturīga tikai Latvijai un ir nacionāla.”</w:t>
            </w:r>
            <w:r w:rsidRPr="00ED20D6">
              <w:rPr>
                <w:rStyle w:val="FootnoteReference"/>
              </w:rPr>
              <w:footnoteReference w:id="1"/>
            </w:r>
            <w:r w:rsidRPr="00ED20D6">
              <w:t xml:space="preserve"> Ņemot vērā, dievturības kā valsts kultūras mantojuma nozīmīgumu, kā arī apstākli, ka reliģiskās organizācijas darbībā netika konstatēti normatīvo aktu pārkāpumi, tā tika iekļauta reliģisko savienību (baznīcu) sarakstā, kuras piedalās kapelānu dienesta darbības organizēšanā. </w:t>
            </w:r>
          </w:p>
          <w:p w:rsidR="00092C82" w:rsidRDefault="00ED20D6" w:rsidP="006C50D5">
            <w:pPr>
              <w:tabs>
                <w:tab w:val="left" w:pos="993"/>
              </w:tabs>
              <w:ind w:firstLine="992"/>
            </w:pPr>
            <w:r w:rsidRPr="00ED20D6">
              <w:t xml:space="preserve">Norādām, ka, ievērojot Latvijas Republikas Satversmē un Reliģisko organizāciju likumā noteiktās tiesības uz reliģijas brīvību, arī projektā norādītajās iestādēs, kapelāns, pēc attiecīgās personas lūguma, pieaicina arī to konfesiju pārstāvjus vai garīgo personālu, kuriem nav tiesību izvirzīt savus kapelānus. Līdz ar to garīgā aprūpe tiek vienlīdzīgi nodrošināta visu reliģisko organizāciju pārstāvjiem un konfesiju piederīgiem, kā arī nodrošinātas citu </w:t>
            </w:r>
            <w:r w:rsidRPr="00ED20D6">
              <w:lastRenderedPageBreak/>
              <w:t>reliģisko organizāciju tiesības ņemt dalību garīgajā aprūpē.</w:t>
            </w:r>
            <w:r w:rsidR="006C50D5">
              <w:t xml:space="preserve"> </w:t>
            </w:r>
          </w:p>
          <w:p w:rsidR="006C50D5" w:rsidRPr="00ED20D6" w:rsidRDefault="00092C82" w:rsidP="00092C82">
            <w:pPr>
              <w:tabs>
                <w:tab w:val="left" w:pos="993"/>
              </w:tabs>
              <w:ind w:firstLine="992"/>
            </w:pPr>
            <w:r>
              <w:t>Vēršam uzmanību, ka k</w:t>
            </w:r>
            <w:r w:rsidR="006C50D5" w:rsidRPr="00BC16C3">
              <w:t>apelāna statuss atšķiras no brīvprātīgā reliģiskās organizācijas pārstāvja statusa, un proti, tam ir konkrēti noteiktas tiesības un pienākumi, saistības ar iestādi (ir pakļauts iekšējo normatīvo aktu prasībām, var būt saukts pie disciplināratbildības), augstāka atbildības pakāpe par veicamajiem darbiem. Kapelānam kā darbiniekam ir pienākums atrasties iestādē (piem., slimnīcās, cietumos) noteiktajā laikā, tādējādi nodrošinot iespēju iestādē esošajām personām jebkurā laikā vērsties pie kapelāna. Iestādēs, kurās darbojas kapelāni, piem., cietumi, slimnīcas, ir noteikts darbības režīms un kārtība, līdz ar to kapelāns, organizējot garīgo aprūpi iestādē, sniedz garīgo palīdzību tiem, kuri to vēlās, kā arī nepieciešamības gadījumā nodrošina citu reliģisko organizāciju garīgā personāla uzaicināšanu un sadarbību ar tiem.</w:t>
            </w:r>
            <w:r w:rsidR="006C50D5">
              <w:t xml:space="preserve"> Projekts </w:t>
            </w:r>
            <w:r w:rsidR="006C50D5" w:rsidRPr="00BC16C3">
              <w:t>nesatur aizliegumu pieaicināt brīvprātīgo garīgo personālu garīgās aprūpes nodrošināšanai. Norādām, ka projekta 6. un 9.punktā ietvertais regulējums, ņemot vērā arī Reliģisko organizāciju likumā ietverto regulējumu, nesatur aizliegumu reliģisko organizāciju garīgajam personālam darboties kā brīvprātīgiem. Pašlaik nosakot sevišķo „brīvprātīgā kapelāna” statusu, būtu noregulējama arī šādas personas darbība, saistības, tiesiskās sekas, turklāt tas mainītu pastāvošo sistēmu. Tieslietu ministrija uzskata, ka pastāvošā sistēma ir maināma tikai gadījumā, ka ir pierādīta esošās sistēmas neefektivitāte. Šobrīd šādu indikāciju nav. Turklāt, kā ir atrunāts anotācijā, projekts ir izstrādāts, lai precizētu un saskaņotu normatīvos aktus, savukārt jaunās sistēmas izveide ir izvērtējama ilgtermiņā, veicot izpēti par citu valstu pieredzi un jaunās sistēmas darbības efektivitāti. Ņemot vērā, ka garīgā personāla tiesības darboties konkrētās iestādēs netiek ierobežotas saskaņā ar projektā ietverto regulējumu, nav lietderīgi iekļaut atrunas par brīvprātīgo kapelānu darbību, pārsteidzīgi mainot eksistējošo sistēmu, padarot piemērojamas normas par dažādi interpretējamām un neskaidrām.</w:t>
            </w:r>
          </w:p>
          <w:p w:rsidR="00ED20D6" w:rsidRPr="00ED20D6" w:rsidRDefault="00ED20D6" w:rsidP="00424628">
            <w:pPr>
              <w:pStyle w:val="MKNormal"/>
              <w:framePr w:hSpace="0" w:wrap="auto" w:vAnchor="margin" w:hAnchor="text" w:xAlign="left" w:yAlign="inline"/>
              <w:spacing w:before="0" w:after="0"/>
            </w:pPr>
            <w:r w:rsidRPr="00ED20D6">
              <w:t xml:space="preserve">Ņemot vērā, ka pašreiz ir reģistrētas reliģiskās savienības (baznīcas), kurām nav </w:t>
            </w:r>
            <w:r w:rsidRPr="00ED20D6">
              <w:lastRenderedPageBreak/>
              <w:t>tiesību izvirzīt kapelānus garīgās aprūpes veikšanai atbilstoši noteikumiem Nr. 277, tomēr tās izteikušās velmi virzīt kapelānus apstiprināšanai amatā, ir nepieciešams papildināt reliģisko savienību (baznīcu) sarakstu ar reliģiskajām savienībām (baznīcām), kurām ir tiesības izvirzīt kapelānus garīgās aprūpes veikšanai</w:t>
            </w:r>
          </w:p>
          <w:p w:rsidR="00ED20D6" w:rsidRPr="00ED20D6" w:rsidRDefault="00ED20D6" w:rsidP="00424628">
            <w:pPr>
              <w:pStyle w:val="MKNormal"/>
              <w:framePr w:hSpace="0" w:wrap="auto" w:vAnchor="margin" w:hAnchor="text" w:xAlign="left" w:yAlign="inline"/>
              <w:rPr>
                <w:rStyle w:val="Strong"/>
                <w:b w:val="0"/>
              </w:rPr>
            </w:pPr>
            <w:r w:rsidRPr="00ED20D6">
              <w:t xml:space="preserve">2) profesionālo kapelānu asociāciju sadarbību ar iestādi kapelāna amatā apstiprināšanas procesā, proti, iestādei ir tiesības pieprasīt profesionālo kapelānu asociācijām atzinumu par reliģiskās organizācijas (baznīcas) izvirzītā </w:t>
            </w:r>
            <w:r w:rsidRPr="00ED20D6">
              <w:rPr>
                <w:rStyle w:val="Strong"/>
                <w:b w:val="0"/>
              </w:rPr>
              <w:t xml:space="preserve">kapelāna atbilstību darbībai kapelānu dienestā. Pašreiz darbojas profesionālo kapelānu asociācijas, kuras veic kapelānu apmācību, pēc apmācību apgūšanas izsniedzot sertifikātu. Tādējādi veicinot profesionālo, apmācīto kapelānu sagatavošanu, kuri spēj pilnvērtīgāk un efektīvāk veikt savus pienākumus. Profesionālo kapelānu asociāciju organizētā apmācība nav obligāts nosacījums kapelāna apstiprināšanai iestādei kapelāna izvēlē. Profesionālo kapelānu asociācijas atzinumam par kapelāna profesionālajām spējām ir informatīvs raksturs. Pašreiz ir iestādes, kas izvērtē profesionālo kapelānu asociāciju sniegto viedokli un atzinumu par kapelāna atbilstību izvirzāmajām prasībām. </w:t>
            </w:r>
          </w:p>
          <w:p w:rsidR="00ED20D6" w:rsidRPr="00ED20D6" w:rsidRDefault="00ED20D6" w:rsidP="00424628">
            <w:pPr>
              <w:pStyle w:val="MKNormal"/>
              <w:framePr w:hSpace="0" w:wrap="auto" w:vAnchor="margin" w:hAnchor="text" w:xAlign="left" w:yAlign="inline"/>
            </w:pPr>
            <w:r w:rsidRPr="00ED20D6">
              <w:rPr>
                <w:rStyle w:val="Strong"/>
                <w:b w:val="0"/>
              </w:rPr>
              <w:t xml:space="preserve">3) ka </w:t>
            </w:r>
            <w:r w:rsidRPr="00ED20D6">
              <w:t>Nacionālo bruņoto spēku komandierim, Ieslodzījuma vietu pārvaldes priekšniekam, lidostas, ostas vai sauszemes transporta stacijas administrācijai, kā arī ārstniecības vai sociālās aprūpes iestādes administrācijai ir jāpaziņo reliģiskajām savienībām (baznīcām) par vakanto kapelāna amata vietu, norādot kapelānam izvirzāmās prasības un kārtību, kādā kapelāns tiek iecelts amatā. Tādējādi, atrisinot problēmu par kapelāna vakanto vietu paziņošanu un prasību izvirzīšanu kapelāna amatam, kā arī nodrošinot visām reliģiskajām savienībām (baznīcām) vienādu iespēju pieteikt kapelānus konkursam darbībai attiecīgajā iestādē.</w:t>
            </w:r>
          </w:p>
          <w:p w:rsidR="00ED20D6" w:rsidRPr="00ED20D6" w:rsidRDefault="00ED20D6" w:rsidP="00424628">
            <w:pPr>
              <w:pStyle w:val="MKNormal"/>
              <w:framePr w:hSpace="0" w:wrap="auto" w:vAnchor="margin" w:hAnchor="text" w:xAlign="left" w:yAlign="inline"/>
              <w:spacing w:before="0" w:after="0"/>
              <w:rPr>
                <w:rStyle w:val="Strong"/>
                <w:b w:val="0"/>
              </w:rPr>
            </w:pPr>
            <w:r w:rsidRPr="00ED20D6">
              <w:t xml:space="preserve">4) ka attiecīgās iestādes administrācijas noslēdz līgumu ar kapelānu par garīgās aprūpes organizēšanu, nevis ar reliģisko savienību (baznīcu), kā to paredz noteikumi Nr. 277. Tiek paredzēts arī nosacījums, ka darba tiesiskās attiecības ar </w:t>
            </w:r>
            <w:r w:rsidRPr="00ED20D6">
              <w:lastRenderedPageBreak/>
              <w:t xml:space="preserve">kapelānu </w:t>
            </w:r>
            <w:r w:rsidRPr="00ED20D6">
              <w:rPr>
                <w:bCs/>
              </w:rPr>
              <w:t>var tikt</w:t>
            </w:r>
            <w:r w:rsidRPr="00ED20D6">
              <w:t xml:space="preserve"> izbeigtas, ja reliģiskā organizācija uzskata, ka kapelāns neatbilst amatam. Minētais ir ietverts projektā, lai risinātu pašreiz esošo problēmu, proti, pašreiz noteikumu Nr. 277 8. punkts noteic, ka attiecīgās iestādes administrācija noslēdz ar reliģisko savienību (baznīcu) līgumu par garīgo aprūpi. Piemērojot minēto normu praksē, tika secināts, ka iestāde nevar slēgt līgumu ar reliģisko savienību (baznīcu), jo konkrēto amata pienākumu pildīšanai tiek izvēlēta un apstiprināta konkrēta fiziskā persona, kuras darbību materiāltehniski nodrošina iestāde, kurai ir pienākums ievērot iestādes iekšējos normatīvos aktus. Kapelāna un iestādes attiecības veidojas kā darba tiesiskās attiecības un iestādes slēdz ar kapelāniem darba līgumus, kapelāns ir arī iestādes štata amatpersona. Noteikumi Nr.277 neparedz kārtību, kādā kapelāni ir atbrīvojami no amata, kas rada problēmas noteikumu Nr.277 normu piemērošanā. Kapelāna uzdevums ir veikt personas garīgo aprūpi, kā arī sniegt konsultācijas reliģiskajos jautājumos. Izvirzot kapelānu amatam, reliģiskā savienība (baznīca) nodrošina to, ka kapelāna rīcība būs atbilstoša reliģiskās savienības (baznīcas) sludinātajai ticības mācībai, kā arī vispārējiem morāles un tikumības principiem. Šajā gadījumā reliģiskā savienība (baznīca) arī uzrauga kapelānu reliģisko darbību. Tomēr pēc kapelāna apstiprināšanas amatā nav paredzēta kārtība, kādā reliģiskā savienība (baznīca) ir tiesīga ietekmēt kapelāna sludināto mācību un vērtēt viņa reliģisko darbību. Kapelānu dienesta darbība nav iespējama bez reliģiskās savienības (baznīcas) un iestādes sadarbības, jo pēc būtības kapelāna pamata uzdevums ir nodrošināt personas tiesību uz reliģijas brīvību īstenošanu un sniegt garīgo aprūpi. Līdz ar to nepieciešams paredzēt kārtību, kādā reliģiskā savienība (baznīca) var ietekmēt kapelāna darbību, kā arī atsaukt kapelānu no amata, gadījumos, ja kapelāna reliģiskā darbība vairāk neatbilst reliģiskās savienības (baznīcas) ticības mācībai un priekšrakstiem par reliģiskās darbības veikšanu. Projekta 4.punkts paredz nosacījumus, kuriem jāatbilst kapelāniem un viens no tiem ir reliģiskās savienības (baznīcas) izvirzīšanas fakts. </w:t>
            </w:r>
            <w:r w:rsidRPr="00ED20D6">
              <w:lastRenderedPageBreak/>
              <w:t xml:space="preserve">Reliģiskā savienība (baznīca) izvirzot personu kapelāna amatam, apliecina, ka personai ir pietiekami profesionālo spēju reliģijas piekopšanas jomā, lai viņa varētu veikt citu personu garīgo aprūpi un palīdzēt citiem piekopt attiecīgo reliģiju. Reliģiskajai savienībai (baznīcai) ir tiesības jebkurā laikā izvērtēt kapelāna reliģiskās darbības atbilstību reliģiskās savienības (baznīcas) ticības priekšrakstiem un norādīt uz kapelāna veicamo darbību neatbilstību reliģiskās savienības (baznīcas) ticības mācībai. Tā kā tikai reliģiskā savienība (baznīca) var konstatēt kapelāna reliģiskās darbības neatbilstības un profesionālo spēju trūkumu reliģijas piekopšanas jomā, projektā ir paredzēts, ka  reliģiskā savienība (baznīca) paziņo attiecīgajai iestādei par neatbilstībām kapelāna darbībā. Ņemot vērā Projekta 4.punktā noteiktās kapelānam izvizamās prasības, ja reliģiskā savienība (baznīca) vairāk neatbalsta kapelāna darbību, netiek pildīts viens no kapelānam izvirzītajiem nosacījumiem. Tā kā kapelāna darbība pēc būtības ir nesaraujami saistīta ar ticības mācības sludināšanu un reliģijas piekopšanu, kapelāna veicamo darbību neatbilstība reliģiskās savienības (baznīcas) ticības priekšrakstiem norāda uz personas profesionālo spēju nepietiekamību, lai pildītu noteiktā mata pienākumus. Līdz ar to kapelāns būtu atbrīvojams no ieņemama amata, jo viņš neatbilst kapelānam izvirzāmajām prasībām. Kapelāna un attiecīgās iestādes darba tiesiskās attiecības var būt izbeigtas, pamatojoties uz Darba likuma 101.panta pirmās daļas 6.punktā noteikto, ka darba devējam ir tiesības uzteikt darba līgumu, ja darbiniekam nav pietiekamu profesionālo spēju nolīgtā darba veikšanai. Ņemot vērā minēto, projektā tiek paredzēta iespēja atbrīvot kapelānu no amata, ja reliģiskā savienība (baznīca) ir konstatējusi, ka </w:t>
            </w:r>
            <w:r w:rsidRPr="00ED20D6">
              <w:rPr>
                <w:rStyle w:val="Strong"/>
                <w:b w:val="0"/>
              </w:rPr>
              <w:t xml:space="preserve">kapelāna reliģiskā darbība ir neatbilstoša. </w:t>
            </w:r>
          </w:p>
          <w:p w:rsidR="00ED20D6" w:rsidRPr="00ED20D6" w:rsidRDefault="00ED20D6" w:rsidP="00424628">
            <w:pPr>
              <w:pStyle w:val="MKNormal"/>
              <w:framePr w:hSpace="0" w:wrap="auto" w:vAnchor="margin" w:hAnchor="text" w:xAlign="left" w:yAlign="inline"/>
              <w:spacing w:before="0" w:after="0"/>
              <w:rPr>
                <w:rStyle w:val="Strong"/>
                <w:b w:val="0"/>
              </w:rPr>
            </w:pPr>
            <w:r w:rsidRPr="00ED20D6">
              <w:rPr>
                <w:rStyle w:val="Strong"/>
                <w:b w:val="0"/>
              </w:rPr>
              <w:t>Projekts precizē:</w:t>
            </w:r>
          </w:p>
          <w:p w:rsidR="00ED20D6" w:rsidRPr="00ED20D6" w:rsidRDefault="00ED20D6" w:rsidP="00424628">
            <w:pPr>
              <w:pStyle w:val="MKNormal"/>
              <w:framePr w:hSpace="0" w:wrap="auto" w:vAnchor="margin" w:hAnchor="text" w:xAlign="left" w:yAlign="inline"/>
              <w:spacing w:before="0" w:after="0"/>
              <w:rPr>
                <w:rStyle w:val="Strong"/>
                <w:b w:val="0"/>
              </w:rPr>
            </w:pPr>
            <w:r w:rsidRPr="00ED20D6">
              <w:rPr>
                <w:rStyle w:val="Strong"/>
                <w:b w:val="0"/>
              </w:rPr>
              <w:t>1) Nacionālo bruņoti spēku kapelānu pienākumus, proti, paredzot, ka kapelāni kā garīdznieki apmeklē, stiprina, uzmundrina un mierina kritušo vai bojā gājušo karavīru tuviniekus;</w:t>
            </w:r>
          </w:p>
          <w:p w:rsidR="00ED20D6" w:rsidRPr="00ED20D6" w:rsidRDefault="00ED20D6" w:rsidP="00424628">
            <w:pPr>
              <w:pStyle w:val="MKNormal"/>
              <w:framePr w:hSpace="0" w:wrap="auto" w:vAnchor="margin" w:hAnchor="text" w:xAlign="left" w:yAlign="inline"/>
              <w:rPr>
                <w:rStyle w:val="Strong"/>
                <w:b w:val="0"/>
              </w:rPr>
            </w:pPr>
            <w:r w:rsidRPr="00ED20D6">
              <w:rPr>
                <w:rStyle w:val="Strong"/>
                <w:b w:val="0"/>
              </w:rPr>
              <w:t xml:space="preserve">2) Ieslodzījumu vietu kapelānu </w:t>
            </w:r>
            <w:r w:rsidRPr="00ED20D6">
              <w:rPr>
                <w:rStyle w:val="Strong"/>
                <w:b w:val="0"/>
              </w:rPr>
              <w:lastRenderedPageBreak/>
              <w:t>pienākumus, proti, Ieslodzījuma vietu kapelāni veic apcietināto, notiesāto un ieslodzījuma vietu personāla ekumenisko garīgo aprūpi, sniedz morālu atbalstu un nepieciešamās konsultācijas reliģiskajos un ētikas jautājumos, ka arī veic tikumiskās audzināšanas pasākumus;</w:t>
            </w:r>
          </w:p>
          <w:p w:rsidR="00ED20D6" w:rsidRDefault="00ED20D6" w:rsidP="00424628">
            <w:pPr>
              <w:pStyle w:val="MKNormal"/>
              <w:framePr w:hSpace="0" w:wrap="auto" w:vAnchor="margin" w:hAnchor="text" w:xAlign="left" w:yAlign="inline"/>
              <w:rPr>
                <w:rStyle w:val="Strong"/>
                <w:b w:val="0"/>
              </w:rPr>
            </w:pPr>
            <w:r w:rsidRPr="00ED20D6">
              <w:rPr>
                <w:rStyle w:val="Strong"/>
                <w:b w:val="0"/>
              </w:rPr>
              <w:t>3) profesionālās aprūpes un sociālās aprūpes iestāžu kapelānu pienākumus, proti, profesionālās aprūpes un sociālās aprūpes iestāžu kapelānu veic ārstniecības/sociālās aprūpes iestāžu personāla un tajās esošo pacientu garīgo aprūpi, sniedzot morālu atbalstu un nepieciešamās konsultācijas reliģiskajos jautājumos atbilstoši normatīvajos aktos par ārstniecības atbalsta personu kompetenci ārstniecībā noteiktajam.</w:t>
            </w:r>
          </w:p>
          <w:p w:rsidR="00092C82" w:rsidRPr="00092C82" w:rsidRDefault="00092C82" w:rsidP="00092C82">
            <w:pPr>
              <w:tabs>
                <w:tab w:val="left" w:pos="993"/>
              </w:tabs>
              <w:ind w:firstLine="992"/>
            </w:pPr>
            <w:r>
              <w:rPr>
                <w:rStyle w:val="Strong"/>
                <w:b w:val="0"/>
              </w:rPr>
              <w:t xml:space="preserve">Papildus darām zināmu, ka </w:t>
            </w:r>
            <w:r w:rsidRPr="00EE6DAA">
              <w:t xml:space="preserve"> projekts nerada ietekmi uz budžetu, jo tas paredz kapelānu dienesta regulējumu un darbības kārtību, vienlaicīgi paredzot, ka katra iestāde izvērtē nepieciešamību iekļaut savā štatu sarakstā kapelāna amatu, šo amatu skaitu un paredzēto atalgojumu. Līdz ar to katra iestāde, veidojot budžeta līdzekļu pieprasījumu katram gadam, norāda aprēķinus par kapelānu dienesta uzturēšanu. Projektā paredzētais regulējums nerada jaunas štata vietas un nenosaka kapelānu atalgojuma kārtību un apmēru. Ietekme uz budžetu rodas konkrētai iestādei, pieņemot lēmumu izveidot kapelānu dienestu, nevis pieņemot šos noteikumus. Ņemot vērā minēto, kā arī to, ka kapelānu skaits ir mainīgs, kapelānu dienests darbojas arī kapitālsabiedrībās, anotācijas III sadaļas aizpildīšana ir neiespējama. Veidojot sevišķo dienestu valsts nodrošina tā uzturēšanu, nosaka konkrēto personu pienākumus, savukārt reliģiskās organizācijas īsteno konkrētos mērķus, sniedzot garīgo aprūpi, kas nav tiešā reliģiskā darbība, bet bieži vien ir psiholoģisks atbalsts, pasākumi, kas vērsti uz morāles un tikumības pamatu attīstību sabiedrībā. Šie pasākumi ir vērsti uz sabiedrības labklājības nodrošināšanu, tiesību ievērošanu, un šādu pasākumu īstenošana ir valsts pienākums. Turklāt pienākuma nodrošināt (arī finansiāli) kapelānu dienesta darbību uzlikšana reliģiskajām organizācijām, neatbilst sadarbības principam, jo šajā gadījumā visas saistības, pienākumus </w:t>
            </w:r>
            <w:r w:rsidRPr="00EE6DAA">
              <w:lastRenderedPageBreak/>
              <w:t>uzņemas reliģiskās organizācijas, turklāt tas neatbilst izveidotājai kapelānu dienesta uzbūves un darbības pamatprincipiem. Turklāt iestāde, veidojot amata štata vietas, izvērtē savas finansiālās iespējas, kā arī nepieciešamību izveidot attiecīgo amata vietu, dotajā gadījumā – kapelāna amata vietu. Līdz ar to arī atalgojumu kapelānam maksā attiecīgā iestāde, nevis reliģiskā organizācija.</w:t>
            </w:r>
          </w:p>
        </w:tc>
      </w:tr>
      <w:tr w:rsidR="00ED20D6" w:rsidRPr="00ED20D6" w:rsidTr="00424628">
        <w:trPr>
          <w:trHeight w:val="476"/>
          <w:tblCellSpacing w:w="0" w:type="dxa"/>
        </w:trPr>
        <w:tc>
          <w:tcPr>
            <w:tcW w:w="550" w:type="dxa"/>
            <w:vAlign w:val="center"/>
          </w:tcPr>
          <w:p w:rsidR="00ED20D6" w:rsidRPr="00ED20D6" w:rsidRDefault="00ED20D6" w:rsidP="00424628">
            <w:pPr>
              <w:pStyle w:val="naiskr"/>
              <w:jc w:val="center"/>
            </w:pPr>
            <w:r w:rsidRPr="00ED20D6">
              <w:lastRenderedPageBreak/>
              <w:t>5.</w:t>
            </w:r>
          </w:p>
        </w:tc>
        <w:tc>
          <w:tcPr>
            <w:tcW w:w="4563" w:type="dxa"/>
            <w:vAlign w:val="center"/>
          </w:tcPr>
          <w:p w:rsidR="00ED20D6" w:rsidRPr="00ED20D6" w:rsidRDefault="00ED20D6" w:rsidP="00424628">
            <w:pPr>
              <w:pStyle w:val="naiskr"/>
              <w:ind w:left="170"/>
            </w:pPr>
            <w:r w:rsidRPr="00ED20D6">
              <w:t xml:space="preserve">Projekta izstrādē iesaistītās institūcijas </w:t>
            </w:r>
          </w:p>
        </w:tc>
        <w:tc>
          <w:tcPr>
            <w:tcW w:w="4593" w:type="dxa"/>
            <w:vAlign w:val="center"/>
          </w:tcPr>
          <w:p w:rsidR="00ED20D6" w:rsidRPr="00ED20D6" w:rsidRDefault="00ED20D6" w:rsidP="00092C82">
            <w:pPr>
              <w:pStyle w:val="naiskr"/>
              <w:spacing w:before="0" w:after="0"/>
              <w:ind w:firstLine="720"/>
            </w:pPr>
            <w:r w:rsidRPr="00ED20D6">
              <w:t xml:space="preserve"> </w:t>
            </w:r>
            <w:r w:rsidRPr="00ED20D6">
              <w:rPr>
                <w:rStyle w:val="Strong"/>
                <w:b w:val="0"/>
              </w:rPr>
              <w:t xml:space="preserve">Projekta izstrādes procesā notika konsultācijas ar Reliģijas lietu konsultatīvās padomes (izveidota ar tieslietu ministra 2009. gada 15. septembra rīkojumu Nr. 1-1/294 „Par Reliģijas lietu konsultatīvās padomes sastāva apstiprināšanu”) locekļiem, proti, šādām reliģiskajām organizācijām: „Latvijas Dievturu </w:t>
            </w:r>
            <w:proofErr w:type="spellStart"/>
            <w:r w:rsidRPr="00ED20D6">
              <w:rPr>
                <w:rStyle w:val="Strong"/>
                <w:b w:val="0"/>
              </w:rPr>
              <w:t>sadraudze</w:t>
            </w:r>
            <w:proofErr w:type="spellEnd"/>
            <w:r w:rsidRPr="00ED20D6">
              <w:rPr>
                <w:rStyle w:val="Strong"/>
                <w:b w:val="0"/>
              </w:rPr>
              <w:t xml:space="preserve">”, „Latvijas Evaņģēliski luteriskās Baznīca”, „Vācu Evaņģēliski luteriskā Baznīca”, „Latvijas Vasarsvētku draudžu Centrs”, „Latvijas Vecticībnieku </w:t>
            </w:r>
            <w:proofErr w:type="spellStart"/>
            <w:r w:rsidRPr="00ED20D6">
              <w:rPr>
                <w:rStyle w:val="Strong"/>
                <w:b w:val="0"/>
              </w:rPr>
              <w:t>Pomoras</w:t>
            </w:r>
            <w:proofErr w:type="spellEnd"/>
            <w:r w:rsidRPr="00ED20D6">
              <w:rPr>
                <w:rStyle w:val="Strong"/>
                <w:b w:val="0"/>
              </w:rPr>
              <w:t xml:space="preserve"> Baznīca”, „Rīgas Metropolijas Romas katoļu Kūrija”, „Latvijas Evaņģēliski luteriskā Baznīca”, „Latvijas Apvienotā metodistu Baznīca”, „Starptautiskās Dieva draudzes Latvijas Vasarsvētku draudžu apvienība”, „Septītās dienas</w:t>
            </w:r>
            <w:r w:rsidRPr="00ED20D6">
              <w:t xml:space="preserve"> Adventistu Latvijas draudžu Savienība”, „</w:t>
            </w:r>
            <w:r w:rsidRPr="00ED20D6">
              <w:rPr>
                <w:bCs/>
              </w:rPr>
              <w:t>Latvijas Baptistu draudžu savienība</w:t>
            </w:r>
            <w:r w:rsidRPr="00ED20D6">
              <w:t xml:space="preserve">”, „Latvijas Pareizticīgā Baznīca”, kā arī </w:t>
            </w:r>
            <w:r w:rsidRPr="00ED20D6">
              <w:rPr>
                <w:bCs/>
              </w:rPr>
              <w:t>Latvijas Profesionālo veselības aprūpes kapelānu asociāciju.</w:t>
            </w:r>
          </w:p>
        </w:tc>
      </w:tr>
      <w:tr w:rsidR="00ED20D6" w:rsidRPr="00ED20D6" w:rsidTr="00424628">
        <w:trPr>
          <w:trHeight w:val="817"/>
          <w:tblCellSpacing w:w="0" w:type="dxa"/>
        </w:trPr>
        <w:tc>
          <w:tcPr>
            <w:tcW w:w="550" w:type="dxa"/>
            <w:vAlign w:val="center"/>
          </w:tcPr>
          <w:p w:rsidR="00ED20D6" w:rsidRPr="00ED20D6" w:rsidRDefault="00ED20D6" w:rsidP="00424628">
            <w:pPr>
              <w:pStyle w:val="naiskr"/>
              <w:jc w:val="center"/>
            </w:pPr>
            <w:r w:rsidRPr="00ED20D6">
              <w:t>6.</w:t>
            </w:r>
          </w:p>
        </w:tc>
        <w:tc>
          <w:tcPr>
            <w:tcW w:w="4563" w:type="dxa"/>
            <w:vAlign w:val="center"/>
          </w:tcPr>
          <w:p w:rsidR="00ED20D6" w:rsidRPr="00ED20D6" w:rsidRDefault="00ED20D6" w:rsidP="00424628">
            <w:pPr>
              <w:pStyle w:val="naiskr"/>
              <w:ind w:left="170"/>
              <w:rPr>
                <w:highlight w:val="yellow"/>
              </w:rPr>
            </w:pPr>
            <w:r w:rsidRPr="00ED20D6">
              <w:t>Iemesli, kādēļ netika nodrošināta sabiedrības līdzdalība</w:t>
            </w:r>
          </w:p>
        </w:tc>
        <w:tc>
          <w:tcPr>
            <w:tcW w:w="4593" w:type="dxa"/>
            <w:vAlign w:val="center"/>
          </w:tcPr>
          <w:p w:rsidR="00ED20D6" w:rsidRPr="00ED20D6" w:rsidRDefault="00ED20D6" w:rsidP="00424628">
            <w:pPr>
              <w:pStyle w:val="naiskr"/>
            </w:pPr>
            <w:r w:rsidRPr="00ED20D6">
              <w:t>Nav attiecināms.</w:t>
            </w:r>
          </w:p>
          <w:p w:rsidR="00ED20D6" w:rsidRPr="00ED20D6" w:rsidRDefault="00ED20D6" w:rsidP="00424628">
            <w:pPr>
              <w:pStyle w:val="FootnoteText"/>
              <w:rPr>
                <w:sz w:val="24"/>
                <w:szCs w:val="24"/>
              </w:rPr>
            </w:pPr>
          </w:p>
        </w:tc>
      </w:tr>
      <w:tr w:rsidR="00ED20D6" w:rsidRPr="00ED20D6" w:rsidTr="00424628">
        <w:trPr>
          <w:trHeight w:val="545"/>
          <w:tblCellSpacing w:w="0" w:type="dxa"/>
        </w:trPr>
        <w:tc>
          <w:tcPr>
            <w:tcW w:w="550" w:type="dxa"/>
            <w:vAlign w:val="center"/>
          </w:tcPr>
          <w:p w:rsidR="00ED20D6" w:rsidRPr="00ED20D6" w:rsidRDefault="00ED20D6" w:rsidP="00424628">
            <w:pPr>
              <w:pStyle w:val="naiskr"/>
              <w:jc w:val="center"/>
            </w:pPr>
            <w:r w:rsidRPr="00ED20D6">
              <w:t>7.</w:t>
            </w:r>
          </w:p>
        </w:tc>
        <w:tc>
          <w:tcPr>
            <w:tcW w:w="4563" w:type="dxa"/>
            <w:vAlign w:val="center"/>
          </w:tcPr>
          <w:p w:rsidR="00ED20D6" w:rsidRPr="00ED20D6" w:rsidRDefault="00ED20D6" w:rsidP="00424628">
            <w:pPr>
              <w:pStyle w:val="naiskr"/>
              <w:ind w:left="170"/>
            </w:pPr>
            <w:r w:rsidRPr="00ED20D6">
              <w:t>Cita informācija</w:t>
            </w:r>
          </w:p>
        </w:tc>
        <w:tc>
          <w:tcPr>
            <w:tcW w:w="4593" w:type="dxa"/>
            <w:vAlign w:val="center"/>
          </w:tcPr>
          <w:p w:rsidR="00ED20D6" w:rsidRPr="00ED20D6" w:rsidRDefault="00ED20D6" w:rsidP="00424628">
            <w:pPr>
              <w:pStyle w:val="naiskr"/>
            </w:pPr>
          </w:p>
          <w:p w:rsidR="00ED20D6" w:rsidRPr="00ED20D6" w:rsidRDefault="00ED20D6" w:rsidP="00424628">
            <w:pPr>
              <w:pStyle w:val="naiskr"/>
            </w:pPr>
            <w:r w:rsidRPr="00ED20D6">
              <w:t>Nav.</w:t>
            </w:r>
          </w:p>
        </w:tc>
      </w:tr>
    </w:tbl>
    <w:p w:rsidR="00ED20D6" w:rsidRDefault="00ED20D6" w:rsidP="00ED20D6">
      <w:pPr>
        <w:pStyle w:val="naisf"/>
        <w:ind w:firstLine="0"/>
      </w:pPr>
    </w:p>
    <w:p w:rsidR="00092C82" w:rsidRPr="00ED20D6" w:rsidRDefault="00092C82" w:rsidP="00ED20D6">
      <w:pPr>
        <w:pStyle w:val="naisf"/>
        <w:ind w:firstLine="0"/>
      </w:pPr>
    </w:p>
    <w:tbl>
      <w:tblPr>
        <w:tblpPr w:leftFromText="180" w:rightFromText="180" w:vertAnchor="text" w:horzAnchor="margin" w:tblpXSpec="center" w:tblpY="149"/>
        <w:tblW w:w="101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5"/>
        <w:gridCol w:w="4557"/>
        <w:gridCol w:w="5160"/>
      </w:tblGrid>
      <w:tr w:rsidR="00ED20D6" w:rsidRPr="00ED20D6" w:rsidTr="00ED20D6">
        <w:trPr>
          <w:tblCellSpacing w:w="0" w:type="dxa"/>
        </w:trPr>
        <w:tc>
          <w:tcPr>
            <w:tcW w:w="10132" w:type="dxa"/>
            <w:gridSpan w:val="3"/>
            <w:vAlign w:val="center"/>
          </w:tcPr>
          <w:p w:rsidR="00ED20D6" w:rsidRPr="00ED20D6" w:rsidRDefault="00ED20D6" w:rsidP="00424628">
            <w:pPr>
              <w:pStyle w:val="naisnod"/>
            </w:pPr>
            <w:r w:rsidRPr="00ED20D6">
              <w:t>II Tiesību akta projekta ietekme uz sabiedrību</w:t>
            </w:r>
          </w:p>
        </w:tc>
      </w:tr>
      <w:tr w:rsidR="00ED20D6" w:rsidRPr="00ED20D6" w:rsidTr="00ED20D6">
        <w:trPr>
          <w:trHeight w:val="983"/>
          <w:tblCellSpacing w:w="0" w:type="dxa"/>
        </w:trPr>
        <w:tc>
          <w:tcPr>
            <w:tcW w:w="415" w:type="dxa"/>
            <w:vAlign w:val="center"/>
          </w:tcPr>
          <w:p w:rsidR="00ED20D6" w:rsidRPr="00ED20D6" w:rsidRDefault="00ED20D6" w:rsidP="00424628">
            <w:pPr>
              <w:pStyle w:val="naiskr"/>
              <w:spacing w:before="0" w:after="0"/>
              <w:ind w:left="180" w:hanging="180"/>
              <w:jc w:val="center"/>
            </w:pPr>
            <w:r w:rsidRPr="00ED20D6">
              <w:t>1.</w:t>
            </w:r>
          </w:p>
        </w:tc>
        <w:tc>
          <w:tcPr>
            <w:tcW w:w="4557" w:type="dxa"/>
            <w:vAlign w:val="center"/>
          </w:tcPr>
          <w:p w:rsidR="00ED20D6" w:rsidRPr="00ED20D6" w:rsidRDefault="00ED20D6" w:rsidP="00424628">
            <w:pPr>
              <w:pStyle w:val="naiskr"/>
              <w:spacing w:before="0" w:after="0"/>
              <w:ind w:left="170"/>
            </w:pPr>
            <w:r w:rsidRPr="00ED20D6">
              <w:t>Sabiedrības mērķgrupa</w:t>
            </w:r>
          </w:p>
        </w:tc>
        <w:tc>
          <w:tcPr>
            <w:tcW w:w="5160" w:type="dxa"/>
            <w:vAlign w:val="center"/>
          </w:tcPr>
          <w:p w:rsidR="00ED20D6" w:rsidRPr="00ED20D6" w:rsidRDefault="00ED20D6" w:rsidP="00424628">
            <w:pPr>
              <w:pStyle w:val="MKNormal"/>
              <w:framePr w:hSpace="0" w:wrap="auto" w:vAnchor="margin" w:hAnchor="text" w:xAlign="left" w:yAlign="inline"/>
              <w:spacing w:before="0" w:after="0"/>
            </w:pPr>
            <w:r w:rsidRPr="00ED20D6">
              <w:rPr>
                <w:i/>
              </w:rPr>
              <w:t xml:space="preserve"> </w:t>
            </w:r>
            <w:r w:rsidRPr="00ED20D6">
              <w:t xml:space="preserve">Personas, kurām nav pieejama garīdznieka aprūpe, un proti, ieslodzījuma vietās esošās personas, karavīri, personas, kuras atrodas ārstniecības vai sociālās aprūpes iestādes, ostu vai sauszemes transporta staciju apmeklētāji. </w:t>
            </w:r>
          </w:p>
          <w:p w:rsidR="00ED20D6" w:rsidRPr="00ED20D6" w:rsidRDefault="00ED20D6" w:rsidP="00424628">
            <w:pPr>
              <w:pStyle w:val="MKNormal"/>
              <w:framePr w:hSpace="0" w:wrap="auto" w:vAnchor="margin" w:hAnchor="text" w:xAlign="left" w:yAlign="inline"/>
              <w:spacing w:before="0" w:after="0"/>
            </w:pPr>
            <w:r w:rsidRPr="00ED20D6">
              <w:t>12 reliģiskās savienības (baznīcas), kuras nodrošina kapelānu dienesta darbību.</w:t>
            </w:r>
          </w:p>
          <w:p w:rsidR="00ED20D6" w:rsidRPr="00ED20D6" w:rsidRDefault="00ED20D6" w:rsidP="00424628">
            <w:pPr>
              <w:pStyle w:val="MKNormal"/>
              <w:framePr w:hSpace="0" w:wrap="auto" w:vAnchor="margin" w:hAnchor="text" w:xAlign="left" w:yAlign="inline"/>
              <w:spacing w:before="0" w:after="0"/>
            </w:pPr>
            <w:r w:rsidRPr="00ED20D6">
              <w:t>Minēto mērķgrupu skaitliskais īpatsvars ir nenosakāms, jo:</w:t>
            </w:r>
          </w:p>
          <w:p w:rsidR="00ED20D6" w:rsidRPr="00ED20D6" w:rsidRDefault="00ED20D6" w:rsidP="00424628">
            <w:pPr>
              <w:pStyle w:val="MKNormal"/>
              <w:framePr w:hSpace="0" w:wrap="auto" w:vAnchor="margin" w:hAnchor="text" w:xAlign="left" w:yAlign="inline"/>
              <w:spacing w:before="0" w:after="0"/>
            </w:pPr>
            <w:r w:rsidRPr="00ED20D6">
              <w:lastRenderedPageBreak/>
              <w:t>tas ir mainīgs;</w:t>
            </w:r>
          </w:p>
          <w:p w:rsidR="00ED20D6" w:rsidRPr="00ED20D6" w:rsidRDefault="00ED20D6" w:rsidP="00424628">
            <w:pPr>
              <w:pStyle w:val="MKNormal"/>
              <w:framePr w:hSpace="0" w:wrap="auto" w:vAnchor="margin" w:hAnchor="text" w:xAlign="left" w:yAlign="inline"/>
              <w:spacing w:before="0" w:after="0"/>
            </w:pPr>
            <w:r w:rsidRPr="00ED20D6">
              <w:t>nav veikts minētā jautājuma pētījums.</w:t>
            </w:r>
          </w:p>
          <w:p w:rsidR="00ED20D6" w:rsidRPr="00ED20D6" w:rsidRDefault="00ED20D6" w:rsidP="00424628">
            <w:pPr>
              <w:pStyle w:val="MKNormal"/>
              <w:framePr w:hSpace="0" w:wrap="auto" w:vAnchor="margin" w:hAnchor="text" w:xAlign="left" w:yAlign="inline"/>
              <w:spacing w:before="0" w:after="0"/>
            </w:pPr>
            <w:r w:rsidRPr="00ED20D6">
              <w:t xml:space="preserve">Saskaņā ar reliģisko organizāciju sniegto informāciju 2008.gadā to reliģisko organizāciju, kuras piedalās kapelānu dienesta darbībā, locekļu skaits ir 1 324 134 Pēc būtības katra no minētajām personām var gan pildīt kapelāna amata pienākumus, gan arī saņemt kapelāna palīdzību. </w:t>
            </w:r>
          </w:p>
        </w:tc>
      </w:tr>
      <w:tr w:rsidR="00ED20D6" w:rsidRPr="00ED20D6" w:rsidTr="00ED20D6">
        <w:trPr>
          <w:trHeight w:val="523"/>
          <w:tblCellSpacing w:w="0" w:type="dxa"/>
        </w:trPr>
        <w:tc>
          <w:tcPr>
            <w:tcW w:w="415" w:type="dxa"/>
            <w:vAlign w:val="center"/>
          </w:tcPr>
          <w:p w:rsidR="00ED20D6" w:rsidRPr="00ED20D6" w:rsidRDefault="00ED20D6" w:rsidP="00424628">
            <w:pPr>
              <w:pStyle w:val="naiskr"/>
              <w:jc w:val="center"/>
            </w:pPr>
            <w:r w:rsidRPr="00ED20D6">
              <w:lastRenderedPageBreak/>
              <w:t>2.</w:t>
            </w:r>
          </w:p>
        </w:tc>
        <w:tc>
          <w:tcPr>
            <w:tcW w:w="4557" w:type="dxa"/>
            <w:vAlign w:val="center"/>
          </w:tcPr>
          <w:p w:rsidR="00ED20D6" w:rsidRPr="00ED20D6" w:rsidRDefault="00ED20D6" w:rsidP="00424628">
            <w:pPr>
              <w:pStyle w:val="naiskr"/>
              <w:ind w:left="170"/>
            </w:pPr>
            <w:r w:rsidRPr="00ED20D6">
              <w:t>Citas sabiedrības grupas (bez mērķgrupas), kuras tiesiskais regulējums arī ietekmē vai varētu ietekmēt</w:t>
            </w:r>
          </w:p>
        </w:tc>
        <w:tc>
          <w:tcPr>
            <w:tcW w:w="5160" w:type="dxa"/>
            <w:vAlign w:val="center"/>
          </w:tcPr>
          <w:p w:rsidR="00ED20D6" w:rsidRPr="00ED20D6" w:rsidRDefault="00ED20D6" w:rsidP="00092C82">
            <w:r w:rsidRPr="00ED20D6">
              <w:t xml:space="preserve">Personu, kurām nav pieejama garīdznieka aprūpe, radinieki, kuriem kapelāns var sniegt palīdzību (it īpaši tas attiecās uz karavīru un ārstniecības iestādēs atrodošos personu radiniekiem). </w:t>
            </w:r>
          </w:p>
          <w:p w:rsidR="00ED20D6" w:rsidRPr="00ED20D6" w:rsidRDefault="00ED20D6" w:rsidP="00476223">
            <w:r w:rsidRPr="00ED20D6">
              <w:t>Minēto mērķgrupu skaitliskais īpatsvars ir nenosakāms, jo:</w:t>
            </w:r>
          </w:p>
          <w:p w:rsidR="00ED20D6" w:rsidRPr="00ED20D6" w:rsidRDefault="00ED20D6" w:rsidP="00092C82">
            <w:r w:rsidRPr="00ED20D6">
              <w:t>tas ir mainīgs;</w:t>
            </w:r>
          </w:p>
          <w:p w:rsidR="00ED20D6" w:rsidRPr="00ED20D6" w:rsidRDefault="00ED20D6" w:rsidP="00ED20D6">
            <w:r w:rsidRPr="00ED20D6">
              <w:t xml:space="preserve">nav veikts minētā jautājuma pētījums.  </w:t>
            </w:r>
            <w:r w:rsidRPr="00ED20D6">
              <w:rPr>
                <w:iCs/>
              </w:rPr>
              <w:t xml:space="preserve"> </w:t>
            </w:r>
          </w:p>
        </w:tc>
      </w:tr>
      <w:tr w:rsidR="00ED20D6" w:rsidRPr="00ED20D6" w:rsidTr="00ED20D6">
        <w:trPr>
          <w:trHeight w:val="517"/>
          <w:tblCellSpacing w:w="0" w:type="dxa"/>
        </w:trPr>
        <w:tc>
          <w:tcPr>
            <w:tcW w:w="415" w:type="dxa"/>
            <w:vAlign w:val="center"/>
          </w:tcPr>
          <w:p w:rsidR="00ED20D6" w:rsidRPr="00ED20D6" w:rsidRDefault="00ED20D6" w:rsidP="00424628">
            <w:pPr>
              <w:pStyle w:val="naiskr"/>
              <w:jc w:val="center"/>
            </w:pPr>
            <w:r w:rsidRPr="00ED20D6">
              <w:t>3.</w:t>
            </w:r>
          </w:p>
        </w:tc>
        <w:tc>
          <w:tcPr>
            <w:tcW w:w="4557" w:type="dxa"/>
            <w:vAlign w:val="center"/>
          </w:tcPr>
          <w:p w:rsidR="00ED20D6" w:rsidRPr="00ED20D6" w:rsidRDefault="00ED20D6" w:rsidP="00424628">
            <w:pPr>
              <w:pStyle w:val="naiskr"/>
              <w:ind w:left="170"/>
            </w:pPr>
            <w:r w:rsidRPr="00ED20D6">
              <w:t xml:space="preserve">Tiesiskā regulējuma finansiālā ietekme </w:t>
            </w:r>
          </w:p>
        </w:tc>
        <w:tc>
          <w:tcPr>
            <w:tcW w:w="5160" w:type="dxa"/>
            <w:vAlign w:val="center"/>
          </w:tcPr>
          <w:p w:rsidR="00ED20D6" w:rsidRPr="00ED20D6" w:rsidRDefault="00ED20D6" w:rsidP="00424628">
            <w:pPr>
              <w:pStyle w:val="naiskr"/>
              <w:rPr>
                <w:i/>
              </w:rPr>
            </w:pPr>
            <w:r w:rsidRPr="00ED20D6">
              <w:rPr>
                <w:i/>
              </w:rPr>
              <w:t xml:space="preserve"> </w:t>
            </w:r>
            <w:r w:rsidRPr="00ED20D6">
              <w:rPr>
                <w:bCs/>
              </w:rPr>
              <w:t>Nav attiecināms.</w:t>
            </w:r>
          </w:p>
        </w:tc>
      </w:tr>
      <w:tr w:rsidR="00ED20D6" w:rsidRPr="00ED20D6" w:rsidTr="00ED20D6">
        <w:trPr>
          <w:trHeight w:val="517"/>
          <w:tblCellSpacing w:w="0" w:type="dxa"/>
        </w:trPr>
        <w:tc>
          <w:tcPr>
            <w:tcW w:w="415" w:type="dxa"/>
            <w:vAlign w:val="center"/>
          </w:tcPr>
          <w:p w:rsidR="00ED20D6" w:rsidRPr="00ED20D6" w:rsidRDefault="00ED20D6" w:rsidP="00424628">
            <w:pPr>
              <w:pStyle w:val="naiskr"/>
              <w:jc w:val="center"/>
            </w:pPr>
            <w:r w:rsidRPr="00ED20D6">
              <w:t>4.</w:t>
            </w:r>
          </w:p>
        </w:tc>
        <w:tc>
          <w:tcPr>
            <w:tcW w:w="4557" w:type="dxa"/>
            <w:vAlign w:val="center"/>
          </w:tcPr>
          <w:p w:rsidR="00ED20D6" w:rsidRPr="00ED20D6" w:rsidRDefault="00ED20D6" w:rsidP="00424628">
            <w:pPr>
              <w:pStyle w:val="naiskr"/>
              <w:ind w:left="170"/>
            </w:pPr>
            <w:r w:rsidRPr="00ED20D6">
              <w:t>Tiesiskā regulējuma nefinansiālā ietekme</w:t>
            </w:r>
          </w:p>
        </w:tc>
        <w:tc>
          <w:tcPr>
            <w:tcW w:w="5160" w:type="dxa"/>
            <w:vAlign w:val="center"/>
          </w:tcPr>
          <w:p w:rsidR="00ED20D6" w:rsidRPr="00ED20D6" w:rsidRDefault="00ED20D6" w:rsidP="00092C82">
            <w:pPr>
              <w:pStyle w:val="naiskr"/>
            </w:pPr>
            <w:r w:rsidRPr="00ED20D6">
              <w:t xml:space="preserve">Projektā ietvertais regulējums precizē jau pastāvošo kārtību, kādā tiek organizēts kapelānu dienests. Projektā atrunātais regulējums nemaina spēkā esošo kapelānu dienesta darbību attiecībā uz personām, kuras saņem kapelāna aprūpi. Ar jauno regulējumu tiek konkrēti atrunāta kārtība, kādā kapelāns var būt pieņemts darbā, kā arī atrunāts, ka darba tiesiskās attiecības ar kapelānu var būt izbeigtas, pamatojoties uz reliģiskās savienības (baznīcas) paziņojumu par kapelāna profesionālo spēju neatbilstību. Tādējādi jaunais regulējums lielākoties attiecās uz kapelānu statusu un viņa darbības priekšnoteikumiem. Pēc reliģisko savienību (baznīcu) lūguma tiek paplašināts to reliģisko savienību (baznīcu) loks, kurām ir tiesības izvirzīt kapelānu amatam. Projektā tiek noteiktā arī kapelānu asociācijas kompetence sniegt atzinumu par kapelāna profesionālajām spējām, ja iestāde šādu atzinumu pieprasa. </w:t>
            </w:r>
          </w:p>
        </w:tc>
      </w:tr>
      <w:tr w:rsidR="00ED20D6" w:rsidRPr="00ED20D6" w:rsidTr="00ED20D6">
        <w:trPr>
          <w:trHeight w:val="402"/>
          <w:tblCellSpacing w:w="0" w:type="dxa"/>
        </w:trPr>
        <w:tc>
          <w:tcPr>
            <w:tcW w:w="415" w:type="dxa"/>
            <w:vAlign w:val="center"/>
          </w:tcPr>
          <w:p w:rsidR="00ED20D6" w:rsidRPr="00ED20D6" w:rsidRDefault="00ED20D6" w:rsidP="00424628">
            <w:pPr>
              <w:pStyle w:val="naiskr"/>
              <w:jc w:val="center"/>
            </w:pPr>
            <w:r w:rsidRPr="00ED20D6">
              <w:t>5.</w:t>
            </w:r>
          </w:p>
        </w:tc>
        <w:tc>
          <w:tcPr>
            <w:tcW w:w="4557" w:type="dxa"/>
            <w:vAlign w:val="center"/>
          </w:tcPr>
          <w:p w:rsidR="00ED20D6" w:rsidRPr="00ED20D6" w:rsidRDefault="00ED20D6" w:rsidP="00424628">
            <w:pPr>
              <w:pStyle w:val="naiskr"/>
              <w:ind w:left="170"/>
            </w:pPr>
            <w:r w:rsidRPr="00ED20D6">
              <w:t>Administratīvās procedūras raksturojums</w:t>
            </w:r>
          </w:p>
        </w:tc>
        <w:tc>
          <w:tcPr>
            <w:tcW w:w="5160" w:type="dxa"/>
            <w:vAlign w:val="center"/>
          </w:tcPr>
          <w:p w:rsidR="00ED20D6" w:rsidRPr="00ED20D6" w:rsidRDefault="00ED20D6" w:rsidP="00424628">
            <w:pPr>
              <w:pStyle w:val="naiskr"/>
              <w:rPr>
                <w:i/>
              </w:rPr>
            </w:pPr>
            <w:r w:rsidRPr="00ED20D6">
              <w:rPr>
                <w:i/>
                <w:iCs/>
              </w:rPr>
              <w:t xml:space="preserve"> </w:t>
            </w:r>
            <w:r w:rsidRPr="00ED20D6">
              <w:rPr>
                <w:bCs/>
              </w:rPr>
              <w:t>Nav attiecināms</w:t>
            </w:r>
          </w:p>
        </w:tc>
      </w:tr>
      <w:tr w:rsidR="00ED20D6" w:rsidRPr="00ED20D6" w:rsidTr="00ED20D6">
        <w:trPr>
          <w:trHeight w:val="521"/>
          <w:tblCellSpacing w:w="0" w:type="dxa"/>
        </w:trPr>
        <w:tc>
          <w:tcPr>
            <w:tcW w:w="415" w:type="dxa"/>
            <w:vAlign w:val="center"/>
          </w:tcPr>
          <w:p w:rsidR="00ED20D6" w:rsidRPr="00ED20D6" w:rsidRDefault="00ED20D6" w:rsidP="00424628">
            <w:pPr>
              <w:pStyle w:val="naiskr"/>
              <w:jc w:val="center"/>
            </w:pPr>
            <w:r w:rsidRPr="00ED20D6">
              <w:t>6.</w:t>
            </w:r>
          </w:p>
        </w:tc>
        <w:tc>
          <w:tcPr>
            <w:tcW w:w="4557" w:type="dxa"/>
            <w:vAlign w:val="center"/>
          </w:tcPr>
          <w:p w:rsidR="00ED20D6" w:rsidRPr="00ED20D6" w:rsidRDefault="00ED20D6" w:rsidP="00424628">
            <w:pPr>
              <w:pStyle w:val="naiskr"/>
              <w:ind w:left="170"/>
            </w:pPr>
            <w:r w:rsidRPr="00ED20D6">
              <w:t>Administratīvo izmaksu monetārs novērtējums</w:t>
            </w:r>
          </w:p>
        </w:tc>
        <w:tc>
          <w:tcPr>
            <w:tcW w:w="5160" w:type="dxa"/>
            <w:vAlign w:val="center"/>
          </w:tcPr>
          <w:p w:rsidR="00ED20D6" w:rsidRPr="00ED20D6" w:rsidRDefault="00ED20D6" w:rsidP="00424628">
            <w:pPr>
              <w:pStyle w:val="naiskr"/>
              <w:rPr>
                <w:i/>
              </w:rPr>
            </w:pPr>
            <w:r w:rsidRPr="00ED20D6">
              <w:rPr>
                <w:i/>
                <w:iCs/>
              </w:rPr>
              <w:t xml:space="preserve"> </w:t>
            </w:r>
            <w:r w:rsidRPr="00ED20D6">
              <w:rPr>
                <w:bCs/>
              </w:rPr>
              <w:t>Nav attiecināms.</w:t>
            </w:r>
          </w:p>
        </w:tc>
      </w:tr>
      <w:tr w:rsidR="00ED20D6" w:rsidRPr="00ED20D6" w:rsidTr="00ED20D6">
        <w:trPr>
          <w:tblCellSpacing w:w="0" w:type="dxa"/>
        </w:trPr>
        <w:tc>
          <w:tcPr>
            <w:tcW w:w="415" w:type="dxa"/>
            <w:vAlign w:val="center"/>
          </w:tcPr>
          <w:p w:rsidR="00ED20D6" w:rsidRPr="00ED20D6" w:rsidRDefault="00ED20D6" w:rsidP="00424628">
            <w:pPr>
              <w:pStyle w:val="naiskr"/>
              <w:jc w:val="center"/>
            </w:pPr>
            <w:r w:rsidRPr="00ED20D6">
              <w:t>7.</w:t>
            </w:r>
          </w:p>
        </w:tc>
        <w:tc>
          <w:tcPr>
            <w:tcW w:w="4557" w:type="dxa"/>
            <w:vAlign w:val="center"/>
          </w:tcPr>
          <w:p w:rsidR="00ED20D6" w:rsidRPr="00ED20D6" w:rsidRDefault="00ED20D6" w:rsidP="00424628">
            <w:pPr>
              <w:pStyle w:val="naiskr"/>
              <w:ind w:left="170"/>
            </w:pPr>
            <w:r w:rsidRPr="00ED20D6">
              <w:t>Cita informācija.</w:t>
            </w:r>
          </w:p>
        </w:tc>
        <w:tc>
          <w:tcPr>
            <w:tcW w:w="5160" w:type="dxa"/>
            <w:vAlign w:val="center"/>
          </w:tcPr>
          <w:p w:rsidR="00ED20D6" w:rsidRPr="00ED20D6" w:rsidRDefault="00ED20D6" w:rsidP="00424628">
            <w:pPr>
              <w:pStyle w:val="naiskr"/>
            </w:pPr>
            <w:r w:rsidRPr="00ED20D6">
              <w:t>Nav.</w:t>
            </w:r>
          </w:p>
        </w:tc>
      </w:tr>
    </w:tbl>
    <w:p w:rsidR="00092C82" w:rsidRDefault="00092C82" w:rsidP="00ED20D6">
      <w:pPr>
        <w:pStyle w:val="naisf"/>
        <w:ind w:firstLine="0"/>
      </w:pPr>
    </w:p>
    <w:p w:rsidR="00092C82" w:rsidRPr="00ED20D6" w:rsidRDefault="00092C82" w:rsidP="00ED20D6">
      <w:pPr>
        <w:pStyle w:val="naisf"/>
        <w:ind w:firstLine="0"/>
      </w:pPr>
    </w:p>
    <w:p w:rsidR="00ED20D6" w:rsidRPr="00092C82" w:rsidRDefault="00ED20D6" w:rsidP="00ED20D6">
      <w:pPr>
        <w:pStyle w:val="naisf"/>
        <w:rPr>
          <w:i/>
          <w:sz w:val="28"/>
          <w:szCs w:val="28"/>
        </w:rPr>
      </w:pPr>
      <w:r w:rsidRPr="00092C82">
        <w:rPr>
          <w:i/>
          <w:sz w:val="28"/>
          <w:szCs w:val="28"/>
        </w:rPr>
        <w:t>Anotācijas III, IV un V sadaļa – nav attiecināms.</w:t>
      </w:r>
    </w:p>
    <w:p w:rsidR="00092C82" w:rsidRPr="00ED20D6" w:rsidRDefault="00092C82" w:rsidP="00ED20D6">
      <w:pPr>
        <w:pStyle w:val="naisf"/>
        <w:rPr>
          <w:i/>
        </w:rPr>
      </w:pPr>
    </w:p>
    <w:tbl>
      <w:tblPr>
        <w:tblpPr w:leftFromText="180" w:rightFromText="180" w:vertAnchor="text" w:horzAnchor="margin" w:tblpXSpec="center" w:tblpY="149"/>
        <w:tblW w:w="102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25"/>
        <w:gridCol w:w="4668"/>
        <w:gridCol w:w="5123"/>
      </w:tblGrid>
      <w:tr w:rsidR="00ED20D6" w:rsidRPr="00ED20D6" w:rsidTr="00424628">
        <w:trPr>
          <w:trHeight w:val="264"/>
          <w:tblCellSpacing w:w="0" w:type="dxa"/>
        </w:trPr>
        <w:tc>
          <w:tcPr>
            <w:tcW w:w="10216" w:type="dxa"/>
            <w:gridSpan w:val="3"/>
            <w:vAlign w:val="center"/>
          </w:tcPr>
          <w:p w:rsidR="00ED20D6" w:rsidRPr="00ED20D6" w:rsidRDefault="00ED20D6" w:rsidP="00424628">
            <w:pPr>
              <w:pStyle w:val="naisnod"/>
            </w:pPr>
            <w:r w:rsidRPr="00ED20D6">
              <w:lastRenderedPageBreak/>
              <w:t>VI Sabiedrības līdzdalība un šīs līdzdalības rezultāti</w:t>
            </w:r>
          </w:p>
        </w:tc>
      </w:tr>
      <w:tr w:rsidR="00ED20D6" w:rsidRPr="00ED20D6" w:rsidTr="00424628">
        <w:trPr>
          <w:trHeight w:val="826"/>
          <w:tblCellSpacing w:w="0" w:type="dxa"/>
        </w:trPr>
        <w:tc>
          <w:tcPr>
            <w:tcW w:w="425" w:type="dxa"/>
            <w:vAlign w:val="center"/>
          </w:tcPr>
          <w:p w:rsidR="00ED20D6" w:rsidRPr="00ED20D6" w:rsidRDefault="00ED20D6" w:rsidP="00424628">
            <w:pPr>
              <w:pStyle w:val="naiskr"/>
              <w:ind w:left="180" w:hanging="180"/>
              <w:jc w:val="center"/>
              <w:rPr>
                <w:b/>
              </w:rPr>
            </w:pPr>
            <w:r w:rsidRPr="00ED20D6">
              <w:rPr>
                <w:b/>
              </w:rPr>
              <w:t>1.</w:t>
            </w:r>
          </w:p>
        </w:tc>
        <w:tc>
          <w:tcPr>
            <w:tcW w:w="4668" w:type="dxa"/>
            <w:vAlign w:val="center"/>
          </w:tcPr>
          <w:p w:rsidR="00ED20D6" w:rsidRPr="00ED20D6" w:rsidRDefault="00ED20D6" w:rsidP="00424628">
            <w:pPr>
              <w:pStyle w:val="naiskr"/>
              <w:tabs>
                <w:tab w:val="left" w:pos="170"/>
              </w:tabs>
              <w:ind w:left="170"/>
            </w:pPr>
            <w:r w:rsidRPr="00ED20D6">
              <w:t>Sabiedrības informēšana par projekta izstrādes uzsākšanu</w:t>
            </w:r>
          </w:p>
        </w:tc>
        <w:tc>
          <w:tcPr>
            <w:tcW w:w="5123" w:type="dxa"/>
            <w:vAlign w:val="center"/>
          </w:tcPr>
          <w:p w:rsidR="00ED20D6" w:rsidRPr="00ED20D6" w:rsidRDefault="00ED20D6" w:rsidP="00092C82">
            <w:pPr>
              <w:pStyle w:val="naiskr"/>
            </w:pPr>
            <w:r w:rsidRPr="00ED20D6">
              <w:t xml:space="preserve">Reliģijas lietu Konsultatīvās padomes 2009. gada 30. septembra sēdē tika pieteikts jautājums par nepieciešamību mainīt kapelānu dienesta darbības noteikumus, precizējot un papildinot pašreizējo regulējumu. </w:t>
            </w:r>
          </w:p>
        </w:tc>
      </w:tr>
      <w:tr w:rsidR="00ED20D6" w:rsidRPr="00ED20D6" w:rsidTr="00424628">
        <w:trPr>
          <w:trHeight w:val="725"/>
          <w:tblCellSpacing w:w="0" w:type="dxa"/>
        </w:trPr>
        <w:tc>
          <w:tcPr>
            <w:tcW w:w="425" w:type="dxa"/>
            <w:vAlign w:val="center"/>
          </w:tcPr>
          <w:p w:rsidR="00ED20D6" w:rsidRPr="00ED20D6" w:rsidRDefault="00ED20D6" w:rsidP="00424628">
            <w:pPr>
              <w:pStyle w:val="naiskr"/>
              <w:jc w:val="center"/>
              <w:rPr>
                <w:b/>
              </w:rPr>
            </w:pPr>
            <w:r w:rsidRPr="00ED20D6">
              <w:rPr>
                <w:b/>
              </w:rPr>
              <w:t>2.</w:t>
            </w:r>
          </w:p>
        </w:tc>
        <w:tc>
          <w:tcPr>
            <w:tcW w:w="4668" w:type="dxa"/>
            <w:vAlign w:val="center"/>
          </w:tcPr>
          <w:p w:rsidR="00ED20D6" w:rsidRPr="00ED20D6" w:rsidRDefault="00ED20D6" w:rsidP="00424628">
            <w:pPr>
              <w:pStyle w:val="naiskr"/>
              <w:ind w:left="170"/>
            </w:pPr>
            <w:r w:rsidRPr="00ED20D6">
              <w:t xml:space="preserve">Sabiedrības līdzdalība projekta izstrādē </w:t>
            </w:r>
          </w:p>
        </w:tc>
        <w:tc>
          <w:tcPr>
            <w:tcW w:w="5123" w:type="dxa"/>
            <w:vAlign w:val="center"/>
          </w:tcPr>
          <w:p w:rsidR="00ED20D6" w:rsidRPr="00ED20D6" w:rsidRDefault="00ED20D6" w:rsidP="00092C82">
            <w:pPr>
              <w:pStyle w:val="naiskr"/>
            </w:pPr>
            <w:r w:rsidRPr="00ED20D6">
              <w:t>Reliģiskajām organizācijām, tika nosūtīts sākotnējais projekts, ar aicinājumu sniegt priekšlikumus un iebildumus. 2010.gada 28.janvāra Reliģijas lietu Konsultatīvās padomes sēdē tika izskatīts projekts, kurā daļēji tika ietverti reliģisko organizāciju priekšlikumi.</w:t>
            </w:r>
            <w:r w:rsidRPr="00ED20D6">
              <w:rPr>
                <w:bCs/>
              </w:rPr>
              <w:t xml:space="preserve"> </w:t>
            </w:r>
          </w:p>
        </w:tc>
      </w:tr>
      <w:tr w:rsidR="00ED20D6" w:rsidRPr="00ED20D6" w:rsidTr="00424628">
        <w:trPr>
          <w:trHeight w:val="725"/>
          <w:tblCellSpacing w:w="0" w:type="dxa"/>
        </w:trPr>
        <w:tc>
          <w:tcPr>
            <w:tcW w:w="425" w:type="dxa"/>
            <w:vAlign w:val="center"/>
          </w:tcPr>
          <w:p w:rsidR="00ED20D6" w:rsidRPr="00ED20D6" w:rsidRDefault="00ED20D6" w:rsidP="00B91BD1">
            <w:pPr>
              <w:pStyle w:val="naiskr"/>
              <w:rPr>
                <w:b/>
              </w:rPr>
            </w:pPr>
            <w:r w:rsidRPr="00ED20D6">
              <w:rPr>
                <w:b/>
              </w:rPr>
              <w:t>3.</w:t>
            </w:r>
          </w:p>
        </w:tc>
        <w:tc>
          <w:tcPr>
            <w:tcW w:w="4668" w:type="dxa"/>
            <w:vAlign w:val="center"/>
          </w:tcPr>
          <w:p w:rsidR="00ED20D6" w:rsidRPr="00ED20D6" w:rsidRDefault="00ED20D6" w:rsidP="00B91BD1">
            <w:pPr>
              <w:pStyle w:val="naiskr"/>
              <w:ind w:left="170"/>
            </w:pPr>
            <w:r w:rsidRPr="00ED20D6">
              <w:t xml:space="preserve">Sabiedrības līdzdalības rezultāti </w:t>
            </w:r>
          </w:p>
        </w:tc>
        <w:tc>
          <w:tcPr>
            <w:tcW w:w="5123" w:type="dxa"/>
            <w:vAlign w:val="center"/>
          </w:tcPr>
          <w:p w:rsidR="00ED20D6" w:rsidRPr="00ED20D6" w:rsidRDefault="00ED20D6" w:rsidP="00092C82">
            <w:pPr>
              <w:pStyle w:val="naiskr"/>
              <w:spacing w:before="0" w:after="0"/>
              <w:ind w:firstLine="720"/>
            </w:pPr>
            <w:r w:rsidRPr="00ED20D6">
              <w:t xml:space="preserve"> Reliģijas lietu konsultatīvā padome nevienojas par vienotu nostāju attiecībā uz projekta redakciju. </w:t>
            </w:r>
          </w:p>
          <w:p w:rsidR="00ED20D6" w:rsidRPr="00ED20D6" w:rsidRDefault="00ED20D6" w:rsidP="00092C82">
            <w:pPr>
              <w:pStyle w:val="naiskr"/>
              <w:spacing w:before="0" w:after="0"/>
              <w:ind w:firstLine="720"/>
            </w:pPr>
            <w:r w:rsidRPr="00ED20D6">
              <w:t>Latvijas Evaņģēliski luteriskā Baznīca, Starptautiskās Dieva draudzes Latvijas Vasarsvētku draudžu apvienība, Septītās dienas Adventistu Latvijas draudžu Savienība kopumā atbalstīja projekta redakciju, izsakot redakcionālus precizējumus. Projekts tika attiecīgi precizēts.</w:t>
            </w:r>
          </w:p>
          <w:p w:rsidR="00ED20D6" w:rsidRPr="00ED20D6" w:rsidRDefault="00ED20D6" w:rsidP="00092C82">
            <w:pPr>
              <w:pStyle w:val="naiskr"/>
              <w:spacing w:before="0" w:after="0"/>
              <w:ind w:firstLine="720"/>
            </w:pPr>
            <w:r w:rsidRPr="00ED20D6">
              <w:t xml:space="preserve">Latvijas Pareizticīgā Baznīca izteica priekšlikumu pārveidot kapelāna dienesta struktūru, norādot uz nepieciešamību papildināt projektu ar regulējumu, kas noteiktu „brīvprātīgā kapelāna” darbību. Latvijas Vecticībnieku </w:t>
            </w:r>
            <w:proofErr w:type="spellStart"/>
            <w:r w:rsidRPr="00ED20D6">
              <w:t>Pomoras</w:t>
            </w:r>
            <w:proofErr w:type="spellEnd"/>
            <w:r w:rsidRPr="00ED20D6">
              <w:t xml:space="preserve"> Baznīca atbalstīja minēto ierosinājumu. Norādām, ka pārējās reliģiskās savienības (baznīcas) neizteica atbalstu Latvijas Pareizticīgās Baznīcas un Latvijas Vecticībnieku </w:t>
            </w:r>
            <w:proofErr w:type="spellStart"/>
            <w:r w:rsidRPr="00ED20D6">
              <w:t>Pomoras</w:t>
            </w:r>
            <w:proofErr w:type="spellEnd"/>
            <w:r w:rsidRPr="00ED20D6">
              <w:t xml:space="preserve"> baznīcas ierosinājumu, bet kopumā atbalstīja Tieslietu ministrijas izstrādāto projektu. Līdz ar to tas bija viens no iemesliem, kāpēc jautājums netika sīkāk apspriests. </w:t>
            </w:r>
          </w:p>
          <w:p w:rsidR="00ED20D6" w:rsidRPr="00ED20D6" w:rsidRDefault="00ED20D6" w:rsidP="00092C82">
            <w:pPr>
              <w:autoSpaceDE w:val="0"/>
              <w:autoSpaceDN w:val="0"/>
              <w:adjustRightInd w:val="0"/>
              <w:spacing w:before="0" w:after="0"/>
              <w:ind w:firstLine="720"/>
            </w:pPr>
            <w:r w:rsidRPr="00ED20D6">
              <w:t xml:space="preserve">Reliģisko organizāciju likums un noteikumi Nr.277 nosaka kapelānu dienesta darbību, paredzot noteiktu dienesta darbības sistēmu. Saskaņā ar Reliģisko organizāciju likuma 1. panta 8. punktu kapelāni ir garīgais personāls, kas veic </w:t>
            </w:r>
            <w:r w:rsidRPr="00ED20D6">
              <w:rPr>
                <w:u w:val="single"/>
              </w:rPr>
              <w:t>amata pienākumus</w:t>
            </w:r>
            <w:r w:rsidRPr="00ED20D6">
              <w:t xml:space="preserve"> soda izciešanas vietās, Nacionālo bruņoto spēku formējumos un citur, kur nav pieejama parastā garīdznieka aprūpe. Reliģisko organizāciju likumā ietvertais termins norāda, ka kapelāns ir </w:t>
            </w:r>
            <w:r w:rsidRPr="00ED20D6">
              <w:rPr>
                <w:u w:val="single"/>
              </w:rPr>
              <w:t>amatpersona (darbinieks)</w:t>
            </w:r>
            <w:r w:rsidRPr="00ED20D6">
              <w:t xml:space="preserve">. Saskaņā ar noteikumu Nr.277 (minētie principi ir pārņemti arī projektā) kapelāns ir attiecīgās iestādes darbinieks, kuram ir paredzētas noteiktās prasības un izvirzīšanas kārtība. Kapelāna uzdevums – pirmkārt, kalpot kā </w:t>
            </w:r>
            <w:r w:rsidRPr="00ED20D6">
              <w:rPr>
                <w:u w:val="single"/>
              </w:rPr>
              <w:t>saiknei</w:t>
            </w:r>
            <w:r w:rsidRPr="00ED20D6">
              <w:t xml:space="preserve"> starp cilvēku institūcijā un viņa reliģisko organizāciju; otrkārt, sniegt </w:t>
            </w:r>
            <w:r w:rsidRPr="00ED20D6">
              <w:lastRenderedPageBreak/>
              <w:t xml:space="preserve">garīgo un emocionālo aprūpi visām tām </w:t>
            </w:r>
            <w:r w:rsidRPr="00ED20D6">
              <w:rPr>
                <w:u w:val="single"/>
              </w:rPr>
              <w:t>personām, kuras nepieder</w:t>
            </w:r>
            <w:r w:rsidRPr="00ED20D6">
              <w:t xml:space="preserve"> kādai reliģiskai organizācijai, bet kurām ir nepieciešams atbalsts. Kapelāni organizē garīgās aprūpes sniegšanu iestādē, nodrošinot arī reliģisko organizāciju (arī to, kuras ir uzskaitītas projektā) garīgā personāla, kuri nav kapelāni, dalību aprūpes nodrošināšanā, uzaicinot viņus pēc personas pieprasījuma. Līdz ar to jau tagad darbojas kapelāni un arī reliģisko organizāciju garīgais personāls. Latvijas pareizticīgās Baznīcas priekšlikums pēc būtības bija vērsts uz to, lai arī tos garīdzniekus, kuri atnāk uz noteikto iestādi sauktu par brīvprātīgiem kapelāniem. Līdz ar to šāds priekšlikums nevar būt saistāms ar iespējamu valsts budžeta līdzekļu ietaupījumu, jo jau pašlaik garīgais personāls piedalās garīgās aprūpes sniegšanā brīvprātīgi, nepatērējot valsts budžeta līdzekļus. Noteikumi attiecas tikai uz štata kapelāniem, kuri tiek pieņemti darbā kā institūcijas darbinieki un kuri saņem atalgojumu no institūcijas budžeta. Garīdznieki, kas apmeklē savas konfesijas locekļus, saskaņā ar institūcijā esošo personu vajadzībām un pieprasījuma, nav kapelāni. Garīdznieku pienākumos un uzdevumos ietilpst savas konfesijas piederīgo apmeklējumi pēc viņu lūguma. Lai pildītu šos pienākumus, garīdzniekiem nav obligāti jābūt kapelāniem. Izvērtējot iespēju iekļaut projektā regulējumu par brīvprātīgiem kapelāniem, tika secināts, ka tajā gadījumā būtu izvērtējama arī visas kapelānu dienesta sistēmas darbība. </w:t>
            </w:r>
          </w:p>
          <w:p w:rsidR="00ED20D6" w:rsidRPr="00ED20D6" w:rsidRDefault="00ED20D6" w:rsidP="00092C82">
            <w:pPr>
              <w:pStyle w:val="naiskr"/>
              <w:spacing w:before="0" w:after="0"/>
              <w:ind w:firstLine="720"/>
            </w:pPr>
            <w:r w:rsidRPr="00ED20D6">
              <w:t>Ņemot vērā, ka saskaņā ar likumu „Grozījumi Reliģisko organizāciju likumā” (stājas spēkā 2008. gada 31. decembrī) Reliģisko lietu pārvalde tika reorganizēta un tās veicamās funkcijas sadalītas un nepieciešams grozīt noteikumus Nr.277, paredzot pašreizējai iestāžu kompetencei atbilstošo regulējumu, savukārt šis priekšlikums ir izvērtējams ilgtermiņā, veicot izpēti par citu valstu pieredzi un jaunās sistēmas darbības efektivitāti, priekšlikums netika ņemts vērā izstrādājot projektu.</w:t>
            </w:r>
          </w:p>
          <w:p w:rsidR="00ED20D6" w:rsidRPr="00ED20D6" w:rsidRDefault="00ED20D6" w:rsidP="00092C82">
            <w:pPr>
              <w:pStyle w:val="naiskr"/>
              <w:spacing w:before="0" w:after="0"/>
              <w:ind w:firstLine="720"/>
            </w:pPr>
            <w:r w:rsidRPr="00ED20D6">
              <w:t xml:space="preserve">Latvijas Vasarsvētku draudžu Centrs, </w:t>
            </w:r>
            <w:r w:rsidRPr="00ED20D6">
              <w:rPr>
                <w:rStyle w:val="Strong"/>
                <w:b w:val="0"/>
              </w:rPr>
              <w:t>Latvijas Baptistu draudžu savienība un</w:t>
            </w:r>
            <w:r w:rsidRPr="00ED20D6">
              <w:rPr>
                <w:rStyle w:val="Strong"/>
              </w:rPr>
              <w:t xml:space="preserve"> </w:t>
            </w:r>
            <w:r w:rsidRPr="00ED20D6">
              <w:t xml:space="preserve">Latvijas Dievturu </w:t>
            </w:r>
            <w:proofErr w:type="spellStart"/>
            <w:r w:rsidRPr="00ED20D6">
              <w:t>sadraudze</w:t>
            </w:r>
            <w:proofErr w:type="spellEnd"/>
            <w:r w:rsidRPr="00ED20D6">
              <w:t xml:space="preserve"> kopumā atbalstīja projektu, bet izteica atsevišķus precizējumus un bažas par kapelānu asociāciju tiesībām, kā arī to reliģisko organizāciju loku, kuras ir tiesīgas izvirzīt kapelānu amatam.</w:t>
            </w:r>
          </w:p>
          <w:p w:rsidR="00ED20D6" w:rsidRPr="00ED20D6" w:rsidRDefault="00ED20D6" w:rsidP="00231D6A">
            <w:pPr>
              <w:pStyle w:val="naiskr"/>
              <w:spacing w:before="0" w:after="0"/>
              <w:ind w:firstLine="720"/>
            </w:pPr>
            <w:r w:rsidRPr="00ED20D6">
              <w:t xml:space="preserve">Reliģiskās organizācijas norādīja, ka projekta 9.punkta trešais teikums ir izsakāms šādā </w:t>
            </w:r>
            <w:r w:rsidRPr="00ED20D6">
              <w:lastRenderedPageBreak/>
              <w:t xml:space="preserve">redakcijā: „Attiecīgā iestāde, pamatojoties uz reliģiskās savienības (baznīcas) paziņojumu, izbeidz darba tiesiskās attiecības ar kapelānu”. Šī tiesību normas redakcija paredz </w:t>
            </w:r>
            <w:r w:rsidRPr="00ED20D6">
              <w:rPr>
                <w:bCs/>
                <w:iCs/>
              </w:rPr>
              <w:t>imperatīvu</w:t>
            </w:r>
            <w:r w:rsidRPr="00ED20D6">
              <w:t xml:space="preserve"> regulējumu, ka pārvaldes iestādei </w:t>
            </w:r>
            <w:r w:rsidRPr="00ED20D6">
              <w:rPr>
                <w:iCs/>
              </w:rPr>
              <w:t xml:space="preserve">obligāti </w:t>
            </w:r>
            <w:r w:rsidRPr="00ED20D6">
              <w:t xml:space="preserve">ir jāizbeidz darba tiesiskās attiecības, ja to vēlas reliģiskā organizācija. Tomēr šāds tiesiskais regulējums ir pretrunā ar Darba likuma 29. un 101.pantu, tādējādi ir paredzamas ievērojamas problēmas, ja šāda norma tiks apstrīdēta Satversmes tiesā vai civiltiesiskā kārtībā par darba uzteikuma tiesiskumu. Valsts un pašvaldības iestāde kā darba devējs būs atbildīga par darba uzteikuma tiesiskumu, kuru kapelāns varēs pārsūdzēt tiesā, tātad tieši valsts un pašvaldības iestādei būs jāuzņemas atbildība par negatīvām tiesiskām sekām, ja tiesa uzteikumu atzīs par prettiesisku, lai gan pamats darba uzteikšanai būs tieši reliģiskās organizācijas viedoklis par reliģisku jautājumu. Ņemot vērā minēto iestādei ir jābūt tiesībām izvērtēt reliģiskās savienības (baznīcas) paziņojuma un darba tiesisko attiecību izbeigšanas pamatojumu. Pamatojoties uz minētajiem apsvērumiem reliģisko organizāciju viedoklis netika ņemts vērā. </w:t>
            </w:r>
          </w:p>
        </w:tc>
      </w:tr>
      <w:tr w:rsidR="00ED20D6" w:rsidRPr="00ED20D6" w:rsidTr="00424628">
        <w:trPr>
          <w:trHeight w:val="725"/>
          <w:tblCellSpacing w:w="0" w:type="dxa"/>
        </w:trPr>
        <w:tc>
          <w:tcPr>
            <w:tcW w:w="425" w:type="dxa"/>
            <w:vAlign w:val="center"/>
          </w:tcPr>
          <w:p w:rsidR="00ED20D6" w:rsidRPr="00ED20D6" w:rsidRDefault="00ED20D6" w:rsidP="00B91BD1">
            <w:pPr>
              <w:pStyle w:val="naiskr"/>
              <w:rPr>
                <w:b/>
              </w:rPr>
            </w:pPr>
            <w:r w:rsidRPr="00ED20D6">
              <w:rPr>
                <w:b/>
              </w:rPr>
              <w:lastRenderedPageBreak/>
              <w:t>4.</w:t>
            </w:r>
          </w:p>
        </w:tc>
        <w:tc>
          <w:tcPr>
            <w:tcW w:w="4668" w:type="dxa"/>
            <w:vAlign w:val="center"/>
          </w:tcPr>
          <w:p w:rsidR="00ED20D6" w:rsidRPr="00ED20D6" w:rsidRDefault="00ED20D6" w:rsidP="00B91BD1">
            <w:pPr>
              <w:pStyle w:val="naiskr"/>
              <w:ind w:left="170"/>
            </w:pPr>
            <w:r w:rsidRPr="00ED20D6">
              <w:t>Saeimas un ekspertu līdzdalība</w:t>
            </w:r>
          </w:p>
        </w:tc>
        <w:tc>
          <w:tcPr>
            <w:tcW w:w="5123" w:type="dxa"/>
            <w:vAlign w:val="center"/>
          </w:tcPr>
          <w:p w:rsidR="00ED20D6" w:rsidRPr="00ED20D6" w:rsidRDefault="00ED20D6" w:rsidP="00B91BD1">
            <w:pPr>
              <w:pStyle w:val="naiskr"/>
            </w:pPr>
            <w:r w:rsidRPr="00ED20D6">
              <w:rPr>
                <w:iCs/>
              </w:rPr>
              <w:t xml:space="preserve"> Nav attiecināms.</w:t>
            </w:r>
          </w:p>
        </w:tc>
      </w:tr>
      <w:tr w:rsidR="00ED20D6" w:rsidRPr="00ED20D6" w:rsidTr="00424628">
        <w:trPr>
          <w:trHeight w:val="476"/>
          <w:tblCellSpacing w:w="0" w:type="dxa"/>
        </w:trPr>
        <w:tc>
          <w:tcPr>
            <w:tcW w:w="425" w:type="dxa"/>
            <w:vAlign w:val="center"/>
          </w:tcPr>
          <w:p w:rsidR="00ED20D6" w:rsidRPr="00ED20D6" w:rsidRDefault="00ED20D6" w:rsidP="00B91BD1">
            <w:pPr>
              <w:pStyle w:val="naiskr"/>
              <w:rPr>
                <w:b/>
              </w:rPr>
            </w:pPr>
            <w:r w:rsidRPr="00ED20D6">
              <w:rPr>
                <w:b/>
              </w:rPr>
              <w:t>5.</w:t>
            </w:r>
          </w:p>
        </w:tc>
        <w:tc>
          <w:tcPr>
            <w:tcW w:w="4668" w:type="dxa"/>
            <w:vAlign w:val="center"/>
          </w:tcPr>
          <w:p w:rsidR="00ED20D6" w:rsidRPr="00ED20D6" w:rsidRDefault="00ED20D6" w:rsidP="00B91BD1">
            <w:pPr>
              <w:pStyle w:val="naiskr"/>
              <w:ind w:left="170"/>
            </w:pPr>
            <w:r w:rsidRPr="00ED20D6">
              <w:t>Cita informācija.</w:t>
            </w:r>
          </w:p>
        </w:tc>
        <w:tc>
          <w:tcPr>
            <w:tcW w:w="5123" w:type="dxa"/>
            <w:vAlign w:val="center"/>
          </w:tcPr>
          <w:p w:rsidR="00ED20D6" w:rsidRPr="00ED20D6" w:rsidRDefault="00ED20D6" w:rsidP="00B91BD1">
            <w:pPr>
              <w:pStyle w:val="naiskr"/>
              <w:spacing w:before="0" w:after="0"/>
            </w:pPr>
          </w:p>
          <w:p w:rsidR="00ED20D6" w:rsidRPr="00ED20D6" w:rsidRDefault="00ED20D6" w:rsidP="00B91BD1">
            <w:pPr>
              <w:pStyle w:val="naiskr"/>
            </w:pPr>
            <w:r w:rsidRPr="00ED20D6">
              <w:t>Nav.</w:t>
            </w:r>
          </w:p>
        </w:tc>
      </w:tr>
    </w:tbl>
    <w:p w:rsidR="00ED20D6" w:rsidRPr="00ED20D6" w:rsidRDefault="00ED20D6" w:rsidP="00B91BD1">
      <w:pPr>
        <w:pStyle w:val="naisf"/>
        <w:ind w:firstLine="0"/>
        <w:rPr>
          <w:b/>
        </w:rPr>
      </w:pPr>
    </w:p>
    <w:p w:rsidR="00ED20D6" w:rsidRPr="00ED20D6" w:rsidRDefault="00ED20D6" w:rsidP="00ED20D6">
      <w:pPr>
        <w:pStyle w:val="naisf"/>
      </w:pPr>
    </w:p>
    <w:tbl>
      <w:tblPr>
        <w:tblpPr w:leftFromText="180" w:rightFromText="180" w:vertAnchor="text" w:horzAnchor="margin" w:tblpXSpec="center" w:tblpY="-144"/>
        <w:tblW w:w="100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25"/>
        <w:gridCol w:w="4678"/>
        <w:gridCol w:w="4961"/>
      </w:tblGrid>
      <w:tr w:rsidR="00ED20D6" w:rsidRPr="00ED20D6" w:rsidTr="00ED20D6">
        <w:trPr>
          <w:tblCellSpacing w:w="0" w:type="dxa"/>
        </w:trPr>
        <w:tc>
          <w:tcPr>
            <w:tcW w:w="10064" w:type="dxa"/>
            <w:gridSpan w:val="3"/>
            <w:vAlign w:val="center"/>
          </w:tcPr>
          <w:p w:rsidR="00ED20D6" w:rsidRPr="00ED20D6" w:rsidRDefault="00ED20D6" w:rsidP="00ED20D6">
            <w:pPr>
              <w:pStyle w:val="naisnod"/>
              <w:jc w:val="both"/>
            </w:pPr>
            <w:r w:rsidRPr="00ED20D6">
              <w:lastRenderedPageBreak/>
              <w:t>VII Tiesību akta projekta izpildes nodrošināšana un tās ietekme uz institūcijām</w:t>
            </w:r>
          </w:p>
        </w:tc>
      </w:tr>
      <w:tr w:rsidR="00ED20D6" w:rsidRPr="00ED20D6" w:rsidTr="00ED20D6">
        <w:trPr>
          <w:trHeight w:val="834"/>
          <w:tblCellSpacing w:w="0" w:type="dxa"/>
        </w:trPr>
        <w:tc>
          <w:tcPr>
            <w:tcW w:w="425" w:type="dxa"/>
            <w:vAlign w:val="center"/>
          </w:tcPr>
          <w:p w:rsidR="00ED20D6" w:rsidRPr="00ED20D6" w:rsidRDefault="00ED20D6" w:rsidP="00ED20D6">
            <w:pPr>
              <w:pStyle w:val="naisnod"/>
              <w:ind w:left="180" w:hanging="180"/>
              <w:jc w:val="both"/>
              <w:rPr>
                <w:b w:val="0"/>
              </w:rPr>
            </w:pPr>
            <w:r w:rsidRPr="00ED20D6">
              <w:rPr>
                <w:b w:val="0"/>
              </w:rPr>
              <w:t>1.</w:t>
            </w:r>
          </w:p>
        </w:tc>
        <w:tc>
          <w:tcPr>
            <w:tcW w:w="4678" w:type="dxa"/>
            <w:vAlign w:val="center"/>
          </w:tcPr>
          <w:p w:rsidR="00ED20D6" w:rsidRPr="00ED20D6" w:rsidRDefault="00ED20D6" w:rsidP="00ED20D6">
            <w:pPr>
              <w:pStyle w:val="naisf"/>
              <w:ind w:left="170" w:firstLine="0"/>
            </w:pPr>
            <w:r w:rsidRPr="00ED20D6">
              <w:t xml:space="preserve">Projekta izpildē iesaistītās institūcijas </w:t>
            </w:r>
          </w:p>
        </w:tc>
        <w:tc>
          <w:tcPr>
            <w:tcW w:w="4961" w:type="dxa"/>
            <w:vAlign w:val="center"/>
          </w:tcPr>
          <w:p w:rsidR="00ED20D6" w:rsidRPr="00ED20D6" w:rsidRDefault="00ED20D6" w:rsidP="00ED20D6">
            <w:pPr>
              <w:pStyle w:val="naisnod"/>
              <w:jc w:val="both"/>
              <w:rPr>
                <w:b w:val="0"/>
              </w:rPr>
            </w:pPr>
            <w:r w:rsidRPr="00ED20D6">
              <w:rPr>
                <w:b w:val="0"/>
                <w:iCs/>
              </w:rPr>
              <w:t xml:space="preserve"> Tieslietu ministrija.</w:t>
            </w:r>
          </w:p>
        </w:tc>
      </w:tr>
      <w:tr w:rsidR="00ED20D6" w:rsidRPr="00ED20D6" w:rsidTr="00ED20D6">
        <w:trPr>
          <w:trHeight w:val="879"/>
          <w:tblCellSpacing w:w="0" w:type="dxa"/>
        </w:trPr>
        <w:tc>
          <w:tcPr>
            <w:tcW w:w="425" w:type="dxa"/>
            <w:vAlign w:val="center"/>
          </w:tcPr>
          <w:p w:rsidR="00ED20D6" w:rsidRPr="00ED20D6" w:rsidRDefault="00ED20D6" w:rsidP="00ED20D6">
            <w:pPr>
              <w:pStyle w:val="naisnod"/>
              <w:jc w:val="both"/>
              <w:rPr>
                <w:b w:val="0"/>
              </w:rPr>
            </w:pPr>
            <w:r w:rsidRPr="00ED20D6">
              <w:rPr>
                <w:b w:val="0"/>
              </w:rPr>
              <w:t>2.</w:t>
            </w:r>
          </w:p>
        </w:tc>
        <w:tc>
          <w:tcPr>
            <w:tcW w:w="4678" w:type="dxa"/>
            <w:vAlign w:val="center"/>
          </w:tcPr>
          <w:p w:rsidR="00ED20D6" w:rsidRPr="00ED20D6" w:rsidRDefault="00ED20D6" w:rsidP="00ED20D6">
            <w:pPr>
              <w:pStyle w:val="naisf"/>
              <w:ind w:left="170" w:firstLine="0"/>
            </w:pPr>
            <w:r w:rsidRPr="00ED20D6">
              <w:t xml:space="preserve">Projekta izpildes ietekme uz pārvaldes funkcijām </w:t>
            </w:r>
          </w:p>
        </w:tc>
        <w:tc>
          <w:tcPr>
            <w:tcW w:w="4961" w:type="dxa"/>
            <w:vAlign w:val="center"/>
          </w:tcPr>
          <w:p w:rsidR="00ED20D6" w:rsidRPr="00ED20D6" w:rsidRDefault="00ED20D6" w:rsidP="00ED20D6">
            <w:pPr>
              <w:pStyle w:val="naisnod"/>
              <w:jc w:val="both"/>
              <w:rPr>
                <w:b w:val="0"/>
              </w:rPr>
            </w:pPr>
            <w:r w:rsidRPr="00ED20D6">
              <w:rPr>
                <w:b w:val="0"/>
              </w:rPr>
              <w:t xml:space="preserve"> </w:t>
            </w:r>
            <w:r w:rsidRPr="00ED20D6">
              <w:t xml:space="preserve"> </w:t>
            </w:r>
            <w:r w:rsidRPr="00ED20D6">
              <w:rPr>
                <w:b w:val="0"/>
              </w:rPr>
              <w:t>Normatīvā akta izpilde tiks nodrošināta esošo institūciju ietvaros.</w:t>
            </w:r>
          </w:p>
        </w:tc>
      </w:tr>
      <w:tr w:rsidR="00ED20D6" w:rsidRPr="00ED20D6" w:rsidTr="00ED20D6">
        <w:trPr>
          <w:trHeight w:val="725"/>
          <w:tblCellSpacing w:w="0" w:type="dxa"/>
        </w:trPr>
        <w:tc>
          <w:tcPr>
            <w:tcW w:w="425" w:type="dxa"/>
            <w:vAlign w:val="center"/>
          </w:tcPr>
          <w:p w:rsidR="00ED20D6" w:rsidRPr="00ED20D6" w:rsidRDefault="00ED20D6" w:rsidP="00ED20D6">
            <w:pPr>
              <w:pStyle w:val="naisnod"/>
              <w:jc w:val="both"/>
              <w:rPr>
                <w:b w:val="0"/>
              </w:rPr>
            </w:pPr>
            <w:r w:rsidRPr="00ED20D6">
              <w:rPr>
                <w:b w:val="0"/>
              </w:rPr>
              <w:t>3.</w:t>
            </w:r>
          </w:p>
        </w:tc>
        <w:tc>
          <w:tcPr>
            <w:tcW w:w="4678" w:type="dxa"/>
            <w:vAlign w:val="center"/>
          </w:tcPr>
          <w:p w:rsidR="00ED20D6" w:rsidRPr="00ED20D6" w:rsidRDefault="00ED20D6" w:rsidP="00ED20D6">
            <w:pPr>
              <w:pStyle w:val="naisf"/>
              <w:spacing w:before="0" w:after="0"/>
              <w:ind w:left="170" w:firstLine="0"/>
            </w:pPr>
            <w:r w:rsidRPr="00ED20D6">
              <w:t>Projekta izpildes ietekme uz pārvaldes institucionālo struktūru.</w:t>
            </w:r>
          </w:p>
          <w:p w:rsidR="00ED20D6" w:rsidRPr="00ED20D6" w:rsidRDefault="00ED20D6" w:rsidP="00ED20D6">
            <w:pPr>
              <w:pStyle w:val="naisf"/>
              <w:spacing w:before="0" w:after="0"/>
              <w:ind w:left="350" w:hanging="180"/>
            </w:pPr>
            <w:r w:rsidRPr="00ED20D6">
              <w:t>Jaunu institūciju izveide.</w:t>
            </w:r>
          </w:p>
        </w:tc>
        <w:tc>
          <w:tcPr>
            <w:tcW w:w="4961" w:type="dxa"/>
            <w:vAlign w:val="center"/>
          </w:tcPr>
          <w:p w:rsidR="00ED20D6" w:rsidRPr="00ED20D6" w:rsidRDefault="00ED20D6" w:rsidP="00ED20D6">
            <w:pPr>
              <w:pStyle w:val="naisnod"/>
              <w:spacing w:before="0" w:after="0"/>
              <w:jc w:val="both"/>
              <w:rPr>
                <w:b w:val="0"/>
              </w:rPr>
            </w:pPr>
            <w:r w:rsidRPr="00ED20D6">
              <w:rPr>
                <w:b w:val="0"/>
              </w:rPr>
              <w:t xml:space="preserve">  Normatīvā akta izpilde tiks nodrošināta esošo institūciju ietvaros.</w:t>
            </w:r>
          </w:p>
        </w:tc>
      </w:tr>
      <w:tr w:rsidR="00ED20D6" w:rsidRPr="00ED20D6" w:rsidTr="00ED20D6">
        <w:trPr>
          <w:trHeight w:val="1093"/>
          <w:tblCellSpacing w:w="0" w:type="dxa"/>
        </w:trPr>
        <w:tc>
          <w:tcPr>
            <w:tcW w:w="425" w:type="dxa"/>
            <w:vAlign w:val="center"/>
          </w:tcPr>
          <w:p w:rsidR="00ED20D6" w:rsidRPr="00ED20D6" w:rsidRDefault="00ED20D6" w:rsidP="00ED20D6">
            <w:pPr>
              <w:pStyle w:val="naisnod"/>
              <w:jc w:val="both"/>
              <w:rPr>
                <w:b w:val="0"/>
              </w:rPr>
            </w:pPr>
            <w:r w:rsidRPr="00ED20D6">
              <w:rPr>
                <w:b w:val="0"/>
              </w:rPr>
              <w:t>4.</w:t>
            </w:r>
          </w:p>
        </w:tc>
        <w:tc>
          <w:tcPr>
            <w:tcW w:w="4678" w:type="dxa"/>
            <w:vAlign w:val="center"/>
          </w:tcPr>
          <w:p w:rsidR="00ED20D6" w:rsidRPr="00ED20D6" w:rsidRDefault="00ED20D6" w:rsidP="00ED20D6">
            <w:pPr>
              <w:pStyle w:val="naisf"/>
              <w:spacing w:before="0" w:after="0"/>
              <w:ind w:firstLine="0"/>
            </w:pPr>
            <w:r w:rsidRPr="00ED20D6">
              <w:t>Projekta izpildes ietekme uz pārvaldes institucionālo struktūru.</w:t>
            </w:r>
          </w:p>
          <w:p w:rsidR="00ED20D6" w:rsidRPr="00ED20D6" w:rsidRDefault="00ED20D6" w:rsidP="00ED20D6">
            <w:pPr>
              <w:pStyle w:val="naisf"/>
              <w:spacing w:before="0" w:after="0"/>
              <w:ind w:firstLine="0"/>
            </w:pPr>
            <w:r w:rsidRPr="00ED20D6">
              <w:t>Esošu institūciju likvidācija.</w:t>
            </w:r>
          </w:p>
        </w:tc>
        <w:tc>
          <w:tcPr>
            <w:tcW w:w="4961" w:type="dxa"/>
            <w:vAlign w:val="center"/>
          </w:tcPr>
          <w:p w:rsidR="00ED20D6" w:rsidRPr="00ED20D6" w:rsidRDefault="00ED20D6" w:rsidP="00ED20D6">
            <w:pPr>
              <w:pStyle w:val="naisnod"/>
              <w:spacing w:before="0" w:after="0"/>
              <w:jc w:val="both"/>
              <w:rPr>
                <w:b w:val="0"/>
              </w:rPr>
            </w:pPr>
            <w:r w:rsidRPr="00ED20D6">
              <w:rPr>
                <w:b w:val="0"/>
              </w:rPr>
              <w:t xml:space="preserve"> </w:t>
            </w:r>
            <w:r w:rsidRPr="00ED20D6">
              <w:rPr>
                <w:b w:val="0"/>
                <w:iCs/>
              </w:rPr>
              <w:t>Nav attiecināms.</w:t>
            </w:r>
          </w:p>
        </w:tc>
      </w:tr>
      <w:tr w:rsidR="00ED20D6" w:rsidRPr="00ED20D6" w:rsidTr="00ED20D6">
        <w:trPr>
          <w:trHeight w:val="981"/>
          <w:tblCellSpacing w:w="0" w:type="dxa"/>
        </w:trPr>
        <w:tc>
          <w:tcPr>
            <w:tcW w:w="425" w:type="dxa"/>
            <w:vAlign w:val="center"/>
          </w:tcPr>
          <w:p w:rsidR="00ED20D6" w:rsidRPr="00ED20D6" w:rsidRDefault="00ED20D6" w:rsidP="00ED20D6">
            <w:pPr>
              <w:pStyle w:val="naisnod"/>
              <w:jc w:val="both"/>
              <w:rPr>
                <w:b w:val="0"/>
              </w:rPr>
            </w:pPr>
            <w:r w:rsidRPr="00ED20D6">
              <w:rPr>
                <w:b w:val="0"/>
              </w:rPr>
              <w:t>5.</w:t>
            </w:r>
          </w:p>
        </w:tc>
        <w:tc>
          <w:tcPr>
            <w:tcW w:w="4678" w:type="dxa"/>
            <w:vAlign w:val="center"/>
          </w:tcPr>
          <w:p w:rsidR="00ED20D6" w:rsidRPr="00ED20D6" w:rsidRDefault="00ED20D6" w:rsidP="00ED20D6">
            <w:pPr>
              <w:pStyle w:val="naisf"/>
              <w:spacing w:before="0" w:after="0"/>
              <w:ind w:firstLine="0"/>
            </w:pPr>
            <w:r w:rsidRPr="00ED20D6">
              <w:t>Projekta izpildes ietekme uz pārvaldes institucionālo struktūru.</w:t>
            </w:r>
          </w:p>
          <w:p w:rsidR="00ED20D6" w:rsidRPr="00ED20D6" w:rsidRDefault="00ED20D6" w:rsidP="00ED20D6">
            <w:pPr>
              <w:pStyle w:val="naisf"/>
              <w:spacing w:before="0" w:after="0"/>
              <w:ind w:firstLine="0"/>
            </w:pPr>
            <w:r w:rsidRPr="00ED20D6">
              <w:t>Esošu institūciju reorganizācija.</w:t>
            </w:r>
          </w:p>
        </w:tc>
        <w:tc>
          <w:tcPr>
            <w:tcW w:w="4961" w:type="dxa"/>
            <w:vAlign w:val="center"/>
          </w:tcPr>
          <w:p w:rsidR="00ED20D6" w:rsidRPr="00ED20D6" w:rsidRDefault="00ED20D6" w:rsidP="00ED20D6">
            <w:pPr>
              <w:pStyle w:val="naisnod"/>
              <w:spacing w:before="0" w:after="0"/>
              <w:jc w:val="both"/>
              <w:rPr>
                <w:b w:val="0"/>
              </w:rPr>
            </w:pPr>
            <w:r w:rsidRPr="00ED20D6">
              <w:rPr>
                <w:b w:val="0"/>
                <w:iCs/>
              </w:rPr>
              <w:t xml:space="preserve"> Nav attiecināms.</w:t>
            </w:r>
          </w:p>
        </w:tc>
      </w:tr>
      <w:tr w:rsidR="00ED20D6" w:rsidRPr="00ED20D6" w:rsidTr="00ED20D6">
        <w:trPr>
          <w:trHeight w:val="476"/>
          <w:tblCellSpacing w:w="0" w:type="dxa"/>
        </w:trPr>
        <w:tc>
          <w:tcPr>
            <w:tcW w:w="425" w:type="dxa"/>
            <w:vAlign w:val="center"/>
          </w:tcPr>
          <w:p w:rsidR="00ED20D6" w:rsidRPr="00ED20D6" w:rsidRDefault="00ED20D6" w:rsidP="00ED20D6">
            <w:pPr>
              <w:pStyle w:val="naiskr"/>
            </w:pPr>
            <w:r w:rsidRPr="00ED20D6">
              <w:t>7.</w:t>
            </w:r>
          </w:p>
        </w:tc>
        <w:tc>
          <w:tcPr>
            <w:tcW w:w="4678" w:type="dxa"/>
            <w:vAlign w:val="center"/>
          </w:tcPr>
          <w:p w:rsidR="00ED20D6" w:rsidRPr="00ED20D6" w:rsidRDefault="00ED20D6" w:rsidP="00ED20D6">
            <w:pPr>
              <w:pStyle w:val="naiskr"/>
              <w:ind w:left="170"/>
            </w:pPr>
            <w:r w:rsidRPr="00ED20D6">
              <w:t>Cita informācija.</w:t>
            </w:r>
          </w:p>
        </w:tc>
        <w:tc>
          <w:tcPr>
            <w:tcW w:w="4961" w:type="dxa"/>
            <w:vAlign w:val="center"/>
          </w:tcPr>
          <w:p w:rsidR="00ED20D6" w:rsidRPr="00ED20D6" w:rsidRDefault="00ED20D6" w:rsidP="00ED20D6">
            <w:pPr>
              <w:pStyle w:val="naiskr"/>
              <w:spacing w:before="0" w:after="0"/>
            </w:pPr>
          </w:p>
          <w:p w:rsidR="00ED20D6" w:rsidRPr="00ED20D6" w:rsidRDefault="00ED20D6" w:rsidP="00ED20D6">
            <w:pPr>
              <w:pStyle w:val="naiskr"/>
            </w:pPr>
            <w:r w:rsidRPr="00ED20D6">
              <w:t>Nav.</w:t>
            </w:r>
          </w:p>
        </w:tc>
      </w:tr>
    </w:tbl>
    <w:p w:rsidR="00ED20D6" w:rsidRPr="00ED20D6" w:rsidRDefault="00ED20D6" w:rsidP="00ED20D6">
      <w:pPr>
        <w:pStyle w:val="Pamatteksts21"/>
        <w:rPr>
          <w:sz w:val="24"/>
          <w:szCs w:val="24"/>
        </w:rPr>
      </w:pPr>
    </w:p>
    <w:p w:rsidR="00092C82" w:rsidRDefault="00092C82" w:rsidP="00ED20D6">
      <w:pPr>
        <w:pStyle w:val="Pamatteksts21"/>
        <w:rPr>
          <w:sz w:val="24"/>
          <w:szCs w:val="24"/>
        </w:rPr>
      </w:pPr>
    </w:p>
    <w:p w:rsidR="00ED20D6" w:rsidRPr="00092C82" w:rsidRDefault="00ED20D6" w:rsidP="00ED20D6">
      <w:pPr>
        <w:pStyle w:val="Pamatteksts21"/>
        <w:rPr>
          <w:sz w:val="28"/>
          <w:szCs w:val="28"/>
        </w:rPr>
      </w:pPr>
      <w:r w:rsidRPr="00092C82">
        <w:rPr>
          <w:sz w:val="28"/>
          <w:szCs w:val="28"/>
        </w:rPr>
        <w:t xml:space="preserve">Tieslietu ministrs </w:t>
      </w:r>
      <w:r w:rsidRPr="00092C82">
        <w:rPr>
          <w:sz w:val="28"/>
          <w:szCs w:val="28"/>
        </w:rPr>
        <w:tab/>
      </w:r>
      <w:r w:rsidRPr="00092C82">
        <w:rPr>
          <w:sz w:val="28"/>
          <w:szCs w:val="28"/>
        </w:rPr>
        <w:tab/>
      </w:r>
      <w:r w:rsidRPr="00092C82">
        <w:rPr>
          <w:sz w:val="28"/>
          <w:szCs w:val="28"/>
        </w:rPr>
        <w:tab/>
      </w:r>
      <w:r w:rsidRPr="00092C82">
        <w:rPr>
          <w:sz w:val="28"/>
          <w:szCs w:val="28"/>
        </w:rPr>
        <w:tab/>
      </w:r>
      <w:r w:rsidRPr="00092C82">
        <w:rPr>
          <w:sz w:val="28"/>
          <w:szCs w:val="28"/>
        </w:rPr>
        <w:tab/>
      </w:r>
      <w:r w:rsidRPr="00092C82">
        <w:rPr>
          <w:sz w:val="28"/>
          <w:szCs w:val="28"/>
        </w:rPr>
        <w:tab/>
      </w:r>
      <w:r w:rsidRPr="00092C82">
        <w:rPr>
          <w:sz w:val="28"/>
          <w:szCs w:val="28"/>
        </w:rPr>
        <w:tab/>
        <w:t xml:space="preserve">           A. </w:t>
      </w:r>
      <w:proofErr w:type="spellStart"/>
      <w:r w:rsidRPr="00092C82">
        <w:rPr>
          <w:sz w:val="28"/>
          <w:szCs w:val="28"/>
        </w:rPr>
        <w:t>Štokenbergs</w:t>
      </w:r>
      <w:proofErr w:type="spellEnd"/>
    </w:p>
    <w:p w:rsidR="00092C82" w:rsidRDefault="00B91BD1" w:rsidP="00B91BD1">
      <w:pPr>
        <w:jc w:val="both"/>
      </w:pPr>
      <w:r>
        <w:tab/>
      </w:r>
    </w:p>
    <w:p w:rsidR="00092C82" w:rsidRDefault="00092C82" w:rsidP="00B91BD1">
      <w:pPr>
        <w:jc w:val="both"/>
      </w:pPr>
    </w:p>
    <w:p w:rsidR="00ED20D6" w:rsidRDefault="00B91BD1" w:rsidP="00B91BD1">
      <w:pPr>
        <w:jc w:val="both"/>
      </w:pPr>
      <w:r>
        <w:tab/>
      </w:r>
      <w:r>
        <w:tab/>
      </w:r>
    </w:p>
    <w:p w:rsidR="00092C82" w:rsidRDefault="00092C82" w:rsidP="00B91BD1">
      <w:pPr>
        <w:jc w:val="both"/>
      </w:pPr>
    </w:p>
    <w:p w:rsidR="00092C82" w:rsidRDefault="00092C82" w:rsidP="00B91BD1">
      <w:pPr>
        <w:jc w:val="both"/>
      </w:pPr>
    </w:p>
    <w:p w:rsidR="00092C82" w:rsidRDefault="00092C82" w:rsidP="00B91BD1">
      <w:pPr>
        <w:jc w:val="both"/>
      </w:pPr>
    </w:p>
    <w:p w:rsidR="00092C82" w:rsidRDefault="00092C82" w:rsidP="00B91BD1">
      <w:pPr>
        <w:jc w:val="both"/>
      </w:pPr>
    </w:p>
    <w:p w:rsidR="00092C82" w:rsidRDefault="00092C82" w:rsidP="00B91BD1">
      <w:pPr>
        <w:jc w:val="both"/>
      </w:pPr>
    </w:p>
    <w:p w:rsidR="00092C82" w:rsidRDefault="00092C82" w:rsidP="00B91BD1">
      <w:pPr>
        <w:jc w:val="both"/>
      </w:pPr>
    </w:p>
    <w:p w:rsidR="00092C82" w:rsidRDefault="00092C82" w:rsidP="00B91BD1">
      <w:pPr>
        <w:jc w:val="both"/>
      </w:pPr>
    </w:p>
    <w:p w:rsidR="00092C82" w:rsidRDefault="00092C82" w:rsidP="00B91BD1">
      <w:pPr>
        <w:jc w:val="both"/>
      </w:pPr>
    </w:p>
    <w:p w:rsidR="00092C82" w:rsidRDefault="00092C82" w:rsidP="00B91BD1">
      <w:pPr>
        <w:jc w:val="both"/>
      </w:pPr>
    </w:p>
    <w:p w:rsidR="00092C82" w:rsidRDefault="00092C82" w:rsidP="00B91BD1">
      <w:pPr>
        <w:jc w:val="both"/>
      </w:pPr>
    </w:p>
    <w:p w:rsidR="00092C82" w:rsidRDefault="00092C82" w:rsidP="00B91BD1">
      <w:pPr>
        <w:jc w:val="both"/>
      </w:pPr>
    </w:p>
    <w:p w:rsidR="00092C82" w:rsidRDefault="00092C82" w:rsidP="00B91BD1">
      <w:pPr>
        <w:jc w:val="both"/>
      </w:pPr>
    </w:p>
    <w:p w:rsidR="00092C82" w:rsidRPr="00ED20D6" w:rsidRDefault="00092C82" w:rsidP="00B91BD1">
      <w:pPr>
        <w:jc w:val="both"/>
      </w:pPr>
    </w:p>
    <w:p w:rsidR="00ED20D6" w:rsidRPr="00B91BD1" w:rsidRDefault="00231D6A" w:rsidP="00ED20D6">
      <w:pPr>
        <w:spacing w:before="0" w:after="0"/>
        <w:jc w:val="both"/>
        <w:rPr>
          <w:sz w:val="22"/>
        </w:rPr>
      </w:pPr>
      <w:r>
        <w:rPr>
          <w:sz w:val="22"/>
        </w:rPr>
        <w:t>2</w:t>
      </w:r>
      <w:r w:rsidR="002A22AC">
        <w:rPr>
          <w:sz w:val="22"/>
        </w:rPr>
        <w:t>8</w:t>
      </w:r>
      <w:r w:rsidR="00B91BD1">
        <w:rPr>
          <w:sz w:val="22"/>
        </w:rPr>
        <w:t>.12</w:t>
      </w:r>
      <w:r w:rsidR="00ED20D6" w:rsidRPr="00B91BD1">
        <w:rPr>
          <w:sz w:val="22"/>
        </w:rPr>
        <w:t xml:space="preserve">.2010. </w:t>
      </w:r>
      <w:r w:rsidR="002A22AC">
        <w:rPr>
          <w:sz w:val="22"/>
        </w:rPr>
        <w:t>10:10</w:t>
      </w:r>
    </w:p>
    <w:p w:rsidR="00ED20D6" w:rsidRPr="00B91BD1" w:rsidRDefault="00ED20D6" w:rsidP="00ED20D6">
      <w:pPr>
        <w:spacing w:before="0" w:after="0"/>
        <w:jc w:val="both"/>
        <w:rPr>
          <w:sz w:val="22"/>
        </w:rPr>
      </w:pPr>
      <w:r w:rsidRPr="00B91BD1">
        <w:rPr>
          <w:sz w:val="22"/>
        </w:rPr>
        <w:t>3</w:t>
      </w:r>
      <w:r w:rsidR="00092C82">
        <w:rPr>
          <w:sz w:val="22"/>
        </w:rPr>
        <w:t>849</w:t>
      </w:r>
    </w:p>
    <w:p w:rsidR="00ED20D6" w:rsidRPr="00B91BD1" w:rsidRDefault="00ED20D6" w:rsidP="00ED20D6">
      <w:pPr>
        <w:spacing w:before="0" w:after="0"/>
        <w:jc w:val="both"/>
        <w:rPr>
          <w:sz w:val="22"/>
        </w:rPr>
      </w:pPr>
      <w:r w:rsidRPr="00B91BD1">
        <w:rPr>
          <w:sz w:val="22"/>
        </w:rPr>
        <w:t>D. </w:t>
      </w:r>
      <w:proofErr w:type="spellStart"/>
      <w:r w:rsidRPr="00B91BD1">
        <w:rPr>
          <w:sz w:val="22"/>
        </w:rPr>
        <w:t>Voitiņa</w:t>
      </w:r>
      <w:proofErr w:type="spellEnd"/>
      <w:r w:rsidRPr="00B91BD1">
        <w:rPr>
          <w:sz w:val="22"/>
        </w:rPr>
        <w:t>, 67046135</w:t>
      </w:r>
    </w:p>
    <w:p w:rsidR="00ED20D6" w:rsidRPr="00ED20D6" w:rsidRDefault="004A2B4E" w:rsidP="00B91BD1">
      <w:pPr>
        <w:spacing w:before="0" w:after="0"/>
        <w:jc w:val="both"/>
      </w:pPr>
      <w:hyperlink r:id="rId6" w:history="1">
        <w:r w:rsidR="00ED20D6" w:rsidRPr="00B91BD1">
          <w:rPr>
            <w:rStyle w:val="Hyperlink"/>
            <w:sz w:val="22"/>
          </w:rPr>
          <w:t>Dana.Voitina@tm.gov.lv</w:t>
        </w:r>
      </w:hyperlink>
    </w:p>
    <w:sectPr w:rsidR="00ED20D6" w:rsidRPr="00ED20D6" w:rsidSect="00ED20D6">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0D5" w:rsidRDefault="006C50D5" w:rsidP="00ED20D6">
      <w:pPr>
        <w:spacing w:before="0" w:after="0"/>
      </w:pPr>
      <w:r>
        <w:separator/>
      </w:r>
    </w:p>
  </w:endnote>
  <w:endnote w:type="continuationSeparator" w:id="0">
    <w:p w:rsidR="006C50D5" w:rsidRDefault="006C50D5" w:rsidP="00ED20D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D5" w:rsidRPr="00C45557" w:rsidRDefault="006C50D5" w:rsidP="00424628">
    <w:pPr>
      <w:pStyle w:val="Footer"/>
      <w:jc w:val="both"/>
      <w:rPr>
        <w:sz w:val="20"/>
        <w:szCs w:val="20"/>
      </w:rPr>
    </w:pPr>
    <w:r>
      <w:rPr>
        <w:sz w:val="20"/>
        <w:szCs w:val="20"/>
      </w:rPr>
      <w:t>TMAnot_</w:t>
    </w:r>
    <w:r w:rsidR="002A22AC">
      <w:rPr>
        <w:sz w:val="20"/>
        <w:szCs w:val="20"/>
      </w:rPr>
      <w:t>28</w:t>
    </w:r>
    <w:r>
      <w:rPr>
        <w:sz w:val="20"/>
        <w:szCs w:val="20"/>
      </w:rPr>
      <w:t xml:space="preserve">1210_kap; </w:t>
    </w:r>
    <w:r w:rsidRPr="00A0399F">
      <w:rPr>
        <w:sz w:val="20"/>
        <w:szCs w:val="20"/>
      </w:rPr>
      <w:t>Ministru kabineta noteikumu projekta „Noteikumi par kapelānu dienestu”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D5" w:rsidRPr="00C45557" w:rsidRDefault="002A22AC" w:rsidP="00424628">
    <w:pPr>
      <w:pStyle w:val="Footer"/>
      <w:jc w:val="both"/>
      <w:rPr>
        <w:sz w:val="20"/>
        <w:szCs w:val="20"/>
      </w:rPr>
    </w:pPr>
    <w:r>
      <w:rPr>
        <w:sz w:val="20"/>
        <w:szCs w:val="20"/>
      </w:rPr>
      <w:t>TMAnot_28</w:t>
    </w:r>
    <w:r w:rsidR="006C50D5">
      <w:rPr>
        <w:sz w:val="20"/>
        <w:szCs w:val="20"/>
      </w:rPr>
      <w:t xml:space="preserve">1210_kap; </w:t>
    </w:r>
    <w:r w:rsidR="006C50D5" w:rsidRPr="00A0399F">
      <w:rPr>
        <w:sz w:val="20"/>
        <w:szCs w:val="20"/>
      </w:rPr>
      <w:t>Ministru kabineta noteikumu projekta „Noteikumi par kapelānu dienestu”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0D5" w:rsidRDefault="006C50D5" w:rsidP="00ED20D6">
      <w:pPr>
        <w:spacing w:before="0" w:after="0"/>
      </w:pPr>
      <w:r>
        <w:separator/>
      </w:r>
    </w:p>
  </w:footnote>
  <w:footnote w:type="continuationSeparator" w:id="0">
    <w:p w:rsidR="006C50D5" w:rsidRDefault="006C50D5" w:rsidP="00ED20D6">
      <w:pPr>
        <w:spacing w:before="0" w:after="0"/>
      </w:pPr>
      <w:r>
        <w:continuationSeparator/>
      </w:r>
    </w:p>
  </w:footnote>
  <w:footnote w:id="1">
    <w:p w:rsidR="006C50D5" w:rsidRDefault="006C50D5" w:rsidP="00ED20D6">
      <w:pPr>
        <w:pStyle w:val="FootnoteText"/>
      </w:pPr>
      <w:r>
        <w:rPr>
          <w:rStyle w:val="FootnoteReference"/>
        </w:rPr>
        <w:footnoteRef/>
      </w:r>
      <w:r>
        <w:t xml:space="preserve"> Balodis R.; Baznīcu tiesības.-Rīga, 2002. – 284.lpp.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D5" w:rsidRDefault="004A2B4E" w:rsidP="00424628">
    <w:pPr>
      <w:pStyle w:val="Header"/>
      <w:framePr w:wrap="around" w:vAnchor="text" w:hAnchor="margin" w:xAlign="center" w:y="1"/>
      <w:rPr>
        <w:rStyle w:val="PageNumber"/>
      </w:rPr>
    </w:pPr>
    <w:r>
      <w:rPr>
        <w:rStyle w:val="PageNumber"/>
      </w:rPr>
      <w:fldChar w:fldCharType="begin"/>
    </w:r>
    <w:r w:rsidR="006C50D5">
      <w:rPr>
        <w:rStyle w:val="PageNumber"/>
      </w:rPr>
      <w:instrText xml:space="preserve">PAGE  </w:instrText>
    </w:r>
    <w:r>
      <w:rPr>
        <w:rStyle w:val="PageNumber"/>
      </w:rPr>
      <w:fldChar w:fldCharType="end"/>
    </w:r>
  </w:p>
  <w:p w:rsidR="006C50D5" w:rsidRDefault="006C50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D5" w:rsidRPr="00DB073B" w:rsidRDefault="004A2B4E" w:rsidP="00424628">
    <w:pPr>
      <w:pStyle w:val="Header"/>
      <w:framePr w:wrap="around" w:vAnchor="text" w:hAnchor="margin" w:xAlign="center" w:y="1"/>
      <w:rPr>
        <w:rStyle w:val="PageNumber"/>
        <w:sz w:val="20"/>
        <w:szCs w:val="20"/>
      </w:rPr>
    </w:pPr>
    <w:r w:rsidRPr="00DB073B">
      <w:rPr>
        <w:rStyle w:val="PageNumber"/>
        <w:sz w:val="20"/>
        <w:szCs w:val="20"/>
      </w:rPr>
      <w:fldChar w:fldCharType="begin"/>
    </w:r>
    <w:r w:rsidR="006C50D5" w:rsidRPr="00DB073B">
      <w:rPr>
        <w:rStyle w:val="PageNumber"/>
        <w:sz w:val="20"/>
        <w:szCs w:val="20"/>
      </w:rPr>
      <w:instrText xml:space="preserve">PAGE  </w:instrText>
    </w:r>
    <w:r w:rsidRPr="00DB073B">
      <w:rPr>
        <w:rStyle w:val="PageNumber"/>
        <w:sz w:val="20"/>
        <w:szCs w:val="20"/>
      </w:rPr>
      <w:fldChar w:fldCharType="separate"/>
    </w:r>
    <w:r w:rsidR="002A22AC">
      <w:rPr>
        <w:rStyle w:val="PageNumber"/>
        <w:noProof/>
        <w:sz w:val="20"/>
        <w:szCs w:val="20"/>
      </w:rPr>
      <w:t>16</w:t>
    </w:r>
    <w:r w:rsidRPr="00DB073B">
      <w:rPr>
        <w:rStyle w:val="PageNumber"/>
        <w:sz w:val="20"/>
        <w:szCs w:val="20"/>
      </w:rPr>
      <w:fldChar w:fldCharType="end"/>
    </w:r>
  </w:p>
  <w:p w:rsidR="006C50D5" w:rsidRDefault="006C50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D20D6"/>
    <w:rsid w:val="00015151"/>
    <w:rsid w:val="000322F3"/>
    <w:rsid w:val="00054C71"/>
    <w:rsid w:val="00064613"/>
    <w:rsid w:val="00092C82"/>
    <w:rsid w:val="000F2372"/>
    <w:rsid w:val="00143977"/>
    <w:rsid w:val="001725E0"/>
    <w:rsid w:val="00186C99"/>
    <w:rsid w:val="001A5A29"/>
    <w:rsid w:val="00231D6A"/>
    <w:rsid w:val="00250A78"/>
    <w:rsid w:val="002A22AC"/>
    <w:rsid w:val="002F0B89"/>
    <w:rsid w:val="00313250"/>
    <w:rsid w:val="003C0207"/>
    <w:rsid w:val="003C64F6"/>
    <w:rsid w:val="003D2E15"/>
    <w:rsid w:val="00424628"/>
    <w:rsid w:val="004536D3"/>
    <w:rsid w:val="00476223"/>
    <w:rsid w:val="00482BE2"/>
    <w:rsid w:val="004A2B4E"/>
    <w:rsid w:val="004B79BD"/>
    <w:rsid w:val="004B7D4C"/>
    <w:rsid w:val="004C332C"/>
    <w:rsid w:val="004D1035"/>
    <w:rsid w:val="004E68F1"/>
    <w:rsid w:val="005A55CA"/>
    <w:rsid w:val="005B5DC6"/>
    <w:rsid w:val="005F789B"/>
    <w:rsid w:val="00633015"/>
    <w:rsid w:val="00677FF6"/>
    <w:rsid w:val="006C3BF3"/>
    <w:rsid w:val="006C50D5"/>
    <w:rsid w:val="00744A36"/>
    <w:rsid w:val="007E6719"/>
    <w:rsid w:val="00847F91"/>
    <w:rsid w:val="008868CE"/>
    <w:rsid w:val="0089043D"/>
    <w:rsid w:val="008A1DE2"/>
    <w:rsid w:val="008C58AC"/>
    <w:rsid w:val="00924FC1"/>
    <w:rsid w:val="009510F8"/>
    <w:rsid w:val="00980C0F"/>
    <w:rsid w:val="00985ED5"/>
    <w:rsid w:val="009B590E"/>
    <w:rsid w:val="009D1FEA"/>
    <w:rsid w:val="00A22B72"/>
    <w:rsid w:val="00A4159F"/>
    <w:rsid w:val="00A47B4A"/>
    <w:rsid w:val="00A61043"/>
    <w:rsid w:val="00AA312F"/>
    <w:rsid w:val="00AC64A6"/>
    <w:rsid w:val="00B91BD1"/>
    <w:rsid w:val="00C245ED"/>
    <w:rsid w:val="00C71585"/>
    <w:rsid w:val="00D06FE6"/>
    <w:rsid w:val="00D42031"/>
    <w:rsid w:val="00D52502"/>
    <w:rsid w:val="00DB7230"/>
    <w:rsid w:val="00DC4C40"/>
    <w:rsid w:val="00E01E9B"/>
    <w:rsid w:val="00E05933"/>
    <w:rsid w:val="00E60BE3"/>
    <w:rsid w:val="00E95F73"/>
    <w:rsid w:val="00ED20D6"/>
    <w:rsid w:val="00F17192"/>
    <w:rsid w:val="00F21EB3"/>
    <w:rsid w:val="00F246D0"/>
    <w:rsid w:val="00F3340A"/>
    <w:rsid w:val="00F4343B"/>
    <w:rsid w:val="00F51AFE"/>
    <w:rsid w:val="00F67E3D"/>
    <w:rsid w:val="00FB50A0"/>
    <w:rsid w:val="00FD67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D6"/>
    <w:pPr>
      <w:spacing w:before="75" w:after="75"/>
      <w:jc w:val="left"/>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20D6"/>
    <w:pPr>
      <w:tabs>
        <w:tab w:val="center" w:pos="4153"/>
        <w:tab w:val="right" w:pos="8306"/>
      </w:tabs>
    </w:pPr>
  </w:style>
  <w:style w:type="character" w:customStyle="1" w:styleId="HeaderChar">
    <w:name w:val="Header Char"/>
    <w:basedOn w:val="DefaultParagraphFont"/>
    <w:link w:val="Header"/>
    <w:uiPriority w:val="99"/>
    <w:rsid w:val="00ED20D6"/>
    <w:rPr>
      <w:rFonts w:eastAsia="Times New Roman" w:cs="Times New Roman"/>
      <w:szCs w:val="24"/>
      <w:lang w:eastAsia="lv-LV"/>
    </w:rPr>
  </w:style>
  <w:style w:type="character" w:styleId="PageNumber">
    <w:name w:val="page number"/>
    <w:basedOn w:val="DefaultParagraphFont"/>
    <w:rsid w:val="00ED20D6"/>
  </w:style>
  <w:style w:type="paragraph" w:customStyle="1" w:styleId="naisf">
    <w:name w:val="naisf"/>
    <w:basedOn w:val="Normal"/>
    <w:rsid w:val="00ED20D6"/>
    <w:pPr>
      <w:ind w:firstLine="375"/>
      <w:jc w:val="both"/>
    </w:pPr>
  </w:style>
  <w:style w:type="paragraph" w:customStyle="1" w:styleId="naisnod">
    <w:name w:val="naisnod"/>
    <w:basedOn w:val="Normal"/>
    <w:rsid w:val="00ED20D6"/>
    <w:pPr>
      <w:spacing w:before="150" w:after="150"/>
      <w:jc w:val="center"/>
    </w:pPr>
    <w:rPr>
      <w:b/>
      <w:bCs/>
    </w:rPr>
  </w:style>
  <w:style w:type="paragraph" w:customStyle="1" w:styleId="naislab">
    <w:name w:val="naislab"/>
    <w:basedOn w:val="Normal"/>
    <w:rsid w:val="00ED20D6"/>
    <w:pPr>
      <w:jc w:val="right"/>
    </w:pPr>
  </w:style>
  <w:style w:type="paragraph" w:customStyle="1" w:styleId="naiskr">
    <w:name w:val="naiskr"/>
    <w:basedOn w:val="Normal"/>
    <w:rsid w:val="00ED20D6"/>
  </w:style>
  <w:style w:type="paragraph" w:styleId="FootnoteText">
    <w:name w:val="footnote text"/>
    <w:basedOn w:val="Normal"/>
    <w:link w:val="FootnoteTextChar"/>
    <w:uiPriority w:val="99"/>
    <w:semiHidden/>
    <w:rsid w:val="00ED20D6"/>
    <w:rPr>
      <w:sz w:val="20"/>
      <w:szCs w:val="20"/>
    </w:rPr>
  </w:style>
  <w:style w:type="character" w:customStyle="1" w:styleId="FootnoteTextChar">
    <w:name w:val="Footnote Text Char"/>
    <w:basedOn w:val="DefaultParagraphFont"/>
    <w:link w:val="FootnoteText"/>
    <w:uiPriority w:val="99"/>
    <w:semiHidden/>
    <w:rsid w:val="00ED20D6"/>
    <w:rPr>
      <w:rFonts w:eastAsia="Times New Roman" w:cs="Times New Roman"/>
      <w:sz w:val="20"/>
      <w:szCs w:val="20"/>
      <w:lang w:eastAsia="lv-LV"/>
    </w:rPr>
  </w:style>
  <w:style w:type="paragraph" w:styleId="Footer">
    <w:name w:val="footer"/>
    <w:basedOn w:val="Normal"/>
    <w:link w:val="FooterChar"/>
    <w:rsid w:val="00ED20D6"/>
    <w:pPr>
      <w:tabs>
        <w:tab w:val="center" w:pos="4153"/>
        <w:tab w:val="right" w:pos="8306"/>
      </w:tabs>
    </w:pPr>
  </w:style>
  <w:style w:type="character" w:customStyle="1" w:styleId="FooterChar">
    <w:name w:val="Footer Char"/>
    <w:basedOn w:val="DefaultParagraphFont"/>
    <w:link w:val="Footer"/>
    <w:rsid w:val="00ED20D6"/>
    <w:rPr>
      <w:rFonts w:eastAsia="Times New Roman" w:cs="Times New Roman"/>
      <w:szCs w:val="24"/>
      <w:lang w:eastAsia="lv-LV"/>
    </w:rPr>
  </w:style>
  <w:style w:type="character" w:styleId="Hyperlink">
    <w:name w:val="Hyperlink"/>
    <w:basedOn w:val="DefaultParagraphFont"/>
    <w:rsid w:val="00ED20D6"/>
    <w:rPr>
      <w:color w:val="0000FF"/>
      <w:u w:val="single"/>
    </w:rPr>
  </w:style>
  <w:style w:type="paragraph" w:customStyle="1" w:styleId="MKNormal">
    <w:name w:val="MKNormal"/>
    <w:basedOn w:val="Normal"/>
    <w:link w:val="MKNormalChar"/>
    <w:autoRedefine/>
    <w:rsid w:val="00ED20D6"/>
    <w:pPr>
      <w:framePr w:hSpace="180" w:wrap="around" w:vAnchor="text" w:hAnchor="margin" w:xAlign="center" w:y="149"/>
      <w:ind w:firstLine="720"/>
      <w:jc w:val="both"/>
    </w:pPr>
  </w:style>
  <w:style w:type="character" w:customStyle="1" w:styleId="MKNormalChar">
    <w:name w:val="MKNormal Char"/>
    <w:basedOn w:val="DefaultParagraphFont"/>
    <w:link w:val="MKNormal"/>
    <w:rsid w:val="00ED20D6"/>
    <w:rPr>
      <w:rFonts w:eastAsia="Times New Roman" w:cs="Times New Roman"/>
      <w:szCs w:val="24"/>
      <w:lang w:eastAsia="lv-LV"/>
    </w:rPr>
  </w:style>
  <w:style w:type="character" w:styleId="Strong">
    <w:name w:val="Strong"/>
    <w:basedOn w:val="DefaultParagraphFont"/>
    <w:uiPriority w:val="22"/>
    <w:qFormat/>
    <w:rsid w:val="00ED20D6"/>
    <w:rPr>
      <w:b/>
      <w:bCs/>
    </w:rPr>
  </w:style>
  <w:style w:type="paragraph" w:customStyle="1" w:styleId="Pamatteksts21">
    <w:name w:val="Pamatteksts 21"/>
    <w:basedOn w:val="Normal"/>
    <w:rsid w:val="00ED20D6"/>
    <w:pPr>
      <w:suppressAutoHyphens/>
      <w:spacing w:before="0" w:after="0"/>
      <w:jc w:val="both"/>
    </w:pPr>
    <w:rPr>
      <w:sz w:val="20"/>
      <w:szCs w:val="20"/>
      <w:lang w:eastAsia="ar-SA"/>
    </w:rPr>
  </w:style>
  <w:style w:type="paragraph" w:customStyle="1" w:styleId="naisc">
    <w:name w:val="naisc"/>
    <w:basedOn w:val="Normal"/>
    <w:rsid w:val="00ED20D6"/>
    <w:pPr>
      <w:jc w:val="center"/>
    </w:pPr>
  </w:style>
  <w:style w:type="character" w:styleId="FootnoteReference">
    <w:name w:val="footnote reference"/>
    <w:basedOn w:val="DefaultParagraphFont"/>
    <w:uiPriority w:val="99"/>
    <w:semiHidden/>
    <w:unhideWhenUsed/>
    <w:rsid w:val="00ED20D6"/>
    <w:rPr>
      <w:vertAlign w:val="superscript"/>
    </w:rPr>
  </w:style>
  <w:style w:type="paragraph" w:styleId="BodyTextIndent2">
    <w:name w:val="Body Text Indent 2"/>
    <w:basedOn w:val="Normal"/>
    <w:link w:val="BodyTextIndent2Char"/>
    <w:rsid w:val="00424628"/>
    <w:pPr>
      <w:spacing w:before="0" w:after="120" w:line="480" w:lineRule="auto"/>
      <w:ind w:left="283"/>
    </w:pPr>
  </w:style>
  <w:style w:type="character" w:customStyle="1" w:styleId="BodyTextIndent2Char">
    <w:name w:val="Body Text Indent 2 Char"/>
    <w:basedOn w:val="DefaultParagraphFont"/>
    <w:link w:val="BodyTextIndent2"/>
    <w:rsid w:val="00424628"/>
    <w:rPr>
      <w:rFonts w:eastAsia="Times New Roman" w:cs="Times New Roman"/>
      <w:szCs w:val="24"/>
      <w:lang w:eastAsia="lv-LV"/>
    </w:rPr>
  </w:style>
  <w:style w:type="paragraph" w:styleId="ListParagraph">
    <w:name w:val="List Paragraph"/>
    <w:basedOn w:val="Normal"/>
    <w:uiPriority w:val="34"/>
    <w:qFormat/>
    <w:rsid w:val="00424628"/>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rsid w:val="00092C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a.Voitina@t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16</Pages>
  <Words>20189</Words>
  <Characters>11509</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Ministru kabineta noteikumu projekta "Noteikumi par kapelānu dienestu" sākotnējās ietekmes novērtējuma ziņojums (anotācija)</vt:lpstr>
    </vt:vector>
  </TitlesOfParts>
  <Company>Tieslietu Ministrija</Company>
  <LinksUpToDate>false</LinksUpToDate>
  <CharactersWithSpaces>31635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kapelānu dienestu" sākotnējās ietekmes novērtējuma ziņojums (anotācija)</dc:title>
  <dc:subject>Sākotnējās ietekmes novērtējuma ziņojums (anotācija)</dc:subject>
  <dc:creator>Dana Voitiņa</dc:creator>
  <cp:keywords/>
  <dc:description>Dana.Voitina@tm.gov.lv;
67046135</dc:description>
  <cp:lastModifiedBy>dv1301</cp:lastModifiedBy>
  <cp:revision>10</cp:revision>
  <dcterms:created xsi:type="dcterms:W3CDTF">2010-12-15T07:37:00Z</dcterms:created>
  <dcterms:modified xsi:type="dcterms:W3CDTF">2010-12-28T08:10:00Z</dcterms:modified>
</cp:coreProperties>
</file>