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64" w:rsidRPr="008A4B0B" w:rsidRDefault="00B02BC9" w:rsidP="00BA3F64">
      <w:pPr>
        <w:pStyle w:val="Heading4"/>
        <w:rPr>
          <w:b/>
        </w:rPr>
      </w:pPr>
      <w:r w:rsidRPr="00B02BC9">
        <w:rPr>
          <w:b/>
          <w:sz w:val="28"/>
          <w:szCs w:val="28"/>
        </w:rPr>
        <w:t>Likumprojekta</w:t>
      </w:r>
    </w:p>
    <w:p w:rsidR="00BA3F64" w:rsidRPr="009E68AE" w:rsidRDefault="00BA3F64" w:rsidP="00BA3F64">
      <w:pPr>
        <w:jc w:val="center"/>
        <w:rPr>
          <w:b/>
          <w:sz w:val="28"/>
          <w:szCs w:val="28"/>
        </w:rPr>
      </w:pPr>
      <w:r w:rsidRPr="009E68AE">
        <w:rPr>
          <w:b/>
          <w:sz w:val="28"/>
          <w:szCs w:val="28"/>
        </w:rPr>
        <w:t xml:space="preserve">Grozījumi </w:t>
      </w:r>
      <w:r w:rsidR="00937226">
        <w:rPr>
          <w:b/>
          <w:sz w:val="28"/>
          <w:szCs w:val="28"/>
        </w:rPr>
        <w:t>likumā „Par nekustamā īpašuma ierakstīšanu zemesgrāmatā</w:t>
      </w:r>
      <w:r w:rsidRPr="009E68AE">
        <w:rPr>
          <w:b/>
          <w:sz w:val="28"/>
          <w:szCs w:val="28"/>
        </w:rPr>
        <w:t>”</w:t>
      </w:r>
    </w:p>
    <w:p w:rsidR="00BA3F64" w:rsidRDefault="00BA3F64" w:rsidP="00BA3F64">
      <w:pPr>
        <w:pStyle w:val="naisc"/>
        <w:spacing w:before="0" w:beforeAutospacing="0" w:after="120" w:afterAutospacing="0"/>
        <w:rPr>
          <w:b/>
          <w:sz w:val="28"/>
          <w:szCs w:val="28"/>
        </w:rPr>
      </w:pPr>
      <w:r w:rsidRPr="009E68AE">
        <w:rPr>
          <w:b/>
          <w:sz w:val="28"/>
          <w:szCs w:val="28"/>
        </w:rPr>
        <w:t xml:space="preserve">sākotnējās ietekmes novērtējuma </w:t>
      </w:r>
      <w:smartTag w:uri="schemas-tilde-lv/tildestengine" w:element="veidnes">
        <w:smartTagPr>
          <w:attr w:name="text" w:val="ziņojums"/>
          <w:attr w:name="baseform" w:val="ziņojums"/>
          <w:attr w:name="id" w:val="-1"/>
        </w:smartTagPr>
        <w:r w:rsidRPr="009E68AE">
          <w:rPr>
            <w:b/>
            <w:sz w:val="28"/>
            <w:szCs w:val="28"/>
          </w:rPr>
          <w:t>ziņojums</w:t>
        </w:r>
      </w:smartTag>
      <w:r w:rsidRPr="009E68AE">
        <w:rPr>
          <w:b/>
          <w:sz w:val="28"/>
          <w:szCs w:val="28"/>
        </w:rPr>
        <w:t xml:space="preserve"> (anotācija)</w:t>
      </w:r>
    </w:p>
    <w:p w:rsidR="004B7B6F" w:rsidRPr="009E68AE" w:rsidRDefault="004B7B6F" w:rsidP="00BA3F64">
      <w:pPr>
        <w:pStyle w:val="naisc"/>
        <w:spacing w:before="0" w:beforeAutospacing="0" w:after="120" w:afterAutospacing="0"/>
        <w:rPr>
          <w:b/>
          <w:sz w:val="24"/>
          <w:szCs w:val="24"/>
        </w:rPr>
      </w:pP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1417"/>
        <w:gridCol w:w="7797"/>
      </w:tblGrid>
      <w:tr w:rsidR="00BA3F64" w:rsidRPr="009E68AE">
        <w:trPr>
          <w:trHeight w:val="35"/>
        </w:trPr>
        <w:tc>
          <w:tcPr>
            <w:tcW w:w="9640" w:type="dxa"/>
            <w:gridSpan w:val="3"/>
            <w:tcBorders>
              <w:top w:val="single" w:sz="4" w:space="0" w:color="auto"/>
              <w:left w:val="single" w:sz="4" w:space="0" w:color="auto"/>
              <w:bottom w:val="thickThinLargeGap" w:sz="6" w:space="0" w:color="808080"/>
              <w:right w:val="single" w:sz="4" w:space="0" w:color="auto"/>
            </w:tcBorders>
          </w:tcPr>
          <w:p w:rsidR="00BA3F64" w:rsidRPr="009E68AE" w:rsidRDefault="00BA3F64" w:rsidP="00E13176">
            <w:pPr>
              <w:pStyle w:val="naisc"/>
              <w:spacing w:before="0" w:beforeAutospacing="0" w:after="0" w:afterAutospacing="0"/>
              <w:rPr>
                <w:sz w:val="24"/>
                <w:szCs w:val="24"/>
              </w:rPr>
            </w:pPr>
            <w:r w:rsidRPr="009E68AE">
              <w:rPr>
                <w:b/>
                <w:sz w:val="24"/>
                <w:szCs w:val="24"/>
              </w:rPr>
              <w:t xml:space="preserve">I. Kādēļ normatīvais </w:t>
            </w:r>
            <w:smartTag w:uri="schemas-tilde-lv/tildestengine" w:element="veidnes">
              <w:smartTagPr>
                <w:attr w:name="text" w:val="akts"/>
                <w:attr w:name="baseform" w:val="akts"/>
                <w:attr w:name="id" w:val="-1"/>
              </w:smartTagPr>
              <w:r w:rsidRPr="009E68AE">
                <w:rPr>
                  <w:b/>
                  <w:sz w:val="24"/>
                  <w:szCs w:val="24"/>
                </w:rPr>
                <w:t>akts</w:t>
              </w:r>
            </w:smartTag>
            <w:r w:rsidRPr="009E68AE">
              <w:rPr>
                <w:b/>
                <w:sz w:val="24"/>
                <w:szCs w:val="24"/>
              </w:rPr>
              <w:t xml:space="preserve"> ir vajadzīgs</w:t>
            </w:r>
          </w:p>
        </w:tc>
      </w:tr>
      <w:tr w:rsidR="00BA3F64" w:rsidRPr="009E68AE">
        <w:trPr>
          <w:trHeight w:val="47"/>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f"/>
              <w:spacing w:before="0" w:beforeAutospacing="0" w:after="0" w:afterAutospacing="0"/>
              <w:rPr>
                <w:bCs/>
                <w:szCs w:val="24"/>
              </w:rPr>
            </w:pPr>
            <w:r w:rsidRPr="009E68AE">
              <w:rPr>
                <w:szCs w:val="24"/>
              </w:rPr>
              <w:t>1.</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f"/>
              <w:spacing w:before="0" w:beforeAutospacing="0" w:after="0" w:afterAutospacing="0"/>
              <w:rPr>
                <w:bCs/>
                <w:szCs w:val="24"/>
              </w:rPr>
            </w:pPr>
            <w:r w:rsidRPr="009E68AE">
              <w:rPr>
                <w:szCs w:val="24"/>
              </w:rPr>
              <w:t>Pamatojums</w:t>
            </w:r>
          </w:p>
        </w:tc>
        <w:tc>
          <w:tcPr>
            <w:tcW w:w="7797" w:type="dxa"/>
            <w:tcBorders>
              <w:top w:val="single" w:sz="4" w:space="0" w:color="auto"/>
              <w:left w:val="single" w:sz="4" w:space="0" w:color="auto"/>
              <w:bottom w:val="single" w:sz="4" w:space="0" w:color="auto"/>
              <w:right w:val="single" w:sz="4" w:space="0" w:color="auto"/>
            </w:tcBorders>
          </w:tcPr>
          <w:p w:rsidR="00370A6F" w:rsidRPr="003D0495" w:rsidRDefault="00E464FC" w:rsidP="0039153B">
            <w:pPr>
              <w:jc w:val="both"/>
            </w:pPr>
            <w:r w:rsidRPr="003D0495">
              <w:t xml:space="preserve">Deklarācija par Valda Dombrovska vadītā Ministru kabineta iecerēto darbību </w:t>
            </w:r>
            <w:r w:rsidR="005D4CBD" w:rsidRPr="003D0495">
              <w:t xml:space="preserve">paredz </w:t>
            </w:r>
            <w:r w:rsidR="00F66092" w:rsidRPr="003D0495">
              <w:t xml:space="preserve">būtiski samazināt administratīvo slogu uzņēmējiem un iedzīvotājiem. Tur, kur tas iespējams, ieviest „vienas pieturas" aģentūras principu pārvaldes pakalpojumu sniegšanā.  </w:t>
            </w:r>
          </w:p>
          <w:p w:rsidR="00113DA7" w:rsidRPr="00C93FFB" w:rsidRDefault="00113DA7" w:rsidP="00113DA7">
            <w:pPr>
              <w:jc w:val="both"/>
            </w:pPr>
            <w:r w:rsidRPr="00C93FFB">
              <w:rPr>
                <w:bCs/>
              </w:rPr>
              <w:t>Ar Ministru kabineta 201</w:t>
            </w:r>
            <w:r>
              <w:rPr>
                <w:bCs/>
              </w:rPr>
              <w:t>2</w:t>
            </w:r>
            <w:r w:rsidRPr="00C93FFB">
              <w:rPr>
                <w:bCs/>
              </w:rPr>
              <w:t xml:space="preserve">.gada </w:t>
            </w:r>
            <w:r>
              <w:rPr>
                <w:bCs/>
              </w:rPr>
              <w:t>18</w:t>
            </w:r>
            <w:r w:rsidRPr="00C93FFB">
              <w:rPr>
                <w:bCs/>
              </w:rPr>
              <w:t>.</w:t>
            </w:r>
            <w:r>
              <w:rPr>
                <w:bCs/>
              </w:rPr>
              <w:t>aprīļa</w:t>
            </w:r>
            <w:r w:rsidRPr="00C93FFB">
              <w:rPr>
                <w:bCs/>
              </w:rPr>
              <w:t xml:space="preserve"> rīkojumu Nr.</w:t>
            </w:r>
            <w:r>
              <w:rPr>
                <w:bCs/>
              </w:rPr>
              <w:t>178</w:t>
            </w:r>
            <w:r w:rsidRPr="00C93FFB">
              <w:rPr>
                <w:bCs/>
              </w:rPr>
              <w:t xml:space="preserve">, tika apstiprināts Uzņēmējdarbības vides uzlabošanas pasākumu </w:t>
            </w:r>
            <w:smartTag w:uri="schemas-tilde-lv/tildestengine" w:element="veidnes">
              <w:smartTagPr>
                <w:attr w:name="id" w:val="-1"/>
                <w:attr w:name="baseform" w:val="plāns"/>
                <w:attr w:name="text" w:val="plāns"/>
              </w:smartTagPr>
              <w:r w:rsidRPr="00C93FFB">
                <w:rPr>
                  <w:bCs/>
                </w:rPr>
                <w:t>plāns</w:t>
              </w:r>
            </w:smartTag>
            <w:r w:rsidRPr="00C93FFB">
              <w:rPr>
                <w:bCs/>
              </w:rPr>
              <w:t xml:space="preserve"> 201</w:t>
            </w:r>
            <w:r>
              <w:rPr>
                <w:bCs/>
              </w:rPr>
              <w:t>2</w:t>
            </w:r>
            <w:r w:rsidRPr="00C93FFB">
              <w:rPr>
                <w:bCs/>
              </w:rPr>
              <w:t xml:space="preserve">.gadam, kurā ietverts uzdevums Tieslietu ministrijai noteiktā </w:t>
            </w:r>
            <w:r w:rsidRPr="00C93FFB">
              <w:t>kārtībā iesniegt Ministru kabinetā grozījumus attiecīgajos normatīvajos aktos, nosakot, ka Nekustamā īpašuma valsts kadastra informācijas sistēmā un Valsts vienotajā datorizētajā zemesgrāmatā datu aktualizācija notiek savstarpēji iegūstot datus, neiesaistot nekustamā īpašuma īpašnieku.</w:t>
            </w:r>
          </w:p>
          <w:p w:rsidR="004E79C6" w:rsidRPr="00616907" w:rsidRDefault="001363AD" w:rsidP="001363AD">
            <w:pPr>
              <w:jc w:val="both"/>
            </w:pPr>
            <w:r w:rsidRPr="00616907">
              <w:t>Elektroniskās pārvaldes attīstības plānā 2011.-2013.gadam (apstiprināts ar Ministru kabineta 2011.gada 25.maija rīkojumu Nr.218) noteikts, ka informācija, kas jau ir valsts pārvaldes rīcībā, privātpersonai netiek prasīta atkārtoti.</w:t>
            </w:r>
          </w:p>
          <w:p w:rsidR="0074389E" w:rsidRPr="0074389E" w:rsidRDefault="0074389E" w:rsidP="001363AD">
            <w:pPr>
              <w:jc w:val="both"/>
              <w:rPr>
                <w:strike/>
                <w:color w:val="00B050"/>
              </w:rPr>
            </w:pPr>
          </w:p>
        </w:tc>
      </w:tr>
      <w:tr w:rsidR="00BA3F64" w:rsidRPr="009E68AE">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f"/>
              <w:spacing w:before="0" w:beforeAutospacing="0" w:after="0" w:afterAutospacing="0"/>
              <w:rPr>
                <w:bCs/>
                <w:szCs w:val="24"/>
              </w:rPr>
            </w:pPr>
            <w:r w:rsidRPr="009E68AE">
              <w:rPr>
                <w:szCs w:val="24"/>
              </w:rPr>
              <w:t>2. 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f"/>
              <w:spacing w:before="0" w:beforeAutospacing="0" w:after="0" w:afterAutospacing="0"/>
              <w:rPr>
                <w:bCs/>
                <w:szCs w:val="24"/>
              </w:rPr>
            </w:pPr>
            <w:r w:rsidRPr="009E68AE">
              <w:rPr>
                <w:szCs w:val="24"/>
              </w:rPr>
              <w:t>Pašreizējā situācija un problēmas</w:t>
            </w:r>
          </w:p>
        </w:tc>
        <w:tc>
          <w:tcPr>
            <w:tcW w:w="7797" w:type="dxa"/>
            <w:tcBorders>
              <w:top w:val="single" w:sz="4" w:space="0" w:color="auto"/>
              <w:left w:val="single" w:sz="4" w:space="0" w:color="auto"/>
              <w:bottom w:val="single" w:sz="4" w:space="0" w:color="auto"/>
              <w:right w:val="single" w:sz="4" w:space="0" w:color="auto"/>
            </w:tcBorders>
          </w:tcPr>
          <w:p w:rsidR="00784C70" w:rsidRPr="00512C95" w:rsidRDefault="00784C70" w:rsidP="00784C70">
            <w:pPr>
              <w:jc w:val="both"/>
            </w:pPr>
            <w:r w:rsidRPr="00612458">
              <w:t xml:space="preserve">1. </w:t>
            </w:r>
            <w:r w:rsidR="00317748" w:rsidRPr="00512C95">
              <w:t xml:space="preserve">Zemesgrāmatu likums nosaka, </w:t>
            </w:r>
            <w:r w:rsidR="00317748" w:rsidRPr="001B2BA3">
              <w:t>ka zemesgrāmatās nostiprina (koroborē) tiesības uz nekustamiem īpašumiem, saprotot ar tiesībām arī tiesību nodrošinājumus un aprobežojumus, ja no likuma satura un tiešā jēguma neizriet pretējais</w:t>
            </w:r>
            <w:r w:rsidR="00317748">
              <w:t xml:space="preserve">. Zemesgrāmatas </w:t>
            </w:r>
            <w:r w:rsidR="00317748" w:rsidRPr="001B2BA3">
              <w:t>ir visiem pieejamas, un to ierakstiem ir publiska ticamība.</w:t>
            </w:r>
            <w:r w:rsidR="00317748">
              <w:t xml:space="preserve"> </w:t>
            </w:r>
            <w:r w:rsidR="00317748" w:rsidRPr="00512C95">
              <w:t xml:space="preserve">Savukārt </w:t>
            </w:r>
            <w:r w:rsidRPr="00512C95">
              <w:t xml:space="preserve">Nekustamā īpašuma valsts kadastra likuma mērķis ir nodrošināt sabiedrību ar aktuālu kadastra informāciju par visiem valsts teritorijā esošajiem nekustamajiem īpašumiem, to objektiem, zemes vienības daļām un to īpašniekiem, tiesiskajiem valdītājiem, lietotājiem, nomniekiem. </w:t>
            </w:r>
          </w:p>
          <w:p w:rsidR="00784C70" w:rsidRPr="00612458" w:rsidRDefault="00784C70" w:rsidP="00784C70">
            <w:pPr>
              <w:jc w:val="both"/>
              <w:rPr>
                <w:rFonts w:ascii="TimesNewRomanPSMT" w:hAnsi="TimesNewRomanPSMT" w:cs="TimesNewRomanPSMT"/>
              </w:rPr>
            </w:pPr>
            <w:r w:rsidRPr="00612458">
              <w:t>2. Valsts kontrole 2010.gada 1.aprīļa revīzijas ziņojumā Nr.5.1-2-15/2009 „Valsts zemes dienesta sniegto pakalpojumu pieejamība, kvalitāte un atbilstība normatīvo aktu prasībām” ir konstatējusi, ka Nekustamā īpašuma valsts kadastra informācijas sistēmā (turpmāk - Kadastra informācijas sistēma) un Valsts vienotajā datorizētajā zemesgrāmatā (turpmāk – zemesgrāmata)</w:t>
            </w:r>
            <w:r w:rsidRPr="00612458">
              <w:rPr>
                <w:rFonts w:ascii="TimesNewRomanPSMT" w:hAnsi="TimesNewRomanPSMT" w:cs="TimesNewRomanPSMT"/>
              </w:rPr>
              <w:t xml:space="preserve">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w:t>
            </w:r>
          </w:p>
          <w:p w:rsidR="00784C70" w:rsidRPr="00612458" w:rsidRDefault="00784C70" w:rsidP="00784C70">
            <w:pPr>
              <w:jc w:val="both"/>
              <w:rPr>
                <w:rFonts w:ascii="TimesNewRomanPSMT" w:hAnsi="TimesNewRomanPSMT" w:cs="TimesNewRomanPSMT"/>
              </w:rPr>
            </w:pPr>
            <w:r w:rsidRPr="00612458">
              <w:t>3. Lai uzlabotu Kadastra informācijas sistēmas un zemesgrāmatas datu kvalitāti,</w:t>
            </w:r>
            <w:r w:rsidR="005D617A">
              <w:t xml:space="preserve"> kā arī mazinātu administratīvo slogu personām,</w:t>
            </w:r>
            <w:r w:rsidRPr="00612458">
              <w:t xml:space="preserve"> jāparedz abu minēto informācijas sistēmu </w:t>
            </w:r>
            <w:r w:rsidR="00E13176">
              <w:t>ciešāk</w:t>
            </w:r>
            <w:r w:rsidRPr="00612458">
              <w:t>a</w:t>
            </w:r>
            <w:r w:rsidR="00E13176">
              <w:t xml:space="preserve"> sadarbība</w:t>
            </w:r>
            <w:r w:rsidR="00E244DD">
              <w:t xml:space="preserve"> un integrācija</w:t>
            </w:r>
            <w:r w:rsidR="00F7724B">
              <w:t xml:space="preserve">. </w:t>
            </w:r>
            <w:r w:rsidR="003937E6" w:rsidRPr="003937E6">
              <w:t>Šobrīd atbilstoši normatīvajam regulējumam gan zemesgrāmatā, gan Kadastra informācijas sistēmā tiek glabāti tehniskie dati par nekustamo īpašumu – platība, izmantošanas veids, skaits un raksturojums. Savukārt  Kadastra informācijas sistēmā tiek glabāti dati par aktuālajiem īpašniekiem un tiesībām, kas pēc būtības ir  zemesgrāmatas dati.</w:t>
            </w:r>
          </w:p>
          <w:p w:rsidR="00784C70" w:rsidRPr="00612458" w:rsidRDefault="00784C70" w:rsidP="00784C70">
            <w:pPr>
              <w:pStyle w:val="BodyText"/>
              <w:jc w:val="both"/>
              <w:rPr>
                <w:i w:val="0"/>
              </w:rPr>
            </w:pPr>
            <w:r w:rsidRPr="00612458">
              <w:rPr>
                <w:i w:val="0"/>
              </w:rPr>
              <w:lastRenderedPageBreak/>
              <w:t xml:space="preserve">Pastāvot divām informācijas sistēmām, </w:t>
            </w:r>
            <w:r w:rsidR="000E5AB2">
              <w:rPr>
                <w:i w:val="0"/>
              </w:rPr>
              <w:t xml:space="preserve">saskatāma iespējamība nepieciešamo informāciju iegūt nevis </w:t>
            </w:r>
            <w:r w:rsidR="00BE3A8A">
              <w:rPr>
                <w:i w:val="0"/>
              </w:rPr>
              <w:t xml:space="preserve">personai </w:t>
            </w:r>
            <w:r w:rsidR="000E5AB2">
              <w:rPr>
                <w:i w:val="0"/>
              </w:rPr>
              <w:t>nosakot</w:t>
            </w:r>
            <w:r w:rsidR="00BE3A8A">
              <w:rPr>
                <w:i w:val="0"/>
              </w:rPr>
              <w:t xml:space="preserve"> pienākum</w:t>
            </w:r>
            <w:r w:rsidR="000E5AB2">
              <w:rPr>
                <w:i w:val="0"/>
              </w:rPr>
              <w:t>u iesniegt</w:t>
            </w:r>
            <w:r w:rsidR="00BE3A8A">
              <w:rPr>
                <w:i w:val="0"/>
              </w:rPr>
              <w:t xml:space="preserve"> </w:t>
            </w:r>
            <w:r w:rsidR="000E5AB2">
              <w:rPr>
                <w:i w:val="0"/>
              </w:rPr>
              <w:t xml:space="preserve">zemesgrāmatā </w:t>
            </w:r>
            <w:r w:rsidR="00BE3A8A">
              <w:rPr>
                <w:i w:val="0"/>
              </w:rPr>
              <w:t>virkni dokumentu,</w:t>
            </w:r>
            <w:r w:rsidR="00D5406C">
              <w:rPr>
                <w:i w:val="0"/>
              </w:rPr>
              <w:t xml:space="preserve"> </w:t>
            </w:r>
            <w:r w:rsidR="00BE3A8A">
              <w:rPr>
                <w:i w:val="0"/>
              </w:rPr>
              <w:t>kas satur datus, kas jau ir iesniegti Valsts zemes dienestā</w:t>
            </w:r>
            <w:r w:rsidR="00B90401">
              <w:rPr>
                <w:i w:val="0"/>
              </w:rPr>
              <w:t xml:space="preserve"> (turpmāk – Dienests)</w:t>
            </w:r>
            <w:r w:rsidR="009109EE">
              <w:rPr>
                <w:i w:val="0"/>
              </w:rPr>
              <w:t xml:space="preserve">, </w:t>
            </w:r>
            <w:r w:rsidR="00D5406C">
              <w:rPr>
                <w:i w:val="0"/>
              </w:rPr>
              <w:t xml:space="preserve">piemēram, zemes robežu </w:t>
            </w:r>
            <w:smartTag w:uri="schemas-tilde-lv/tildestengine" w:element="veidnes">
              <w:smartTagPr>
                <w:attr w:name="text" w:val="plāns"/>
                <w:attr w:name="baseform" w:val="plāns"/>
                <w:attr w:name="id" w:val="-1"/>
              </w:smartTagPr>
              <w:r w:rsidR="00D5406C">
                <w:rPr>
                  <w:i w:val="0"/>
                </w:rPr>
                <w:t>plāns</w:t>
              </w:r>
            </w:smartTag>
            <w:r w:rsidR="00D5406C">
              <w:rPr>
                <w:i w:val="0"/>
              </w:rPr>
              <w:t xml:space="preserve">, </w:t>
            </w:r>
            <w:r w:rsidR="003937E6" w:rsidRPr="00321D20">
              <w:rPr>
                <w:i w:val="0"/>
              </w:rPr>
              <w:t>būves</w:t>
            </w:r>
            <w:r w:rsidR="003937E6" w:rsidRPr="003937E6">
              <w:rPr>
                <w:b/>
                <w:i w:val="0"/>
              </w:rPr>
              <w:t xml:space="preserve"> </w:t>
            </w:r>
            <w:r w:rsidR="00D5406C">
              <w:rPr>
                <w:i w:val="0"/>
              </w:rPr>
              <w:t>kadastrālās uzmērīšanas lieta</w:t>
            </w:r>
            <w:r w:rsidR="00D879C1">
              <w:rPr>
                <w:i w:val="0"/>
              </w:rPr>
              <w:t>,</w:t>
            </w:r>
            <w:r w:rsidR="00D5406C">
              <w:rPr>
                <w:i w:val="0"/>
              </w:rPr>
              <w:t xml:space="preserve"> </w:t>
            </w:r>
            <w:r w:rsidR="000E5AB2">
              <w:rPr>
                <w:i w:val="0"/>
              </w:rPr>
              <w:t>bet nepieciešamo informāciju iegūt no Kadastra informācijas sistēmas</w:t>
            </w:r>
            <w:r w:rsidR="00BE3A8A">
              <w:rPr>
                <w:i w:val="0"/>
              </w:rPr>
              <w:t xml:space="preserve">. </w:t>
            </w:r>
            <w:r w:rsidR="009109EE">
              <w:rPr>
                <w:i w:val="0"/>
              </w:rPr>
              <w:t xml:space="preserve">Pastāvot informācijas sistēmām, </w:t>
            </w:r>
            <w:r w:rsidRPr="00612458">
              <w:rPr>
                <w:i w:val="0"/>
              </w:rPr>
              <w:t xml:space="preserve">kurās uzkrātie dati dublējas, pastāv lielāka kļūdas varbūtība, kuras rezultātā, abu sistēmu vienādajos </w:t>
            </w:r>
            <w:r w:rsidR="00E12D6F">
              <w:rPr>
                <w:i w:val="0"/>
              </w:rPr>
              <w:t>datu</w:t>
            </w:r>
            <w:r w:rsidRPr="00612458">
              <w:rPr>
                <w:i w:val="0"/>
              </w:rPr>
              <w:t xml:space="preserve"> laukos, informācija var atšķirties. </w:t>
            </w:r>
          </w:p>
          <w:p w:rsidR="003F5B93" w:rsidRDefault="003E5ABA" w:rsidP="003F5B93">
            <w:pPr>
              <w:jc w:val="both"/>
            </w:pPr>
            <w:r>
              <w:t>Spēkā esošais regul</w:t>
            </w:r>
            <w:r w:rsidR="00334755">
              <w:t xml:space="preserve">ējums paredz personai pienākumu iesniegt zemesgrāmatā virkni dokumentu, kas </w:t>
            </w:r>
            <w:r w:rsidR="00D02279" w:rsidRPr="00913FBC">
              <w:t xml:space="preserve">apstiprina veiktās izmaiņas, neskatoties uz to, ka Dienests šos datus jau ir pārbaudījis un reģistrējis Kadastra informācijas sistēmā, pamatojoties uz normatīvajos aktos paredzētu procedūru un dokumentu pamata. </w:t>
            </w:r>
            <w:r w:rsidR="004C24CB" w:rsidRPr="00913FBC">
              <w:t>Attiecībā uz kadastra objektiem, izmaiņas skar tehniskos datus, kas ir objektu raksturojošie dati un nevarētu ietekmēt nedz īpašuma tiesības, nedz to apjomu. Tādējādi šī informācija būtu iegūstama jau no citām informācijas sistēmām nepastarpināti</w:t>
            </w:r>
            <w:r w:rsidR="004C24CB" w:rsidRPr="00232249">
              <w:rPr>
                <w:color w:val="0000FF"/>
              </w:rPr>
              <w:t xml:space="preserve">. </w:t>
            </w:r>
            <w:r w:rsidR="00CA0E52">
              <w:t xml:space="preserve">Secināms, ka </w:t>
            </w:r>
            <w:r w:rsidR="00731DE0">
              <w:t>persona situācijā, kad jau ir iespējama informācijas apmaiņa iestāžu starpā ar informācijas sistēmu atbalstu, pilda kurjera lomu.</w:t>
            </w:r>
            <w:r w:rsidR="00CA0E52">
              <w:t xml:space="preserve"> </w:t>
            </w:r>
          </w:p>
          <w:p w:rsidR="0071295B" w:rsidRDefault="0071295B" w:rsidP="0071295B">
            <w:pPr>
              <w:pStyle w:val="naiskr"/>
              <w:spacing w:before="0" w:after="0"/>
              <w:jc w:val="both"/>
              <w:rPr>
                <w:iCs/>
              </w:rPr>
            </w:pPr>
            <w:r>
              <w:rPr>
                <w:iCs/>
              </w:rPr>
              <w:t xml:space="preserve">Šā brīža regulējumā definētas inženierbūves, kuras nav ierakstāmas </w:t>
            </w:r>
            <w:r w:rsidR="00D307A6">
              <w:rPr>
                <w:iCs/>
              </w:rPr>
              <w:t xml:space="preserve">zemesgrāmatā </w:t>
            </w:r>
            <w:r>
              <w:rPr>
                <w:iCs/>
              </w:rPr>
              <w:t xml:space="preserve">kā patstāvīgi nekustamā īpašuma objekti. Neskatoties uz minēto, šā brīža regulējumā iekļautais nosacījums „un citas tamlīdzīgas būves” pieļauj plašas interpretācijas iespējas, kas dažkārt noved arī pie atšķirīgas zemesgrāmatu nodaļu prakses. </w:t>
            </w:r>
          </w:p>
          <w:p w:rsidR="0071295B" w:rsidRDefault="0071295B" w:rsidP="0071295B">
            <w:pPr>
              <w:shd w:val="clear" w:color="auto" w:fill="FFFFFF"/>
              <w:jc w:val="both"/>
            </w:pPr>
            <w:r>
              <w:t>Jāatzīmē, ka tieši ierakstīšana zemesgrāmatā nodrošina nekustamā īpašuma objekta civiltiesisko apgrozību, savukārt, tā neierakstīšanas gadījumā,  nekustamā īpašuma objekts izkrīt no nekustamā īpašuma aprites sistēmas, un kļūst par objektu, kurš ir apgrūtināts ar pienākumiem un nodokļiem kā nekustamais īpašums, bet par tādu nevar tikt ierakstīts zemesgrāmatā.</w:t>
            </w:r>
          </w:p>
          <w:p w:rsidR="0071295B" w:rsidRDefault="0071295B" w:rsidP="0071295B">
            <w:pPr>
              <w:pStyle w:val="naiskr"/>
              <w:spacing w:before="0" w:after="0"/>
              <w:jc w:val="both"/>
              <w:rPr>
                <w:iCs/>
              </w:rPr>
            </w:pPr>
            <w:r>
              <w:rPr>
                <w:iCs/>
              </w:rPr>
              <w:t>Tāpat spēkā esošais regulējums, nosakot izņēmumus, kuri nekustamā īpašuma objekti kā patstāvīgi īpašumi nav ierakstāmi zemesgrāmatā, dažkārt var radīt problēmas saņemt nepieciešamo finansējumu tā būvniecībai, ja finansējums piesaistāms, izmantojot kredītiestādes finanšu resursus, bet kredītiestāde kā nosacījumu aizdevuma izsniegšanai paredz nekustamā īpašuma objekta ierakstīšanu zemesgrāmatā.</w:t>
            </w:r>
          </w:p>
          <w:p w:rsidR="00244167" w:rsidRPr="00CA0E52" w:rsidRDefault="0071295B" w:rsidP="0071295B">
            <w:pPr>
              <w:jc w:val="both"/>
            </w:pPr>
            <w:r>
              <w:rPr>
                <w:iCs/>
              </w:rPr>
              <w:t>Tāpat atzīmējams, ka šā brīža regulējuma pastāvēšana</w:t>
            </w:r>
            <w:r w:rsidR="000B78A3">
              <w:rPr>
                <w:iCs/>
              </w:rPr>
              <w:t>s</w:t>
            </w:r>
            <w:r>
              <w:rPr>
                <w:iCs/>
              </w:rPr>
              <w:t xml:space="preserve"> rezultātā Kadastra informācijas sistēmā reģistrēts ievērojami lielāks nekustamā īpašuma objektu apjoms pār to, kas varētu tikt ierakstīts valsts vienotajā datorizētajā zemesgrāmatā.</w:t>
            </w:r>
          </w:p>
        </w:tc>
      </w:tr>
      <w:tr w:rsidR="00BA3F64" w:rsidRPr="009E68AE">
        <w:trPr>
          <w:trHeight w:val="1021"/>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jc w:val="both"/>
              <w:rPr>
                <w:bCs/>
              </w:rPr>
            </w:pPr>
            <w:r w:rsidRPr="009E68AE">
              <w:rPr>
                <w:bCs/>
              </w:rPr>
              <w:lastRenderedPageBreak/>
              <w:t>3. 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jc w:val="both"/>
              <w:rPr>
                <w:bCs/>
              </w:rPr>
            </w:pPr>
            <w:r w:rsidRPr="009E68AE">
              <w:rPr>
                <w:bCs/>
              </w:rPr>
              <w:t>Saistītie politikas ietekmes novērtējumi un pētījumi</w:t>
            </w:r>
          </w:p>
        </w:tc>
        <w:tc>
          <w:tcPr>
            <w:tcW w:w="7797" w:type="dxa"/>
            <w:tcBorders>
              <w:top w:val="single" w:sz="4" w:space="0" w:color="auto"/>
              <w:left w:val="single" w:sz="4" w:space="0" w:color="auto"/>
              <w:bottom w:val="single" w:sz="4" w:space="0" w:color="auto"/>
              <w:right w:val="single" w:sz="4" w:space="0" w:color="auto"/>
            </w:tcBorders>
          </w:tcPr>
          <w:p w:rsidR="00BA3F64" w:rsidRPr="003A7A91" w:rsidRDefault="00E757C9" w:rsidP="00E13176">
            <w:pPr>
              <w:jc w:val="both"/>
            </w:pPr>
            <w:hyperlink r:id="rId8" w:history="1">
              <w:r w:rsidR="0061138A" w:rsidRPr="00612458">
                <w:t>Pētījums par Nekustamā īpašuma kadastra reģistra un zemesgrāmatu nodaļu optimizācijas iespējām nolūkā pakāpeniski izveidot vienotu klientu apkalpošanas sistēmu</w:t>
              </w:r>
            </w:hyperlink>
            <w:r w:rsidR="0061138A" w:rsidRPr="00612458">
              <w:t>.</w:t>
            </w:r>
            <w:r w:rsidR="0061138A">
              <w:t xml:space="preserve"> Konkrētāk skatīt 3. daļas 3.3. un 3.4. sadaļu, 5.daļā klientu atbildes uz P13. jautājumu, kā arī  5.4.sadaļu un 6.daļu.</w:t>
            </w:r>
          </w:p>
        </w:tc>
      </w:tr>
      <w:tr w:rsidR="00BA3F64" w:rsidRPr="009E68AE">
        <w:trPr>
          <w:trHeight w:val="488"/>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jc w:val="both"/>
              <w:rPr>
                <w:bCs/>
              </w:rPr>
            </w:pPr>
            <w:r w:rsidRPr="009E68AE">
              <w:rPr>
                <w:bCs/>
              </w:rPr>
              <w:t>4. 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jc w:val="both"/>
              <w:rPr>
                <w:bCs/>
              </w:rPr>
            </w:pPr>
            <w:r w:rsidRPr="009E68AE">
              <w:rPr>
                <w:bCs/>
              </w:rPr>
              <w:t>Tiesiskā regulējuma mērķis un būtība </w:t>
            </w:r>
          </w:p>
        </w:tc>
        <w:tc>
          <w:tcPr>
            <w:tcW w:w="7797" w:type="dxa"/>
            <w:tcBorders>
              <w:top w:val="single" w:sz="4" w:space="0" w:color="auto"/>
              <w:left w:val="single" w:sz="4" w:space="0" w:color="auto"/>
              <w:bottom w:val="single" w:sz="4" w:space="0" w:color="auto"/>
              <w:right w:val="single" w:sz="4" w:space="0" w:color="auto"/>
            </w:tcBorders>
          </w:tcPr>
          <w:p w:rsidR="008935BF" w:rsidRDefault="001E6780">
            <w:pPr>
              <w:jc w:val="both"/>
            </w:pPr>
            <w:r w:rsidRPr="006D7DD2">
              <w:t>Likumprojekts „Grozījumi</w:t>
            </w:r>
            <w:r w:rsidR="00881F7C">
              <w:t xml:space="preserve"> likumā</w:t>
            </w:r>
            <w:r w:rsidRPr="006D7DD2">
              <w:t xml:space="preserve"> </w:t>
            </w:r>
            <w:r w:rsidR="00881F7C">
              <w:t>„</w:t>
            </w:r>
            <w:r w:rsidR="0008738F" w:rsidRPr="006D7DD2">
              <w:t>Par n</w:t>
            </w:r>
            <w:r w:rsidRPr="006D7DD2">
              <w:t xml:space="preserve">ekustamā īpašuma </w:t>
            </w:r>
            <w:r w:rsidR="0008738F" w:rsidRPr="006D7DD2">
              <w:t>ierakstīšanu zemesgrāmatā</w:t>
            </w:r>
            <w:r w:rsidRPr="006D7DD2">
              <w:t>”</w:t>
            </w:r>
            <w:r w:rsidR="00881F7C">
              <w:t>”</w:t>
            </w:r>
            <w:r w:rsidRPr="006D7DD2">
              <w:t xml:space="preserve"> (turpmāk – likumprojekts) paredz</w:t>
            </w:r>
            <w:r w:rsidR="00236AB9">
              <w:t xml:space="preserve"> p</w:t>
            </w:r>
            <w:r w:rsidR="003A6F1A">
              <w:t>ienākumu zemesgrāmatu</w:t>
            </w:r>
            <w:r w:rsidR="00A92793">
              <w:t xml:space="preserve"> </w:t>
            </w:r>
            <w:r w:rsidR="00A92793" w:rsidRPr="0002779B">
              <w:t>nodaļu</w:t>
            </w:r>
            <w:r w:rsidR="003A6F1A" w:rsidRPr="0002779B">
              <w:t xml:space="preserve"> tiesnesim </w:t>
            </w:r>
            <w:r w:rsidR="00925B59" w:rsidRPr="0002779B">
              <w:t xml:space="preserve">nekustamā īpašuma ierakstīšanai nepieciešamās ziņas (zemes vienības robežu </w:t>
            </w:r>
            <w:smartTag w:uri="schemas-tilde-lv/tildestengine" w:element="veidnes">
              <w:smartTagPr>
                <w:attr w:name="text" w:val="plāns"/>
                <w:attr w:name="baseform" w:val="plāns"/>
                <w:attr w:name="id" w:val="-1"/>
              </w:smartTagPr>
              <w:r w:rsidR="00925B59" w:rsidRPr="0002779B">
                <w:t>plāns</w:t>
              </w:r>
            </w:smartTag>
            <w:r w:rsidR="00925B59" w:rsidRPr="0002779B">
              <w:t>, būves raksturojums, novērtējums u.c.) iegūt</w:t>
            </w:r>
            <w:r w:rsidR="0037499A">
              <w:rPr>
                <w:color w:val="0000FF"/>
              </w:rPr>
              <w:t>,</w:t>
            </w:r>
            <w:r w:rsidR="00925B59" w:rsidRPr="00D831F3">
              <w:rPr>
                <w:color w:val="0070C0"/>
                <w:sz w:val="28"/>
                <w:szCs w:val="28"/>
              </w:rPr>
              <w:t xml:space="preserve"> </w:t>
            </w:r>
            <w:r w:rsidR="008B35E7">
              <w:lastRenderedPageBreak/>
              <w:t xml:space="preserve">ielūkojoties </w:t>
            </w:r>
            <w:r w:rsidR="00526444">
              <w:t>K</w:t>
            </w:r>
            <w:r w:rsidR="008B35E7">
              <w:t>adastra informācijas sistēmā</w:t>
            </w:r>
            <w:r w:rsidR="0002779B">
              <w:t xml:space="preserve"> (4</w:t>
            </w:r>
            <w:r w:rsidR="00BF2341">
              <w:t>.pants)</w:t>
            </w:r>
            <w:r w:rsidR="00526444">
              <w:t>, kas ļau</w:t>
            </w:r>
            <w:r w:rsidR="0037499A">
              <w:t>j</w:t>
            </w:r>
            <w:r w:rsidR="00526444">
              <w:t xml:space="preserve"> atteikties no kadastra izziņu sagatavošanas papīra formātā</w:t>
            </w:r>
            <w:r w:rsidR="006A6BAD">
              <w:t>, kā</w:t>
            </w:r>
            <w:r w:rsidR="0037499A">
              <w:t xml:space="preserve"> arī pienākuma personai iesnieg</w:t>
            </w:r>
            <w:r w:rsidR="006A6BAD">
              <w:t xml:space="preserve"> </w:t>
            </w:r>
            <w:r w:rsidR="0037499A">
              <w:t xml:space="preserve">zemesgrāmatā </w:t>
            </w:r>
            <w:r w:rsidR="006A6BAD">
              <w:t>zemes robežu plānu</w:t>
            </w:r>
            <w:r w:rsidR="0099288A">
              <w:t xml:space="preserve"> </w:t>
            </w:r>
            <w:r w:rsidR="00A64159">
              <w:t>vai uzrādīt</w:t>
            </w:r>
            <w:r w:rsidR="006A6BAD">
              <w:t xml:space="preserve"> </w:t>
            </w:r>
            <w:r w:rsidR="003937E6" w:rsidRPr="00321D20">
              <w:t>būves</w:t>
            </w:r>
            <w:r w:rsidR="003937E6" w:rsidRPr="003937E6">
              <w:rPr>
                <w:b/>
              </w:rPr>
              <w:t xml:space="preserve"> </w:t>
            </w:r>
            <w:r w:rsidR="006A6BAD">
              <w:t>kadastrālās uzmērīšanas lietu</w:t>
            </w:r>
            <w:r w:rsidR="00BF2341">
              <w:t xml:space="preserve"> (svītrots 6.pants).</w:t>
            </w:r>
            <w:r w:rsidR="00732299" w:rsidRPr="00965882">
              <w:t xml:space="preserve"> Saskaņā ar </w:t>
            </w:r>
            <w:r w:rsidR="00732299">
              <w:t>spēkā esošo regulējumu likuma</w:t>
            </w:r>
            <w:r w:rsidR="00732299" w:rsidRPr="00965882">
              <w:t xml:space="preserve"> </w:t>
            </w:r>
            <w:r w:rsidR="00732299">
              <w:t>„</w:t>
            </w:r>
            <w:r w:rsidR="00732299" w:rsidRPr="00965882">
              <w:t>Par nekustamā īpašuma ierakstīšanu zemesgrāmatās</w:t>
            </w:r>
            <w:r w:rsidR="00732299">
              <w:t xml:space="preserve">” 4.pantā </w:t>
            </w:r>
            <w:r w:rsidR="00732299" w:rsidRPr="00965882">
              <w:t>noteikts, ka nostiprinājuma lūgumam attiecībā uz ēku (būvi) uzrādāma kadastrālās uzmērīšanas lieta vai iesniedzama Nekustamā īpašuma valsts kadastra izziņa ar grafisko pielikumu par būves novietojumu zemes vienībā. Turpmāk l</w:t>
            </w:r>
            <w:r w:rsidR="00732299">
              <w:t>ikuma 4.pantā paredzēts noteikt</w:t>
            </w:r>
            <w:r w:rsidR="00732299" w:rsidRPr="00965882">
              <w:t xml:space="preserve">, ka zemesgrāmatu nodaļas tiesnesis nekustamā īpašuma ierakstīšanai nepieciešamo informāciju par zemes vienības robežu plānu un ēkas (būves) kadastrālo uzmērīšanu iegūst </w:t>
            </w:r>
            <w:r w:rsidR="00732299">
              <w:t>K</w:t>
            </w:r>
            <w:r w:rsidR="00732299" w:rsidRPr="00965882">
              <w:t>adastra informācijas sistēmā. Tādējādi princips, ka zemesgrāmatā var ierakstīt ēkas (būves), kurām ir veikta ēkas kadastrālā uzmērīšana</w:t>
            </w:r>
            <w:r w:rsidR="00732299">
              <w:t>,</w:t>
            </w:r>
            <w:r w:rsidR="00732299" w:rsidRPr="00965882">
              <w:t xml:space="preserve"> saglabājas un gadījumos, ja ēkai (būvei) Kadastra informācijas sistēmā ir reģistrēti tikai nepilnas tehniskās inventarizācijas dati vai dati uz būvju deklarāciju pamata, tad šādas ēkas (būves) zemesgrāmatā nebūs ierakstāmas.</w:t>
            </w:r>
            <w:r w:rsidR="00BF2341">
              <w:t xml:space="preserve"> </w:t>
            </w:r>
            <w:r w:rsidR="00526444">
              <w:t xml:space="preserve">Tādējādi </w:t>
            </w:r>
            <w:r w:rsidR="00BF2341">
              <w:t>īpašuma</w:t>
            </w:r>
            <w:r w:rsidR="00236AB9">
              <w:t xml:space="preserve"> tiesību nostiprināšanai uz nekustamo īpašumu nebūs nepieciešams iesniegt papildus jau valsts rīcībā esošos dokumentus (informāciju).</w:t>
            </w:r>
            <w:r w:rsidR="008A63A4">
              <w:t xml:space="preserve"> </w:t>
            </w:r>
          </w:p>
          <w:p w:rsidR="00BA3F64" w:rsidRDefault="00423E4B" w:rsidP="000C6FA0">
            <w:pPr>
              <w:jc w:val="both"/>
            </w:pPr>
            <w:r w:rsidRPr="00844E64">
              <w:t>Paredzot</w:t>
            </w:r>
            <w:r w:rsidR="001D6215" w:rsidRPr="00844E64">
              <w:t>, ka zemesgrāmatu nodaļu tiesneši nekustamā īpašuma ierakstīšanai nepieciešamās ziņas</w:t>
            </w:r>
            <w:r>
              <w:t xml:space="preserve"> </w:t>
            </w:r>
            <w:r w:rsidR="001D6215">
              <w:t>iegūs Kadastra informācijas sistēmā,</w:t>
            </w:r>
            <w:r>
              <w:t xml:space="preserve"> mazināsies kļūdas iespējamība un tiks nodrošināta</w:t>
            </w:r>
            <w:r w:rsidR="00844E64">
              <w:t xml:space="preserve"> abās</w:t>
            </w:r>
            <w:r w:rsidR="000C6FA0">
              <w:t xml:space="preserve"> informācijas sistēmās esošo datu </w:t>
            </w:r>
            <w:r w:rsidR="000C0979">
              <w:t>savstarpēj</w:t>
            </w:r>
            <w:r>
              <w:t>a</w:t>
            </w:r>
            <w:r w:rsidR="000C0979">
              <w:t xml:space="preserve"> atbilstīb</w:t>
            </w:r>
            <w:r>
              <w:t>a</w:t>
            </w:r>
            <w:r w:rsidR="000C0979">
              <w:t xml:space="preserve"> </w:t>
            </w:r>
            <w:r w:rsidR="000C6FA0">
              <w:t>un</w:t>
            </w:r>
            <w:r w:rsidR="000C0979">
              <w:t xml:space="preserve"> kvalitāt</w:t>
            </w:r>
            <w:r>
              <w:t>e</w:t>
            </w:r>
            <w:r w:rsidR="000C6FA0">
              <w:t>.</w:t>
            </w:r>
          </w:p>
          <w:p w:rsidR="00DD14BD" w:rsidRDefault="00DD14BD" w:rsidP="00DD14BD">
            <w:pPr>
              <w:jc w:val="both"/>
            </w:pPr>
            <w:r>
              <w:t>Zemesgrāmatu</w:t>
            </w:r>
            <w:r w:rsidR="00ED2FEF">
              <w:t xml:space="preserve"> nodaļu</w:t>
            </w:r>
            <w:r>
              <w:t xml:space="preserve"> tiesnesim noteikt</w:t>
            </w:r>
            <w:r w:rsidR="007E74A0">
              <w:t>ais</w:t>
            </w:r>
            <w:r>
              <w:t xml:space="preserve"> pienākums ielūkoties valsts informācijas sistēmā attiecībā uz ne</w:t>
            </w:r>
            <w:r w:rsidR="0047346F">
              <w:t>kustamā īpašuma objekta datiem</w:t>
            </w:r>
            <w:r w:rsidR="007E74A0">
              <w:t xml:space="preserve"> </w:t>
            </w:r>
            <w:r>
              <w:t>atbilst mūsdienu situācijai, kad ir pieejamas valsts informācijas sistēmas un to  izmantošana</w:t>
            </w:r>
            <w:r w:rsidR="00ED2FEF">
              <w:t xml:space="preserve"> un savstarpējā sad</w:t>
            </w:r>
            <w:bookmarkStart w:id="0" w:name="_GoBack"/>
            <w:bookmarkEnd w:id="0"/>
            <w:r w:rsidR="00ED2FEF">
              <w:t>arbība</w:t>
            </w:r>
            <w:r>
              <w:t xml:space="preserve"> </w:t>
            </w:r>
            <w:r w:rsidR="00732299">
              <w:t xml:space="preserve">administratīvā sloga mazināšanas nolūkā </w:t>
            </w:r>
            <w:r>
              <w:t>ir tikai veicināma</w:t>
            </w:r>
            <w:r w:rsidR="00732299">
              <w:t>.</w:t>
            </w:r>
            <w:r w:rsidR="007E74A0">
              <w:t xml:space="preserve"> </w:t>
            </w:r>
          </w:p>
          <w:p w:rsidR="008B1B4B" w:rsidRDefault="00ED10B2" w:rsidP="00ED10B2">
            <w:pPr>
              <w:jc w:val="both"/>
            </w:pPr>
            <w:r>
              <w:t>Šādas iestāžu sadarbības ietvaros notiekošās informācijas apmaiņa dos iespēju samazināt</w:t>
            </w:r>
            <w:r w:rsidR="00405422">
              <w:t xml:space="preserve"> abu</w:t>
            </w:r>
            <w:r>
              <w:t xml:space="preserve"> iestāžu apmeklējumu </w:t>
            </w:r>
            <w:r w:rsidR="00405422">
              <w:t>skaitu</w:t>
            </w:r>
            <w:r w:rsidR="00A66C5F">
              <w:t>, sagatavojamo un iestādēs iesniedzamo dokumentu skaitu</w:t>
            </w:r>
            <w:r>
              <w:t>.</w:t>
            </w:r>
          </w:p>
          <w:p w:rsidR="000919C3" w:rsidRPr="00321D20" w:rsidRDefault="008B1B4B" w:rsidP="008B1B4B">
            <w:pPr>
              <w:jc w:val="both"/>
            </w:pPr>
            <w:r>
              <w:t xml:space="preserve">Zemesgrāmatu nodaļai nodrošinot piekļuvi </w:t>
            </w:r>
            <w:r w:rsidRPr="001C6312">
              <w:t xml:space="preserve">Kadastra informācijas sistēmas teksta un grafiskajiem datiem, </w:t>
            </w:r>
            <w:r>
              <w:t>vienlaikus tiks nodrošināta iespēja no kadastra kartes iegūt informāciju</w:t>
            </w:r>
            <w:r w:rsidRPr="001C6312">
              <w:t xml:space="preserve"> par visiem Kadastra informācijas sistēmā reģistrētiem objektiem, tajā </w:t>
            </w:r>
            <w:r w:rsidRPr="00321D20">
              <w:t xml:space="preserve">skaitā </w:t>
            </w:r>
            <w:r w:rsidR="003937E6" w:rsidRPr="00321D20">
              <w:t>informāciju par zemes vienības robežām, būves ārējo kontūru un izvietojumu zemes vienībā, nekustamā īpašuma objekta apgrūtinājuma – ceļa servitūta – teritorijas robežu.</w:t>
            </w:r>
          </w:p>
          <w:p w:rsidR="005A61EE" w:rsidRPr="006748AB" w:rsidRDefault="008B1B4B" w:rsidP="006748AB">
            <w:pPr>
              <w:suppressAutoHyphens/>
              <w:jc w:val="both"/>
              <w:rPr>
                <w:b/>
              </w:rPr>
            </w:pPr>
            <w:r>
              <w:t>Ievērojot minēto, sec</w:t>
            </w:r>
            <w:r w:rsidR="006748AB">
              <w:t>ināms, ka kārtības pārskatīšana nodrošinās nekustamā īpašuma ierakstīšanai nepieciešamās informācijas saņemšanu no Kadastra informācijas sistēmas nepastarpināti</w:t>
            </w:r>
            <w:r w:rsidR="0022273C">
              <w:t>,</w:t>
            </w:r>
            <w:r w:rsidR="006748AB">
              <w:t xml:space="preserve"> to nepieprasot no personām.</w:t>
            </w:r>
          </w:p>
          <w:p w:rsidR="008F2828" w:rsidRPr="00BF55E7" w:rsidRDefault="008F2828" w:rsidP="00ED10B2">
            <w:pPr>
              <w:jc w:val="both"/>
            </w:pPr>
            <w:r>
              <w:t xml:space="preserve">Ņemot vērā, ka </w:t>
            </w:r>
            <w:r w:rsidRPr="00BF55E7">
              <w:t>tiek mainīt</w:t>
            </w:r>
            <w:r w:rsidR="008E6CF5" w:rsidRPr="00BF55E7">
              <w:t>a</w:t>
            </w:r>
            <w:r w:rsidRPr="00BF55E7">
              <w:t xml:space="preserve"> šobrīd noteiktā kārtība, nosakot, ka dati par zemes vienības platību un cit</w:t>
            </w:r>
            <w:r w:rsidR="003B1AC5" w:rsidRPr="00BF55E7">
              <w:t>a</w:t>
            </w:r>
            <w:r w:rsidRPr="00BF55E7">
              <w:t xml:space="preserve"> zemes robežu plānā vai </w:t>
            </w:r>
            <w:r w:rsidR="000B78A3" w:rsidRPr="00205AAF">
              <w:rPr>
                <w:b/>
              </w:rPr>
              <w:t>būves</w:t>
            </w:r>
            <w:r w:rsidR="000B78A3">
              <w:t xml:space="preserve"> </w:t>
            </w:r>
            <w:r w:rsidRPr="00BF55E7">
              <w:t>kadastrālās uzmērīšanas lietā esošā informācija iegūstama no Kadastra informācijas sistēmas nevis no pirmdokumenta, zūd nepieciešamība likumā atsevišķi izdalīt</w:t>
            </w:r>
            <w:r w:rsidR="008E6CF5" w:rsidRPr="00BF55E7">
              <w:t xml:space="preserve"> ierakstīšanas gadījumus un nostiprinājuma lūgumiem pievienojamos dokumentus, ka</w:t>
            </w:r>
            <w:r w:rsidR="003B1AC5" w:rsidRPr="00BF55E7">
              <w:t>d</w:t>
            </w:r>
            <w:r w:rsidR="008E6CF5" w:rsidRPr="00BF55E7">
              <w:t xml:space="preserve"> zemesgrāmatā ieraksta</w:t>
            </w:r>
            <w:r w:rsidRPr="00BF55E7">
              <w:t xml:space="preserve"> ēkas, kuras atrodas uz zemesgrāmatā ierakstītas vai neierakstītas zemes</w:t>
            </w:r>
            <w:r w:rsidR="003B1AC5" w:rsidRPr="00BF55E7">
              <w:t>. Likumprojekts paredz izteikt 15.pantu jaunā redakcijā</w:t>
            </w:r>
            <w:r w:rsidR="00CE0B62" w:rsidRPr="00BF55E7">
              <w:t>, apvienojot abus minētos gadījumus un</w:t>
            </w:r>
            <w:r w:rsidR="003B1AC5" w:rsidRPr="00BF55E7">
              <w:t xml:space="preserve"> attiecīgi svītrot 16.pantu.</w:t>
            </w:r>
          </w:p>
          <w:p w:rsidR="00686D31" w:rsidRDefault="007B12DD">
            <w:pPr>
              <w:pStyle w:val="naisc"/>
              <w:spacing w:before="0" w:beforeAutospacing="0" w:after="0" w:afterAutospacing="0"/>
              <w:jc w:val="both"/>
              <w:rPr>
                <w:sz w:val="24"/>
                <w:szCs w:val="24"/>
              </w:rPr>
            </w:pPr>
            <w:r>
              <w:rPr>
                <w:sz w:val="24"/>
                <w:szCs w:val="24"/>
              </w:rPr>
              <w:lastRenderedPageBreak/>
              <w:t>L</w:t>
            </w:r>
            <w:r w:rsidR="00DF7B31" w:rsidRPr="003B3EA4">
              <w:rPr>
                <w:sz w:val="24"/>
                <w:szCs w:val="24"/>
              </w:rPr>
              <w:t xml:space="preserve">ikumprojektā tiek precizēts 19.pants, </w:t>
            </w:r>
            <w:r w:rsidR="00E9660B" w:rsidRPr="003B3EA4">
              <w:rPr>
                <w:sz w:val="24"/>
                <w:szCs w:val="24"/>
              </w:rPr>
              <w:t xml:space="preserve">svītrojot atsauces uz patvaļīgas būvniecības pazīmēm, ņemot vērā, ka </w:t>
            </w:r>
            <w:r w:rsidR="002E6455" w:rsidRPr="003B3EA4">
              <w:rPr>
                <w:sz w:val="24"/>
                <w:szCs w:val="24"/>
              </w:rPr>
              <w:t xml:space="preserve">Ministru kabineta </w:t>
            </w:r>
            <w:r w:rsidR="0095702A">
              <w:rPr>
                <w:sz w:val="24"/>
                <w:szCs w:val="24"/>
              </w:rPr>
              <w:t xml:space="preserve">2012.gada 10.janvāra </w:t>
            </w:r>
            <w:r w:rsidR="002E6455" w:rsidRPr="003B3EA4">
              <w:rPr>
                <w:sz w:val="24"/>
                <w:szCs w:val="24"/>
              </w:rPr>
              <w:t>noteikum</w:t>
            </w:r>
            <w:r w:rsidR="0095702A">
              <w:rPr>
                <w:sz w:val="24"/>
                <w:szCs w:val="24"/>
              </w:rPr>
              <w:t>i</w:t>
            </w:r>
            <w:r w:rsidR="002E6455" w:rsidRPr="003B3EA4">
              <w:rPr>
                <w:sz w:val="24"/>
                <w:szCs w:val="24"/>
              </w:rPr>
              <w:t xml:space="preserve"> </w:t>
            </w:r>
            <w:r w:rsidR="000B78A3" w:rsidRPr="00321D20">
              <w:rPr>
                <w:sz w:val="24"/>
                <w:szCs w:val="24"/>
              </w:rPr>
              <w:t>Nr</w:t>
            </w:r>
            <w:r w:rsidR="000919C3" w:rsidRPr="00321D20">
              <w:rPr>
                <w:sz w:val="24"/>
                <w:szCs w:val="24"/>
              </w:rPr>
              <w:t xml:space="preserve">.48 </w:t>
            </w:r>
            <w:r w:rsidR="002E6455" w:rsidRPr="00321D20">
              <w:rPr>
                <w:sz w:val="24"/>
                <w:szCs w:val="24"/>
              </w:rPr>
              <w:t>„</w:t>
            </w:r>
            <w:r w:rsidR="002E6455" w:rsidRPr="003B3EA4">
              <w:rPr>
                <w:sz w:val="24"/>
                <w:szCs w:val="24"/>
              </w:rPr>
              <w:t>Būvju kadastrālās uzmērīšanas noteikumi”</w:t>
            </w:r>
            <w:r w:rsidR="0095702A">
              <w:rPr>
                <w:sz w:val="24"/>
                <w:szCs w:val="24"/>
              </w:rPr>
              <w:t xml:space="preserve"> </w:t>
            </w:r>
            <w:r w:rsidR="00AA3932" w:rsidRPr="003B3EA4">
              <w:rPr>
                <w:sz w:val="24"/>
                <w:szCs w:val="24"/>
              </w:rPr>
              <w:t xml:space="preserve">vairs </w:t>
            </w:r>
            <w:r w:rsidR="0095702A">
              <w:rPr>
                <w:sz w:val="24"/>
                <w:szCs w:val="24"/>
              </w:rPr>
              <w:t>neparedz pienākumu</w:t>
            </w:r>
            <w:r w:rsidR="002E6455" w:rsidRPr="003B3EA4">
              <w:rPr>
                <w:sz w:val="24"/>
                <w:szCs w:val="24"/>
              </w:rPr>
              <w:t xml:space="preserve"> </w:t>
            </w:r>
            <w:r w:rsidR="0095702A">
              <w:rPr>
                <w:sz w:val="24"/>
                <w:szCs w:val="24"/>
              </w:rPr>
              <w:t>Dienestam</w:t>
            </w:r>
            <w:r w:rsidR="00AA3932" w:rsidRPr="003B3EA4">
              <w:rPr>
                <w:sz w:val="24"/>
                <w:szCs w:val="24"/>
              </w:rPr>
              <w:t xml:space="preserve"> </w:t>
            </w:r>
            <w:r w:rsidR="002E6455" w:rsidRPr="003B3EA4">
              <w:rPr>
                <w:sz w:val="24"/>
                <w:szCs w:val="24"/>
              </w:rPr>
              <w:t>patvaļīgās būvniecības pazīmes</w:t>
            </w:r>
            <w:r w:rsidR="0095702A">
              <w:rPr>
                <w:sz w:val="24"/>
                <w:szCs w:val="24"/>
              </w:rPr>
              <w:t xml:space="preserve"> konstatāciju. Līdz ar to Dienests turpmāk</w:t>
            </w:r>
            <w:r w:rsidR="002E6455" w:rsidRPr="003B3EA4">
              <w:rPr>
                <w:sz w:val="24"/>
                <w:szCs w:val="24"/>
              </w:rPr>
              <w:t xml:space="preserve"> </w:t>
            </w:r>
            <w:r w:rsidR="0095702A">
              <w:rPr>
                <w:sz w:val="24"/>
                <w:szCs w:val="24"/>
              </w:rPr>
              <w:t xml:space="preserve">patvaļīgās būvniecības pazīmes </w:t>
            </w:r>
            <w:r w:rsidR="0095702A" w:rsidRPr="003B3EA4">
              <w:rPr>
                <w:sz w:val="24"/>
                <w:szCs w:val="24"/>
              </w:rPr>
              <w:t xml:space="preserve">nekonstatē </w:t>
            </w:r>
            <w:r w:rsidR="002E6455" w:rsidRPr="003B3EA4">
              <w:rPr>
                <w:sz w:val="24"/>
                <w:szCs w:val="24"/>
              </w:rPr>
              <w:t>un nereģistrē Kadastra informācijas sistēmā. Šī funkcija paliks tikai pašvaldīb</w:t>
            </w:r>
            <w:r w:rsidR="00BF55E7">
              <w:rPr>
                <w:sz w:val="24"/>
                <w:szCs w:val="24"/>
              </w:rPr>
              <w:t>as</w:t>
            </w:r>
            <w:r w:rsidR="002E6455" w:rsidRPr="003B3EA4">
              <w:rPr>
                <w:sz w:val="24"/>
                <w:szCs w:val="24"/>
              </w:rPr>
              <w:t xml:space="preserve"> būvvaldes kompetencē. </w:t>
            </w:r>
            <w:r w:rsidR="001447AF">
              <w:rPr>
                <w:sz w:val="24"/>
                <w:szCs w:val="24"/>
              </w:rPr>
              <w:t>Dienests</w:t>
            </w:r>
            <w:r w:rsidR="002E6455" w:rsidRPr="003B3EA4">
              <w:rPr>
                <w:sz w:val="24"/>
                <w:szCs w:val="24"/>
              </w:rPr>
              <w:t>, veicot kadastrālo uzmērīšanu, iegūs būves raksturojošos datus, veiks mērījumus, noteiks būves nolietojumu, sagatavos būves kadastrālās uzmērīšanas lietu, kurā, atšķirībā no esošās situācijas, netiks konstatētas atkāpes no būvniecību pārraugošās pašvaldības institūcijas apstiprinātā būvprojekta vai būvniecību regulējošos normatīvajos aktos noteiktajā kārtībā izsniegtā dokumenta.</w:t>
            </w:r>
            <w:r w:rsidR="003B3EA4" w:rsidRPr="003B3EA4">
              <w:rPr>
                <w:sz w:val="24"/>
                <w:szCs w:val="24"/>
              </w:rPr>
              <w:t xml:space="preserve"> Minētais jautājums ir konceptuāli izlemts ar Ministru kabineta 2011.gada 20.aprīļa rīkojumu Nr.170 apstiprinātajā Būvju kadastrālās uzmērīšanas attīstības koncepcijā.</w:t>
            </w:r>
            <w:r w:rsidR="00E14265">
              <w:t xml:space="preserve"> </w:t>
            </w:r>
            <w:r w:rsidR="00E14265" w:rsidRPr="00E14265">
              <w:rPr>
                <w:sz w:val="24"/>
                <w:szCs w:val="24"/>
              </w:rPr>
              <w:t>Ar plānoto regulējumu, netiek paredzēts, ka turpmāk zemesgrāmatā ierakstāmas ēkas (būves), kurās ir veikta patvaļīga būvniecība.</w:t>
            </w:r>
            <w:r w:rsidR="00E14265">
              <w:rPr>
                <w:sz w:val="24"/>
                <w:szCs w:val="24"/>
              </w:rPr>
              <w:t xml:space="preserve"> J</w:t>
            </w:r>
            <w:r w:rsidR="00E14265" w:rsidRPr="00E14265">
              <w:rPr>
                <w:sz w:val="24"/>
                <w:szCs w:val="24"/>
              </w:rPr>
              <w:t>aunbūves ierakstīšanai zemesgrāmatā nepieciešams iesniegt būvvaldes izdotu izziņu, kurā norādīts būvniecības tiesiskais p</w:t>
            </w:r>
            <w:r w:rsidR="00E14265">
              <w:rPr>
                <w:sz w:val="24"/>
                <w:szCs w:val="24"/>
              </w:rPr>
              <w:t>amats un jaunbūves raksturojums, savukārt, ēkas (būves) ierakstāmas pamatojoties uz aktu par ēkas (būves) pieņemšanu ekspluatācijā.</w:t>
            </w:r>
            <w:r w:rsidR="00E14265" w:rsidRPr="00E14265">
              <w:rPr>
                <w:sz w:val="24"/>
                <w:szCs w:val="24"/>
              </w:rPr>
              <w:t xml:space="preserve"> Būvniecības procesa uzraudzību administratīvā teritorijā veic pašvaldības izveidota iestāde. Līdz ar to, zemesgrāmatu nodaļai nav nepieciešams veikt „pārraudzību” par ēkas (būves) vai jaunbūves atbilstību izsniegtiem būvniecības dokumentiem (būvprojektiem). Minēto pienākumu kompetences ietvaros jāpilda pašvaldības iestādei,  izsniedzot vai, gadījumā, ja konstatētas atkāpes no būvniecības dokumentiem, atsakot izsniegt attiecīgos ēkas (būves) vai jaunbūves ierakstīšanai nepieciešamos dokumentus.</w:t>
            </w:r>
          </w:p>
          <w:p w:rsidR="00686D31" w:rsidRDefault="004421B3">
            <w:pPr>
              <w:pStyle w:val="naisc"/>
              <w:spacing w:before="0" w:beforeAutospacing="0" w:after="0" w:afterAutospacing="0"/>
              <w:jc w:val="both"/>
            </w:pPr>
            <w:r w:rsidRPr="00E14265">
              <w:rPr>
                <w:sz w:val="24"/>
                <w:szCs w:val="24"/>
              </w:rPr>
              <w:t>Papildus l</w:t>
            </w:r>
            <w:r w:rsidR="007D3273" w:rsidRPr="00E14265">
              <w:rPr>
                <w:sz w:val="24"/>
                <w:szCs w:val="24"/>
              </w:rPr>
              <w:t xml:space="preserve">ikumprojekts precizē </w:t>
            </w:r>
            <w:r w:rsidRPr="00E14265">
              <w:rPr>
                <w:sz w:val="24"/>
                <w:szCs w:val="24"/>
              </w:rPr>
              <w:t xml:space="preserve">19.pantu, nosakot precīzāku definējumu tām būvēm, kuras zemesgrāmatā neieraksta. </w:t>
            </w:r>
            <w:r w:rsidR="00284934" w:rsidRPr="00E14265">
              <w:rPr>
                <w:sz w:val="24"/>
                <w:szCs w:val="24"/>
              </w:rPr>
              <w:t xml:space="preserve">Nosakot precīzi, ka zemesgrāmatā kā patstāvīgi nekustamā īpašuma objekti nav ierakstāmi  sliežu ceļi, cauruļvadi, sakaru un elektropārvades līnijas, apgaismes būves un žogi, tiks ievērojami paplašināts zemesgrāmatā ierakstāmo nekustamā īpašuma objektu apjoms, tādējādi palielinot mērķa - tuvināti dati </w:t>
            </w:r>
            <w:r w:rsidR="00284934" w:rsidRPr="00E14265">
              <w:rPr>
                <w:iCs/>
                <w:sz w:val="24"/>
                <w:szCs w:val="24"/>
              </w:rPr>
              <w:t xml:space="preserve">Kadastra informācijas sistēmā un valsts vienotajā datorizētajā zemesgrāmatā sasniegšanas pakāpi. Paplašinot </w:t>
            </w:r>
            <w:r w:rsidR="00284934" w:rsidRPr="00E14265">
              <w:rPr>
                <w:sz w:val="24"/>
                <w:szCs w:val="24"/>
              </w:rPr>
              <w:t xml:space="preserve"> nekustamā īpašuma objektu apjomu, kas kā patstāvīgi īpašumi ierakstāmi zemesgrāmatā, netieši tiks atvieglota zemesgrāmatā ierakstāmo inženierbūvju civiltiesiskā apgrozība, tostarp, finansējuma no kredītiestādēm saņemšanas process. </w:t>
            </w:r>
          </w:p>
          <w:p w:rsidR="00686D31" w:rsidRDefault="00E14265">
            <w:pPr>
              <w:jc w:val="both"/>
            </w:pPr>
            <w:r>
              <w:t xml:space="preserve">Augstākās tiesas Senāts vairākos lēmums norādījis, ka situācija, kad inženierbūves tiek apliktas ar nodokļi, bet nav ierakstāmas zemesgrāmatā nav taisnīga.  Bez ierakstīšanas zemesgrāmatā tās izkrīt no nekustamā īpašuma aprites sistēmas, tajā pašā laikā, tās tiek reģistrētas Kadastra informācijas sistēmā, tām tiek noteikts lietošanas veids, piešķirts kadastra numurs, aprēķināta kadastrālā vērtība un uzlikts nodoklis. Tātad no vienas puses šis objekts ir Kadastra informācijas sistēmā reģistrēts nekustams īpašums, kas tiek aplikts ar nodokļiem, bet no otras - kā zemesgrāmatā neierakstāms tas „tiesiski” nekļūst par īpašumu un tā īpašnieks nevar ar to brīvi rīkoties (atsavināt, mantot, ieķīlāt, utt.). Tas rada tiesiski nepieņemamu pretrunu, kurai </w:t>
            </w:r>
            <w:r>
              <w:lastRenderedPageBreak/>
              <w:t>vajadzētu tikt novērstai, atrisinot situāciju par labu būves faktiskajam īpašniekam.</w:t>
            </w:r>
          </w:p>
          <w:p w:rsidR="007D3273" w:rsidRPr="00284934" w:rsidRDefault="00284934" w:rsidP="00284934">
            <w:pPr>
              <w:pStyle w:val="Title"/>
              <w:jc w:val="both"/>
              <w:rPr>
                <w:sz w:val="24"/>
                <w:szCs w:val="24"/>
              </w:rPr>
            </w:pPr>
            <w:r w:rsidRPr="00AB5E9D">
              <w:rPr>
                <w:sz w:val="24"/>
                <w:szCs w:val="24"/>
              </w:rPr>
              <w:t>Vienlaikus, ievērojot atsevišķu inženierbūvju, piemēram, apgaismes būvju vai žogu, nozīmību saglabāts atsevišķu inženierbūvju uzskaitījums, kas arī turpmāk zemesgrāmatā nav ierakstāmi kā patstāvīgi īpašumi.</w:t>
            </w:r>
          </w:p>
          <w:p w:rsidR="008C3771" w:rsidRPr="00E77DC4" w:rsidRDefault="005F7E2E" w:rsidP="007D3273">
            <w:pPr>
              <w:pStyle w:val="Title"/>
              <w:jc w:val="both"/>
              <w:rPr>
                <w:sz w:val="24"/>
                <w:szCs w:val="24"/>
              </w:rPr>
            </w:pPr>
            <w:r>
              <w:rPr>
                <w:sz w:val="24"/>
                <w:szCs w:val="24"/>
              </w:rPr>
              <w:t xml:space="preserve">Atbilstoši noteiktajiem informācijas apmaiņas principiem, precizēts likuma 45.pants, ieviešot jēdzienu privātpersona, jo iepriekš lietotie jēdzieni </w:t>
            </w:r>
            <w:r w:rsidR="009E7DBE">
              <w:rPr>
                <w:sz w:val="24"/>
                <w:szCs w:val="24"/>
              </w:rPr>
              <w:t>fiziska un juridiska persona neaptver visas personas, kuru īpašumā ir dzīvojamās mājas. Ņemot vēra, ka turpmāk Dienesta izziņu par dzīvojamās mājas sadali dzīvokļu īpašumos aizstās informācija Kadastra informācijas sistēmā, kas būs pieejama zemesgrāmatu nodaļu tiesnešiem</w:t>
            </w:r>
            <w:r w:rsidR="00CB3D3D">
              <w:rPr>
                <w:sz w:val="24"/>
                <w:szCs w:val="24"/>
              </w:rPr>
              <w:t>, un personai šāda izziņa nebūs jāiesniedz zemesgrāmatu nodaļā, attiecīgi veikti grozījumi 45.pantā</w:t>
            </w:r>
            <w:r w:rsidR="009E7DBE">
              <w:rPr>
                <w:sz w:val="24"/>
                <w:szCs w:val="24"/>
              </w:rPr>
              <w:t>.</w:t>
            </w:r>
          </w:p>
          <w:p w:rsidR="008935BF" w:rsidRDefault="008935BF" w:rsidP="00EE5155">
            <w:pPr>
              <w:jc w:val="both"/>
              <w:rPr>
                <w:color w:val="0000FF"/>
              </w:rPr>
            </w:pPr>
          </w:p>
        </w:tc>
      </w:tr>
      <w:tr w:rsidR="00BA3F64" w:rsidRPr="009E68AE">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lastRenderedPageBreak/>
              <w:t xml:space="preserve">5.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t>Projekta izstrādē iesaistītās institūcijas</w:t>
            </w:r>
          </w:p>
        </w:tc>
        <w:tc>
          <w:tcPr>
            <w:tcW w:w="7797" w:type="dxa"/>
            <w:tcBorders>
              <w:top w:val="single" w:sz="4" w:space="0" w:color="auto"/>
              <w:left w:val="single" w:sz="4" w:space="0" w:color="auto"/>
              <w:bottom w:val="single" w:sz="4" w:space="0" w:color="auto"/>
              <w:right w:val="single" w:sz="4" w:space="0" w:color="auto"/>
            </w:tcBorders>
          </w:tcPr>
          <w:p w:rsidR="00BA3F64" w:rsidRPr="009E68AE" w:rsidRDefault="0001314A" w:rsidP="00E90600">
            <w:pPr>
              <w:ind w:left="-57"/>
              <w:jc w:val="both"/>
            </w:pPr>
            <w:r w:rsidRPr="009E68AE">
              <w:t>Tieslietu ministrija sadarbībā ar Valsts zemes dienestu</w:t>
            </w:r>
            <w:r w:rsidR="00A13DDC">
              <w:t xml:space="preserve"> un</w:t>
            </w:r>
            <w:r>
              <w:t xml:space="preserve"> Tiesu administrāciju</w:t>
            </w:r>
          </w:p>
        </w:tc>
      </w:tr>
      <w:tr w:rsidR="00BA3F64" w:rsidRPr="009E68AE">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t xml:space="preserve">6.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t>Iemesli, kādēļ netika nodrošināta sabiedrības līdzdalība</w:t>
            </w:r>
          </w:p>
        </w:tc>
        <w:tc>
          <w:tcPr>
            <w:tcW w:w="7797" w:type="dxa"/>
            <w:tcBorders>
              <w:top w:val="single" w:sz="4" w:space="0" w:color="auto"/>
              <w:left w:val="single" w:sz="4" w:space="0" w:color="auto"/>
              <w:bottom w:val="single" w:sz="4" w:space="0" w:color="auto"/>
              <w:right w:val="single" w:sz="4" w:space="0" w:color="auto"/>
            </w:tcBorders>
          </w:tcPr>
          <w:p w:rsidR="00BA3F64" w:rsidRPr="009E68AE" w:rsidRDefault="00A50534" w:rsidP="00E13176">
            <w:pPr>
              <w:jc w:val="both"/>
            </w:pPr>
            <w:r w:rsidRPr="008507D8">
              <w:t>Sabiedrības līdzdalība netika nodrošināta, jo sabiedrības līdzdalībā iegūtais viedoklis nebūtu izšķir</w:t>
            </w:r>
            <w:r>
              <w:t>ošs lēmumu pieņemšanas procesā.</w:t>
            </w:r>
          </w:p>
        </w:tc>
      </w:tr>
      <w:tr w:rsidR="00BA3F64" w:rsidRPr="009E68AE">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t>7. </w:t>
            </w:r>
          </w:p>
        </w:tc>
        <w:tc>
          <w:tcPr>
            <w:tcW w:w="1417"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ormalWeb"/>
              <w:spacing w:before="0" w:beforeAutospacing="0" w:after="0" w:afterAutospacing="0"/>
              <w:rPr>
                <w:bCs/>
                <w:szCs w:val="24"/>
              </w:rPr>
            </w:pPr>
            <w:r w:rsidRPr="009E68AE">
              <w:rPr>
                <w:bCs/>
                <w:szCs w:val="24"/>
              </w:rPr>
              <w:t>Cita informācija</w:t>
            </w:r>
          </w:p>
        </w:tc>
        <w:tc>
          <w:tcPr>
            <w:tcW w:w="7797" w:type="dxa"/>
            <w:tcBorders>
              <w:top w:val="single" w:sz="4" w:space="0" w:color="auto"/>
              <w:left w:val="single" w:sz="4" w:space="0" w:color="auto"/>
              <w:bottom w:val="single" w:sz="4" w:space="0" w:color="auto"/>
              <w:right w:val="single" w:sz="4" w:space="0" w:color="auto"/>
            </w:tcBorders>
          </w:tcPr>
          <w:p w:rsidR="00563B97" w:rsidRPr="00563B97" w:rsidRDefault="00B41C18" w:rsidP="00563B97">
            <w:pPr>
              <w:jc w:val="both"/>
            </w:pPr>
            <w:r w:rsidRPr="00B41C18">
              <w:t>Nepieciešamība nekustamo īpašumu un ar to saistītās tiesības ierakstīt zemesgrāmatā izriet no zemesgrāmatu būtības un principiem, kas vērsti uz trešo personu tiesību aizsardzību, kurām, iegādājoties nekustamu īpašumu vai arī pieņemot nekustamu īpašumu kā ķīlu, jābūt pārliecinātām par iegūto tiesību patiesumu, stabilitāti, neapstrīdamību un prioritāti. Ievērojot minēto, Civillikumā noteikti gadījumi, kuros kā tiesību rašanās un to saistošā spēka pret trešajām personām iegūšanas nosacījums izvirzīta attiecīgo tiesību ierakstīšana zemesgrāmatā.</w:t>
            </w:r>
          </w:p>
          <w:p w:rsidR="00563B97" w:rsidRPr="00563B97" w:rsidRDefault="00B41C18" w:rsidP="00563B97">
            <w:pPr>
              <w:jc w:val="both"/>
            </w:pPr>
            <w:r w:rsidRPr="00B41C18">
              <w:rPr>
                <w:rFonts w:eastAsia="Calibri"/>
              </w:rPr>
              <w:t>Civillikuma 993.panta otrā daļa noteic, ka zemesgrāmatā jāieraksta ne vien katrs nekustama īpašuma atsavinājums, bet arī vispār katra tā īpašnieka maiņa. Vienlaikus Civillikuma 1477. pants noteic, ka korroborācija nepieciešama tajos gadījumos, kad ar darījumu iegūst lietu tiesības uz nekustamu īpašumu.</w:t>
            </w:r>
            <w:r w:rsidRPr="00B41C18">
              <w:t xml:space="preserve"> No minētajām tiesību normām izriet, ka likumdevējs noteicis nekustamā īpašuma ieguvējam nevis tiesību, bet pienākumu ierakstīt zemesgrāmatā katru īpašnieka maiņu un nostiprināt lietu tiesības, kas iegūtas, piemēram, uz darījuma pamata. No minētā izriet, ka personas pienākums savlaicīgi nostiprināt īpašuma tiesības zemesgrāmatā izriet no:</w:t>
            </w:r>
          </w:p>
          <w:p w:rsidR="00563B97" w:rsidRPr="00563B97" w:rsidRDefault="00B41C18" w:rsidP="00563B97">
            <w:pPr>
              <w:pStyle w:val="CommentText"/>
              <w:numPr>
                <w:ilvl w:val="0"/>
                <w:numId w:val="5"/>
              </w:numPr>
              <w:jc w:val="both"/>
              <w:rPr>
                <w:sz w:val="24"/>
                <w:szCs w:val="24"/>
              </w:rPr>
            </w:pPr>
            <w:r w:rsidRPr="00B41C18">
              <w:rPr>
                <w:sz w:val="24"/>
                <w:szCs w:val="24"/>
              </w:rPr>
              <w:t>Civillikuma 1.panta, kas noteic, ka</w:t>
            </w:r>
            <w:r w:rsidRPr="00B41C18">
              <w:rPr>
                <w:rFonts w:ascii="Arial" w:hAnsi="Arial" w:cs="Arial"/>
                <w:sz w:val="24"/>
                <w:szCs w:val="24"/>
              </w:rPr>
              <w:t xml:space="preserve"> </w:t>
            </w:r>
            <w:r w:rsidRPr="00B41C18">
              <w:rPr>
                <w:sz w:val="24"/>
                <w:szCs w:val="24"/>
              </w:rPr>
              <w:t xml:space="preserve">tiesības izlietojamas un pienākumi pildāmi pēc labas </w:t>
            </w:r>
            <w:r w:rsidRPr="00B41C18">
              <w:rPr>
                <w:vanish/>
                <w:sz w:val="24"/>
                <w:szCs w:val="24"/>
              </w:rPr>
              <w:br/>
            </w:r>
            <w:r w:rsidRPr="00B41C18">
              <w:rPr>
                <w:sz w:val="24"/>
                <w:szCs w:val="24"/>
              </w:rPr>
              <w:t>ticības.</w:t>
            </w:r>
          </w:p>
          <w:p w:rsidR="00563B97" w:rsidRPr="00563B97" w:rsidRDefault="00B41C18" w:rsidP="00563B97">
            <w:pPr>
              <w:pStyle w:val="CommentText"/>
              <w:numPr>
                <w:ilvl w:val="0"/>
                <w:numId w:val="5"/>
              </w:numPr>
              <w:jc w:val="both"/>
              <w:rPr>
                <w:sz w:val="24"/>
                <w:szCs w:val="24"/>
              </w:rPr>
            </w:pPr>
            <w:r w:rsidRPr="00B41C18">
              <w:rPr>
                <w:sz w:val="24"/>
                <w:szCs w:val="24"/>
              </w:rPr>
              <w:t>Civillikuma 993.panta otrās daļas, kas noteic, ka zemesgrāmatās jāieraksta ne vien katrs nekustama īpašuma atsavinājums, bet arī vispār katra tā īpašnieka maiņa;</w:t>
            </w:r>
          </w:p>
          <w:p w:rsidR="00563B97" w:rsidRPr="00563B97" w:rsidRDefault="00B41C18" w:rsidP="00563B97">
            <w:pPr>
              <w:pStyle w:val="CommentText"/>
              <w:numPr>
                <w:ilvl w:val="0"/>
                <w:numId w:val="5"/>
              </w:numPr>
              <w:jc w:val="both"/>
              <w:rPr>
                <w:sz w:val="24"/>
                <w:szCs w:val="24"/>
              </w:rPr>
            </w:pPr>
            <w:r w:rsidRPr="00B41C18">
              <w:rPr>
                <w:sz w:val="24"/>
                <w:szCs w:val="24"/>
              </w:rPr>
              <w:t xml:space="preserve">Civillikuma 1477. panta pirmās daļas, kas noteic, ka korroborācija nepieciešama tajos gadījumos, kad ar darījumu iegūst lietu tiesības uz </w:t>
            </w:r>
            <w:r w:rsidRPr="00B41C18">
              <w:rPr>
                <w:sz w:val="24"/>
                <w:szCs w:val="24"/>
              </w:rPr>
              <w:lastRenderedPageBreak/>
              <w:t>nekustamu īpašumu.</w:t>
            </w:r>
          </w:p>
          <w:p w:rsidR="00563B97" w:rsidRPr="00563B97" w:rsidRDefault="00B41C18" w:rsidP="00563B97">
            <w:pPr>
              <w:pStyle w:val="CommentText"/>
              <w:jc w:val="both"/>
              <w:rPr>
                <w:sz w:val="24"/>
                <w:szCs w:val="24"/>
              </w:rPr>
            </w:pPr>
            <w:r w:rsidRPr="00B41C18">
              <w:rPr>
                <w:sz w:val="24"/>
                <w:szCs w:val="24"/>
              </w:rPr>
              <w:t xml:space="preserve">Tikai izpildoties šiem nosacījumiem uzskatāms, ka līgums, ar kuru iegūtas tiesības uz nekustamo īpašumu, izpildīts pilnīgi. Proti, ka puses ir pienācīgi izpildījušas savas saistības. Vērtējot minēto kopsakarā ar apstākli, ka īpašums raksturojams kā tiesību un pienākumu kopums, un īpašnieka pienākumi nav uzskatāmi vienīgi par izņēmumiem attiecībā pret viņa tiesību, bet gan īpašuma būtību veidojošiem elementiem, secināms, ka īpašums piešķir ne tikai tiesības, bet arī uzliek pienākumu, tostarp, veikt visas nepieciešamās darbības, kādas likums izvirzījis tiesību uz nekustamo īpašumu nodibināšanai. Ievērojot minēto, secināms, ka savlaicīga īpašuma tiesību nenostiprināšana zemesgrāmatā nav personai ar likumu piešķirto tiesību neizmantošana, bet izvairīšanās no ar likumu uzlikta pienākuma izpildīšanas. </w:t>
            </w:r>
          </w:p>
          <w:p w:rsidR="00BA3F64" w:rsidRPr="009E68AE" w:rsidRDefault="00BA3F64" w:rsidP="00E13176">
            <w:pPr>
              <w:ind w:left="-57"/>
              <w:jc w:val="both"/>
            </w:pPr>
          </w:p>
        </w:tc>
      </w:tr>
    </w:tbl>
    <w:p w:rsidR="00BA3F64" w:rsidRPr="009E68AE" w:rsidRDefault="00BA3F64" w:rsidP="00BA3F64"/>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2410"/>
        <w:gridCol w:w="6804"/>
      </w:tblGrid>
      <w:tr w:rsidR="00BA3F64" w:rsidRPr="009E68AE">
        <w:trPr>
          <w:trHeight w:val="155"/>
        </w:trPr>
        <w:tc>
          <w:tcPr>
            <w:tcW w:w="9640" w:type="dxa"/>
            <w:gridSpan w:val="3"/>
            <w:tcBorders>
              <w:top w:val="single" w:sz="4" w:space="0" w:color="auto"/>
              <w:left w:val="single" w:sz="4" w:space="0" w:color="auto"/>
              <w:bottom w:val="thickThinLargeGap" w:sz="6" w:space="0" w:color="808080"/>
              <w:right w:val="single" w:sz="4" w:space="0" w:color="auto"/>
            </w:tcBorders>
          </w:tcPr>
          <w:p w:rsidR="00BA3F64" w:rsidRPr="009E68AE" w:rsidRDefault="00BA3F64" w:rsidP="00E13176">
            <w:pPr>
              <w:pStyle w:val="naisc"/>
              <w:spacing w:before="0" w:beforeAutospacing="0" w:after="0" w:afterAutospacing="0"/>
              <w:rPr>
                <w:sz w:val="24"/>
                <w:szCs w:val="24"/>
              </w:rPr>
            </w:pPr>
            <w:r w:rsidRPr="009E68AE">
              <w:rPr>
                <w:b/>
                <w:sz w:val="24"/>
                <w:szCs w:val="24"/>
              </w:rPr>
              <w:t>II. Tiesību akta projekta ietekme uz sabiedrību</w:t>
            </w:r>
          </w:p>
        </w:tc>
      </w:tr>
      <w:tr w:rsidR="00BA3F64" w:rsidRPr="009E68AE">
        <w:trPr>
          <w:trHeight w:val="296"/>
        </w:trPr>
        <w:tc>
          <w:tcPr>
            <w:tcW w:w="426" w:type="dxa"/>
            <w:tcBorders>
              <w:top w:val="thickThinLargeGap" w:sz="6" w:space="0" w:color="808080"/>
              <w:left w:val="single" w:sz="4" w:space="0" w:color="auto"/>
              <w:bottom w:val="single" w:sz="4" w:space="0" w:color="auto"/>
              <w:right w:val="single" w:sz="4" w:space="0" w:color="auto"/>
            </w:tcBorders>
          </w:tcPr>
          <w:p w:rsidR="00BA3F64" w:rsidRPr="009E68AE" w:rsidRDefault="00BA3F64" w:rsidP="00E13176">
            <w:pPr>
              <w:pStyle w:val="naiskr"/>
              <w:spacing w:before="0" w:after="0"/>
            </w:pPr>
            <w:r w:rsidRPr="009E68AE">
              <w:t>1.</w:t>
            </w:r>
          </w:p>
        </w:tc>
        <w:tc>
          <w:tcPr>
            <w:tcW w:w="2410" w:type="dxa"/>
            <w:tcBorders>
              <w:top w:val="thickThinLargeGap" w:sz="6" w:space="0" w:color="808080"/>
              <w:left w:val="single" w:sz="4" w:space="0" w:color="auto"/>
              <w:bottom w:val="single" w:sz="4" w:space="0" w:color="auto"/>
              <w:right w:val="single" w:sz="4" w:space="0" w:color="auto"/>
            </w:tcBorders>
          </w:tcPr>
          <w:p w:rsidR="00BA3F64" w:rsidRPr="009E68AE" w:rsidRDefault="00BA3F64" w:rsidP="00E13176">
            <w:pPr>
              <w:pStyle w:val="naiskr"/>
              <w:spacing w:before="0" w:after="0"/>
              <w:jc w:val="both"/>
            </w:pPr>
            <w:r w:rsidRPr="009E68AE">
              <w:t>Sabiedrības mērķgrupa</w:t>
            </w:r>
          </w:p>
        </w:tc>
        <w:tc>
          <w:tcPr>
            <w:tcW w:w="6804" w:type="dxa"/>
            <w:tcBorders>
              <w:top w:val="single" w:sz="4" w:space="0" w:color="auto"/>
              <w:left w:val="single" w:sz="4" w:space="0" w:color="auto"/>
              <w:bottom w:val="single" w:sz="4" w:space="0" w:color="auto"/>
              <w:right w:val="single" w:sz="4" w:space="0" w:color="auto"/>
            </w:tcBorders>
          </w:tcPr>
          <w:p w:rsidR="00E7710C" w:rsidRDefault="00E7710C" w:rsidP="00E7710C">
            <w:pPr>
              <w:jc w:val="both"/>
            </w:pPr>
            <w:r>
              <w:t xml:space="preserve">Nekustamā īpašuma valsts kadastra informācijas sistēmā 2012.gada maija sākumā reģistrēti aptuveni 1.35 milj. nekustamo īpašumu un 780277 </w:t>
            </w:r>
            <w:r w:rsidR="008B2C1E">
              <w:t xml:space="preserve">unikālas </w:t>
            </w:r>
            <w:r>
              <w:t xml:space="preserve">personas, kas reģistrētas kā </w:t>
            </w:r>
            <w:r w:rsidRPr="00665F69">
              <w:t>zemes īpašumu, ēku (būvju) īpašumu, dzīvokļa īpašumu īpašnieki,</w:t>
            </w:r>
            <w:r>
              <w:t xml:space="preserve"> bet,</w:t>
            </w:r>
            <w:r w:rsidRPr="00665F69">
              <w:t xml:space="preserve"> ja tādu nav, tiesiskie valdītāji</w:t>
            </w:r>
            <w:r>
              <w:t xml:space="preserve"> </w:t>
            </w:r>
            <w:r w:rsidRPr="00665F69">
              <w:t xml:space="preserve"> </w:t>
            </w:r>
            <w:r>
              <w:t xml:space="preserve">vai </w:t>
            </w:r>
            <w:r w:rsidRPr="00665F69">
              <w:t xml:space="preserve"> lietotāji;</w:t>
            </w:r>
          </w:p>
          <w:p w:rsidR="00E7710C" w:rsidRDefault="00E7710C" w:rsidP="00E7710C">
            <w:pPr>
              <w:jc w:val="both"/>
            </w:pPr>
            <w:r w:rsidRPr="00B64139">
              <w:t>Valsts vienotā datorizētā zemesgrāmatā reģistrēti</w:t>
            </w:r>
            <w:r>
              <w:t xml:space="preserve"> 1,16 milj.</w:t>
            </w:r>
            <w:r w:rsidRPr="00B64139">
              <w:t xml:space="preserve"> nekustam</w:t>
            </w:r>
            <w:r>
              <w:t>o</w:t>
            </w:r>
            <w:r w:rsidRPr="00B64139">
              <w:t xml:space="preserve"> īpašum</w:t>
            </w:r>
            <w:r>
              <w:t>u.</w:t>
            </w:r>
          </w:p>
          <w:p w:rsidR="0093743E" w:rsidRPr="009E68AE" w:rsidRDefault="0093743E" w:rsidP="00E7710C">
            <w:pPr>
              <w:suppressAutoHyphens/>
              <w:jc w:val="both"/>
            </w:pPr>
          </w:p>
        </w:tc>
      </w:tr>
      <w:tr w:rsidR="00BA3F64" w:rsidRPr="009E68AE">
        <w:trPr>
          <w:trHeight w:val="474"/>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pPr>
            <w:r w:rsidRPr="009E68AE">
              <w:t xml:space="preserve">2. </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jc w:val="both"/>
            </w:pPr>
            <w:r w:rsidRPr="009E68AE">
              <w:t>Citas sabiedrības grupas (bez mērķgrupas), kuras tiesiskais regulējums arī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BA3F64" w:rsidRPr="0093743E" w:rsidRDefault="0093743E" w:rsidP="003068FA">
            <w:pPr>
              <w:jc w:val="both"/>
              <w:rPr>
                <w:color w:val="0000FF"/>
              </w:rPr>
            </w:pPr>
            <w:r w:rsidRPr="00000EFB">
              <w:t xml:space="preserve">Fiziskas un juridiskas personas, kuras plāno </w:t>
            </w:r>
            <w:r>
              <w:t xml:space="preserve">ierakstīt zemesgrāmatā nekustamo īpašumu. Kadastra informācijas sistēmā reģistrēti </w:t>
            </w:r>
            <w:r w:rsidR="00E7710C">
              <w:t xml:space="preserve">aptuveni </w:t>
            </w:r>
            <w:r>
              <w:t>1,</w:t>
            </w:r>
            <w:r w:rsidR="003068FA">
              <w:t>35</w:t>
            </w:r>
            <w:r>
              <w:t xml:space="preserve"> milj</w:t>
            </w:r>
            <w:r w:rsidR="00BB320E">
              <w:t>. īpašumi, savukārt, VVDZ – 1,16</w:t>
            </w:r>
            <w:r>
              <w:t xml:space="preserve"> milj.</w:t>
            </w:r>
            <w:r w:rsidR="00E7710C">
              <w:t xml:space="preserve"> īpašumu.</w:t>
            </w:r>
            <w:r>
              <w:t xml:space="preserve"> Līdz ar to, likumprojekta </w:t>
            </w:r>
            <w:r w:rsidR="00E82456">
              <w:t>mēr</w:t>
            </w:r>
            <w:r w:rsidR="00BB320E">
              <w:t xml:space="preserve">ķgrupa ir ne lielāka kā </w:t>
            </w:r>
            <w:r w:rsidR="003068FA">
              <w:t>19</w:t>
            </w:r>
            <w:r w:rsidR="00BB320E">
              <w:t>0</w:t>
            </w:r>
            <w:r>
              <w:t>000 nekustamo īpašum</w:t>
            </w:r>
            <w:r w:rsidR="008859EE">
              <w:t>u</w:t>
            </w:r>
            <w:r>
              <w:t xml:space="preserve"> īpašnieki</w:t>
            </w:r>
            <w:r w:rsidRPr="00252B0F">
              <w:rPr>
                <w:color w:val="0000FF"/>
              </w:rPr>
              <w:t>.</w:t>
            </w:r>
          </w:p>
        </w:tc>
      </w:tr>
      <w:tr w:rsidR="00BA3F64" w:rsidRPr="009E68AE">
        <w:trPr>
          <w:trHeight w:val="346"/>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pPr>
            <w:r w:rsidRPr="009E68AE">
              <w:t>3.</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jc w:val="both"/>
            </w:pPr>
            <w:r w:rsidRPr="009E68AE">
              <w:t>Tiesiskā regulējuma finansiālā ietekme</w:t>
            </w:r>
          </w:p>
        </w:tc>
        <w:tc>
          <w:tcPr>
            <w:tcW w:w="6804" w:type="dxa"/>
            <w:tcBorders>
              <w:top w:val="single" w:sz="4" w:space="0" w:color="auto"/>
              <w:left w:val="single" w:sz="4" w:space="0" w:color="auto"/>
              <w:bottom w:val="single" w:sz="4" w:space="0" w:color="auto"/>
              <w:right w:val="single" w:sz="4" w:space="0" w:color="auto"/>
            </w:tcBorders>
          </w:tcPr>
          <w:p w:rsidR="00BA3F64" w:rsidRPr="009E68AE" w:rsidRDefault="00FE79F3" w:rsidP="00E13176">
            <w:pPr>
              <w:jc w:val="both"/>
            </w:pPr>
            <w:r w:rsidRPr="009E68AE">
              <w:t>Projekts šo jomu neskar</w:t>
            </w:r>
          </w:p>
        </w:tc>
      </w:tr>
      <w:tr w:rsidR="00BA3F64" w:rsidRPr="009E68AE">
        <w:trPr>
          <w:trHeight w:val="218"/>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pPr>
            <w:r w:rsidRPr="009E68AE">
              <w:t xml:space="preserve">4. </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jc w:val="both"/>
            </w:pPr>
            <w:r w:rsidRPr="009E68AE">
              <w:t>Tiesiskā regulējuma nefinansiālā ietekme</w:t>
            </w:r>
          </w:p>
        </w:tc>
        <w:tc>
          <w:tcPr>
            <w:tcW w:w="6804" w:type="dxa"/>
            <w:tcBorders>
              <w:top w:val="single" w:sz="4" w:space="0" w:color="auto"/>
              <w:left w:val="single" w:sz="4" w:space="0" w:color="auto"/>
              <w:bottom w:val="single" w:sz="4" w:space="0" w:color="auto"/>
              <w:right w:val="single" w:sz="4" w:space="0" w:color="auto"/>
            </w:tcBorders>
          </w:tcPr>
          <w:p w:rsidR="00526444" w:rsidRPr="009E68AE" w:rsidRDefault="00FE79F3" w:rsidP="00C672F8">
            <w:pPr>
              <w:jc w:val="both"/>
            </w:pPr>
            <w:r w:rsidRPr="00612458">
              <w:t>Zemes, zemes vienības daļas un būves īpašniekiem, vai, ja tādu nav, – tiesiskiem valdītājiem,</w:t>
            </w:r>
            <w:r w:rsidR="00C672F8">
              <w:t xml:space="preserve"> nekustamā īpašuma ierakstīšanai zemesgrāmatā</w:t>
            </w:r>
            <w:r w:rsidR="00526444">
              <w:t>, nebūs nepieciešam</w:t>
            </w:r>
            <w:r w:rsidR="00FD00B6">
              <w:t xml:space="preserve">s iesniegt papildus jau valsts </w:t>
            </w:r>
            <w:r w:rsidR="00D80331">
              <w:t xml:space="preserve">(Valsts zemes dienesta) </w:t>
            </w:r>
            <w:r w:rsidR="00FD00B6">
              <w:t>rīcībā esošos dokumentus (informāciju)</w:t>
            </w:r>
            <w:r w:rsidR="000A56F4">
              <w:t>.</w:t>
            </w:r>
          </w:p>
        </w:tc>
      </w:tr>
      <w:tr w:rsidR="00BA3F64" w:rsidRPr="009E68AE">
        <w:trPr>
          <w:trHeight w:val="218"/>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pPr>
            <w:r w:rsidRPr="009E68AE">
              <w:t xml:space="preserve">5. </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naiskr"/>
              <w:spacing w:before="0" w:after="0"/>
              <w:jc w:val="both"/>
            </w:pPr>
            <w:r w:rsidRPr="009E68AE">
              <w:t>Administratīvās procedūras raksturojums</w:t>
            </w:r>
          </w:p>
        </w:tc>
        <w:tc>
          <w:tcPr>
            <w:tcW w:w="6804" w:type="dxa"/>
            <w:tcBorders>
              <w:top w:val="single" w:sz="4" w:space="0" w:color="auto"/>
              <w:left w:val="single" w:sz="4" w:space="0" w:color="auto"/>
              <w:bottom w:val="single" w:sz="4" w:space="0" w:color="auto"/>
              <w:right w:val="single" w:sz="4" w:space="0" w:color="auto"/>
            </w:tcBorders>
          </w:tcPr>
          <w:p w:rsidR="00BA3F64" w:rsidRPr="00290762" w:rsidRDefault="00930B4C" w:rsidP="00E13176">
            <w:pPr>
              <w:pStyle w:val="NormalWeb"/>
              <w:spacing w:before="0" w:beforeAutospacing="0" w:after="0" w:afterAutospacing="0"/>
              <w:jc w:val="both"/>
              <w:rPr>
                <w:szCs w:val="24"/>
              </w:rPr>
            </w:pPr>
            <w:r w:rsidRPr="00290762">
              <w:t>Projekts šo jomu neskar</w:t>
            </w:r>
          </w:p>
        </w:tc>
      </w:tr>
      <w:tr w:rsidR="00BA3F64" w:rsidRPr="009E68AE">
        <w:trPr>
          <w:trHeight w:val="559"/>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spacing w:before="100" w:beforeAutospacing="1" w:after="100" w:afterAutospacing="1"/>
            </w:pPr>
            <w:r w:rsidRPr="009E68AE">
              <w:t xml:space="preserve">6. </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spacing w:before="100" w:beforeAutospacing="1" w:after="100" w:afterAutospacing="1"/>
              <w:jc w:val="both"/>
            </w:pPr>
            <w:r w:rsidRPr="009E68AE">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tcPr>
          <w:p w:rsidR="00BA3F64" w:rsidRPr="009E68AE" w:rsidRDefault="00BA3F64" w:rsidP="00FE79F3">
            <w:pPr>
              <w:pStyle w:val="NormalWeb"/>
              <w:spacing w:before="0" w:beforeAutospacing="0" w:after="0" w:afterAutospacing="0"/>
              <w:jc w:val="both"/>
              <w:rPr>
                <w:szCs w:val="24"/>
              </w:rPr>
            </w:pPr>
            <w:r w:rsidRPr="009E68AE">
              <w:t>Projekts šo jomu neskar</w:t>
            </w:r>
          </w:p>
        </w:tc>
      </w:tr>
      <w:tr w:rsidR="00BA3F64" w:rsidRPr="009E68AE">
        <w:trPr>
          <w:trHeight w:val="182"/>
        </w:trPr>
        <w:tc>
          <w:tcPr>
            <w:tcW w:w="426"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BodyText"/>
              <w:rPr>
                <w:i w:val="0"/>
                <w:szCs w:val="24"/>
              </w:rPr>
            </w:pPr>
            <w:r w:rsidRPr="009E68AE">
              <w:rPr>
                <w:i w:val="0"/>
                <w:szCs w:val="24"/>
              </w:rPr>
              <w:t>7.</w:t>
            </w:r>
          </w:p>
        </w:tc>
        <w:tc>
          <w:tcPr>
            <w:tcW w:w="2410"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pStyle w:val="BodyText"/>
              <w:jc w:val="both"/>
              <w:rPr>
                <w:i w:val="0"/>
                <w:szCs w:val="24"/>
              </w:rPr>
            </w:pPr>
            <w:r w:rsidRPr="009E68AE">
              <w:rPr>
                <w:i w:val="0"/>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BA3F64" w:rsidRPr="009E68AE" w:rsidRDefault="00BA3F64" w:rsidP="00E13176">
            <w:pPr>
              <w:jc w:val="both"/>
            </w:pPr>
            <w:r w:rsidRPr="009E68AE">
              <w:t>Nav.</w:t>
            </w:r>
          </w:p>
        </w:tc>
      </w:tr>
    </w:tbl>
    <w:p w:rsidR="00BA3F64" w:rsidRPr="009E68AE" w:rsidRDefault="00BA3F64" w:rsidP="00BA3F64"/>
    <w:tbl>
      <w:tblPr>
        <w:tblW w:w="9857"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331"/>
        <w:gridCol w:w="1354"/>
        <w:gridCol w:w="1354"/>
        <w:gridCol w:w="1355"/>
        <w:gridCol w:w="1307"/>
      </w:tblGrid>
      <w:tr w:rsidR="00032C53" w:rsidRPr="0072316B" w:rsidTr="000B78A3">
        <w:trPr>
          <w:trHeight w:val="652"/>
          <w:jc w:val="center"/>
        </w:trPr>
        <w:tc>
          <w:tcPr>
            <w:tcW w:w="9857" w:type="dxa"/>
            <w:gridSpan w:val="6"/>
            <w:tcBorders>
              <w:top w:val="single" w:sz="4" w:space="0" w:color="auto"/>
              <w:left w:val="single" w:sz="4" w:space="0" w:color="auto"/>
              <w:bottom w:val="single" w:sz="4" w:space="0" w:color="auto"/>
              <w:right w:val="single" w:sz="4" w:space="0" w:color="auto"/>
            </w:tcBorders>
          </w:tcPr>
          <w:p w:rsidR="00032C53" w:rsidRPr="004F79B2" w:rsidRDefault="00032C53" w:rsidP="000B78A3">
            <w:pPr>
              <w:pStyle w:val="naisnod"/>
              <w:spacing w:before="0" w:after="0"/>
              <w:rPr>
                <w:sz w:val="22"/>
                <w:szCs w:val="22"/>
              </w:rPr>
            </w:pPr>
            <w:r w:rsidRPr="00AE447B">
              <w:rPr>
                <w:color w:val="0000FF"/>
                <w:sz w:val="22"/>
                <w:szCs w:val="22"/>
              </w:rPr>
              <w:br w:type="page"/>
            </w:r>
            <w:r w:rsidRPr="004F79B2">
              <w:rPr>
                <w:sz w:val="22"/>
                <w:szCs w:val="22"/>
              </w:rPr>
              <w:t>III. Tiesību akta projekta ietekme uz valsts budžetu un pašvaldību budžetiem</w:t>
            </w:r>
          </w:p>
        </w:tc>
      </w:tr>
      <w:tr w:rsidR="00032C53" w:rsidRPr="0072316B" w:rsidTr="000B78A3">
        <w:trPr>
          <w:jc w:val="center"/>
        </w:trPr>
        <w:tc>
          <w:tcPr>
            <w:tcW w:w="3156" w:type="dxa"/>
            <w:vMerge w:val="restart"/>
            <w:vAlign w:val="center"/>
          </w:tcPr>
          <w:p w:rsidR="00032C53" w:rsidRPr="005655DB" w:rsidRDefault="00032C53" w:rsidP="000B78A3">
            <w:pPr>
              <w:pStyle w:val="naisf"/>
              <w:spacing w:before="0" w:after="0"/>
              <w:jc w:val="center"/>
              <w:rPr>
                <w:b/>
                <w:sz w:val="22"/>
                <w:szCs w:val="22"/>
              </w:rPr>
            </w:pPr>
            <w:r w:rsidRPr="005655DB">
              <w:rPr>
                <w:b/>
                <w:sz w:val="22"/>
                <w:szCs w:val="22"/>
              </w:rPr>
              <w:t>Rādītāji</w:t>
            </w:r>
          </w:p>
        </w:tc>
        <w:tc>
          <w:tcPr>
            <w:tcW w:w="2685" w:type="dxa"/>
            <w:gridSpan w:val="2"/>
            <w:vMerge w:val="restart"/>
            <w:vAlign w:val="center"/>
          </w:tcPr>
          <w:p w:rsidR="00032C53" w:rsidRPr="005655DB" w:rsidRDefault="00032C53" w:rsidP="000B78A3">
            <w:pPr>
              <w:pStyle w:val="naisf"/>
              <w:spacing w:before="0" w:after="0"/>
              <w:jc w:val="center"/>
              <w:rPr>
                <w:b/>
                <w:sz w:val="22"/>
                <w:szCs w:val="22"/>
              </w:rPr>
            </w:pPr>
            <w:r w:rsidRPr="005655DB">
              <w:rPr>
                <w:b/>
                <w:sz w:val="22"/>
                <w:szCs w:val="22"/>
              </w:rPr>
              <w:t>2012 gads</w:t>
            </w:r>
          </w:p>
        </w:tc>
        <w:tc>
          <w:tcPr>
            <w:tcW w:w="4016" w:type="dxa"/>
            <w:gridSpan w:val="3"/>
            <w:vAlign w:val="center"/>
          </w:tcPr>
          <w:p w:rsidR="00032C53" w:rsidRPr="005655DB" w:rsidRDefault="00032C53" w:rsidP="000B78A3">
            <w:pPr>
              <w:pStyle w:val="naisf"/>
              <w:spacing w:before="0" w:after="0"/>
              <w:jc w:val="center"/>
              <w:rPr>
                <w:b/>
                <w:i/>
                <w:sz w:val="22"/>
                <w:szCs w:val="22"/>
              </w:rPr>
            </w:pPr>
            <w:r w:rsidRPr="005655DB">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5655DB">
                <w:rPr>
                  <w:sz w:val="22"/>
                  <w:szCs w:val="22"/>
                </w:rPr>
                <w:t>. latu</w:t>
              </w:r>
            </w:smartTag>
            <w:r w:rsidRPr="005655DB">
              <w:rPr>
                <w:sz w:val="22"/>
                <w:szCs w:val="22"/>
              </w:rPr>
              <w:t>)</w:t>
            </w:r>
          </w:p>
        </w:tc>
      </w:tr>
      <w:tr w:rsidR="00032C53" w:rsidRPr="0072316B" w:rsidTr="000B78A3">
        <w:trPr>
          <w:jc w:val="center"/>
        </w:trPr>
        <w:tc>
          <w:tcPr>
            <w:tcW w:w="3156" w:type="dxa"/>
            <w:vMerge/>
            <w:vAlign w:val="center"/>
          </w:tcPr>
          <w:p w:rsidR="00032C53" w:rsidRPr="005655DB" w:rsidRDefault="00032C53" w:rsidP="000B78A3">
            <w:pPr>
              <w:pStyle w:val="naisf"/>
              <w:spacing w:before="0" w:after="0"/>
              <w:jc w:val="center"/>
              <w:rPr>
                <w:b/>
                <w:i/>
                <w:sz w:val="22"/>
                <w:szCs w:val="22"/>
              </w:rPr>
            </w:pPr>
          </w:p>
        </w:tc>
        <w:tc>
          <w:tcPr>
            <w:tcW w:w="2685" w:type="dxa"/>
            <w:gridSpan w:val="2"/>
            <w:vMerge/>
            <w:vAlign w:val="center"/>
          </w:tcPr>
          <w:p w:rsidR="00032C53" w:rsidRPr="005655DB" w:rsidRDefault="00032C53" w:rsidP="000B78A3">
            <w:pPr>
              <w:pStyle w:val="naisf"/>
              <w:spacing w:before="0" w:after="0"/>
              <w:jc w:val="center"/>
              <w:rPr>
                <w:b/>
                <w:i/>
                <w:sz w:val="22"/>
                <w:szCs w:val="22"/>
              </w:rPr>
            </w:pPr>
          </w:p>
        </w:tc>
        <w:tc>
          <w:tcPr>
            <w:tcW w:w="1354" w:type="dxa"/>
            <w:vAlign w:val="center"/>
          </w:tcPr>
          <w:p w:rsidR="00032C53" w:rsidRPr="005655DB" w:rsidRDefault="00032C53" w:rsidP="000B78A3">
            <w:pPr>
              <w:pStyle w:val="naisf"/>
              <w:spacing w:before="0" w:after="0"/>
              <w:jc w:val="center"/>
              <w:rPr>
                <w:b/>
                <w:i/>
                <w:sz w:val="22"/>
                <w:szCs w:val="22"/>
              </w:rPr>
            </w:pPr>
            <w:r w:rsidRPr="005655DB">
              <w:rPr>
                <w:b/>
                <w:bCs/>
                <w:sz w:val="22"/>
                <w:szCs w:val="22"/>
              </w:rPr>
              <w:t>2013</w:t>
            </w:r>
          </w:p>
        </w:tc>
        <w:tc>
          <w:tcPr>
            <w:tcW w:w="1355" w:type="dxa"/>
            <w:vAlign w:val="center"/>
          </w:tcPr>
          <w:p w:rsidR="00032C53" w:rsidRPr="005655DB" w:rsidRDefault="00032C53" w:rsidP="000B78A3">
            <w:pPr>
              <w:pStyle w:val="naisf"/>
              <w:spacing w:before="0" w:after="0"/>
              <w:jc w:val="center"/>
              <w:rPr>
                <w:b/>
                <w:i/>
                <w:sz w:val="22"/>
                <w:szCs w:val="22"/>
              </w:rPr>
            </w:pPr>
            <w:r w:rsidRPr="005655DB">
              <w:rPr>
                <w:b/>
                <w:bCs/>
                <w:sz w:val="22"/>
                <w:szCs w:val="22"/>
              </w:rPr>
              <w:t>2014</w:t>
            </w:r>
          </w:p>
        </w:tc>
        <w:tc>
          <w:tcPr>
            <w:tcW w:w="1307" w:type="dxa"/>
            <w:vAlign w:val="center"/>
          </w:tcPr>
          <w:p w:rsidR="00032C53" w:rsidRPr="005655DB" w:rsidRDefault="00032C53" w:rsidP="000B78A3">
            <w:pPr>
              <w:pStyle w:val="naisf"/>
              <w:spacing w:before="0" w:after="0"/>
              <w:jc w:val="center"/>
              <w:rPr>
                <w:b/>
                <w:i/>
                <w:sz w:val="22"/>
                <w:szCs w:val="22"/>
              </w:rPr>
            </w:pPr>
            <w:r w:rsidRPr="005655DB">
              <w:rPr>
                <w:b/>
                <w:bCs/>
                <w:sz w:val="22"/>
                <w:szCs w:val="22"/>
              </w:rPr>
              <w:t>2015</w:t>
            </w:r>
          </w:p>
        </w:tc>
      </w:tr>
      <w:tr w:rsidR="00032C53" w:rsidRPr="0072316B" w:rsidTr="000B78A3">
        <w:trPr>
          <w:jc w:val="center"/>
        </w:trPr>
        <w:tc>
          <w:tcPr>
            <w:tcW w:w="3156" w:type="dxa"/>
            <w:vMerge/>
            <w:vAlign w:val="center"/>
          </w:tcPr>
          <w:p w:rsidR="00032C53" w:rsidRPr="00AE447B" w:rsidRDefault="00032C53" w:rsidP="000B78A3">
            <w:pPr>
              <w:pStyle w:val="naisf"/>
              <w:spacing w:before="0" w:after="0"/>
              <w:jc w:val="center"/>
              <w:rPr>
                <w:b/>
                <w:i/>
                <w:color w:val="0000FF"/>
                <w:sz w:val="22"/>
                <w:szCs w:val="22"/>
              </w:rPr>
            </w:pPr>
          </w:p>
        </w:tc>
        <w:tc>
          <w:tcPr>
            <w:tcW w:w="1331" w:type="dxa"/>
            <w:vAlign w:val="center"/>
          </w:tcPr>
          <w:p w:rsidR="00032C53" w:rsidRPr="004F79B2" w:rsidRDefault="00032C53" w:rsidP="000B78A3">
            <w:pPr>
              <w:pStyle w:val="naisf"/>
              <w:spacing w:before="0" w:after="0"/>
              <w:jc w:val="center"/>
              <w:rPr>
                <w:b/>
                <w:i/>
                <w:sz w:val="22"/>
                <w:szCs w:val="22"/>
              </w:rPr>
            </w:pPr>
            <w:r w:rsidRPr="004F79B2">
              <w:rPr>
                <w:sz w:val="22"/>
                <w:szCs w:val="22"/>
              </w:rPr>
              <w:t>Saskaņā ar valsts budžetu kārtējam gadam</w:t>
            </w:r>
          </w:p>
        </w:tc>
        <w:tc>
          <w:tcPr>
            <w:tcW w:w="1354" w:type="dxa"/>
            <w:vAlign w:val="center"/>
          </w:tcPr>
          <w:p w:rsidR="00032C53" w:rsidRPr="004F79B2" w:rsidRDefault="00032C53" w:rsidP="000B78A3">
            <w:pPr>
              <w:pStyle w:val="naisf"/>
              <w:spacing w:before="0" w:after="0"/>
              <w:jc w:val="center"/>
              <w:rPr>
                <w:b/>
                <w:i/>
                <w:sz w:val="22"/>
                <w:szCs w:val="22"/>
              </w:rPr>
            </w:pPr>
            <w:r w:rsidRPr="004F79B2">
              <w:rPr>
                <w:sz w:val="22"/>
                <w:szCs w:val="22"/>
              </w:rPr>
              <w:t>Izmaiņas kārtējā gadā, salīdzinot ar budžetu kārtējam gadam</w:t>
            </w:r>
          </w:p>
        </w:tc>
        <w:tc>
          <w:tcPr>
            <w:tcW w:w="1354" w:type="dxa"/>
            <w:vAlign w:val="center"/>
          </w:tcPr>
          <w:p w:rsidR="00032C53" w:rsidRPr="004F79B2" w:rsidRDefault="00032C53" w:rsidP="000B78A3">
            <w:pPr>
              <w:pStyle w:val="naisf"/>
              <w:spacing w:before="0" w:after="0"/>
              <w:jc w:val="center"/>
              <w:rPr>
                <w:b/>
                <w:i/>
                <w:sz w:val="22"/>
                <w:szCs w:val="22"/>
              </w:rPr>
            </w:pPr>
            <w:r w:rsidRPr="004F79B2">
              <w:rPr>
                <w:sz w:val="22"/>
                <w:szCs w:val="22"/>
              </w:rPr>
              <w:t>Izmaiņas, salīdzinot ar kārtējo (n) gadu</w:t>
            </w:r>
          </w:p>
        </w:tc>
        <w:tc>
          <w:tcPr>
            <w:tcW w:w="1355" w:type="dxa"/>
            <w:vAlign w:val="center"/>
          </w:tcPr>
          <w:p w:rsidR="00032C53" w:rsidRPr="004F79B2" w:rsidRDefault="00032C53" w:rsidP="000B78A3">
            <w:pPr>
              <w:pStyle w:val="naisf"/>
              <w:spacing w:before="0" w:after="0"/>
              <w:jc w:val="center"/>
              <w:rPr>
                <w:b/>
                <w:i/>
                <w:sz w:val="22"/>
                <w:szCs w:val="22"/>
              </w:rPr>
            </w:pPr>
            <w:r w:rsidRPr="004F79B2">
              <w:rPr>
                <w:sz w:val="22"/>
                <w:szCs w:val="22"/>
              </w:rPr>
              <w:t>Izmaiņas, salīdzinot ar kārtējo (n) gadu</w:t>
            </w:r>
          </w:p>
        </w:tc>
        <w:tc>
          <w:tcPr>
            <w:tcW w:w="1307" w:type="dxa"/>
            <w:vAlign w:val="center"/>
          </w:tcPr>
          <w:p w:rsidR="00032C53" w:rsidRPr="004F79B2" w:rsidRDefault="00032C53" w:rsidP="000B78A3">
            <w:pPr>
              <w:pStyle w:val="naisf"/>
              <w:spacing w:before="0" w:after="0"/>
              <w:jc w:val="center"/>
              <w:rPr>
                <w:b/>
                <w:i/>
                <w:sz w:val="22"/>
                <w:szCs w:val="22"/>
              </w:rPr>
            </w:pPr>
            <w:r w:rsidRPr="004F79B2">
              <w:rPr>
                <w:sz w:val="22"/>
                <w:szCs w:val="22"/>
              </w:rPr>
              <w:t>Izmaiņas, salīdzinot ar kārtējo (n) gadu</w:t>
            </w:r>
          </w:p>
        </w:tc>
      </w:tr>
      <w:tr w:rsidR="00032C53" w:rsidRPr="0072316B" w:rsidTr="000B78A3">
        <w:trPr>
          <w:jc w:val="center"/>
        </w:trPr>
        <w:tc>
          <w:tcPr>
            <w:tcW w:w="3156" w:type="dxa"/>
            <w:vAlign w:val="center"/>
          </w:tcPr>
          <w:p w:rsidR="00032C53" w:rsidRPr="004F79B2" w:rsidRDefault="00032C53" w:rsidP="000B78A3">
            <w:pPr>
              <w:pStyle w:val="naisf"/>
              <w:spacing w:before="0" w:after="0"/>
              <w:jc w:val="center"/>
              <w:rPr>
                <w:bCs/>
                <w:sz w:val="22"/>
                <w:szCs w:val="22"/>
              </w:rPr>
            </w:pPr>
            <w:r w:rsidRPr="004F79B2">
              <w:rPr>
                <w:bCs/>
                <w:sz w:val="22"/>
                <w:szCs w:val="22"/>
              </w:rPr>
              <w:t>1</w:t>
            </w:r>
          </w:p>
        </w:tc>
        <w:tc>
          <w:tcPr>
            <w:tcW w:w="1331" w:type="dxa"/>
            <w:vAlign w:val="center"/>
          </w:tcPr>
          <w:p w:rsidR="00032C53" w:rsidRPr="004F79B2" w:rsidRDefault="00032C53" w:rsidP="000B78A3">
            <w:pPr>
              <w:pStyle w:val="naisf"/>
              <w:spacing w:before="0" w:after="0"/>
              <w:jc w:val="center"/>
              <w:rPr>
                <w:bCs/>
                <w:sz w:val="22"/>
                <w:szCs w:val="22"/>
              </w:rPr>
            </w:pPr>
            <w:r w:rsidRPr="004F79B2">
              <w:rPr>
                <w:bCs/>
                <w:sz w:val="22"/>
                <w:szCs w:val="22"/>
              </w:rPr>
              <w:t>2</w:t>
            </w:r>
          </w:p>
        </w:tc>
        <w:tc>
          <w:tcPr>
            <w:tcW w:w="1354" w:type="dxa"/>
            <w:vAlign w:val="center"/>
          </w:tcPr>
          <w:p w:rsidR="00032C53" w:rsidRPr="004F79B2" w:rsidRDefault="00032C53" w:rsidP="000B78A3">
            <w:pPr>
              <w:pStyle w:val="naisf"/>
              <w:spacing w:before="0" w:after="0"/>
              <w:jc w:val="center"/>
              <w:rPr>
                <w:bCs/>
                <w:sz w:val="22"/>
                <w:szCs w:val="22"/>
              </w:rPr>
            </w:pPr>
            <w:r w:rsidRPr="004F79B2">
              <w:rPr>
                <w:bCs/>
                <w:sz w:val="22"/>
                <w:szCs w:val="22"/>
              </w:rPr>
              <w:t>3</w:t>
            </w:r>
          </w:p>
        </w:tc>
        <w:tc>
          <w:tcPr>
            <w:tcW w:w="1354" w:type="dxa"/>
            <w:vAlign w:val="center"/>
          </w:tcPr>
          <w:p w:rsidR="00032C53" w:rsidRPr="004F79B2" w:rsidRDefault="00032C53" w:rsidP="000B78A3">
            <w:pPr>
              <w:pStyle w:val="naisf"/>
              <w:spacing w:before="0" w:after="0"/>
              <w:jc w:val="center"/>
              <w:rPr>
                <w:bCs/>
                <w:sz w:val="22"/>
                <w:szCs w:val="22"/>
              </w:rPr>
            </w:pPr>
            <w:r w:rsidRPr="004F79B2">
              <w:rPr>
                <w:bCs/>
                <w:sz w:val="22"/>
                <w:szCs w:val="22"/>
              </w:rPr>
              <w:t>4</w:t>
            </w:r>
          </w:p>
        </w:tc>
        <w:tc>
          <w:tcPr>
            <w:tcW w:w="1355" w:type="dxa"/>
            <w:vAlign w:val="center"/>
          </w:tcPr>
          <w:p w:rsidR="00032C53" w:rsidRPr="004F79B2" w:rsidRDefault="00032C53" w:rsidP="000B78A3">
            <w:pPr>
              <w:pStyle w:val="naisf"/>
              <w:spacing w:before="0" w:after="0"/>
              <w:jc w:val="center"/>
              <w:rPr>
                <w:bCs/>
                <w:sz w:val="22"/>
                <w:szCs w:val="22"/>
              </w:rPr>
            </w:pPr>
            <w:r w:rsidRPr="004F79B2">
              <w:rPr>
                <w:bCs/>
                <w:sz w:val="22"/>
                <w:szCs w:val="22"/>
              </w:rPr>
              <w:t>5</w:t>
            </w:r>
          </w:p>
        </w:tc>
        <w:tc>
          <w:tcPr>
            <w:tcW w:w="1307" w:type="dxa"/>
            <w:vAlign w:val="center"/>
          </w:tcPr>
          <w:p w:rsidR="00032C53" w:rsidRPr="004F79B2" w:rsidRDefault="00032C53" w:rsidP="000B78A3">
            <w:pPr>
              <w:pStyle w:val="naisf"/>
              <w:spacing w:before="0" w:after="0"/>
              <w:jc w:val="center"/>
              <w:rPr>
                <w:bCs/>
                <w:sz w:val="22"/>
                <w:szCs w:val="22"/>
              </w:rPr>
            </w:pPr>
            <w:r w:rsidRPr="004F79B2">
              <w:rPr>
                <w:bCs/>
                <w:sz w:val="22"/>
                <w:szCs w:val="22"/>
              </w:rPr>
              <w:t>6</w:t>
            </w:r>
          </w:p>
        </w:tc>
      </w:tr>
      <w:tr w:rsidR="00032C53" w:rsidRPr="0072316B" w:rsidTr="000B78A3">
        <w:trPr>
          <w:jc w:val="center"/>
        </w:trPr>
        <w:tc>
          <w:tcPr>
            <w:tcW w:w="3156" w:type="dxa"/>
          </w:tcPr>
          <w:p w:rsidR="00032C53" w:rsidRPr="004345D7" w:rsidRDefault="00032C53" w:rsidP="000B78A3">
            <w:pPr>
              <w:pStyle w:val="naisf"/>
              <w:spacing w:before="0" w:after="0"/>
              <w:rPr>
                <w:i/>
                <w:sz w:val="22"/>
                <w:szCs w:val="22"/>
              </w:rPr>
            </w:pPr>
            <w:r w:rsidRPr="004345D7">
              <w:rPr>
                <w:sz w:val="22"/>
                <w:szCs w:val="22"/>
              </w:rPr>
              <w:t>1. Budžeta ieņēmumi:</w:t>
            </w:r>
          </w:p>
        </w:tc>
        <w:tc>
          <w:tcPr>
            <w:tcW w:w="1331"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pStyle w:val="naisf"/>
              <w:spacing w:before="0" w:after="0"/>
              <w:rPr>
                <w:i/>
                <w:sz w:val="22"/>
                <w:szCs w:val="22"/>
              </w:rPr>
            </w:pPr>
            <w:r w:rsidRPr="004345D7">
              <w:rPr>
                <w:sz w:val="22"/>
                <w:szCs w:val="22"/>
              </w:rPr>
              <w:t>1.1. valsts pamatbudžets, tai skaitā ieņēmumi no maksas pakalpo-jumiem un citi pašu ieņēmumi</w:t>
            </w:r>
          </w:p>
        </w:tc>
        <w:tc>
          <w:tcPr>
            <w:tcW w:w="1331"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pStyle w:val="naisf"/>
              <w:spacing w:before="0" w:after="0"/>
              <w:rPr>
                <w:i/>
                <w:sz w:val="22"/>
                <w:szCs w:val="22"/>
              </w:rPr>
            </w:pPr>
            <w:r w:rsidRPr="004345D7">
              <w:rPr>
                <w:sz w:val="22"/>
                <w:szCs w:val="22"/>
              </w:rPr>
              <w:t>1.2. valsts speciālais budžets</w:t>
            </w:r>
          </w:p>
        </w:tc>
        <w:tc>
          <w:tcPr>
            <w:tcW w:w="1331"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pStyle w:val="naisf"/>
              <w:spacing w:before="0" w:after="0"/>
              <w:rPr>
                <w:i/>
                <w:sz w:val="22"/>
                <w:szCs w:val="22"/>
              </w:rPr>
            </w:pPr>
            <w:r w:rsidRPr="004345D7">
              <w:rPr>
                <w:sz w:val="22"/>
                <w:szCs w:val="22"/>
              </w:rPr>
              <w:t>1.3. pašvaldību budžets</w:t>
            </w:r>
          </w:p>
        </w:tc>
        <w:tc>
          <w:tcPr>
            <w:tcW w:w="1331"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2. Budžeta izdevumi:</w:t>
            </w:r>
          </w:p>
        </w:tc>
        <w:tc>
          <w:tcPr>
            <w:tcW w:w="1331"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2.1. valsts pamatbudžets</w:t>
            </w:r>
          </w:p>
        </w:tc>
        <w:tc>
          <w:tcPr>
            <w:tcW w:w="1331"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2.2. valsts speciālais budžets</w:t>
            </w:r>
          </w:p>
        </w:tc>
        <w:tc>
          <w:tcPr>
            <w:tcW w:w="1331"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 xml:space="preserve">2.3. pašvaldību budžets </w:t>
            </w:r>
          </w:p>
        </w:tc>
        <w:tc>
          <w:tcPr>
            <w:tcW w:w="1331"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3. Finansiālā ietekme:</w:t>
            </w:r>
          </w:p>
        </w:tc>
        <w:tc>
          <w:tcPr>
            <w:tcW w:w="1331" w:type="dxa"/>
            <w:shd w:val="clear" w:color="auto" w:fill="auto"/>
            <w:vAlign w:val="center"/>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3.1. valsts pamatbudžets</w:t>
            </w:r>
          </w:p>
        </w:tc>
        <w:tc>
          <w:tcPr>
            <w:tcW w:w="1331" w:type="dxa"/>
            <w:shd w:val="clear" w:color="auto" w:fill="auto"/>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3.2. speciālais budžets</w:t>
            </w:r>
          </w:p>
        </w:tc>
        <w:tc>
          <w:tcPr>
            <w:tcW w:w="1331" w:type="dxa"/>
            <w:shd w:val="clear" w:color="auto" w:fill="auto"/>
          </w:tcPr>
          <w:p w:rsidR="00032C53" w:rsidRPr="00AE447B" w:rsidRDefault="00032C53" w:rsidP="000B78A3">
            <w:pPr>
              <w:pStyle w:val="naisf"/>
              <w:spacing w:before="0" w:after="0"/>
              <w:jc w:val="center"/>
              <w:rPr>
                <w:color w:val="0000FF"/>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 xml:space="preserve">3.3. pašvaldību budžets </w:t>
            </w:r>
          </w:p>
        </w:tc>
        <w:tc>
          <w:tcPr>
            <w:tcW w:w="1331" w:type="dxa"/>
            <w:shd w:val="clear" w:color="auto" w:fill="auto"/>
          </w:tcPr>
          <w:p w:rsidR="00032C53" w:rsidRPr="00AE447B" w:rsidRDefault="00032C53" w:rsidP="000B78A3">
            <w:pPr>
              <w:pStyle w:val="naisf"/>
              <w:spacing w:before="0" w:after="0"/>
              <w:jc w:val="center"/>
              <w:rPr>
                <w:color w:val="0000FF"/>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vMerge w:val="restart"/>
          </w:tcPr>
          <w:p w:rsidR="00032C53" w:rsidRPr="004345D7" w:rsidRDefault="00032C53" w:rsidP="000B78A3">
            <w:pPr>
              <w:jc w:val="both"/>
              <w:rPr>
                <w:sz w:val="22"/>
                <w:szCs w:val="22"/>
              </w:rPr>
            </w:pPr>
            <w:r w:rsidRPr="004345D7">
              <w:rPr>
                <w:sz w:val="22"/>
                <w:szCs w:val="22"/>
              </w:rPr>
              <w:t>4. Finanšu līdzekļi papildu izde</w:t>
            </w:r>
            <w:r w:rsidRPr="004345D7">
              <w:rPr>
                <w:sz w:val="22"/>
                <w:szCs w:val="22"/>
              </w:rPr>
              <w:softHyphen/>
              <w:t>vumu finansēšanai (kompensējošu izdevumu samazinājumu norāda ar "+" zīmi)</w:t>
            </w:r>
          </w:p>
        </w:tc>
        <w:tc>
          <w:tcPr>
            <w:tcW w:w="1331" w:type="dxa"/>
            <w:vMerge w:val="restart"/>
          </w:tcPr>
          <w:p w:rsidR="00032C53" w:rsidRPr="00E71EF4" w:rsidRDefault="00032C53" w:rsidP="000B78A3">
            <w:pPr>
              <w:pStyle w:val="naisf"/>
              <w:spacing w:before="0" w:after="0"/>
              <w:jc w:val="center"/>
              <w:rPr>
                <w:i/>
              </w:rPr>
            </w:pPr>
            <w:r w:rsidRPr="00E71EF4">
              <w:t>X</w:t>
            </w: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vMerge/>
          </w:tcPr>
          <w:p w:rsidR="00032C53" w:rsidRPr="004345D7" w:rsidRDefault="00032C53" w:rsidP="000B78A3">
            <w:pPr>
              <w:jc w:val="both"/>
              <w:rPr>
                <w:sz w:val="22"/>
                <w:szCs w:val="22"/>
              </w:rPr>
            </w:pPr>
          </w:p>
        </w:tc>
        <w:tc>
          <w:tcPr>
            <w:tcW w:w="1331" w:type="dxa"/>
            <w:vMerge/>
          </w:tcPr>
          <w:p w:rsidR="00032C53" w:rsidRPr="00E71EF4" w:rsidRDefault="00032C53" w:rsidP="000B78A3">
            <w:pPr>
              <w:pStyle w:val="naisf"/>
              <w:spacing w:before="0" w:after="0"/>
              <w:jc w:val="center"/>
              <w:rPr>
                <w:i/>
                <w:sz w:val="40"/>
                <w:szCs w:val="40"/>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vMerge/>
          </w:tcPr>
          <w:p w:rsidR="00032C53" w:rsidRPr="004345D7" w:rsidRDefault="00032C53" w:rsidP="000B78A3">
            <w:pPr>
              <w:jc w:val="both"/>
              <w:rPr>
                <w:sz w:val="22"/>
                <w:szCs w:val="22"/>
              </w:rPr>
            </w:pPr>
          </w:p>
        </w:tc>
        <w:tc>
          <w:tcPr>
            <w:tcW w:w="1331" w:type="dxa"/>
            <w:vMerge/>
          </w:tcPr>
          <w:p w:rsidR="00032C53" w:rsidRPr="00E71EF4" w:rsidRDefault="00032C53" w:rsidP="000B78A3">
            <w:pPr>
              <w:pStyle w:val="naisf"/>
              <w:spacing w:before="0" w:after="0"/>
              <w:jc w:val="center"/>
              <w:rPr>
                <w:i/>
                <w:sz w:val="40"/>
                <w:szCs w:val="40"/>
              </w:rPr>
            </w:pPr>
          </w:p>
        </w:tc>
        <w:tc>
          <w:tcPr>
            <w:tcW w:w="1354" w:type="dxa"/>
          </w:tcPr>
          <w:p w:rsidR="00032C53" w:rsidRPr="00AE447B" w:rsidRDefault="00032C53" w:rsidP="000B78A3">
            <w:pPr>
              <w:pStyle w:val="naisf"/>
              <w:spacing w:before="0" w:after="0"/>
              <w:jc w:val="center"/>
              <w:rPr>
                <w:color w:val="0000FF"/>
                <w:sz w:val="22"/>
                <w:szCs w:val="22"/>
              </w:rPr>
            </w:pPr>
          </w:p>
        </w:tc>
        <w:tc>
          <w:tcPr>
            <w:tcW w:w="1354" w:type="dxa"/>
          </w:tcPr>
          <w:p w:rsidR="00032C53" w:rsidRPr="00AE447B" w:rsidRDefault="00032C53" w:rsidP="000B78A3">
            <w:pPr>
              <w:pStyle w:val="naisf"/>
              <w:spacing w:before="0" w:after="0"/>
              <w:jc w:val="center"/>
              <w:rPr>
                <w:color w:val="0000FF"/>
                <w:sz w:val="22"/>
                <w:szCs w:val="22"/>
              </w:rPr>
            </w:pPr>
          </w:p>
        </w:tc>
        <w:tc>
          <w:tcPr>
            <w:tcW w:w="1355" w:type="dxa"/>
          </w:tcPr>
          <w:p w:rsidR="00032C53" w:rsidRPr="00AE447B" w:rsidRDefault="00032C53" w:rsidP="000B78A3">
            <w:pPr>
              <w:pStyle w:val="naisf"/>
              <w:spacing w:before="0" w:after="0"/>
              <w:jc w:val="center"/>
              <w:rPr>
                <w:color w:val="0000FF"/>
                <w:sz w:val="22"/>
                <w:szCs w:val="22"/>
              </w:rPr>
            </w:pPr>
          </w:p>
        </w:tc>
        <w:tc>
          <w:tcPr>
            <w:tcW w:w="1307" w:type="dxa"/>
          </w:tcPr>
          <w:p w:rsidR="00032C53" w:rsidRPr="00AE447B" w:rsidRDefault="00032C53" w:rsidP="000B78A3">
            <w:pPr>
              <w:pStyle w:val="naisf"/>
              <w:spacing w:before="0" w:after="0"/>
              <w:jc w:val="center"/>
              <w:rPr>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5. Precizēta finansiālā ietekme:</w:t>
            </w:r>
          </w:p>
        </w:tc>
        <w:tc>
          <w:tcPr>
            <w:tcW w:w="1331" w:type="dxa"/>
            <w:vMerge w:val="restart"/>
          </w:tcPr>
          <w:p w:rsidR="00032C53" w:rsidRPr="00E71EF4" w:rsidRDefault="00032C53" w:rsidP="000B78A3">
            <w:pPr>
              <w:pStyle w:val="naisf"/>
              <w:spacing w:before="0" w:after="0"/>
              <w:jc w:val="center"/>
              <w:rPr>
                <w:i/>
              </w:rPr>
            </w:pPr>
            <w:r w:rsidRPr="00E71EF4">
              <w:t>X</w:t>
            </w: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0</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5.1. valsts pamatbudžets</w:t>
            </w:r>
          </w:p>
        </w:tc>
        <w:tc>
          <w:tcPr>
            <w:tcW w:w="1331" w:type="dxa"/>
            <w:vMerge/>
            <w:vAlign w:val="center"/>
          </w:tcPr>
          <w:p w:rsidR="00032C53" w:rsidRPr="00AE447B" w:rsidRDefault="00032C53" w:rsidP="000B78A3">
            <w:pPr>
              <w:pStyle w:val="naisf"/>
              <w:spacing w:before="0" w:after="0"/>
              <w:jc w:val="center"/>
              <w:rPr>
                <w:i/>
                <w:color w:val="0000FF"/>
                <w:sz w:val="40"/>
                <w:szCs w:val="40"/>
              </w:rPr>
            </w:pPr>
          </w:p>
        </w:tc>
        <w:tc>
          <w:tcPr>
            <w:tcW w:w="1354" w:type="dxa"/>
          </w:tcPr>
          <w:p w:rsidR="00032C53" w:rsidRPr="007640D9" w:rsidRDefault="00032C53" w:rsidP="000B78A3">
            <w:pPr>
              <w:spacing w:before="100" w:beforeAutospacing="1" w:after="100" w:afterAutospacing="1"/>
              <w:jc w:val="center"/>
            </w:pPr>
            <w:r>
              <w:t>0</w:t>
            </w:r>
          </w:p>
        </w:tc>
        <w:tc>
          <w:tcPr>
            <w:tcW w:w="1354" w:type="dxa"/>
          </w:tcPr>
          <w:p w:rsidR="00032C53" w:rsidRPr="007640D9" w:rsidRDefault="00032C53" w:rsidP="000B78A3">
            <w:pPr>
              <w:spacing w:before="100" w:beforeAutospacing="1" w:after="100" w:afterAutospacing="1"/>
              <w:jc w:val="center"/>
            </w:pPr>
            <w:r>
              <w:t xml:space="preserve">0 </w:t>
            </w:r>
          </w:p>
        </w:tc>
        <w:tc>
          <w:tcPr>
            <w:tcW w:w="1355" w:type="dxa"/>
          </w:tcPr>
          <w:p w:rsidR="00032C53" w:rsidRPr="007640D9" w:rsidRDefault="00032C53" w:rsidP="000B78A3">
            <w:pPr>
              <w:spacing w:before="100" w:beforeAutospacing="1" w:after="100" w:afterAutospacing="1"/>
              <w:jc w:val="center"/>
            </w:pPr>
            <w:r>
              <w:t>0</w:t>
            </w:r>
          </w:p>
        </w:tc>
        <w:tc>
          <w:tcPr>
            <w:tcW w:w="1307" w:type="dxa"/>
          </w:tcPr>
          <w:p w:rsidR="00032C53" w:rsidRPr="007640D9" w:rsidRDefault="00032C53" w:rsidP="000B78A3">
            <w:pPr>
              <w:spacing w:before="100" w:beforeAutospacing="1" w:after="100" w:afterAutospacing="1"/>
              <w:jc w:val="center"/>
            </w:pPr>
            <w:r>
              <w:t>0</w:t>
            </w: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5.2. speciālais budžets</w:t>
            </w:r>
          </w:p>
        </w:tc>
        <w:tc>
          <w:tcPr>
            <w:tcW w:w="1331" w:type="dxa"/>
            <w:vMerge/>
            <w:vAlign w:val="center"/>
          </w:tcPr>
          <w:p w:rsidR="00032C53" w:rsidRPr="00AE447B" w:rsidRDefault="00032C53" w:rsidP="000B78A3">
            <w:pPr>
              <w:pStyle w:val="naisf"/>
              <w:spacing w:before="0" w:after="0"/>
              <w:jc w:val="center"/>
              <w:rPr>
                <w:i/>
                <w:color w:val="0000FF"/>
                <w:sz w:val="40"/>
                <w:szCs w:val="40"/>
              </w:rPr>
            </w:pPr>
          </w:p>
        </w:tc>
        <w:tc>
          <w:tcPr>
            <w:tcW w:w="1354" w:type="dxa"/>
          </w:tcPr>
          <w:p w:rsidR="00032C53" w:rsidRPr="00AE447B" w:rsidRDefault="00032C53" w:rsidP="000B78A3">
            <w:pPr>
              <w:pStyle w:val="naisf"/>
              <w:spacing w:before="0" w:after="0"/>
              <w:rPr>
                <w:b/>
                <w:i/>
                <w:color w:val="0000FF"/>
                <w:sz w:val="22"/>
                <w:szCs w:val="22"/>
              </w:rPr>
            </w:pPr>
          </w:p>
        </w:tc>
        <w:tc>
          <w:tcPr>
            <w:tcW w:w="1354" w:type="dxa"/>
          </w:tcPr>
          <w:p w:rsidR="00032C53" w:rsidRPr="00AE447B" w:rsidRDefault="00032C53" w:rsidP="000B78A3">
            <w:pPr>
              <w:pStyle w:val="naisf"/>
              <w:spacing w:before="0" w:after="0"/>
              <w:rPr>
                <w:b/>
                <w:i/>
                <w:color w:val="0000FF"/>
                <w:sz w:val="22"/>
                <w:szCs w:val="22"/>
              </w:rPr>
            </w:pPr>
          </w:p>
        </w:tc>
        <w:tc>
          <w:tcPr>
            <w:tcW w:w="1355" w:type="dxa"/>
          </w:tcPr>
          <w:p w:rsidR="00032C53" w:rsidRPr="00AE447B" w:rsidRDefault="00032C53" w:rsidP="000B78A3">
            <w:pPr>
              <w:pStyle w:val="naisf"/>
              <w:spacing w:before="0" w:after="0"/>
              <w:rPr>
                <w:b/>
                <w:i/>
                <w:color w:val="0000FF"/>
                <w:sz w:val="22"/>
                <w:szCs w:val="22"/>
              </w:rPr>
            </w:pPr>
          </w:p>
        </w:tc>
        <w:tc>
          <w:tcPr>
            <w:tcW w:w="1307" w:type="dxa"/>
          </w:tcPr>
          <w:p w:rsidR="00032C53" w:rsidRPr="00AE447B" w:rsidRDefault="00032C53" w:rsidP="000B78A3">
            <w:pPr>
              <w:pStyle w:val="naisf"/>
              <w:spacing w:before="0" w:after="0"/>
              <w:rPr>
                <w:b/>
                <w:i/>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 xml:space="preserve">5.3. pašvaldību budžets </w:t>
            </w:r>
          </w:p>
        </w:tc>
        <w:tc>
          <w:tcPr>
            <w:tcW w:w="1331" w:type="dxa"/>
            <w:vMerge/>
            <w:vAlign w:val="center"/>
          </w:tcPr>
          <w:p w:rsidR="00032C53" w:rsidRPr="00AE447B" w:rsidRDefault="00032C53" w:rsidP="000B78A3">
            <w:pPr>
              <w:pStyle w:val="naisf"/>
              <w:spacing w:before="0" w:after="0"/>
              <w:jc w:val="center"/>
              <w:rPr>
                <w:i/>
                <w:color w:val="0000FF"/>
                <w:sz w:val="40"/>
                <w:szCs w:val="40"/>
              </w:rPr>
            </w:pPr>
          </w:p>
        </w:tc>
        <w:tc>
          <w:tcPr>
            <w:tcW w:w="1354" w:type="dxa"/>
          </w:tcPr>
          <w:p w:rsidR="00032C53" w:rsidRPr="00AE447B" w:rsidRDefault="00032C53" w:rsidP="000B78A3">
            <w:pPr>
              <w:pStyle w:val="naisf"/>
              <w:spacing w:before="0" w:after="0"/>
              <w:rPr>
                <w:b/>
                <w:i/>
                <w:color w:val="0000FF"/>
                <w:sz w:val="22"/>
                <w:szCs w:val="22"/>
              </w:rPr>
            </w:pPr>
          </w:p>
        </w:tc>
        <w:tc>
          <w:tcPr>
            <w:tcW w:w="1354" w:type="dxa"/>
          </w:tcPr>
          <w:p w:rsidR="00032C53" w:rsidRPr="00AE447B" w:rsidRDefault="00032C53" w:rsidP="000B78A3">
            <w:pPr>
              <w:pStyle w:val="naisf"/>
              <w:spacing w:before="0" w:after="0"/>
              <w:rPr>
                <w:b/>
                <w:i/>
                <w:color w:val="0000FF"/>
                <w:sz w:val="22"/>
                <w:szCs w:val="22"/>
              </w:rPr>
            </w:pPr>
          </w:p>
        </w:tc>
        <w:tc>
          <w:tcPr>
            <w:tcW w:w="1355" w:type="dxa"/>
          </w:tcPr>
          <w:p w:rsidR="00032C53" w:rsidRPr="00AE447B" w:rsidRDefault="00032C53" w:rsidP="000B78A3">
            <w:pPr>
              <w:pStyle w:val="naisf"/>
              <w:spacing w:before="0" w:after="0"/>
              <w:rPr>
                <w:b/>
                <w:i/>
                <w:color w:val="0000FF"/>
                <w:sz w:val="22"/>
                <w:szCs w:val="22"/>
              </w:rPr>
            </w:pPr>
          </w:p>
        </w:tc>
        <w:tc>
          <w:tcPr>
            <w:tcW w:w="1307" w:type="dxa"/>
          </w:tcPr>
          <w:p w:rsidR="00032C53" w:rsidRPr="00AE447B" w:rsidRDefault="00032C53" w:rsidP="000B78A3">
            <w:pPr>
              <w:pStyle w:val="naisf"/>
              <w:spacing w:before="0" w:after="0"/>
              <w:rPr>
                <w:b/>
                <w:i/>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6. Detalizēts ieņēmumu un izdevu</w:t>
            </w:r>
            <w:r w:rsidRPr="004345D7">
              <w:rPr>
                <w:sz w:val="22"/>
                <w:szCs w:val="22"/>
              </w:rPr>
              <w:softHyphen/>
              <w:t>mu aprēķins (ja nepieciešams, detalizētu ieņēmumu un izdevumu aprēķinu var pievienot anotācijas pielikumā):</w:t>
            </w:r>
          </w:p>
        </w:tc>
        <w:tc>
          <w:tcPr>
            <w:tcW w:w="6701" w:type="dxa"/>
            <w:gridSpan w:val="5"/>
            <w:vMerge w:val="restart"/>
            <w:vAlign w:val="center"/>
          </w:tcPr>
          <w:p w:rsidR="00032C53" w:rsidRPr="00AE447B" w:rsidRDefault="00032C53" w:rsidP="000B78A3">
            <w:pPr>
              <w:pStyle w:val="naisf"/>
              <w:spacing w:before="0" w:beforeAutospacing="0" w:after="0" w:afterAutospacing="0"/>
              <w:rPr>
                <w:b/>
                <w:i/>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6.1. detalizēts ieņēmumu aprēķins</w:t>
            </w:r>
          </w:p>
        </w:tc>
        <w:tc>
          <w:tcPr>
            <w:tcW w:w="6701" w:type="dxa"/>
            <w:gridSpan w:val="5"/>
            <w:vMerge/>
          </w:tcPr>
          <w:p w:rsidR="00032C53" w:rsidRPr="00AE447B" w:rsidRDefault="00032C53" w:rsidP="000B78A3">
            <w:pPr>
              <w:pStyle w:val="naisf"/>
              <w:spacing w:before="0" w:after="0"/>
              <w:rPr>
                <w:b/>
                <w:i/>
                <w:color w:val="0000FF"/>
                <w:sz w:val="22"/>
                <w:szCs w:val="22"/>
              </w:rPr>
            </w:pPr>
          </w:p>
        </w:tc>
      </w:tr>
      <w:tr w:rsidR="00032C53" w:rsidRPr="0072316B" w:rsidTr="000B78A3">
        <w:trPr>
          <w:jc w:val="center"/>
        </w:trPr>
        <w:tc>
          <w:tcPr>
            <w:tcW w:w="3156" w:type="dxa"/>
          </w:tcPr>
          <w:p w:rsidR="00032C53" w:rsidRPr="004345D7" w:rsidRDefault="00032C53" w:rsidP="000B78A3">
            <w:pPr>
              <w:jc w:val="both"/>
              <w:rPr>
                <w:sz w:val="22"/>
                <w:szCs w:val="22"/>
              </w:rPr>
            </w:pPr>
            <w:r w:rsidRPr="004345D7">
              <w:rPr>
                <w:sz w:val="22"/>
                <w:szCs w:val="22"/>
              </w:rPr>
              <w:t>6.2. detalizēts izdevumu aprēķins</w:t>
            </w:r>
          </w:p>
        </w:tc>
        <w:tc>
          <w:tcPr>
            <w:tcW w:w="6701" w:type="dxa"/>
            <w:gridSpan w:val="5"/>
            <w:vMerge/>
          </w:tcPr>
          <w:p w:rsidR="00032C53" w:rsidRPr="00AE447B" w:rsidRDefault="00032C53" w:rsidP="000B78A3">
            <w:pPr>
              <w:pStyle w:val="naisf"/>
              <w:spacing w:before="0" w:after="0"/>
              <w:rPr>
                <w:b/>
                <w:i/>
                <w:color w:val="0000FF"/>
                <w:sz w:val="22"/>
                <w:szCs w:val="22"/>
              </w:rPr>
            </w:pPr>
          </w:p>
        </w:tc>
      </w:tr>
      <w:tr w:rsidR="00032C53" w:rsidRPr="0072316B" w:rsidTr="000B78A3">
        <w:trPr>
          <w:jc w:val="center"/>
        </w:trPr>
        <w:tc>
          <w:tcPr>
            <w:tcW w:w="3156" w:type="dxa"/>
          </w:tcPr>
          <w:p w:rsidR="00032C53" w:rsidRPr="00874150" w:rsidRDefault="00032C53" w:rsidP="000B78A3">
            <w:pPr>
              <w:jc w:val="both"/>
              <w:rPr>
                <w:sz w:val="22"/>
                <w:szCs w:val="22"/>
              </w:rPr>
            </w:pPr>
            <w:r w:rsidRPr="00874150">
              <w:rPr>
                <w:sz w:val="22"/>
                <w:szCs w:val="22"/>
              </w:rPr>
              <w:t>7. Cita informācija</w:t>
            </w:r>
          </w:p>
        </w:tc>
        <w:tc>
          <w:tcPr>
            <w:tcW w:w="6701" w:type="dxa"/>
            <w:gridSpan w:val="5"/>
          </w:tcPr>
          <w:p w:rsidR="00032C53" w:rsidRPr="00F14E4C" w:rsidRDefault="00032C53" w:rsidP="00032C53">
            <w:pPr>
              <w:pStyle w:val="naisf"/>
              <w:rPr>
                <w:b/>
                <w:i/>
                <w:sz w:val="22"/>
                <w:szCs w:val="22"/>
              </w:rPr>
            </w:pPr>
            <w:r>
              <w:rPr>
                <w:sz w:val="22"/>
                <w:szCs w:val="22"/>
              </w:rPr>
              <w:t>Ņemot vērā, ka likumprojekts tiek virzīts vienotā paketē ar likumprojektiem „Grozījumi Zemesgrāmatu likumā” un „Grozījumi Nekustamā īpašuma valsts kadastra likumā”, detalizēts finansējuma aprēķins  likumprojekta ieviešanai sniegts likumprojekta „Grozījumi Zemesgrāmatu likumā” anotācijā.</w:t>
            </w:r>
          </w:p>
        </w:tc>
      </w:tr>
    </w:tbl>
    <w:p w:rsidR="005579D4" w:rsidRDefault="005579D4" w:rsidP="00BA3F64"/>
    <w:p w:rsidR="00032C53" w:rsidRDefault="00032C53" w:rsidP="00BA3F64"/>
    <w:tbl>
      <w:tblPr>
        <w:tblW w:w="966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905"/>
      </w:tblGrid>
      <w:tr w:rsidR="002368C3" w:rsidRPr="00612458">
        <w:trPr>
          <w:jc w:val="center"/>
        </w:trPr>
        <w:tc>
          <w:tcPr>
            <w:tcW w:w="9666" w:type="dxa"/>
            <w:gridSpan w:val="2"/>
          </w:tcPr>
          <w:p w:rsidR="002368C3" w:rsidRPr="00612458" w:rsidRDefault="002368C3" w:rsidP="00E13176">
            <w:pPr>
              <w:pStyle w:val="naisnod"/>
              <w:spacing w:before="0" w:after="0"/>
            </w:pPr>
            <w:r w:rsidRPr="00612458">
              <w:t>IV. Tiesību akta projekta ietekme uz spēkā esošo tiesību normu sistēmu</w:t>
            </w:r>
          </w:p>
        </w:tc>
      </w:tr>
      <w:tr w:rsidR="002368C3" w:rsidRPr="00612458">
        <w:trPr>
          <w:jc w:val="center"/>
        </w:trPr>
        <w:tc>
          <w:tcPr>
            <w:tcW w:w="2761" w:type="dxa"/>
          </w:tcPr>
          <w:p w:rsidR="002368C3" w:rsidRPr="00612458" w:rsidRDefault="002368C3" w:rsidP="00E13176">
            <w:pPr>
              <w:pStyle w:val="naiskr"/>
              <w:tabs>
                <w:tab w:val="left" w:pos="2628"/>
              </w:tabs>
              <w:spacing w:before="0" w:after="0"/>
              <w:jc w:val="both"/>
              <w:rPr>
                <w:iCs/>
              </w:rPr>
            </w:pPr>
            <w:r w:rsidRPr="00612458">
              <w:rPr>
                <w:sz w:val="22"/>
                <w:szCs w:val="22"/>
              </w:rPr>
              <w:lastRenderedPageBreak/>
              <w:t>Nepieciešamie saistītie tiesību aktu projekti</w:t>
            </w:r>
          </w:p>
        </w:tc>
        <w:tc>
          <w:tcPr>
            <w:tcW w:w="6905" w:type="dxa"/>
          </w:tcPr>
          <w:p w:rsidR="002368C3" w:rsidRPr="00114C95" w:rsidRDefault="002368C3" w:rsidP="00E13176">
            <w:pPr>
              <w:pStyle w:val="CommentText"/>
              <w:rPr>
                <w:sz w:val="24"/>
                <w:szCs w:val="24"/>
              </w:rPr>
            </w:pPr>
            <w:r w:rsidRPr="00114C95">
              <w:rPr>
                <w:sz w:val="24"/>
                <w:szCs w:val="24"/>
              </w:rPr>
              <w:t>Tieslietu ministrijai nepieciešams izstrādāt grozījumus šādos normatīvajos aktos:</w:t>
            </w:r>
          </w:p>
          <w:p w:rsidR="002368C3" w:rsidRPr="00114C95" w:rsidRDefault="002368C3" w:rsidP="001F549E">
            <w:pPr>
              <w:pStyle w:val="CommentText"/>
              <w:jc w:val="both"/>
              <w:rPr>
                <w:sz w:val="24"/>
                <w:szCs w:val="24"/>
              </w:rPr>
            </w:pPr>
            <w:r w:rsidRPr="00114C95">
              <w:rPr>
                <w:sz w:val="24"/>
                <w:szCs w:val="24"/>
              </w:rPr>
              <w:t xml:space="preserve">Grozījumi </w:t>
            </w:r>
            <w:r w:rsidRPr="00114C95">
              <w:rPr>
                <w:sz w:val="24"/>
                <w:szCs w:val="24"/>
                <w:u w:val="single"/>
              </w:rPr>
              <w:t>Zemesgrāmatu likumā</w:t>
            </w:r>
            <w:r w:rsidR="001F549E" w:rsidRPr="00114C95">
              <w:rPr>
                <w:sz w:val="24"/>
                <w:szCs w:val="24"/>
              </w:rPr>
              <w:t>, paplašin</w:t>
            </w:r>
            <w:r w:rsidR="005E604E" w:rsidRPr="00114C95">
              <w:rPr>
                <w:sz w:val="24"/>
                <w:szCs w:val="24"/>
              </w:rPr>
              <w:t>o</w:t>
            </w:r>
            <w:r w:rsidR="001F549E" w:rsidRPr="00114C95">
              <w:rPr>
                <w:sz w:val="24"/>
                <w:szCs w:val="24"/>
              </w:rPr>
              <w:t xml:space="preserve">t tās informācijas apjomu, kuru zemesgrāmatas saņem no </w:t>
            </w:r>
            <w:r w:rsidR="00C131B8" w:rsidRPr="00114C95">
              <w:rPr>
                <w:sz w:val="24"/>
                <w:szCs w:val="24"/>
              </w:rPr>
              <w:t>D</w:t>
            </w:r>
            <w:r w:rsidR="001F549E" w:rsidRPr="00114C95">
              <w:rPr>
                <w:sz w:val="24"/>
                <w:szCs w:val="24"/>
              </w:rPr>
              <w:t xml:space="preserve">ienesta </w:t>
            </w:r>
            <w:r w:rsidR="00C131B8" w:rsidRPr="00114C95">
              <w:rPr>
                <w:sz w:val="24"/>
                <w:szCs w:val="24"/>
              </w:rPr>
              <w:t xml:space="preserve"> informācijas sistēmās tiešsaistes datu apmaiņas režīmā</w:t>
            </w:r>
            <w:r w:rsidR="005E604E" w:rsidRPr="00114C95">
              <w:rPr>
                <w:sz w:val="24"/>
                <w:szCs w:val="24"/>
              </w:rPr>
              <w:t>.</w:t>
            </w:r>
          </w:p>
          <w:p w:rsidR="00DA35DA" w:rsidRPr="00114C95" w:rsidRDefault="009954EF" w:rsidP="00DA35DA">
            <w:pPr>
              <w:pStyle w:val="CommentText"/>
              <w:jc w:val="both"/>
              <w:rPr>
                <w:sz w:val="24"/>
                <w:szCs w:val="24"/>
              </w:rPr>
            </w:pPr>
            <w:r w:rsidRPr="00114C95">
              <w:rPr>
                <w:sz w:val="24"/>
                <w:szCs w:val="24"/>
              </w:rPr>
              <w:t xml:space="preserve">Grozījumi </w:t>
            </w:r>
            <w:r w:rsidRPr="00114C95">
              <w:rPr>
                <w:sz w:val="24"/>
                <w:szCs w:val="24"/>
                <w:u w:val="single"/>
              </w:rPr>
              <w:t>Nekustamā īpašuma valsts kadastra likumā</w:t>
            </w:r>
            <w:r w:rsidRPr="00114C95">
              <w:rPr>
                <w:sz w:val="24"/>
                <w:szCs w:val="24"/>
              </w:rPr>
              <w:t xml:space="preserve">, </w:t>
            </w:r>
            <w:r w:rsidR="00DA35DA" w:rsidRPr="00114C95">
              <w:rPr>
                <w:sz w:val="24"/>
                <w:szCs w:val="24"/>
              </w:rPr>
              <w:t>paredzot informācijas nodošanu zemesgrāmatām tiešsaistes datu apmaiņas režīmā, kā arī personas iesnieguma par nekustamā īpašuma objektu reģistrāciju vai datu aktualizāciju Kadastra informācijas sistēmā nodošanu attiecīgai zemesgrāmatu nodaļai informācijas aktualizācijai. Tādējādi tiktu nodrošināta abās informācijas sistēmās esošo datu aktualitāte, mazināts administratīvais slogs personai;</w:t>
            </w:r>
          </w:p>
          <w:p w:rsidR="00AC0102" w:rsidRPr="00114C95" w:rsidRDefault="00AC0102" w:rsidP="00AC0102">
            <w:pPr>
              <w:jc w:val="both"/>
            </w:pPr>
            <w:r w:rsidRPr="00114C95">
              <w:rPr>
                <w:bCs/>
              </w:rPr>
              <w:t xml:space="preserve">Grozījumi Ministru kabineta </w:t>
            </w:r>
            <w:r w:rsidRPr="00114C95">
              <w:t xml:space="preserve">2006.gada 31.oktobra </w:t>
            </w:r>
            <w:r w:rsidRPr="00114C95">
              <w:rPr>
                <w:bCs/>
              </w:rPr>
              <w:t>noteikumos Nr.898</w:t>
            </w:r>
            <w:r w:rsidRPr="00114C95">
              <w:t xml:space="preserve">  </w:t>
            </w:r>
            <w:r w:rsidR="002C3F51">
              <w:t>„</w:t>
            </w:r>
            <w:r w:rsidRPr="00114C95">
              <w:rPr>
                <w:bCs/>
                <w:u w:val="single"/>
              </w:rPr>
              <w:t>Noteikumi par zemesgrāmatu nostiprinājuma lūguma formām</w:t>
            </w:r>
            <w:r w:rsidR="002C3F51">
              <w:rPr>
                <w:bCs/>
                <w:u w:val="single"/>
              </w:rPr>
              <w:t>”</w:t>
            </w:r>
            <w:r w:rsidRPr="00114C95">
              <w:rPr>
                <w:bCs/>
              </w:rPr>
              <w:t>, svītrojot nostiprinājuma lūgumu formās sadaļas pa</w:t>
            </w:r>
            <w:r w:rsidR="007247EC" w:rsidRPr="00114C95">
              <w:rPr>
                <w:bCs/>
              </w:rPr>
              <w:t>r pievienojamajiem dokumentiem,</w:t>
            </w:r>
            <w:r w:rsidRPr="00114C95">
              <w:rPr>
                <w:bCs/>
              </w:rPr>
              <w:t xml:space="preserve"> kas apliecina Kadastra informācijas sistēmā reģistrēto informāciju</w:t>
            </w:r>
            <w:r w:rsidR="00C16249" w:rsidRPr="00114C95">
              <w:rPr>
                <w:bCs/>
              </w:rPr>
              <w:t>, ņemot vērā, ka šo informāciju var iegūt nepastarpināti iestāžu sadarbības ietvaros</w:t>
            </w:r>
            <w:r w:rsidRPr="00114C95">
              <w:rPr>
                <w:bCs/>
              </w:rPr>
              <w:t>.</w:t>
            </w:r>
          </w:p>
          <w:p w:rsidR="00114C95" w:rsidRPr="00114C95" w:rsidRDefault="00114C95" w:rsidP="00114C95">
            <w:pPr>
              <w:jc w:val="both"/>
            </w:pPr>
            <w:r w:rsidRPr="00114C95">
              <w:t xml:space="preserve">Grozījumi Ministru kabineta 2012.gada 10.aprīļa </w:t>
            </w:r>
            <w:hyperlink r:id="rId9" w:history="1">
              <w:r w:rsidRPr="00114C95">
                <w:rPr>
                  <w:rStyle w:val="Hyperlink"/>
                  <w:color w:val="auto"/>
                  <w:u w:val="none"/>
                </w:rPr>
                <w:t>noteikumos Nr. 263 „</w:t>
              </w:r>
              <w:r w:rsidRPr="00114C95">
                <w:rPr>
                  <w:rStyle w:val="Hyperlink"/>
                  <w:color w:val="auto"/>
                </w:rPr>
                <w:t>Kadastra objekta reģistrācijas un kadastra datu aktualizācijas noteikum</w:t>
              </w:r>
              <w:r w:rsidRPr="00114C95">
                <w:rPr>
                  <w:rStyle w:val="Hyperlink"/>
                  <w:color w:val="auto"/>
                  <w:u w:val="none"/>
                </w:rPr>
                <w:t>i”</w:t>
              </w:r>
            </w:hyperlink>
            <w:r w:rsidRPr="00114C95">
              <w:t>, paredzot iesnieguma, kas atsevišķos gadījumos ir par pamatu grozījumu veikšanai zemesgrāmatā formu, saņemšanas un nodošanas procedūru.</w:t>
            </w:r>
          </w:p>
          <w:p w:rsidR="002368C3" w:rsidRPr="00114C95" w:rsidRDefault="007D0371" w:rsidP="00AE4690">
            <w:pPr>
              <w:jc w:val="both"/>
            </w:pPr>
            <w:r w:rsidRPr="00114C95">
              <w:t>Grozījumi Ministru kabineta 2012.ga</w:t>
            </w:r>
            <w:r w:rsidR="002C3F51">
              <w:t>da 10.janvāra noteikumos Nr.46 „</w:t>
            </w:r>
            <w:r w:rsidRPr="00114C95">
              <w:rPr>
                <w:u w:val="single"/>
              </w:rPr>
              <w:t>Nekustamā īpašuma valsts kadastra informācijas pieprasīšanas un izsniegšanas kārtība</w:t>
            </w:r>
            <w:r w:rsidR="002C3F51">
              <w:t>”</w:t>
            </w:r>
            <w:r w:rsidRPr="00114C95">
              <w:t>, precizējot informācijas apmaiņas kārtību ar zemesgrāmatu.</w:t>
            </w:r>
            <w:r w:rsidR="00E534CF" w:rsidRPr="00114C95">
              <w:rPr>
                <w:bCs/>
              </w:rPr>
              <w:t>"</w:t>
            </w:r>
            <w:r w:rsidR="00E534CF" w:rsidRPr="00114C95">
              <w:t> </w:t>
            </w:r>
          </w:p>
          <w:p w:rsidR="008B1B4B" w:rsidRPr="00114C95" w:rsidRDefault="006748AB" w:rsidP="00AE4690">
            <w:pPr>
              <w:jc w:val="both"/>
              <w:rPr>
                <w:iCs/>
              </w:rPr>
            </w:pPr>
            <w:r w:rsidRPr="00114C95">
              <w:t>Grozījumi Ministru kabineta 2011.gada 27.decembra noteikumu Nr.1019 „</w:t>
            </w:r>
            <w:r w:rsidR="00685CDD" w:rsidRPr="00685CDD">
              <w:rPr>
                <w:u w:val="single"/>
              </w:rPr>
              <w:t>Zemes kadastrālās uzmērīšanas noteikumi</w:t>
            </w:r>
            <w:r w:rsidRPr="00114C95">
              <w:t>”</w:t>
            </w:r>
            <w:r w:rsidR="006058F2" w:rsidRPr="00114C95">
              <w:t>.</w:t>
            </w:r>
          </w:p>
        </w:tc>
      </w:tr>
      <w:tr w:rsidR="002368C3" w:rsidRPr="00612458">
        <w:trPr>
          <w:jc w:val="center"/>
        </w:trPr>
        <w:tc>
          <w:tcPr>
            <w:tcW w:w="2761" w:type="dxa"/>
          </w:tcPr>
          <w:p w:rsidR="002368C3" w:rsidRPr="00612458" w:rsidRDefault="002368C3" w:rsidP="00E13176">
            <w:pPr>
              <w:pStyle w:val="naiskr"/>
              <w:tabs>
                <w:tab w:val="left" w:pos="2628"/>
              </w:tabs>
              <w:spacing w:before="0" w:after="0"/>
              <w:jc w:val="both"/>
              <w:rPr>
                <w:iCs/>
              </w:rPr>
            </w:pPr>
            <w:r w:rsidRPr="00612458">
              <w:rPr>
                <w:sz w:val="22"/>
                <w:szCs w:val="22"/>
              </w:rPr>
              <w:t>Cita informācija</w:t>
            </w:r>
          </w:p>
        </w:tc>
        <w:tc>
          <w:tcPr>
            <w:tcW w:w="6905" w:type="dxa"/>
          </w:tcPr>
          <w:p w:rsidR="002368C3" w:rsidRPr="00612458" w:rsidRDefault="000716DF" w:rsidP="000716DF">
            <w:pPr>
              <w:pStyle w:val="naiskr"/>
              <w:tabs>
                <w:tab w:val="left" w:pos="2628"/>
              </w:tabs>
              <w:spacing w:before="0" w:after="0"/>
              <w:jc w:val="both"/>
              <w:rPr>
                <w:iCs/>
              </w:rPr>
            </w:pPr>
            <w:r>
              <w:rPr>
                <w:sz w:val="22"/>
                <w:szCs w:val="22"/>
              </w:rPr>
              <w:t>Likumprojekts virzāms vienotā paketē ar Likumprojektiem „Grozījumi Nekustamā īpašuma valsts kadastra likumā” un „Grozījumi Zemesgrāmatu likumā”</w:t>
            </w:r>
          </w:p>
        </w:tc>
      </w:tr>
    </w:tbl>
    <w:p w:rsidR="002368C3" w:rsidRDefault="002368C3" w:rsidP="00BA3F64"/>
    <w:p w:rsidR="002368C3" w:rsidRPr="009E68AE" w:rsidRDefault="002368C3" w:rsidP="00BA3F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1"/>
      </w:tblGrid>
      <w:tr w:rsidR="00BA3F64" w:rsidRPr="009E68AE">
        <w:tc>
          <w:tcPr>
            <w:tcW w:w="9621" w:type="dxa"/>
          </w:tcPr>
          <w:p w:rsidR="00BA3F64" w:rsidRPr="009E68AE" w:rsidRDefault="00BA3F64" w:rsidP="00E13176">
            <w:pPr>
              <w:jc w:val="center"/>
              <w:rPr>
                <w:i/>
              </w:rPr>
            </w:pPr>
            <w:r w:rsidRPr="009E68AE">
              <w:rPr>
                <w:b/>
                <w:i/>
              </w:rPr>
              <w:t>V. Tiesību akta projekta atbilstība Latvijas Republikas starptautiskajām saistībām</w:t>
            </w:r>
          </w:p>
        </w:tc>
      </w:tr>
      <w:tr w:rsidR="00BA3F64" w:rsidRPr="009E68AE">
        <w:tc>
          <w:tcPr>
            <w:tcW w:w="9621" w:type="dxa"/>
          </w:tcPr>
          <w:p w:rsidR="00BA3F64" w:rsidRPr="009E68AE" w:rsidRDefault="00BA3F64" w:rsidP="00E13176">
            <w:pPr>
              <w:keepNext/>
              <w:tabs>
                <w:tab w:val="left" w:pos="1215"/>
              </w:tabs>
              <w:jc w:val="center"/>
              <w:rPr>
                <w:bCs/>
                <w:i/>
              </w:rPr>
            </w:pPr>
            <w:r w:rsidRPr="009E68AE">
              <w:rPr>
                <w:i/>
              </w:rPr>
              <w:t>Projekts šo jomu neskar.</w:t>
            </w:r>
          </w:p>
        </w:tc>
      </w:tr>
    </w:tbl>
    <w:p w:rsidR="00BA3F64" w:rsidRPr="009E68AE" w:rsidRDefault="00BA3F64" w:rsidP="00BA3F64">
      <w:pPr>
        <w:jc w:val="center"/>
      </w:pPr>
      <w:r w:rsidRPr="009E68AE">
        <w:rPr>
          <w:b/>
          <w:bCs/>
        </w:rPr>
        <w:t> </w:t>
      </w: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BA3F64" w:rsidRPr="009E68AE">
        <w:trPr>
          <w:trHeight w:val="393"/>
          <w:tblCellSpacing w:w="0" w:type="dxa"/>
        </w:trPr>
        <w:tc>
          <w:tcPr>
            <w:tcW w:w="9640" w:type="dxa"/>
            <w:tcBorders>
              <w:top w:val="outset" w:sz="6" w:space="0" w:color="auto"/>
              <w:left w:val="outset" w:sz="6" w:space="0" w:color="auto"/>
              <w:bottom w:val="outset" w:sz="6" w:space="0" w:color="auto"/>
              <w:right w:val="outset" w:sz="6" w:space="0" w:color="auto"/>
            </w:tcBorders>
          </w:tcPr>
          <w:p w:rsidR="00BA3F64" w:rsidRPr="009E68AE" w:rsidRDefault="00BA3F64" w:rsidP="00E13176">
            <w:pPr>
              <w:jc w:val="center"/>
            </w:pPr>
            <w:r w:rsidRPr="009E68AE">
              <w:rPr>
                <w:b/>
                <w:bCs/>
              </w:rPr>
              <w:t> VI. Sabiedrības līdzdalība un šīs līdzdalības rezultāti</w:t>
            </w:r>
          </w:p>
        </w:tc>
      </w:tr>
      <w:tr w:rsidR="00C52CC7" w:rsidRPr="009E68AE">
        <w:trPr>
          <w:tblCellSpacing w:w="0" w:type="dxa"/>
        </w:trPr>
        <w:tc>
          <w:tcPr>
            <w:tcW w:w="9640" w:type="dxa"/>
            <w:tcBorders>
              <w:top w:val="outset" w:sz="6" w:space="0" w:color="auto"/>
              <w:left w:val="outset" w:sz="6" w:space="0" w:color="auto"/>
              <w:bottom w:val="outset" w:sz="6" w:space="0" w:color="auto"/>
              <w:right w:val="outset" w:sz="6" w:space="0" w:color="auto"/>
            </w:tcBorders>
          </w:tcPr>
          <w:p w:rsidR="00C52CC7" w:rsidRPr="00E450DA" w:rsidRDefault="00C52CC7" w:rsidP="00E13176">
            <w:pPr>
              <w:jc w:val="center"/>
              <w:rPr>
                <w:bCs/>
                <w:i/>
              </w:rPr>
            </w:pPr>
            <w:r w:rsidRPr="00E450DA">
              <w:rPr>
                <w:bCs/>
                <w:i/>
              </w:rPr>
              <w:t>Projekts šo jomu neskar</w:t>
            </w:r>
          </w:p>
        </w:tc>
      </w:tr>
    </w:tbl>
    <w:p w:rsidR="00BA3F64" w:rsidRPr="009E68AE" w:rsidRDefault="00BA3F64" w:rsidP="00BA3F64">
      <w:pPr>
        <w:ind w:firstLine="468"/>
        <w:jc w:val="both"/>
        <w:rPr>
          <w:bCs/>
        </w:rPr>
      </w:pPr>
      <w:r w:rsidRPr="009E68AE">
        <w:t> </w:t>
      </w: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3969"/>
        <w:gridCol w:w="5245"/>
      </w:tblGrid>
      <w:tr w:rsidR="00BA3F64" w:rsidRPr="00962B27">
        <w:trPr>
          <w:trHeight w:val="208"/>
        </w:trPr>
        <w:tc>
          <w:tcPr>
            <w:tcW w:w="9640" w:type="dxa"/>
            <w:gridSpan w:val="3"/>
            <w:tcBorders>
              <w:top w:val="single" w:sz="4" w:space="0" w:color="auto"/>
              <w:left w:val="single" w:sz="4" w:space="0" w:color="auto"/>
              <w:bottom w:val="thickThinLargeGap" w:sz="6" w:space="0" w:color="808080"/>
              <w:right w:val="single" w:sz="4" w:space="0" w:color="auto"/>
            </w:tcBorders>
          </w:tcPr>
          <w:p w:rsidR="00BA3F64" w:rsidRPr="00962B27" w:rsidRDefault="00BA3F64" w:rsidP="00E13176">
            <w:pPr>
              <w:pStyle w:val="naisc"/>
              <w:keepNext/>
              <w:spacing w:before="0" w:beforeAutospacing="0" w:after="0" w:afterAutospacing="0"/>
            </w:pPr>
            <w:r w:rsidRPr="00962B27">
              <w:rPr>
                <w:b/>
              </w:rPr>
              <w:t>VII. Tiesību akta projekta izpildes nodrošināšana un tās ietekme uz institūcijām</w:t>
            </w:r>
          </w:p>
        </w:tc>
      </w:tr>
      <w:tr w:rsidR="00BA3F64" w:rsidRPr="00962B27">
        <w:trPr>
          <w:trHeight w:val="154"/>
        </w:trPr>
        <w:tc>
          <w:tcPr>
            <w:tcW w:w="426" w:type="dxa"/>
            <w:tcBorders>
              <w:top w:val="thickThinLargeGap" w:sz="6" w:space="0" w:color="808080"/>
              <w:left w:val="single" w:sz="4" w:space="0" w:color="auto"/>
              <w:bottom w:val="single" w:sz="4" w:space="0" w:color="auto"/>
              <w:right w:val="single" w:sz="4" w:space="0" w:color="auto"/>
            </w:tcBorders>
          </w:tcPr>
          <w:p w:rsidR="00BA3F64" w:rsidRPr="00962B27" w:rsidRDefault="00BA3F64" w:rsidP="00E13176">
            <w:pPr>
              <w:pStyle w:val="NormalWeb"/>
              <w:rPr>
                <w:sz w:val="26"/>
                <w:szCs w:val="26"/>
              </w:rPr>
            </w:pPr>
            <w:r w:rsidRPr="00962B27">
              <w:rPr>
                <w:bCs/>
                <w:sz w:val="26"/>
                <w:szCs w:val="26"/>
              </w:rPr>
              <w:t xml:space="preserve">1. </w:t>
            </w:r>
          </w:p>
        </w:tc>
        <w:tc>
          <w:tcPr>
            <w:tcW w:w="3969" w:type="dxa"/>
            <w:tcBorders>
              <w:top w:val="single" w:sz="4" w:space="0" w:color="auto"/>
              <w:left w:val="single" w:sz="4" w:space="0" w:color="auto"/>
              <w:bottom w:val="single" w:sz="4" w:space="0" w:color="auto"/>
              <w:right w:val="single" w:sz="4" w:space="0" w:color="auto"/>
            </w:tcBorders>
          </w:tcPr>
          <w:p w:rsidR="00BA3F64" w:rsidRPr="00962B27" w:rsidRDefault="00BA3F64" w:rsidP="00E13176">
            <w:pPr>
              <w:pStyle w:val="NormalWeb"/>
              <w:rPr>
                <w:sz w:val="26"/>
                <w:szCs w:val="26"/>
              </w:rPr>
            </w:pPr>
            <w:r w:rsidRPr="00962B27">
              <w:rPr>
                <w:sz w:val="26"/>
                <w:szCs w:val="26"/>
              </w:rPr>
              <w:t>Projekta izpildē iesaistītās institūcijas</w:t>
            </w:r>
          </w:p>
        </w:tc>
        <w:tc>
          <w:tcPr>
            <w:tcW w:w="5245" w:type="dxa"/>
            <w:tcBorders>
              <w:top w:val="single" w:sz="4" w:space="0" w:color="auto"/>
              <w:left w:val="single" w:sz="4" w:space="0" w:color="auto"/>
              <w:bottom w:val="single" w:sz="4" w:space="0" w:color="auto"/>
              <w:right w:val="single" w:sz="4" w:space="0" w:color="auto"/>
            </w:tcBorders>
          </w:tcPr>
          <w:p w:rsidR="00BA3F64" w:rsidRPr="00962B27" w:rsidRDefault="00BA3F64" w:rsidP="00163559">
            <w:pPr>
              <w:pStyle w:val="NormalWeb"/>
              <w:rPr>
                <w:sz w:val="26"/>
                <w:szCs w:val="26"/>
              </w:rPr>
            </w:pPr>
            <w:r w:rsidRPr="00962B27">
              <w:rPr>
                <w:sz w:val="26"/>
                <w:szCs w:val="26"/>
              </w:rPr>
              <w:t>Valsts zemes dienests</w:t>
            </w:r>
            <w:r w:rsidR="00163559" w:rsidRPr="00962B27">
              <w:rPr>
                <w:sz w:val="26"/>
                <w:szCs w:val="26"/>
              </w:rPr>
              <w:t>, Tiesu administrācija</w:t>
            </w:r>
          </w:p>
        </w:tc>
      </w:tr>
      <w:tr w:rsidR="00BA3F64" w:rsidRPr="00962B27">
        <w:trPr>
          <w:trHeight w:val="487"/>
        </w:trPr>
        <w:tc>
          <w:tcPr>
            <w:tcW w:w="426" w:type="dxa"/>
            <w:tcBorders>
              <w:top w:val="single" w:sz="4" w:space="0" w:color="auto"/>
              <w:left w:val="single" w:sz="4" w:space="0" w:color="auto"/>
              <w:bottom w:val="single" w:sz="4" w:space="0" w:color="auto"/>
              <w:right w:val="single" w:sz="4" w:space="0" w:color="auto"/>
            </w:tcBorders>
          </w:tcPr>
          <w:p w:rsidR="00BA3F64" w:rsidRPr="00962B27" w:rsidRDefault="00BA3F64" w:rsidP="00E13176">
            <w:pPr>
              <w:pStyle w:val="NormalWeb"/>
              <w:spacing w:before="0" w:beforeAutospacing="0" w:after="0" w:afterAutospacing="0"/>
              <w:rPr>
                <w:bCs/>
                <w:sz w:val="26"/>
                <w:szCs w:val="26"/>
              </w:rPr>
            </w:pPr>
            <w:r w:rsidRPr="00962B27">
              <w:rPr>
                <w:bCs/>
                <w:sz w:val="26"/>
                <w:szCs w:val="26"/>
              </w:rPr>
              <w:t xml:space="preserve">2. </w:t>
            </w:r>
          </w:p>
        </w:tc>
        <w:tc>
          <w:tcPr>
            <w:tcW w:w="3969" w:type="dxa"/>
            <w:tcBorders>
              <w:top w:val="single" w:sz="4" w:space="0" w:color="auto"/>
              <w:left w:val="single" w:sz="4" w:space="0" w:color="auto"/>
              <w:bottom w:val="single" w:sz="4" w:space="0" w:color="auto"/>
              <w:right w:val="single" w:sz="4" w:space="0" w:color="auto"/>
            </w:tcBorders>
          </w:tcPr>
          <w:p w:rsidR="00BA3F64" w:rsidRPr="00962B27" w:rsidRDefault="00BA3F64" w:rsidP="00E13176">
            <w:pPr>
              <w:pStyle w:val="NormalWeb"/>
              <w:spacing w:before="0" w:beforeAutospacing="0" w:after="0" w:afterAutospacing="0"/>
              <w:rPr>
                <w:bCs/>
                <w:sz w:val="26"/>
                <w:szCs w:val="26"/>
              </w:rPr>
            </w:pPr>
            <w:r w:rsidRPr="00962B27">
              <w:rPr>
                <w:sz w:val="26"/>
                <w:szCs w:val="26"/>
              </w:rPr>
              <w:t>Projekta izpildes ietekme uz pārvaldes funkcijām</w:t>
            </w:r>
          </w:p>
        </w:tc>
        <w:tc>
          <w:tcPr>
            <w:tcW w:w="5245" w:type="dxa"/>
            <w:tcBorders>
              <w:top w:val="single" w:sz="4" w:space="0" w:color="auto"/>
              <w:left w:val="single" w:sz="4" w:space="0" w:color="auto"/>
              <w:bottom w:val="single" w:sz="4" w:space="0" w:color="auto"/>
              <w:right w:val="single" w:sz="4" w:space="0" w:color="auto"/>
            </w:tcBorders>
          </w:tcPr>
          <w:p w:rsidR="00BA3F64" w:rsidRPr="00962B27" w:rsidRDefault="00BA3F64" w:rsidP="00E13176">
            <w:pPr>
              <w:jc w:val="both"/>
              <w:rPr>
                <w:sz w:val="26"/>
                <w:szCs w:val="26"/>
              </w:rPr>
            </w:pPr>
            <w:r w:rsidRPr="00962B27">
              <w:rPr>
                <w:sz w:val="26"/>
                <w:szCs w:val="26"/>
              </w:rPr>
              <w:t>Normatīvā akta izpilde tiks nodrošināta Valsts zemes dienesta</w:t>
            </w:r>
            <w:r w:rsidR="009B02A0" w:rsidRPr="00962B27">
              <w:rPr>
                <w:sz w:val="26"/>
                <w:szCs w:val="26"/>
              </w:rPr>
              <w:t>, Tiesu administrācijas un Zemesgrāmatu nodaļu</w:t>
            </w:r>
            <w:r w:rsidRPr="00962B27">
              <w:rPr>
                <w:sz w:val="26"/>
                <w:szCs w:val="26"/>
              </w:rPr>
              <w:t xml:space="preserve"> līdzšinējo funkciju </w:t>
            </w:r>
            <w:r w:rsidRPr="00962B27">
              <w:rPr>
                <w:sz w:val="26"/>
                <w:szCs w:val="26"/>
              </w:rPr>
              <w:lastRenderedPageBreak/>
              <w:t>ietvaros.</w:t>
            </w:r>
          </w:p>
        </w:tc>
      </w:tr>
      <w:tr w:rsidR="00564091" w:rsidRPr="00962B27">
        <w:trPr>
          <w:trHeight w:val="487"/>
        </w:trPr>
        <w:tc>
          <w:tcPr>
            <w:tcW w:w="426"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rPr>
                <w:bCs/>
                <w:sz w:val="26"/>
                <w:szCs w:val="26"/>
              </w:rPr>
            </w:pPr>
            <w:r w:rsidRPr="00962B27">
              <w:rPr>
                <w:bCs/>
                <w:sz w:val="26"/>
                <w:szCs w:val="26"/>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spacing w:before="100" w:beforeAutospacing="1" w:after="100" w:afterAutospacing="1"/>
              <w:rPr>
                <w:sz w:val="26"/>
                <w:szCs w:val="26"/>
              </w:rPr>
            </w:pPr>
            <w:r w:rsidRPr="00962B27">
              <w:rPr>
                <w:sz w:val="26"/>
                <w:szCs w:val="26"/>
              </w:rPr>
              <w:t>Projekta izpildes ietekme uz pārvaldes institucionālo struktūru.</w:t>
            </w:r>
          </w:p>
          <w:p w:rsidR="00564091" w:rsidRPr="00962B27" w:rsidRDefault="00564091" w:rsidP="00E13176">
            <w:pPr>
              <w:spacing w:before="100" w:beforeAutospacing="1" w:after="100" w:afterAutospacing="1"/>
              <w:rPr>
                <w:sz w:val="26"/>
                <w:szCs w:val="26"/>
              </w:rPr>
            </w:pPr>
            <w:r w:rsidRPr="00962B27">
              <w:rPr>
                <w:sz w:val="26"/>
                <w:szCs w:val="26"/>
              </w:rPr>
              <w:t>Jaunu institūciju izveide</w:t>
            </w:r>
          </w:p>
        </w:tc>
        <w:tc>
          <w:tcPr>
            <w:tcW w:w="5245" w:type="dxa"/>
            <w:tcBorders>
              <w:top w:val="single" w:sz="4" w:space="0" w:color="auto"/>
              <w:left w:val="single" w:sz="4" w:space="0" w:color="auto"/>
              <w:bottom w:val="single" w:sz="4" w:space="0" w:color="auto"/>
              <w:right w:val="single" w:sz="4" w:space="0" w:color="auto"/>
            </w:tcBorders>
          </w:tcPr>
          <w:p w:rsidR="00564091" w:rsidRPr="00962B27" w:rsidRDefault="00564091" w:rsidP="008324BC">
            <w:pPr>
              <w:pStyle w:val="NormalWeb"/>
              <w:spacing w:before="0" w:beforeAutospacing="0" w:after="0" w:afterAutospacing="0"/>
              <w:jc w:val="both"/>
              <w:rPr>
                <w:sz w:val="26"/>
                <w:szCs w:val="26"/>
              </w:rPr>
            </w:pPr>
            <w:r w:rsidRPr="00962B27">
              <w:rPr>
                <w:sz w:val="26"/>
                <w:szCs w:val="26"/>
              </w:rPr>
              <w:t>Netiks veidotas jaunas institūcijas.</w:t>
            </w:r>
          </w:p>
          <w:p w:rsidR="00564091" w:rsidRPr="00962B27" w:rsidRDefault="00564091" w:rsidP="008324BC">
            <w:pPr>
              <w:pStyle w:val="NormalWeb"/>
              <w:spacing w:before="0" w:beforeAutospacing="0" w:after="0" w:afterAutospacing="0"/>
              <w:jc w:val="both"/>
              <w:rPr>
                <w:sz w:val="26"/>
                <w:szCs w:val="26"/>
              </w:rPr>
            </w:pPr>
          </w:p>
        </w:tc>
      </w:tr>
      <w:tr w:rsidR="00564091" w:rsidRPr="00962B27">
        <w:trPr>
          <w:trHeight w:val="487"/>
        </w:trPr>
        <w:tc>
          <w:tcPr>
            <w:tcW w:w="426"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rPr>
                <w:bCs/>
                <w:sz w:val="26"/>
                <w:szCs w:val="26"/>
              </w:rPr>
            </w:pPr>
            <w:r w:rsidRPr="00962B27">
              <w:rPr>
                <w:bCs/>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spacing w:before="100" w:beforeAutospacing="1" w:after="100" w:afterAutospacing="1"/>
              <w:rPr>
                <w:sz w:val="26"/>
                <w:szCs w:val="26"/>
              </w:rPr>
            </w:pPr>
            <w:r w:rsidRPr="00962B27">
              <w:rPr>
                <w:sz w:val="26"/>
                <w:szCs w:val="26"/>
              </w:rPr>
              <w:t>Projekta izpildes ietekme uz pārvaldes institucionālo struktūru.</w:t>
            </w:r>
          </w:p>
          <w:p w:rsidR="00564091" w:rsidRPr="00962B27" w:rsidRDefault="00564091" w:rsidP="00E13176">
            <w:pPr>
              <w:spacing w:before="100" w:beforeAutospacing="1" w:after="100" w:afterAutospacing="1"/>
              <w:rPr>
                <w:sz w:val="26"/>
                <w:szCs w:val="26"/>
              </w:rPr>
            </w:pPr>
            <w:r w:rsidRPr="00962B27">
              <w:rPr>
                <w:sz w:val="26"/>
                <w:szCs w:val="26"/>
              </w:rPr>
              <w:t>Esošu institūciju likvidācija</w:t>
            </w:r>
          </w:p>
        </w:tc>
        <w:tc>
          <w:tcPr>
            <w:tcW w:w="5245" w:type="dxa"/>
            <w:tcBorders>
              <w:top w:val="single" w:sz="4" w:space="0" w:color="auto"/>
              <w:left w:val="single" w:sz="4" w:space="0" w:color="auto"/>
              <w:bottom w:val="single" w:sz="4" w:space="0" w:color="auto"/>
              <w:right w:val="single" w:sz="4" w:space="0" w:color="auto"/>
            </w:tcBorders>
          </w:tcPr>
          <w:p w:rsidR="00564091" w:rsidRPr="00962B27" w:rsidRDefault="00564091" w:rsidP="008324BC">
            <w:pPr>
              <w:pStyle w:val="NormalWeb"/>
              <w:spacing w:before="0" w:beforeAutospacing="0" w:after="0" w:afterAutospacing="0"/>
              <w:jc w:val="both"/>
              <w:rPr>
                <w:sz w:val="26"/>
                <w:szCs w:val="26"/>
              </w:rPr>
            </w:pPr>
            <w:r w:rsidRPr="00962B27">
              <w:rPr>
                <w:sz w:val="26"/>
                <w:szCs w:val="26"/>
              </w:rPr>
              <w:t>Netiks likvidētas esošās institūcijas.</w:t>
            </w:r>
          </w:p>
        </w:tc>
      </w:tr>
      <w:tr w:rsidR="00564091" w:rsidRPr="00962B27">
        <w:trPr>
          <w:trHeight w:val="487"/>
        </w:trPr>
        <w:tc>
          <w:tcPr>
            <w:tcW w:w="426"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rPr>
                <w:bCs/>
                <w:sz w:val="26"/>
                <w:szCs w:val="26"/>
              </w:rPr>
            </w:pPr>
            <w:r w:rsidRPr="00962B27">
              <w:rPr>
                <w:bCs/>
                <w:sz w:val="26"/>
                <w:szCs w:val="26"/>
              </w:rPr>
              <w:t>5.</w:t>
            </w:r>
          </w:p>
        </w:tc>
        <w:tc>
          <w:tcPr>
            <w:tcW w:w="3969"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spacing w:before="100" w:beforeAutospacing="1" w:after="100" w:afterAutospacing="1"/>
              <w:rPr>
                <w:sz w:val="26"/>
                <w:szCs w:val="26"/>
              </w:rPr>
            </w:pPr>
            <w:r w:rsidRPr="00962B27">
              <w:rPr>
                <w:sz w:val="26"/>
                <w:szCs w:val="26"/>
              </w:rPr>
              <w:t>Projekta izpildes ietekme uz pārvaldes institucionālo struktūru.</w:t>
            </w:r>
          </w:p>
          <w:p w:rsidR="00564091" w:rsidRPr="00962B27" w:rsidRDefault="00564091" w:rsidP="00E13176">
            <w:pPr>
              <w:spacing w:before="100" w:beforeAutospacing="1" w:after="100" w:afterAutospacing="1"/>
              <w:rPr>
                <w:sz w:val="26"/>
                <w:szCs w:val="26"/>
              </w:rPr>
            </w:pPr>
            <w:r w:rsidRPr="00962B27">
              <w:rPr>
                <w:sz w:val="26"/>
                <w:szCs w:val="26"/>
              </w:rPr>
              <w:t>Esošu institūciju reorganizācija</w:t>
            </w:r>
          </w:p>
        </w:tc>
        <w:tc>
          <w:tcPr>
            <w:tcW w:w="5245" w:type="dxa"/>
            <w:tcBorders>
              <w:top w:val="single" w:sz="4" w:space="0" w:color="auto"/>
              <w:left w:val="single" w:sz="4" w:space="0" w:color="auto"/>
              <w:bottom w:val="single" w:sz="4" w:space="0" w:color="auto"/>
              <w:right w:val="single" w:sz="4" w:space="0" w:color="auto"/>
            </w:tcBorders>
          </w:tcPr>
          <w:p w:rsidR="00564091" w:rsidRPr="00962B27" w:rsidRDefault="00564091" w:rsidP="008324BC">
            <w:pPr>
              <w:pStyle w:val="NormalWeb"/>
              <w:spacing w:before="0" w:beforeAutospacing="0" w:after="0" w:afterAutospacing="0"/>
              <w:jc w:val="both"/>
              <w:rPr>
                <w:sz w:val="26"/>
                <w:szCs w:val="26"/>
              </w:rPr>
            </w:pPr>
            <w:r w:rsidRPr="00962B27">
              <w:rPr>
                <w:sz w:val="26"/>
                <w:szCs w:val="26"/>
              </w:rPr>
              <w:t>Netiks reorganizētas esošās institūcijas.</w:t>
            </w:r>
          </w:p>
        </w:tc>
      </w:tr>
      <w:tr w:rsidR="00564091" w:rsidRPr="00962B27">
        <w:trPr>
          <w:trHeight w:val="138"/>
        </w:trPr>
        <w:tc>
          <w:tcPr>
            <w:tcW w:w="426"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rPr>
                <w:bCs/>
                <w:sz w:val="26"/>
                <w:szCs w:val="26"/>
              </w:rPr>
            </w:pPr>
            <w:r w:rsidRPr="00962B27">
              <w:rPr>
                <w:bCs/>
                <w:sz w:val="26"/>
                <w:szCs w:val="26"/>
              </w:rPr>
              <w:t>6.</w:t>
            </w:r>
          </w:p>
        </w:tc>
        <w:tc>
          <w:tcPr>
            <w:tcW w:w="3969"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rPr>
                <w:bCs/>
                <w:sz w:val="26"/>
                <w:szCs w:val="26"/>
              </w:rPr>
            </w:pPr>
            <w:r w:rsidRPr="00962B27">
              <w:rPr>
                <w:bCs/>
                <w:sz w:val="26"/>
                <w:szCs w:val="26"/>
              </w:rPr>
              <w:t>Cita informācija</w:t>
            </w:r>
          </w:p>
        </w:tc>
        <w:tc>
          <w:tcPr>
            <w:tcW w:w="5245" w:type="dxa"/>
            <w:tcBorders>
              <w:top w:val="single" w:sz="4" w:space="0" w:color="auto"/>
              <w:left w:val="single" w:sz="4" w:space="0" w:color="auto"/>
              <w:bottom w:val="single" w:sz="4" w:space="0" w:color="auto"/>
              <w:right w:val="single" w:sz="4" w:space="0" w:color="auto"/>
            </w:tcBorders>
          </w:tcPr>
          <w:p w:rsidR="00564091" w:rsidRPr="00962B27" w:rsidRDefault="00564091" w:rsidP="00E13176">
            <w:pPr>
              <w:pStyle w:val="NormalWeb"/>
              <w:spacing w:before="0" w:beforeAutospacing="0" w:after="0" w:afterAutospacing="0"/>
              <w:jc w:val="both"/>
              <w:rPr>
                <w:sz w:val="26"/>
                <w:szCs w:val="26"/>
              </w:rPr>
            </w:pPr>
            <w:r w:rsidRPr="00962B27">
              <w:rPr>
                <w:sz w:val="26"/>
                <w:szCs w:val="26"/>
              </w:rPr>
              <w:t>Nav</w:t>
            </w:r>
          </w:p>
        </w:tc>
      </w:tr>
    </w:tbl>
    <w:p w:rsidR="00BA3F64" w:rsidRPr="00962B27" w:rsidRDefault="00BA3F64" w:rsidP="00BA3F64">
      <w:pPr>
        <w:rPr>
          <w:sz w:val="26"/>
          <w:szCs w:val="26"/>
        </w:rPr>
      </w:pPr>
    </w:p>
    <w:p w:rsidR="00BA3F64" w:rsidRPr="009E68AE" w:rsidRDefault="00BA3F64" w:rsidP="00BA3F64">
      <w:pPr>
        <w:rPr>
          <w:sz w:val="28"/>
          <w:szCs w:val="28"/>
        </w:rPr>
      </w:pPr>
    </w:p>
    <w:p w:rsidR="00BA3F64" w:rsidRPr="009E68AE" w:rsidRDefault="00321D20" w:rsidP="00321D20">
      <w:pPr>
        <w:ind w:firstLine="720"/>
        <w:rPr>
          <w:sz w:val="28"/>
          <w:szCs w:val="28"/>
        </w:rPr>
      </w:pPr>
      <w:r>
        <w:rPr>
          <w:sz w:val="28"/>
          <w:szCs w:val="28"/>
        </w:rPr>
        <w:t xml:space="preserve">Tieslietu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A41CCC">
        <w:rPr>
          <w:sz w:val="28"/>
          <w:szCs w:val="28"/>
        </w:rPr>
        <w:t>J.Bordāns</w:t>
      </w:r>
      <w:proofErr w:type="spellEnd"/>
    </w:p>
    <w:p w:rsidR="00BA3F64" w:rsidRDefault="00BA3F64" w:rsidP="00BA3F64">
      <w:pPr>
        <w:rPr>
          <w:sz w:val="28"/>
          <w:szCs w:val="28"/>
        </w:rPr>
      </w:pPr>
    </w:p>
    <w:p w:rsidR="004A5374" w:rsidRPr="009E68AE" w:rsidRDefault="004A5374" w:rsidP="00BA3F64">
      <w:pPr>
        <w:rPr>
          <w:sz w:val="28"/>
          <w:szCs w:val="28"/>
        </w:rPr>
      </w:pPr>
    </w:p>
    <w:p w:rsidR="000F0D79" w:rsidRPr="004A5374" w:rsidRDefault="00321D20" w:rsidP="00BA3F64">
      <w:pPr>
        <w:rPr>
          <w:sz w:val="22"/>
          <w:szCs w:val="22"/>
        </w:rPr>
      </w:pPr>
      <w:r>
        <w:rPr>
          <w:sz w:val="22"/>
          <w:szCs w:val="22"/>
        </w:rPr>
        <w:t>03</w:t>
      </w:r>
      <w:r w:rsidR="001A4C6B">
        <w:rPr>
          <w:sz w:val="22"/>
          <w:szCs w:val="22"/>
        </w:rPr>
        <w:t>.</w:t>
      </w:r>
      <w:r>
        <w:rPr>
          <w:sz w:val="22"/>
          <w:szCs w:val="22"/>
        </w:rPr>
        <w:t>10.</w:t>
      </w:r>
      <w:r w:rsidR="00BA3F64" w:rsidRPr="004A5374">
        <w:rPr>
          <w:sz w:val="22"/>
          <w:szCs w:val="22"/>
        </w:rPr>
        <w:t>1</w:t>
      </w:r>
      <w:r w:rsidR="00D071FD" w:rsidRPr="004A5374">
        <w:rPr>
          <w:sz w:val="22"/>
          <w:szCs w:val="22"/>
        </w:rPr>
        <w:t>2</w:t>
      </w:r>
      <w:r w:rsidR="00BA3F64" w:rsidRPr="004A5374">
        <w:rPr>
          <w:sz w:val="22"/>
          <w:szCs w:val="22"/>
        </w:rPr>
        <w:t xml:space="preserve"> </w:t>
      </w:r>
      <w:r w:rsidR="0037666E">
        <w:rPr>
          <w:sz w:val="22"/>
          <w:szCs w:val="22"/>
        </w:rPr>
        <w:t>1</w:t>
      </w:r>
      <w:r>
        <w:rPr>
          <w:sz w:val="22"/>
          <w:szCs w:val="22"/>
        </w:rPr>
        <w:t>4</w:t>
      </w:r>
      <w:r w:rsidR="008148A7">
        <w:rPr>
          <w:sz w:val="22"/>
          <w:szCs w:val="22"/>
        </w:rPr>
        <w:t>:</w:t>
      </w:r>
      <w:r>
        <w:rPr>
          <w:sz w:val="22"/>
          <w:szCs w:val="22"/>
        </w:rPr>
        <w:t>50</w:t>
      </w:r>
    </w:p>
    <w:p w:rsidR="00BA3F64" w:rsidRPr="001F4018" w:rsidRDefault="008813FA" w:rsidP="00BA3F64">
      <w:pPr>
        <w:rPr>
          <w:sz w:val="22"/>
          <w:szCs w:val="22"/>
        </w:rPr>
      </w:pPr>
      <w:r w:rsidRPr="001F4018">
        <w:rPr>
          <w:sz w:val="22"/>
          <w:szCs w:val="22"/>
        </w:rPr>
        <w:t>2</w:t>
      </w:r>
      <w:r w:rsidR="0037666E" w:rsidRPr="001F4018">
        <w:rPr>
          <w:sz w:val="22"/>
          <w:szCs w:val="22"/>
        </w:rPr>
        <w:t>7</w:t>
      </w:r>
      <w:r w:rsidR="00321D20" w:rsidRPr="001F4018">
        <w:rPr>
          <w:sz w:val="22"/>
          <w:szCs w:val="22"/>
        </w:rPr>
        <w:t>09</w:t>
      </w:r>
    </w:p>
    <w:p w:rsidR="00BA3F64" w:rsidRPr="004A5374" w:rsidRDefault="00BA3F64" w:rsidP="00BA3F64">
      <w:pPr>
        <w:rPr>
          <w:sz w:val="22"/>
          <w:szCs w:val="22"/>
        </w:rPr>
      </w:pPr>
      <w:r w:rsidRPr="004A5374">
        <w:rPr>
          <w:sz w:val="22"/>
          <w:szCs w:val="22"/>
        </w:rPr>
        <w:t>I.Reizina</w:t>
      </w:r>
    </w:p>
    <w:p w:rsidR="00BA3F64" w:rsidRPr="004A5374" w:rsidRDefault="00BA3F64" w:rsidP="00BA3F64">
      <w:pPr>
        <w:rPr>
          <w:i/>
          <w:sz w:val="22"/>
          <w:szCs w:val="22"/>
        </w:rPr>
      </w:pPr>
      <w:r w:rsidRPr="004A5374">
        <w:rPr>
          <w:sz w:val="22"/>
          <w:szCs w:val="22"/>
        </w:rPr>
        <w:t>67406137, Ingrida.Reizina@tm.gov.lv</w:t>
      </w:r>
    </w:p>
    <w:p w:rsidR="00BA3F64" w:rsidRPr="004A5374" w:rsidRDefault="00BA3F64" w:rsidP="00BA3F64">
      <w:pPr>
        <w:rPr>
          <w:sz w:val="22"/>
          <w:szCs w:val="22"/>
        </w:rPr>
      </w:pPr>
    </w:p>
    <w:p w:rsidR="00B3356C" w:rsidRDefault="00B3356C"/>
    <w:sectPr w:rsidR="00B3356C" w:rsidSect="00557A62">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8D" w:rsidRDefault="0045298D" w:rsidP="00B45581">
      <w:r>
        <w:separator/>
      </w:r>
    </w:p>
  </w:endnote>
  <w:endnote w:type="continuationSeparator" w:id="0">
    <w:p w:rsidR="0045298D" w:rsidRDefault="0045298D" w:rsidP="00B45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8D" w:rsidRDefault="00E757C9">
    <w:pPr>
      <w:pStyle w:val="Footer"/>
      <w:framePr w:wrap="around" w:vAnchor="text" w:hAnchor="margin" w:xAlign="center" w:y="1"/>
      <w:rPr>
        <w:rStyle w:val="PageNumber"/>
      </w:rPr>
    </w:pPr>
    <w:r>
      <w:rPr>
        <w:rStyle w:val="PageNumber"/>
      </w:rPr>
      <w:fldChar w:fldCharType="begin"/>
    </w:r>
    <w:r w:rsidR="0045298D">
      <w:rPr>
        <w:rStyle w:val="PageNumber"/>
      </w:rPr>
      <w:instrText xml:space="preserve">PAGE  </w:instrText>
    </w:r>
    <w:r>
      <w:rPr>
        <w:rStyle w:val="PageNumber"/>
      </w:rPr>
      <w:fldChar w:fldCharType="separate"/>
    </w:r>
    <w:r w:rsidR="0045298D">
      <w:rPr>
        <w:rStyle w:val="PageNumber"/>
        <w:noProof/>
      </w:rPr>
      <w:t>11</w:t>
    </w:r>
    <w:r>
      <w:rPr>
        <w:rStyle w:val="PageNumber"/>
      </w:rPr>
      <w:fldChar w:fldCharType="end"/>
    </w:r>
  </w:p>
  <w:p w:rsidR="0045298D" w:rsidRDefault="00452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8D" w:rsidRPr="00CF25E9" w:rsidRDefault="0045298D">
    <w:pPr>
      <w:pStyle w:val="Footer"/>
      <w:jc w:val="both"/>
      <w:rPr>
        <w:sz w:val="22"/>
        <w:szCs w:val="22"/>
      </w:rPr>
    </w:pPr>
    <w:r w:rsidRPr="005E569F">
      <w:rPr>
        <w:sz w:val="22"/>
        <w:szCs w:val="22"/>
      </w:rPr>
      <w:t>TM</w:t>
    </w:r>
    <w:r>
      <w:rPr>
        <w:sz w:val="22"/>
        <w:szCs w:val="22"/>
      </w:rPr>
      <w:t>Anot</w:t>
    </w:r>
    <w:r w:rsidRPr="005E569F">
      <w:rPr>
        <w:sz w:val="22"/>
        <w:szCs w:val="22"/>
      </w:rPr>
      <w:t>_</w:t>
    </w:r>
    <w:r w:rsidR="00B62A22">
      <w:rPr>
        <w:sz w:val="22"/>
        <w:szCs w:val="22"/>
      </w:rPr>
      <w:t>31</w:t>
    </w:r>
    <w:r w:rsidR="008813FA">
      <w:rPr>
        <w:sz w:val="22"/>
        <w:szCs w:val="22"/>
      </w:rPr>
      <w:t>08</w:t>
    </w:r>
    <w:r w:rsidR="00E03B2C">
      <w:rPr>
        <w:sz w:val="22"/>
        <w:szCs w:val="22"/>
      </w:rPr>
      <w:t>12</w:t>
    </w:r>
    <w:r w:rsidRPr="005E569F">
      <w:rPr>
        <w:sz w:val="22"/>
        <w:szCs w:val="22"/>
      </w:rPr>
      <w:t>_</w:t>
    </w:r>
    <w:r>
      <w:rPr>
        <w:sz w:val="22"/>
        <w:szCs w:val="22"/>
      </w:rPr>
      <w:t>NIZG</w:t>
    </w:r>
    <w:r w:rsidR="00CF25E9">
      <w:rPr>
        <w:sz w:val="22"/>
        <w:szCs w:val="22"/>
      </w:rPr>
      <w:t>_561</w:t>
    </w:r>
    <w:r>
      <w:rPr>
        <w:sz w:val="22"/>
        <w:szCs w:val="22"/>
      </w:rPr>
      <w:t>; Likumprojekta Grozījumi</w:t>
    </w:r>
    <w:r w:rsidRPr="005E569F">
      <w:rPr>
        <w:sz w:val="22"/>
        <w:szCs w:val="22"/>
      </w:rPr>
      <w:t xml:space="preserve"> </w:t>
    </w:r>
    <w:r>
      <w:rPr>
        <w:sz w:val="22"/>
        <w:szCs w:val="22"/>
      </w:rPr>
      <w:t>likumā „Par nekustamā īpašuma ierakstīšanu zemesgrāmatā</w:t>
    </w:r>
    <w:r w:rsidRPr="005E569F">
      <w:rPr>
        <w:sz w:val="22"/>
        <w:szCs w:val="22"/>
      </w:rPr>
      <w:t xml:space="preserve">” sākotnējās ietekmes novērtējuma </w:t>
    </w:r>
    <w:smartTag w:uri="schemas-tilde-lv/tildestengine" w:element="veidnes">
      <w:smartTagPr>
        <w:attr w:name="text" w:val="ziņojums"/>
        <w:attr w:name="baseform" w:val="ziņojums"/>
        <w:attr w:name="id" w:val="-1"/>
      </w:smartTagPr>
      <w:r w:rsidRPr="005E569F">
        <w:rPr>
          <w:sz w:val="22"/>
          <w:szCs w:val="22"/>
        </w:rPr>
        <w:t>ziņojums</w:t>
      </w:r>
    </w:smartTag>
    <w:r w:rsidRPr="005E569F">
      <w:rPr>
        <w:sz w:val="22"/>
        <w:szCs w:val="22"/>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8D" w:rsidRDefault="0045298D">
    <w:pPr>
      <w:pStyle w:val="Footer"/>
      <w:jc w:val="both"/>
      <w:rPr>
        <w:szCs w:val="22"/>
      </w:rPr>
    </w:pPr>
    <w:r w:rsidRPr="005E569F">
      <w:rPr>
        <w:sz w:val="22"/>
        <w:szCs w:val="22"/>
      </w:rPr>
      <w:t>TM</w:t>
    </w:r>
    <w:r>
      <w:rPr>
        <w:sz w:val="22"/>
        <w:szCs w:val="22"/>
      </w:rPr>
      <w:t>Anot</w:t>
    </w:r>
    <w:r w:rsidRPr="005E569F">
      <w:rPr>
        <w:sz w:val="22"/>
        <w:szCs w:val="22"/>
      </w:rPr>
      <w:t>_</w:t>
    </w:r>
    <w:r w:rsidR="00996F1B">
      <w:rPr>
        <w:sz w:val="22"/>
        <w:szCs w:val="22"/>
      </w:rPr>
      <w:t>31</w:t>
    </w:r>
    <w:r w:rsidR="00834CA3">
      <w:rPr>
        <w:sz w:val="22"/>
        <w:szCs w:val="22"/>
      </w:rPr>
      <w:t>0812</w:t>
    </w:r>
    <w:r w:rsidRPr="005E569F">
      <w:rPr>
        <w:sz w:val="22"/>
        <w:szCs w:val="22"/>
      </w:rPr>
      <w:t>_</w:t>
    </w:r>
    <w:r>
      <w:rPr>
        <w:sz w:val="22"/>
        <w:szCs w:val="22"/>
      </w:rPr>
      <w:t>NIZG</w:t>
    </w:r>
    <w:r w:rsidR="00CF25E9">
      <w:rPr>
        <w:sz w:val="22"/>
        <w:szCs w:val="22"/>
      </w:rPr>
      <w:t>_561</w:t>
    </w:r>
    <w:r>
      <w:rPr>
        <w:sz w:val="22"/>
        <w:szCs w:val="22"/>
      </w:rPr>
      <w:t>; Likumprojekta Grozījumi</w:t>
    </w:r>
    <w:r w:rsidRPr="005E569F">
      <w:rPr>
        <w:sz w:val="22"/>
        <w:szCs w:val="22"/>
      </w:rPr>
      <w:t xml:space="preserve"> </w:t>
    </w:r>
    <w:r>
      <w:rPr>
        <w:sz w:val="22"/>
        <w:szCs w:val="22"/>
      </w:rPr>
      <w:t>likumā „Par nekustamā īpašuma ierakstīšanu zemesgrāmatā</w:t>
    </w:r>
    <w:r w:rsidRPr="005E569F">
      <w:rPr>
        <w:sz w:val="22"/>
        <w:szCs w:val="22"/>
      </w:rPr>
      <w:t xml:space="preserve">” sākotnējās ietekmes novērtējuma </w:t>
    </w:r>
    <w:smartTag w:uri="schemas-tilde-lv/tildestengine" w:element="veidnes">
      <w:smartTagPr>
        <w:attr w:name="text" w:val="ziņojums"/>
        <w:attr w:name="baseform" w:val="ziņojums"/>
        <w:attr w:name="id" w:val="-1"/>
      </w:smartTagPr>
      <w:r w:rsidRPr="005E569F">
        <w:rPr>
          <w:sz w:val="22"/>
          <w:szCs w:val="22"/>
        </w:rPr>
        <w:t>ziņojums</w:t>
      </w:r>
    </w:smartTag>
    <w:r w:rsidRPr="005E569F">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8D" w:rsidRDefault="0045298D" w:rsidP="00B45581">
      <w:r>
        <w:separator/>
      </w:r>
    </w:p>
  </w:footnote>
  <w:footnote w:type="continuationSeparator" w:id="0">
    <w:p w:rsidR="0045298D" w:rsidRDefault="0045298D" w:rsidP="00B45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8D" w:rsidRDefault="00E757C9">
    <w:pPr>
      <w:pStyle w:val="Header"/>
      <w:framePr w:wrap="around" w:vAnchor="text" w:hAnchor="margin" w:xAlign="center" w:y="1"/>
      <w:rPr>
        <w:rStyle w:val="PageNumber"/>
      </w:rPr>
    </w:pPr>
    <w:r>
      <w:rPr>
        <w:rStyle w:val="PageNumber"/>
      </w:rPr>
      <w:fldChar w:fldCharType="begin"/>
    </w:r>
    <w:r w:rsidR="0045298D">
      <w:rPr>
        <w:rStyle w:val="PageNumber"/>
      </w:rPr>
      <w:instrText xml:space="preserve">PAGE  </w:instrText>
    </w:r>
    <w:r>
      <w:rPr>
        <w:rStyle w:val="PageNumber"/>
      </w:rPr>
      <w:fldChar w:fldCharType="end"/>
    </w:r>
  </w:p>
  <w:p w:rsidR="0045298D" w:rsidRDefault="00452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8D" w:rsidRDefault="00E757C9">
    <w:pPr>
      <w:pStyle w:val="Header"/>
      <w:framePr w:wrap="around" w:vAnchor="text" w:hAnchor="margin" w:xAlign="center" w:y="1"/>
      <w:rPr>
        <w:rStyle w:val="PageNumber"/>
      </w:rPr>
    </w:pPr>
    <w:r>
      <w:rPr>
        <w:rStyle w:val="PageNumber"/>
      </w:rPr>
      <w:fldChar w:fldCharType="begin"/>
    </w:r>
    <w:r w:rsidR="0045298D">
      <w:rPr>
        <w:rStyle w:val="PageNumber"/>
      </w:rPr>
      <w:instrText xml:space="preserve">PAGE  </w:instrText>
    </w:r>
    <w:r>
      <w:rPr>
        <w:rStyle w:val="PageNumber"/>
      </w:rPr>
      <w:fldChar w:fldCharType="separate"/>
    </w:r>
    <w:r w:rsidR="00C722F0">
      <w:rPr>
        <w:rStyle w:val="PageNumber"/>
        <w:noProof/>
      </w:rPr>
      <w:t>2</w:t>
    </w:r>
    <w:r>
      <w:rPr>
        <w:rStyle w:val="PageNumber"/>
      </w:rPr>
      <w:fldChar w:fldCharType="end"/>
    </w:r>
  </w:p>
  <w:p w:rsidR="0045298D" w:rsidRDefault="00452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22" w:rsidRDefault="00B62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FFF"/>
    <w:multiLevelType w:val="multilevel"/>
    <w:tmpl w:val="C88E8D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84B5260"/>
    <w:multiLevelType w:val="hybridMultilevel"/>
    <w:tmpl w:val="3F88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8CF20F6"/>
    <w:multiLevelType w:val="hybridMultilevel"/>
    <w:tmpl w:val="1AD4A5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727A77F7"/>
    <w:multiLevelType w:val="hybridMultilevel"/>
    <w:tmpl w:val="7108C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3F64"/>
    <w:rsid w:val="00005730"/>
    <w:rsid w:val="0001314A"/>
    <w:rsid w:val="00014A42"/>
    <w:rsid w:val="00020C78"/>
    <w:rsid w:val="000222D7"/>
    <w:rsid w:val="00026282"/>
    <w:rsid w:val="0002779B"/>
    <w:rsid w:val="00032430"/>
    <w:rsid w:val="00032C53"/>
    <w:rsid w:val="000523EA"/>
    <w:rsid w:val="000601AE"/>
    <w:rsid w:val="0006258B"/>
    <w:rsid w:val="000716DF"/>
    <w:rsid w:val="0008738F"/>
    <w:rsid w:val="0009032F"/>
    <w:rsid w:val="000919C3"/>
    <w:rsid w:val="000A56F4"/>
    <w:rsid w:val="000A5BAD"/>
    <w:rsid w:val="000B78A3"/>
    <w:rsid w:val="000C0979"/>
    <w:rsid w:val="000C6FA0"/>
    <w:rsid w:val="000E5AB2"/>
    <w:rsid w:val="000E5B07"/>
    <w:rsid w:val="000F0D79"/>
    <w:rsid w:val="000F32E2"/>
    <w:rsid w:val="000F4F1F"/>
    <w:rsid w:val="00106228"/>
    <w:rsid w:val="00113DA7"/>
    <w:rsid w:val="00114C95"/>
    <w:rsid w:val="00116AF9"/>
    <w:rsid w:val="001250F2"/>
    <w:rsid w:val="001344F8"/>
    <w:rsid w:val="001363AD"/>
    <w:rsid w:val="001447AF"/>
    <w:rsid w:val="00146123"/>
    <w:rsid w:val="00163559"/>
    <w:rsid w:val="00165DE6"/>
    <w:rsid w:val="0017017C"/>
    <w:rsid w:val="0018249F"/>
    <w:rsid w:val="00182791"/>
    <w:rsid w:val="00183B1E"/>
    <w:rsid w:val="00190C3A"/>
    <w:rsid w:val="001A4C6B"/>
    <w:rsid w:val="001C653B"/>
    <w:rsid w:val="001D3F81"/>
    <w:rsid w:val="001D58A8"/>
    <w:rsid w:val="001D6215"/>
    <w:rsid w:val="001E4D66"/>
    <w:rsid w:val="001E6780"/>
    <w:rsid w:val="001F4018"/>
    <w:rsid w:val="001F549E"/>
    <w:rsid w:val="001F6CDC"/>
    <w:rsid w:val="00202078"/>
    <w:rsid w:val="00202E2F"/>
    <w:rsid w:val="00202FD8"/>
    <w:rsid w:val="0020368F"/>
    <w:rsid w:val="00205AAF"/>
    <w:rsid w:val="0022273C"/>
    <w:rsid w:val="00231D57"/>
    <w:rsid w:val="00232249"/>
    <w:rsid w:val="002368C3"/>
    <w:rsid w:val="00236AB9"/>
    <w:rsid w:val="002405FA"/>
    <w:rsid w:val="00244167"/>
    <w:rsid w:val="00246250"/>
    <w:rsid w:val="0025479F"/>
    <w:rsid w:val="0026448A"/>
    <w:rsid w:val="00271DC5"/>
    <w:rsid w:val="002743F8"/>
    <w:rsid w:val="00274BD2"/>
    <w:rsid w:val="00280A45"/>
    <w:rsid w:val="00284934"/>
    <w:rsid w:val="00290762"/>
    <w:rsid w:val="00292603"/>
    <w:rsid w:val="002A7E7F"/>
    <w:rsid w:val="002C3F51"/>
    <w:rsid w:val="002C51EE"/>
    <w:rsid w:val="002C5F02"/>
    <w:rsid w:val="002E6455"/>
    <w:rsid w:val="002E66FF"/>
    <w:rsid w:val="002E70FE"/>
    <w:rsid w:val="002F142C"/>
    <w:rsid w:val="003067C1"/>
    <w:rsid w:val="003068FA"/>
    <w:rsid w:val="00311A66"/>
    <w:rsid w:val="00317748"/>
    <w:rsid w:val="00317C88"/>
    <w:rsid w:val="0032077E"/>
    <w:rsid w:val="00321D20"/>
    <w:rsid w:val="003307DE"/>
    <w:rsid w:val="00334755"/>
    <w:rsid w:val="00334BF6"/>
    <w:rsid w:val="0033526E"/>
    <w:rsid w:val="00354424"/>
    <w:rsid w:val="00366179"/>
    <w:rsid w:val="00370A6F"/>
    <w:rsid w:val="00371D0B"/>
    <w:rsid w:val="0037499A"/>
    <w:rsid w:val="0037666E"/>
    <w:rsid w:val="0039153B"/>
    <w:rsid w:val="003937E6"/>
    <w:rsid w:val="003A6F1A"/>
    <w:rsid w:val="003A7A91"/>
    <w:rsid w:val="003B1AC5"/>
    <w:rsid w:val="003B3EA4"/>
    <w:rsid w:val="003C02D9"/>
    <w:rsid w:val="003D0495"/>
    <w:rsid w:val="003D7469"/>
    <w:rsid w:val="003E4D64"/>
    <w:rsid w:val="003E5ABA"/>
    <w:rsid w:val="003F5B93"/>
    <w:rsid w:val="00403082"/>
    <w:rsid w:val="00404E52"/>
    <w:rsid w:val="00405422"/>
    <w:rsid w:val="00412823"/>
    <w:rsid w:val="0041723E"/>
    <w:rsid w:val="00421D1F"/>
    <w:rsid w:val="00423E4B"/>
    <w:rsid w:val="004256B0"/>
    <w:rsid w:val="004421B3"/>
    <w:rsid w:val="00450C51"/>
    <w:rsid w:val="0045298D"/>
    <w:rsid w:val="00453EBF"/>
    <w:rsid w:val="00471669"/>
    <w:rsid w:val="0047346F"/>
    <w:rsid w:val="004762AE"/>
    <w:rsid w:val="004905F9"/>
    <w:rsid w:val="004A5374"/>
    <w:rsid w:val="004B7B6F"/>
    <w:rsid w:val="004C24CB"/>
    <w:rsid w:val="004E79C6"/>
    <w:rsid w:val="004F76EE"/>
    <w:rsid w:val="00510820"/>
    <w:rsid w:val="00526444"/>
    <w:rsid w:val="00535BFA"/>
    <w:rsid w:val="005465C6"/>
    <w:rsid w:val="005579D4"/>
    <w:rsid w:val="00557A62"/>
    <w:rsid w:val="00560878"/>
    <w:rsid w:val="00563B97"/>
    <w:rsid w:val="00564091"/>
    <w:rsid w:val="0056598C"/>
    <w:rsid w:val="005759C0"/>
    <w:rsid w:val="00593383"/>
    <w:rsid w:val="00596F28"/>
    <w:rsid w:val="005A1589"/>
    <w:rsid w:val="005A61EE"/>
    <w:rsid w:val="005C21E4"/>
    <w:rsid w:val="005C221C"/>
    <w:rsid w:val="005D1A9B"/>
    <w:rsid w:val="005D23AB"/>
    <w:rsid w:val="005D49DE"/>
    <w:rsid w:val="005D4CBD"/>
    <w:rsid w:val="005D617A"/>
    <w:rsid w:val="005E341B"/>
    <w:rsid w:val="005E604E"/>
    <w:rsid w:val="005F7E2E"/>
    <w:rsid w:val="006058F2"/>
    <w:rsid w:val="0061138A"/>
    <w:rsid w:val="00616907"/>
    <w:rsid w:val="00617A33"/>
    <w:rsid w:val="00620B92"/>
    <w:rsid w:val="00627422"/>
    <w:rsid w:val="006278E2"/>
    <w:rsid w:val="00632C8F"/>
    <w:rsid w:val="006412B0"/>
    <w:rsid w:val="006473AC"/>
    <w:rsid w:val="00663971"/>
    <w:rsid w:val="00664C9F"/>
    <w:rsid w:val="006748AB"/>
    <w:rsid w:val="0067596B"/>
    <w:rsid w:val="00685CDD"/>
    <w:rsid w:val="00686D31"/>
    <w:rsid w:val="00690288"/>
    <w:rsid w:val="00690DA6"/>
    <w:rsid w:val="006913ED"/>
    <w:rsid w:val="006A1A22"/>
    <w:rsid w:val="006A3EA3"/>
    <w:rsid w:val="006A6BAD"/>
    <w:rsid w:val="006A7F48"/>
    <w:rsid w:val="006D0297"/>
    <w:rsid w:val="006D3E98"/>
    <w:rsid w:val="006D7DD2"/>
    <w:rsid w:val="00711DC9"/>
    <w:rsid w:val="0071295B"/>
    <w:rsid w:val="007247EC"/>
    <w:rsid w:val="00731DE0"/>
    <w:rsid w:val="00732299"/>
    <w:rsid w:val="00735D96"/>
    <w:rsid w:val="0074389E"/>
    <w:rsid w:val="007451A8"/>
    <w:rsid w:val="007466E2"/>
    <w:rsid w:val="007601BC"/>
    <w:rsid w:val="00761262"/>
    <w:rsid w:val="00784C70"/>
    <w:rsid w:val="00787A00"/>
    <w:rsid w:val="00794495"/>
    <w:rsid w:val="0079497C"/>
    <w:rsid w:val="007A08E7"/>
    <w:rsid w:val="007B12DD"/>
    <w:rsid w:val="007B2E2A"/>
    <w:rsid w:val="007B4EB8"/>
    <w:rsid w:val="007C3176"/>
    <w:rsid w:val="007C7A25"/>
    <w:rsid w:val="007D0371"/>
    <w:rsid w:val="007D3273"/>
    <w:rsid w:val="007D37C8"/>
    <w:rsid w:val="007E462B"/>
    <w:rsid w:val="007E74A0"/>
    <w:rsid w:val="00800EA2"/>
    <w:rsid w:val="00807CE9"/>
    <w:rsid w:val="008148A7"/>
    <w:rsid w:val="008324BC"/>
    <w:rsid w:val="00834CA3"/>
    <w:rsid w:val="008372C6"/>
    <w:rsid w:val="008443F7"/>
    <w:rsid w:val="00844E64"/>
    <w:rsid w:val="00850BE3"/>
    <w:rsid w:val="00871A33"/>
    <w:rsid w:val="008813FA"/>
    <w:rsid w:val="00881F7C"/>
    <w:rsid w:val="00884039"/>
    <w:rsid w:val="008843EE"/>
    <w:rsid w:val="008859EE"/>
    <w:rsid w:val="008935BF"/>
    <w:rsid w:val="008972EB"/>
    <w:rsid w:val="008A2AE5"/>
    <w:rsid w:val="008A4B0B"/>
    <w:rsid w:val="008A63A4"/>
    <w:rsid w:val="008B1B4B"/>
    <w:rsid w:val="008B2C1E"/>
    <w:rsid w:val="008B35E7"/>
    <w:rsid w:val="008C1BC7"/>
    <w:rsid w:val="008C3771"/>
    <w:rsid w:val="008D3726"/>
    <w:rsid w:val="008D45B0"/>
    <w:rsid w:val="008D7E2C"/>
    <w:rsid w:val="008E2379"/>
    <w:rsid w:val="008E306F"/>
    <w:rsid w:val="008E6C3F"/>
    <w:rsid w:val="008E6CF5"/>
    <w:rsid w:val="008E7556"/>
    <w:rsid w:val="008E7F1B"/>
    <w:rsid w:val="008F2828"/>
    <w:rsid w:val="009022E4"/>
    <w:rsid w:val="009109EE"/>
    <w:rsid w:val="00910D04"/>
    <w:rsid w:val="009136E7"/>
    <w:rsid w:val="00913FBC"/>
    <w:rsid w:val="009233A9"/>
    <w:rsid w:val="00925B59"/>
    <w:rsid w:val="00930B4C"/>
    <w:rsid w:val="0093169A"/>
    <w:rsid w:val="00937226"/>
    <w:rsid w:val="0093743E"/>
    <w:rsid w:val="0095702A"/>
    <w:rsid w:val="00962917"/>
    <w:rsid w:val="00962B27"/>
    <w:rsid w:val="00963A6A"/>
    <w:rsid w:val="00965882"/>
    <w:rsid w:val="009662C0"/>
    <w:rsid w:val="00970C38"/>
    <w:rsid w:val="00977C14"/>
    <w:rsid w:val="0099288A"/>
    <w:rsid w:val="009954EF"/>
    <w:rsid w:val="00996F1B"/>
    <w:rsid w:val="009A6249"/>
    <w:rsid w:val="009B02A0"/>
    <w:rsid w:val="009C53E1"/>
    <w:rsid w:val="009E36D8"/>
    <w:rsid w:val="009E594F"/>
    <w:rsid w:val="009E75DB"/>
    <w:rsid w:val="009E7DBE"/>
    <w:rsid w:val="009F5423"/>
    <w:rsid w:val="00A01BEC"/>
    <w:rsid w:val="00A13DDC"/>
    <w:rsid w:val="00A23BF9"/>
    <w:rsid w:val="00A3200F"/>
    <w:rsid w:val="00A3301C"/>
    <w:rsid w:val="00A342D3"/>
    <w:rsid w:val="00A41CCC"/>
    <w:rsid w:val="00A43C47"/>
    <w:rsid w:val="00A478F0"/>
    <w:rsid w:val="00A50534"/>
    <w:rsid w:val="00A64159"/>
    <w:rsid w:val="00A66C5F"/>
    <w:rsid w:val="00A866DE"/>
    <w:rsid w:val="00A8700F"/>
    <w:rsid w:val="00A92793"/>
    <w:rsid w:val="00A94F07"/>
    <w:rsid w:val="00AA3932"/>
    <w:rsid w:val="00AB5E9D"/>
    <w:rsid w:val="00AC0102"/>
    <w:rsid w:val="00AC109B"/>
    <w:rsid w:val="00AC176F"/>
    <w:rsid w:val="00AC5F0A"/>
    <w:rsid w:val="00AD5A36"/>
    <w:rsid w:val="00AE30FA"/>
    <w:rsid w:val="00AE4690"/>
    <w:rsid w:val="00AF2A28"/>
    <w:rsid w:val="00AF54B6"/>
    <w:rsid w:val="00AF569B"/>
    <w:rsid w:val="00AF6399"/>
    <w:rsid w:val="00B02BC9"/>
    <w:rsid w:val="00B1293B"/>
    <w:rsid w:val="00B24B81"/>
    <w:rsid w:val="00B3356C"/>
    <w:rsid w:val="00B37387"/>
    <w:rsid w:val="00B41C18"/>
    <w:rsid w:val="00B44796"/>
    <w:rsid w:val="00B45581"/>
    <w:rsid w:val="00B5070A"/>
    <w:rsid w:val="00B52BCE"/>
    <w:rsid w:val="00B547B6"/>
    <w:rsid w:val="00B56CE6"/>
    <w:rsid w:val="00B62A22"/>
    <w:rsid w:val="00B90401"/>
    <w:rsid w:val="00BA3F64"/>
    <w:rsid w:val="00BB320E"/>
    <w:rsid w:val="00BB6381"/>
    <w:rsid w:val="00BC771D"/>
    <w:rsid w:val="00BE3A8A"/>
    <w:rsid w:val="00BF012E"/>
    <w:rsid w:val="00BF2341"/>
    <w:rsid w:val="00BF4E5E"/>
    <w:rsid w:val="00BF55E7"/>
    <w:rsid w:val="00C000A6"/>
    <w:rsid w:val="00C03AF0"/>
    <w:rsid w:val="00C131B8"/>
    <w:rsid w:val="00C16249"/>
    <w:rsid w:val="00C3439A"/>
    <w:rsid w:val="00C35BDA"/>
    <w:rsid w:val="00C37AF4"/>
    <w:rsid w:val="00C40B43"/>
    <w:rsid w:val="00C412B0"/>
    <w:rsid w:val="00C45F45"/>
    <w:rsid w:val="00C52CC7"/>
    <w:rsid w:val="00C65670"/>
    <w:rsid w:val="00C672F8"/>
    <w:rsid w:val="00C722F0"/>
    <w:rsid w:val="00C83098"/>
    <w:rsid w:val="00C8485C"/>
    <w:rsid w:val="00C875A9"/>
    <w:rsid w:val="00C92561"/>
    <w:rsid w:val="00CA0E52"/>
    <w:rsid w:val="00CB3D3D"/>
    <w:rsid w:val="00CB7AA7"/>
    <w:rsid w:val="00CC20F2"/>
    <w:rsid w:val="00CC30BA"/>
    <w:rsid w:val="00CD6275"/>
    <w:rsid w:val="00CE0B62"/>
    <w:rsid w:val="00CF19B7"/>
    <w:rsid w:val="00CF25E9"/>
    <w:rsid w:val="00CF2E53"/>
    <w:rsid w:val="00D00E84"/>
    <w:rsid w:val="00D02279"/>
    <w:rsid w:val="00D02BE3"/>
    <w:rsid w:val="00D038BA"/>
    <w:rsid w:val="00D03D0B"/>
    <w:rsid w:val="00D065CA"/>
    <w:rsid w:val="00D071FD"/>
    <w:rsid w:val="00D1194D"/>
    <w:rsid w:val="00D2794A"/>
    <w:rsid w:val="00D307A6"/>
    <w:rsid w:val="00D30B0E"/>
    <w:rsid w:val="00D33C50"/>
    <w:rsid w:val="00D36D54"/>
    <w:rsid w:val="00D41EEA"/>
    <w:rsid w:val="00D5406C"/>
    <w:rsid w:val="00D626DF"/>
    <w:rsid w:val="00D630A1"/>
    <w:rsid w:val="00D64E5F"/>
    <w:rsid w:val="00D76069"/>
    <w:rsid w:val="00D80331"/>
    <w:rsid w:val="00D879C1"/>
    <w:rsid w:val="00D93B0B"/>
    <w:rsid w:val="00DA205A"/>
    <w:rsid w:val="00DA35DA"/>
    <w:rsid w:val="00DD0984"/>
    <w:rsid w:val="00DD14BD"/>
    <w:rsid w:val="00DE6A8F"/>
    <w:rsid w:val="00DF34AB"/>
    <w:rsid w:val="00DF6E16"/>
    <w:rsid w:val="00DF7B31"/>
    <w:rsid w:val="00E00C66"/>
    <w:rsid w:val="00E03B2C"/>
    <w:rsid w:val="00E12D6F"/>
    <w:rsid w:val="00E13176"/>
    <w:rsid w:val="00E14265"/>
    <w:rsid w:val="00E154F3"/>
    <w:rsid w:val="00E170D4"/>
    <w:rsid w:val="00E244DD"/>
    <w:rsid w:val="00E32C53"/>
    <w:rsid w:val="00E41375"/>
    <w:rsid w:val="00E450DA"/>
    <w:rsid w:val="00E4520C"/>
    <w:rsid w:val="00E464FC"/>
    <w:rsid w:val="00E51649"/>
    <w:rsid w:val="00E51EED"/>
    <w:rsid w:val="00E534CF"/>
    <w:rsid w:val="00E72C77"/>
    <w:rsid w:val="00E757C9"/>
    <w:rsid w:val="00E7710C"/>
    <w:rsid w:val="00E7759C"/>
    <w:rsid w:val="00E77DC4"/>
    <w:rsid w:val="00E801BF"/>
    <w:rsid w:val="00E82456"/>
    <w:rsid w:val="00E90600"/>
    <w:rsid w:val="00E92243"/>
    <w:rsid w:val="00E95592"/>
    <w:rsid w:val="00E9660B"/>
    <w:rsid w:val="00EA4B86"/>
    <w:rsid w:val="00EA6C1E"/>
    <w:rsid w:val="00EB1178"/>
    <w:rsid w:val="00EB4466"/>
    <w:rsid w:val="00EC2FB5"/>
    <w:rsid w:val="00EC3994"/>
    <w:rsid w:val="00EC3AEA"/>
    <w:rsid w:val="00ED0A55"/>
    <w:rsid w:val="00ED10B2"/>
    <w:rsid w:val="00ED2FEF"/>
    <w:rsid w:val="00ED413B"/>
    <w:rsid w:val="00EE365E"/>
    <w:rsid w:val="00EE4961"/>
    <w:rsid w:val="00EE5155"/>
    <w:rsid w:val="00F00096"/>
    <w:rsid w:val="00F039DA"/>
    <w:rsid w:val="00F07CF2"/>
    <w:rsid w:val="00F12C4E"/>
    <w:rsid w:val="00F45F76"/>
    <w:rsid w:val="00F579AB"/>
    <w:rsid w:val="00F63F88"/>
    <w:rsid w:val="00F66092"/>
    <w:rsid w:val="00F7724B"/>
    <w:rsid w:val="00F82878"/>
    <w:rsid w:val="00FA4A60"/>
    <w:rsid w:val="00FB3273"/>
    <w:rsid w:val="00FB7A12"/>
    <w:rsid w:val="00FC42FA"/>
    <w:rsid w:val="00FD00B6"/>
    <w:rsid w:val="00FD0771"/>
    <w:rsid w:val="00FE6889"/>
    <w:rsid w:val="00FE79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64"/>
    <w:rPr>
      <w:rFonts w:ascii="Times New Roman" w:eastAsia="Times New Roman" w:hAnsi="Times New Roman"/>
      <w:sz w:val="24"/>
      <w:szCs w:val="24"/>
    </w:rPr>
  </w:style>
  <w:style w:type="paragraph" w:styleId="Heading1">
    <w:name w:val="heading 1"/>
    <w:basedOn w:val="Normal"/>
    <w:next w:val="Normal"/>
    <w:link w:val="Heading1Char"/>
    <w:uiPriority w:val="9"/>
    <w:qFormat/>
    <w:rsid w:val="00E464FC"/>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qFormat/>
    <w:rsid w:val="00BA3F64"/>
    <w:pPr>
      <w:keepNext/>
      <w:jc w:val="center"/>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3F64"/>
    <w:rPr>
      <w:rFonts w:ascii="Times New Roman" w:eastAsia="Times New Roman" w:hAnsi="Times New Roman" w:cs="Times New Roman"/>
      <w:sz w:val="24"/>
      <w:szCs w:val="20"/>
    </w:rPr>
  </w:style>
  <w:style w:type="paragraph" w:customStyle="1" w:styleId="naisc">
    <w:name w:val="naisc"/>
    <w:basedOn w:val="Normal"/>
    <w:rsid w:val="00BA3F64"/>
    <w:pPr>
      <w:spacing w:before="100" w:beforeAutospacing="1" w:after="100" w:afterAutospacing="1"/>
      <w:jc w:val="center"/>
    </w:pPr>
    <w:rPr>
      <w:sz w:val="26"/>
      <w:szCs w:val="26"/>
      <w:lang w:eastAsia="en-US"/>
    </w:rPr>
  </w:style>
  <w:style w:type="paragraph" w:customStyle="1" w:styleId="naisf">
    <w:name w:val="naisf"/>
    <w:basedOn w:val="Normal"/>
    <w:rsid w:val="00BA3F64"/>
    <w:pPr>
      <w:spacing w:before="100" w:beforeAutospacing="1" w:after="100" w:afterAutospacing="1"/>
      <w:jc w:val="both"/>
    </w:pPr>
    <w:rPr>
      <w:szCs w:val="20"/>
      <w:lang w:eastAsia="en-US"/>
    </w:rPr>
  </w:style>
  <w:style w:type="paragraph" w:styleId="NormalWeb">
    <w:name w:val="Normal (Web)"/>
    <w:basedOn w:val="Normal"/>
    <w:uiPriority w:val="99"/>
    <w:rsid w:val="00BA3F64"/>
    <w:pPr>
      <w:spacing w:before="100" w:beforeAutospacing="1" w:after="100" w:afterAutospacing="1"/>
    </w:pPr>
    <w:rPr>
      <w:szCs w:val="20"/>
      <w:lang w:eastAsia="en-US"/>
    </w:rPr>
  </w:style>
  <w:style w:type="paragraph" w:styleId="BodyTextIndent2">
    <w:name w:val="Body Text Indent 2"/>
    <w:basedOn w:val="Normal"/>
    <w:link w:val="BodyTextIndent2Char"/>
    <w:semiHidden/>
    <w:rsid w:val="00BA3F64"/>
    <w:pPr>
      <w:ind w:firstLine="435"/>
      <w:jc w:val="both"/>
    </w:pPr>
    <w:rPr>
      <w:szCs w:val="20"/>
      <w:lang w:eastAsia="en-US"/>
    </w:rPr>
  </w:style>
  <w:style w:type="character" w:customStyle="1" w:styleId="BodyTextIndent2Char">
    <w:name w:val="Body Text Indent 2 Char"/>
    <w:basedOn w:val="DefaultParagraphFont"/>
    <w:link w:val="BodyTextIndent2"/>
    <w:semiHidden/>
    <w:rsid w:val="00BA3F64"/>
    <w:rPr>
      <w:rFonts w:ascii="Times New Roman" w:eastAsia="Times New Roman" w:hAnsi="Times New Roman" w:cs="Times New Roman"/>
      <w:sz w:val="24"/>
      <w:szCs w:val="20"/>
    </w:rPr>
  </w:style>
  <w:style w:type="paragraph" w:styleId="BodyText">
    <w:name w:val="Body Text"/>
    <w:basedOn w:val="Normal"/>
    <w:link w:val="BodyTextChar"/>
    <w:semiHidden/>
    <w:rsid w:val="00BA3F64"/>
    <w:rPr>
      <w:i/>
      <w:iCs/>
      <w:szCs w:val="20"/>
      <w:lang w:eastAsia="en-US"/>
    </w:rPr>
  </w:style>
  <w:style w:type="character" w:customStyle="1" w:styleId="BodyTextChar">
    <w:name w:val="Body Text Char"/>
    <w:basedOn w:val="DefaultParagraphFont"/>
    <w:link w:val="BodyText"/>
    <w:semiHidden/>
    <w:rsid w:val="00BA3F64"/>
    <w:rPr>
      <w:rFonts w:ascii="Times New Roman" w:eastAsia="Times New Roman" w:hAnsi="Times New Roman" w:cs="Times New Roman"/>
      <w:i/>
      <w:iCs/>
      <w:sz w:val="24"/>
      <w:szCs w:val="20"/>
    </w:rPr>
  </w:style>
  <w:style w:type="character" w:styleId="PageNumber">
    <w:name w:val="page number"/>
    <w:basedOn w:val="DefaultParagraphFont"/>
    <w:semiHidden/>
    <w:rsid w:val="00BA3F64"/>
  </w:style>
  <w:style w:type="paragraph" w:styleId="Footer">
    <w:name w:val="footer"/>
    <w:basedOn w:val="Normal"/>
    <w:link w:val="FooterChar"/>
    <w:uiPriority w:val="99"/>
    <w:rsid w:val="00BA3F64"/>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BA3F64"/>
    <w:rPr>
      <w:rFonts w:ascii="Times New Roman" w:eastAsia="Times New Roman" w:hAnsi="Times New Roman" w:cs="Times New Roman"/>
      <w:sz w:val="24"/>
      <w:szCs w:val="20"/>
    </w:rPr>
  </w:style>
  <w:style w:type="paragraph" w:styleId="Header">
    <w:name w:val="header"/>
    <w:basedOn w:val="Normal"/>
    <w:link w:val="HeaderChar"/>
    <w:semiHidden/>
    <w:rsid w:val="00BA3F64"/>
    <w:pPr>
      <w:tabs>
        <w:tab w:val="center" w:pos="4153"/>
        <w:tab w:val="right" w:pos="8306"/>
      </w:tabs>
    </w:pPr>
  </w:style>
  <w:style w:type="character" w:customStyle="1" w:styleId="HeaderChar">
    <w:name w:val="Header Char"/>
    <w:basedOn w:val="DefaultParagraphFont"/>
    <w:link w:val="Header"/>
    <w:semiHidden/>
    <w:rsid w:val="00BA3F64"/>
    <w:rPr>
      <w:rFonts w:ascii="Times New Roman" w:eastAsia="Times New Roman" w:hAnsi="Times New Roman" w:cs="Times New Roman"/>
      <w:sz w:val="24"/>
      <w:szCs w:val="24"/>
      <w:lang w:eastAsia="lv-LV"/>
    </w:rPr>
  </w:style>
  <w:style w:type="paragraph" w:customStyle="1" w:styleId="naiskr">
    <w:name w:val="naiskr"/>
    <w:basedOn w:val="Normal"/>
    <w:rsid w:val="00BA3F64"/>
    <w:pPr>
      <w:spacing w:before="75" w:after="75"/>
    </w:pPr>
  </w:style>
  <w:style w:type="paragraph" w:styleId="CommentText">
    <w:name w:val="annotation text"/>
    <w:basedOn w:val="Normal"/>
    <w:link w:val="CommentTextChar"/>
    <w:rsid w:val="001E6780"/>
    <w:rPr>
      <w:sz w:val="20"/>
      <w:szCs w:val="20"/>
    </w:rPr>
  </w:style>
  <w:style w:type="character" w:customStyle="1" w:styleId="CommentTextChar">
    <w:name w:val="Comment Text Char"/>
    <w:basedOn w:val="DefaultParagraphFont"/>
    <w:link w:val="CommentText"/>
    <w:uiPriority w:val="99"/>
    <w:rsid w:val="001E6780"/>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E6780"/>
    <w:pPr>
      <w:ind w:left="720"/>
    </w:pPr>
    <w:rPr>
      <w:rFonts w:ascii="Calibri" w:eastAsia="Calibri" w:hAnsi="Calibri"/>
      <w:sz w:val="22"/>
      <w:szCs w:val="22"/>
    </w:rPr>
  </w:style>
  <w:style w:type="character" w:styleId="Hyperlink">
    <w:name w:val="Hyperlink"/>
    <w:basedOn w:val="DefaultParagraphFont"/>
    <w:semiHidden/>
    <w:rsid w:val="002368C3"/>
    <w:rPr>
      <w:color w:val="0000FF"/>
      <w:u w:val="single"/>
    </w:rPr>
  </w:style>
  <w:style w:type="paragraph" w:customStyle="1" w:styleId="naisnod">
    <w:name w:val="naisnod"/>
    <w:basedOn w:val="Normal"/>
    <w:rsid w:val="002368C3"/>
    <w:pPr>
      <w:spacing w:before="150" w:after="150"/>
      <w:jc w:val="center"/>
    </w:pPr>
    <w:rPr>
      <w:b/>
      <w:bCs/>
    </w:rPr>
  </w:style>
  <w:style w:type="character" w:customStyle="1" w:styleId="Heading1Char">
    <w:name w:val="Heading 1 Char"/>
    <w:basedOn w:val="DefaultParagraphFont"/>
    <w:link w:val="Heading1"/>
    <w:uiPriority w:val="9"/>
    <w:rsid w:val="00E464FC"/>
    <w:rPr>
      <w:rFonts w:ascii="Cambria" w:eastAsia="Times New Roman" w:hAnsi="Cambria" w:cs="Times New Roman"/>
      <w:b/>
      <w:bCs/>
      <w:color w:val="365F91"/>
      <w:sz w:val="28"/>
      <w:szCs w:val="28"/>
      <w:lang w:eastAsia="lv-LV"/>
    </w:rPr>
  </w:style>
  <w:style w:type="character" w:styleId="CommentReference">
    <w:name w:val="annotation reference"/>
    <w:basedOn w:val="DefaultParagraphFont"/>
    <w:uiPriority w:val="99"/>
    <w:semiHidden/>
    <w:unhideWhenUsed/>
    <w:rsid w:val="00D33C50"/>
    <w:rPr>
      <w:sz w:val="16"/>
      <w:szCs w:val="16"/>
    </w:rPr>
  </w:style>
  <w:style w:type="paragraph" w:styleId="CommentSubject">
    <w:name w:val="annotation subject"/>
    <w:basedOn w:val="CommentText"/>
    <w:next w:val="CommentText"/>
    <w:link w:val="CommentSubjectChar"/>
    <w:uiPriority w:val="99"/>
    <w:semiHidden/>
    <w:unhideWhenUsed/>
    <w:rsid w:val="00D33C50"/>
    <w:rPr>
      <w:b/>
      <w:bCs/>
    </w:rPr>
  </w:style>
  <w:style w:type="character" w:customStyle="1" w:styleId="CommentSubjectChar">
    <w:name w:val="Comment Subject Char"/>
    <w:basedOn w:val="CommentTextChar"/>
    <w:link w:val="CommentSubject"/>
    <w:uiPriority w:val="99"/>
    <w:semiHidden/>
    <w:rsid w:val="00D33C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33C50"/>
    <w:rPr>
      <w:rFonts w:ascii="Tahoma" w:hAnsi="Tahoma" w:cs="Tahoma"/>
      <w:sz w:val="16"/>
      <w:szCs w:val="16"/>
    </w:rPr>
  </w:style>
  <w:style w:type="character" w:customStyle="1" w:styleId="BalloonTextChar">
    <w:name w:val="Balloon Text Char"/>
    <w:basedOn w:val="DefaultParagraphFont"/>
    <w:link w:val="BalloonText"/>
    <w:uiPriority w:val="99"/>
    <w:semiHidden/>
    <w:rsid w:val="00D33C50"/>
    <w:rPr>
      <w:rFonts w:ascii="Tahoma" w:eastAsia="Times New Roman" w:hAnsi="Tahoma" w:cs="Tahoma"/>
      <w:sz w:val="16"/>
      <w:szCs w:val="16"/>
      <w:lang w:eastAsia="lv-LV"/>
    </w:rPr>
  </w:style>
  <w:style w:type="paragraph" w:styleId="Title">
    <w:name w:val="Title"/>
    <w:basedOn w:val="Normal"/>
    <w:link w:val="TitleChar"/>
    <w:qFormat/>
    <w:rsid w:val="003B3EA4"/>
    <w:pPr>
      <w:jc w:val="center"/>
    </w:pPr>
    <w:rPr>
      <w:sz w:val="28"/>
      <w:szCs w:val="20"/>
      <w:lang w:eastAsia="en-US"/>
    </w:rPr>
  </w:style>
  <w:style w:type="character" w:customStyle="1" w:styleId="TitleChar">
    <w:name w:val="Title Char"/>
    <w:basedOn w:val="DefaultParagraphFont"/>
    <w:link w:val="Title"/>
    <w:rsid w:val="003B3EA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64"/>
    <w:rPr>
      <w:rFonts w:ascii="Times New Roman" w:eastAsia="Times New Roman" w:hAnsi="Times New Roman"/>
      <w:sz w:val="24"/>
      <w:szCs w:val="24"/>
    </w:rPr>
  </w:style>
  <w:style w:type="paragraph" w:styleId="Heading1">
    <w:name w:val="heading 1"/>
    <w:basedOn w:val="Normal"/>
    <w:next w:val="Normal"/>
    <w:link w:val="Heading1Char"/>
    <w:uiPriority w:val="9"/>
    <w:qFormat/>
    <w:rsid w:val="00E464FC"/>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qFormat/>
    <w:rsid w:val="00BA3F64"/>
    <w:pPr>
      <w:keepNext/>
      <w:jc w:val="center"/>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3F64"/>
    <w:rPr>
      <w:rFonts w:ascii="Times New Roman" w:eastAsia="Times New Roman" w:hAnsi="Times New Roman" w:cs="Times New Roman"/>
      <w:sz w:val="24"/>
      <w:szCs w:val="20"/>
    </w:rPr>
  </w:style>
  <w:style w:type="paragraph" w:customStyle="1" w:styleId="naisc">
    <w:name w:val="naisc"/>
    <w:basedOn w:val="Normal"/>
    <w:rsid w:val="00BA3F64"/>
    <w:pPr>
      <w:spacing w:before="100" w:beforeAutospacing="1" w:after="100" w:afterAutospacing="1"/>
      <w:jc w:val="center"/>
    </w:pPr>
    <w:rPr>
      <w:sz w:val="26"/>
      <w:szCs w:val="26"/>
      <w:lang w:eastAsia="en-US"/>
    </w:rPr>
  </w:style>
  <w:style w:type="paragraph" w:customStyle="1" w:styleId="naisf">
    <w:name w:val="naisf"/>
    <w:basedOn w:val="Normal"/>
    <w:rsid w:val="00BA3F64"/>
    <w:pPr>
      <w:spacing w:before="100" w:beforeAutospacing="1" w:after="100" w:afterAutospacing="1"/>
      <w:jc w:val="both"/>
    </w:pPr>
    <w:rPr>
      <w:szCs w:val="20"/>
      <w:lang w:eastAsia="en-US"/>
    </w:rPr>
  </w:style>
  <w:style w:type="paragraph" w:styleId="NormalWeb">
    <w:name w:val="Normal (Web)"/>
    <w:basedOn w:val="Normal"/>
    <w:uiPriority w:val="99"/>
    <w:rsid w:val="00BA3F64"/>
    <w:pPr>
      <w:spacing w:before="100" w:beforeAutospacing="1" w:after="100" w:afterAutospacing="1"/>
    </w:pPr>
    <w:rPr>
      <w:szCs w:val="20"/>
      <w:lang w:eastAsia="en-US"/>
    </w:rPr>
  </w:style>
  <w:style w:type="paragraph" w:styleId="BodyTextIndent2">
    <w:name w:val="Body Text Indent 2"/>
    <w:basedOn w:val="Normal"/>
    <w:link w:val="BodyTextIndent2Char"/>
    <w:semiHidden/>
    <w:rsid w:val="00BA3F64"/>
    <w:pPr>
      <w:ind w:firstLine="435"/>
      <w:jc w:val="both"/>
    </w:pPr>
    <w:rPr>
      <w:szCs w:val="20"/>
      <w:lang w:eastAsia="en-US"/>
    </w:rPr>
  </w:style>
  <w:style w:type="character" w:customStyle="1" w:styleId="BodyTextIndent2Char">
    <w:name w:val="Body Text Indent 2 Char"/>
    <w:basedOn w:val="DefaultParagraphFont"/>
    <w:link w:val="BodyTextIndent2"/>
    <w:semiHidden/>
    <w:rsid w:val="00BA3F64"/>
    <w:rPr>
      <w:rFonts w:ascii="Times New Roman" w:eastAsia="Times New Roman" w:hAnsi="Times New Roman" w:cs="Times New Roman"/>
      <w:sz w:val="24"/>
      <w:szCs w:val="20"/>
    </w:rPr>
  </w:style>
  <w:style w:type="paragraph" w:styleId="BodyText">
    <w:name w:val="Body Text"/>
    <w:basedOn w:val="Normal"/>
    <w:link w:val="BodyTextChar"/>
    <w:semiHidden/>
    <w:rsid w:val="00BA3F64"/>
    <w:rPr>
      <w:i/>
      <w:iCs/>
      <w:szCs w:val="20"/>
      <w:lang w:eastAsia="en-US"/>
    </w:rPr>
  </w:style>
  <w:style w:type="character" w:customStyle="1" w:styleId="BodyTextChar">
    <w:name w:val="Body Text Char"/>
    <w:basedOn w:val="DefaultParagraphFont"/>
    <w:link w:val="BodyText"/>
    <w:semiHidden/>
    <w:rsid w:val="00BA3F64"/>
    <w:rPr>
      <w:rFonts w:ascii="Times New Roman" w:eastAsia="Times New Roman" w:hAnsi="Times New Roman" w:cs="Times New Roman"/>
      <w:i/>
      <w:iCs/>
      <w:sz w:val="24"/>
      <w:szCs w:val="20"/>
    </w:rPr>
  </w:style>
  <w:style w:type="character" w:styleId="PageNumber">
    <w:name w:val="page number"/>
    <w:basedOn w:val="DefaultParagraphFont"/>
    <w:semiHidden/>
    <w:rsid w:val="00BA3F64"/>
  </w:style>
  <w:style w:type="paragraph" w:styleId="Footer">
    <w:name w:val="footer"/>
    <w:basedOn w:val="Normal"/>
    <w:link w:val="FooterChar"/>
    <w:uiPriority w:val="99"/>
    <w:rsid w:val="00BA3F64"/>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BA3F64"/>
    <w:rPr>
      <w:rFonts w:ascii="Times New Roman" w:eastAsia="Times New Roman" w:hAnsi="Times New Roman" w:cs="Times New Roman"/>
      <w:sz w:val="24"/>
      <w:szCs w:val="20"/>
    </w:rPr>
  </w:style>
  <w:style w:type="paragraph" w:styleId="Header">
    <w:name w:val="header"/>
    <w:basedOn w:val="Normal"/>
    <w:link w:val="HeaderChar"/>
    <w:semiHidden/>
    <w:rsid w:val="00BA3F64"/>
    <w:pPr>
      <w:tabs>
        <w:tab w:val="center" w:pos="4153"/>
        <w:tab w:val="right" w:pos="8306"/>
      </w:tabs>
    </w:pPr>
  </w:style>
  <w:style w:type="character" w:customStyle="1" w:styleId="HeaderChar">
    <w:name w:val="Header Char"/>
    <w:basedOn w:val="DefaultParagraphFont"/>
    <w:link w:val="Header"/>
    <w:semiHidden/>
    <w:rsid w:val="00BA3F64"/>
    <w:rPr>
      <w:rFonts w:ascii="Times New Roman" w:eastAsia="Times New Roman" w:hAnsi="Times New Roman" w:cs="Times New Roman"/>
      <w:sz w:val="24"/>
      <w:szCs w:val="24"/>
      <w:lang w:eastAsia="lv-LV"/>
    </w:rPr>
  </w:style>
  <w:style w:type="paragraph" w:customStyle="1" w:styleId="naiskr">
    <w:name w:val="naiskr"/>
    <w:basedOn w:val="Normal"/>
    <w:rsid w:val="00BA3F64"/>
    <w:pPr>
      <w:spacing w:before="75" w:after="75"/>
    </w:pPr>
  </w:style>
  <w:style w:type="paragraph" w:styleId="CommentText">
    <w:name w:val="annotation text"/>
    <w:basedOn w:val="Normal"/>
    <w:link w:val="CommentTextChar"/>
    <w:uiPriority w:val="99"/>
    <w:rsid w:val="001E6780"/>
    <w:rPr>
      <w:sz w:val="20"/>
      <w:szCs w:val="20"/>
    </w:rPr>
  </w:style>
  <w:style w:type="character" w:customStyle="1" w:styleId="CommentTextChar">
    <w:name w:val="Comment Text Char"/>
    <w:basedOn w:val="DefaultParagraphFont"/>
    <w:link w:val="CommentText"/>
    <w:uiPriority w:val="99"/>
    <w:rsid w:val="001E6780"/>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E6780"/>
    <w:pPr>
      <w:ind w:left="720"/>
    </w:pPr>
    <w:rPr>
      <w:rFonts w:ascii="Calibri" w:eastAsia="Calibri" w:hAnsi="Calibri"/>
      <w:sz w:val="22"/>
      <w:szCs w:val="22"/>
    </w:rPr>
  </w:style>
  <w:style w:type="character" w:styleId="Hyperlink">
    <w:name w:val="Hyperlink"/>
    <w:basedOn w:val="DefaultParagraphFont"/>
    <w:semiHidden/>
    <w:rsid w:val="002368C3"/>
    <w:rPr>
      <w:color w:val="0000FF"/>
      <w:u w:val="single"/>
    </w:rPr>
  </w:style>
  <w:style w:type="paragraph" w:customStyle="1" w:styleId="naisnod">
    <w:name w:val="naisnod"/>
    <w:basedOn w:val="Normal"/>
    <w:rsid w:val="002368C3"/>
    <w:pPr>
      <w:spacing w:before="150" w:after="150"/>
      <w:jc w:val="center"/>
    </w:pPr>
    <w:rPr>
      <w:b/>
      <w:bCs/>
    </w:rPr>
  </w:style>
  <w:style w:type="character" w:customStyle="1" w:styleId="Heading1Char">
    <w:name w:val="Heading 1 Char"/>
    <w:basedOn w:val="DefaultParagraphFont"/>
    <w:link w:val="Heading1"/>
    <w:uiPriority w:val="9"/>
    <w:rsid w:val="00E464FC"/>
    <w:rPr>
      <w:rFonts w:ascii="Cambria" w:eastAsia="Times New Roman" w:hAnsi="Cambria" w:cs="Times New Roman"/>
      <w:b/>
      <w:bCs/>
      <w:color w:val="365F91"/>
      <w:sz w:val="28"/>
      <w:szCs w:val="28"/>
      <w:lang w:eastAsia="lv-LV"/>
    </w:rPr>
  </w:style>
  <w:style w:type="character" w:styleId="CommentReference">
    <w:name w:val="annotation reference"/>
    <w:basedOn w:val="DefaultParagraphFont"/>
    <w:uiPriority w:val="99"/>
    <w:semiHidden/>
    <w:unhideWhenUsed/>
    <w:rsid w:val="00D33C50"/>
    <w:rPr>
      <w:sz w:val="16"/>
      <w:szCs w:val="16"/>
    </w:rPr>
  </w:style>
  <w:style w:type="paragraph" w:styleId="CommentSubject">
    <w:name w:val="annotation subject"/>
    <w:basedOn w:val="CommentText"/>
    <w:next w:val="CommentText"/>
    <w:link w:val="CommentSubjectChar"/>
    <w:uiPriority w:val="99"/>
    <w:semiHidden/>
    <w:unhideWhenUsed/>
    <w:rsid w:val="00D33C50"/>
    <w:rPr>
      <w:b/>
      <w:bCs/>
    </w:rPr>
  </w:style>
  <w:style w:type="character" w:customStyle="1" w:styleId="CommentSubjectChar">
    <w:name w:val="Comment Subject Char"/>
    <w:basedOn w:val="CommentTextChar"/>
    <w:link w:val="CommentSubject"/>
    <w:uiPriority w:val="99"/>
    <w:semiHidden/>
    <w:rsid w:val="00D33C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33C50"/>
    <w:rPr>
      <w:rFonts w:ascii="Tahoma" w:hAnsi="Tahoma" w:cs="Tahoma"/>
      <w:sz w:val="16"/>
      <w:szCs w:val="16"/>
    </w:rPr>
  </w:style>
  <w:style w:type="character" w:customStyle="1" w:styleId="BalloonTextChar">
    <w:name w:val="Balloon Text Char"/>
    <w:basedOn w:val="DefaultParagraphFont"/>
    <w:link w:val="BalloonText"/>
    <w:uiPriority w:val="99"/>
    <w:semiHidden/>
    <w:rsid w:val="00D33C50"/>
    <w:rPr>
      <w:rFonts w:ascii="Tahoma" w:eastAsia="Times New Roman" w:hAnsi="Tahoma" w:cs="Tahoma"/>
      <w:sz w:val="16"/>
      <w:szCs w:val="16"/>
      <w:lang w:eastAsia="lv-LV"/>
    </w:rPr>
  </w:style>
  <w:style w:type="paragraph" w:styleId="Title">
    <w:name w:val="Title"/>
    <w:basedOn w:val="Normal"/>
    <w:link w:val="TitleChar"/>
    <w:qFormat/>
    <w:rsid w:val="003B3EA4"/>
    <w:pPr>
      <w:jc w:val="center"/>
    </w:pPr>
    <w:rPr>
      <w:sz w:val="28"/>
      <w:szCs w:val="20"/>
      <w:lang w:eastAsia="en-US"/>
    </w:rPr>
  </w:style>
  <w:style w:type="character" w:customStyle="1" w:styleId="TitleChar">
    <w:name w:val="Title Char"/>
    <w:basedOn w:val="DefaultParagraphFont"/>
    <w:link w:val="Title"/>
    <w:rsid w:val="003B3EA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918599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98">
          <w:marLeft w:val="0"/>
          <w:marRight w:val="0"/>
          <w:marTop w:val="0"/>
          <w:marBottom w:val="0"/>
          <w:divBdr>
            <w:top w:val="none" w:sz="0" w:space="0" w:color="auto"/>
            <w:left w:val="none" w:sz="0" w:space="0" w:color="auto"/>
            <w:bottom w:val="none" w:sz="0" w:space="0" w:color="auto"/>
            <w:right w:val="none" w:sz="0" w:space="0" w:color="auto"/>
          </w:divBdr>
          <w:divsChild>
            <w:div w:id="1030841961">
              <w:marLeft w:val="0"/>
              <w:marRight w:val="0"/>
              <w:marTop w:val="0"/>
              <w:marBottom w:val="0"/>
              <w:divBdr>
                <w:top w:val="none" w:sz="0" w:space="0" w:color="auto"/>
                <w:left w:val="none" w:sz="0" w:space="0" w:color="auto"/>
                <w:bottom w:val="none" w:sz="0" w:space="0" w:color="auto"/>
                <w:right w:val="none" w:sz="0" w:space="0" w:color="auto"/>
              </w:divBdr>
              <w:divsChild>
                <w:div w:id="1759985076">
                  <w:marLeft w:val="0"/>
                  <w:marRight w:val="0"/>
                  <w:marTop w:val="0"/>
                  <w:marBottom w:val="0"/>
                  <w:divBdr>
                    <w:top w:val="none" w:sz="0" w:space="0" w:color="auto"/>
                    <w:left w:val="none" w:sz="0" w:space="0" w:color="auto"/>
                    <w:bottom w:val="none" w:sz="0" w:space="0" w:color="auto"/>
                    <w:right w:val="none" w:sz="0" w:space="0" w:color="auto"/>
                  </w:divBdr>
                  <w:divsChild>
                    <w:div w:id="92097377">
                      <w:marLeft w:val="0"/>
                      <w:marRight w:val="0"/>
                      <w:marTop w:val="0"/>
                      <w:marBottom w:val="0"/>
                      <w:divBdr>
                        <w:top w:val="none" w:sz="0" w:space="0" w:color="auto"/>
                        <w:left w:val="none" w:sz="0" w:space="0" w:color="auto"/>
                        <w:bottom w:val="none" w:sz="0" w:space="0" w:color="auto"/>
                        <w:right w:val="none" w:sz="0" w:space="0" w:color="auto"/>
                      </w:divBdr>
                      <w:divsChild>
                        <w:div w:id="467818939">
                          <w:marLeft w:val="0"/>
                          <w:marRight w:val="0"/>
                          <w:marTop w:val="0"/>
                          <w:marBottom w:val="0"/>
                          <w:divBdr>
                            <w:top w:val="none" w:sz="0" w:space="0" w:color="auto"/>
                            <w:left w:val="none" w:sz="0" w:space="0" w:color="auto"/>
                            <w:bottom w:val="none" w:sz="0" w:space="0" w:color="auto"/>
                            <w:right w:val="none" w:sz="0" w:space="0" w:color="auto"/>
                          </w:divBdr>
                          <w:divsChild>
                            <w:div w:id="1943370691">
                              <w:marLeft w:val="0"/>
                              <w:marRight w:val="0"/>
                              <w:marTop w:val="0"/>
                              <w:marBottom w:val="0"/>
                              <w:divBdr>
                                <w:top w:val="none" w:sz="0" w:space="0" w:color="auto"/>
                                <w:left w:val="none" w:sz="0" w:space="0" w:color="auto"/>
                                <w:bottom w:val="none" w:sz="0" w:space="0" w:color="auto"/>
                                <w:right w:val="none" w:sz="0" w:space="0" w:color="auto"/>
                              </w:divBdr>
                              <w:divsChild>
                                <w:div w:id="1478186894">
                                  <w:marLeft w:val="0"/>
                                  <w:marRight w:val="0"/>
                                  <w:marTop w:val="0"/>
                                  <w:marBottom w:val="0"/>
                                  <w:divBdr>
                                    <w:top w:val="none" w:sz="0" w:space="0" w:color="auto"/>
                                    <w:left w:val="none" w:sz="0" w:space="0" w:color="auto"/>
                                    <w:bottom w:val="none" w:sz="0" w:space="0" w:color="auto"/>
                                    <w:right w:val="none" w:sz="0" w:space="0" w:color="auto"/>
                                  </w:divBdr>
                                  <w:divsChild>
                                    <w:div w:id="27293133">
                                      <w:marLeft w:val="0"/>
                                      <w:marRight w:val="0"/>
                                      <w:marTop w:val="0"/>
                                      <w:marBottom w:val="0"/>
                                      <w:divBdr>
                                        <w:top w:val="none" w:sz="0" w:space="0" w:color="auto"/>
                                        <w:left w:val="none" w:sz="0" w:space="0" w:color="auto"/>
                                        <w:bottom w:val="none" w:sz="0" w:space="0" w:color="auto"/>
                                        <w:right w:val="none" w:sz="0" w:space="0" w:color="auto"/>
                                      </w:divBdr>
                                      <w:divsChild>
                                        <w:div w:id="427237108">
                                          <w:marLeft w:val="0"/>
                                          <w:marRight w:val="0"/>
                                          <w:marTop w:val="0"/>
                                          <w:marBottom w:val="0"/>
                                          <w:divBdr>
                                            <w:top w:val="none" w:sz="0" w:space="0" w:color="auto"/>
                                            <w:left w:val="none" w:sz="0" w:space="0" w:color="auto"/>
                                            <w:bottom w:val="none" w:sz="0" w:space="0" w:color="auto"/>
                                            <w:right w:val="none" w:sz="0" w:space="0" w:color="auto"/>
                                          </w:divBdr>
                                          <w:divsChild>
                                            <w:div w:id="1272086000">
                                              <w:marLeft w:val="0"/>
                                              <w:marRight w:val="0"/>
                                              <w:marTop w:val="0"/>
                                              <w:marBottom w:val="0"/>
                                              <w:divBdr>
                                                <w:top w:val="none" w:sz="0" w:space="0" w:color="auto"/>
                                                <w:left w:val="none" w:sz="0" w:space="0" w:color="auto"/>
                                                <w:bottom w:val="none" w:sz="0" w:space="0" w:color="auto"/>
                                                <w:right w:val="none" w:sz="0" w:space="0" w:color="auto"/>
                                              </w:divBdr>
                                              <w:divsChild>
                                                <w:div w:id="1973974920">
                                                  <w:marLeft w:val="0"/>
                                                  <w:marRight w:val="0"/>
                                                  <w:marTop w:val="0"/>
                                                  <w:marBottom w:val="0"/>
                                                  <w:divBdr>
                                                    <w:top w:val="none" w:sz="0" w:space="0" w:color="auto"/>
                                                    <w:left w:val="none" w:sz="0" w:space="0" w:color="auto"/>
                                                    <w:bottom w:val="none" w:sz="0" w:space="0" w:color="auto"/>
                                                    <w:right w:val="none" w:sz="0" w:space="0" w:color="auto"/>
                                                  </w:divBdr>
                                                  <w:divsChild>
                                                    <w:div w:id="1539515521">
                                                      <w:marLeft w:val="0"/>
                                                      <w:marRight w:val="0"/>
                                                      <w:marTop w:val="0"/>
                                                      <w:marBottom w:val="0"/>
                                                      <w:divBdr>
                                                        <w:top w:val="none" w:sz="0" w:space="0" w:color="auto"/>
                                                        <w:left w:val="none" w:sz="0" w:space="0" w:color="auto"/>
                                                        <w:bottom w:val="none" w:sz="0" w:space="0" w:color="auto"/>
                                                        <w:right w:val="none" w:sz="0" w:space="0" w:color="auto"/>
                                                      </w:divBdr>
                                                      <w:divsChild>
                                                        <w:div w:id="1310094840">
                                                          <w:marLeft w:val="0"/>
                                                          <w:marRight w:val="0"/>
                                                          <w:marTop w:val="0"/>
                                                          <w:marBottom w:val="0"/>
                                                          <w:divBdr>
                                                            <w:top w:val="none" w:sz="0" w:space="0" w:color="auto"/>
                                                            <w:left w:val="none" w:sz="0" w:space="0" w:color="auto"/>
                                                            <w:bottom w:val="none" w:sz="0" w:space="0" w:color="auto"/>
                                                            <w:right w:val="none" w:sz="0" w:space="0" w:color="auto"/>
                                                          </w:divBdr>
                                                          <w:divsChild>
                                                            <w:div w:id="991710983">
                                                              <w:marLeft w:val="0"/>
                                                              <w:marRight w:val="150"/>
                                                              <w:marTop w:val="0"/>
                                                              <w:marBottom w:val="150"/>
                                                              <w:divBdr>
                                                                <w:top w:val="none" w:sz="0" w:space="0" w:color="auto"/>
                                                                <w:left w:val="none" w:sz="0" w:space="0" w:color="auto"/>
                                                                <w:bottom w:val="none" w:sz="0" w:space="0" w:color="auto"/>
                                                                <w:right w:val="none" w:sz="0" w:space="0" w:color="auto"/>
                                                              </w:divBdr>
                                                              <w:divsChild>
                                                                <w:div w:id="405345900">
                                                                  <w:marLeft w:val="0"/>
                                                                  <w:marRight w:val="0"/>
                                                                  <w:marTop w:val="0"/>
                                                                  <w:marBottom w:val="0"/>
                                                                  <w:divBdr>
                                                                    <w:top w:val="none" w:sz="0" w:space="0" w:color="auto"/>
                                                                    <w:left w:val="none" w:sz="0" w:space="0" w:color="auto"/>
                                                                    <w:bottom w:val="none" w:sz="0" w:space="0" w:color="auto"/>
                                                                    <w:right w:val="none" w:sz="0" w:space="0" w:color="auto"/>
                                                                  </w:divBdr>
                                                                  <w:divsChild>
                                                                    <w:div w:id="993139621">
                                                                      <w:marLeft w:val="0"/>
                                                                      <w:marRight w:val="0"/>
                                                                      <w:marTop w:val="0"/>
                                                                      <w:marBottom w:val="0"/>
                                                                      <w:divBdr>
                                                                        <w:top w:val="none" w:sz="0" w:space="0" w:color="auto"/>
                                                                        <w:left w:val="none" w:sz="0" w:space="0" w:color="auto"/>
                                                                        <w:bottom w:val="none" w:sz="0" w:space="0" w:color="auto"/>
                                                                        <w:right w:val="none" w:sz="0" w:space="0" w:color="auto"/>
                                                                      </w:divBdr>
                                                                      <w:divsChild>
                                                                        <w:div w:id="134176609">
                                                                          <w:marLeft w:val="0"/>
                                                                          <w:marRight w:val="0"/>
                                                                          <w:marTop w:val="0"/>
                                                                          <w:marBottom w:val="0"/>
                                                                          <w:divBdr>
                                                                            <w:top w:val="none" w:sz="0" w:space="0" w:color="auto"/>
                                                                            <w:left w:val="none" w:sz="0" w:space="0" w:color="auto"/>
                                                                            <w:bottom w:val="none" w:sz="0" w:space="0" w:color="auto"/>
                                                                            <w:right w:val="none" w:sz="0" w:space="0" w:color="auto"/>
                                                                          </w:divBdr>
                                                                          <w:divsChild>
                                                                            <w:div w:id="1547989067">
                                                                              <w:marLeft w:val="0"/>
                                                                              <w:marRight w:val="0"/>
                                                                              <w:marTop w:val="0"/>
                                                                              <w:marBottom w:val="0"/>
                                                                              <w:divBdr>
                                                                                <w:top w:val="none" w:sz="0" w:space="0" w:color="auto"/>
                                                                                <w:left w:val="none" w:sz="0" w:space="0" w:color="auto"/>
                                                                                <w:bottom w:val="none" w:sz="0" w:space="0" w:color="auto"/>
                                                                                <w:right w:val="none" w:sz="0" w:space="0" w:color="auto"/>
                                                                              </w:divBdr>
                                                                              <w:divsChild>
                                                                                <w:div w:id="811217882">
                                                                                  <w:marLeft w:val="0"/>
                                                                                  <w:marRight w:val="0"/>
                                                                                  <w:marTop w:val="0"/>
                                                                                  <w:marBottom w:val="0"/>
                                                                                  <w:divBdr>
                                                                                    <w:top w:val="none" w:sz="0" w:space="0" w:color="auto"/>
                                                                                    <w:left w:val="none" w:sz="0" w:space="0" w:color="auto"/>
                                                                                    <w:bottom w:val="none" w:sz="0" w:space="0" w:color="auto"/>
                                                                                    <w:right w:val="none" w:sz="0" w:space="0" w:color="auto"/>
                                                                                  </w:divBdr>
                                                                                  <w:divsChild>
                                                                                    <w:div w:id="1112093507">
                                                                                      <w:marLeft w:val="0"/>
                                                                                      <w:marRight w:val="0"/>
                                                                                      <w:marTop w:val="0"/>
                                                                                      <w:marBottom w:val="0"/>
                                                                                      <w:divBdr>
                                                                                        <w:top w:val="none" w:sz="0" w:space="0" w:color="auto"/>
                                                                                        <w:left w:val="none" w:sz="0" w:space="0" w:color="auto"/>
                                                                                        <w:bottom w:val="none" w:sz="0" w:space="0" w:color="auto"/>
                                                                                        <w:right w:val="none" w:sz="0" w:space="0" w:color="auto"/>
                                                                                      </w:divBdr>
                                                                                    </w:div>
                                                                                    <w:div w:id="434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3566">
      <w:bodyDiv w:val="1"/>
      <w:marLeft w:val="0"/>
      <w:marRight w:val="0"/>
      <w:marTop w:val="0"/>
      <w:marBottom w:val="0"/>
      <w:divBdr>
        <w:top w:val="none" w:sz="0" w:space="0" w:color="auto"/>
        <w:left w:val="none" w:sz="0" w:space="0" w:color="auto"/>
        <w:bottom w:val="none" w:sz="0" w:space="0" w:color="auto"/>
        <w:right w:val="none" w:sz="0" w:space="0" w:color="auto"/>
      </w:divBdr>
      <w:divsChild>
        <w:div w:id="84108208">
          <w:marLeft w:val="0"/>
          <w:marRight w:val="0"/>
          <w:marTop w:val="0"/>
          <w:marBottom w:val="0"/>
          <w:divBdr>
            <w:top w:val="none" w:sz="0" w:space="0" w:color="auto"/>
            <w:left w:val="none" w:sz="0" w:space="0" w:color="auto"/>
            <w:bottom w:val="none" w:sz="0" w:space="0" w:color="auto"/>
            <w:right w:val="none" w:sz="0" w:space="0" w:color="auto"/>
          </w:divBdr>
          <w:divsChild>
            <w:div w:id="1291788327">
              <w:marLeft w:val="0"/>
              <w:marRight w:val="0"/>
              <w:marTop w:val="0"/>
              <w:marBottom w:val="0"/>
              <w:divBdr>
                <w:top w:val="none" w:sz="0" w:space="0" w:color="auto"/>
                <w:left w:val="none" w:sz="0" w:space="0" w:color="auto"/>
                <w:bottom w:val="none" w:sz="0" w:space="0" w:color="auto"/>
                <w:right w:val="none" w:sz="0" w:space="0" w:color="auto"/>
              </w:divBdr>
              <w:divsChild>
                <w:div w:id="1863352237">
                  <w:marLeft w:val="0"/>
                  <w:marRight w:val="0"/>
                  <w:marTop w:val="0"/>
                  <w:marBottom w:val="0"/>
                  <w:divBdr>
                    <w:top w:val="none" w:sz="0" w:space="0" w:color="auto"/>
                    <w:left w:val="none" w:sz="0" w:space="0" w:color="auto"/>
                    <w:bottom w:val="none" w:sz="0" w:space="0" w:color="auto"/>
                    <w:right w:val="none" w:sz="0" w:space="0" w:color="auto"/>
                  </w:divBdr>
                  <w:divsChild>
                    <w:div w:id="717634517">
                      <w:marLeft w:val="0"/>
                      <w:marRight w:val="0"/>
                      <w:marTop w:val="0"/>
                      <w:marBottom w:val="0"/>
                      <w:divBdr>
                        <w:top w:val="none" w:sz="0" w:space="0" w:color="auto"/>
                        <w:left w:val="none" w:sz="0" w:space="0" w:color="auto"/>
                        <w:bottom w:val="none" w:sz="0" w:space="0" w:color="auto"/>
                        <w:right w:val="none" w:sz="0" w:space="0" w:color="auto"/>
                      </w:divBdr>
                      <w:divsChild>
                        <w:div w:id="545607947">
                          <w:marLeft w:val="0"/>
                          <w:marRight w:val="0"/>
                          <w:marTop w:val="0"/>
                          <w:marBottom w:val="0"/>
                          <w:divBdr>
                            <w:top w:val="none" w:sz="0" w:space="0" w:color="auto"/>
                            <w:left w:val="none" w:sz="0" w:space="0" w:color="auto"/>
                            <w:bottom w:val="none" w:sz="0" w:space="0" w:color="auto"/>
                            <w:right w:val="none" w:sz="0" w:space="0" w:color="auto"/>
                          </w:divBdr>
                          <w:divsChild>
                            <w:div w:id="1155488952">
                              <w:marLeft w:val="0"/>
                              <w:marRight w:val="0"/>
                              <w:marTop w:val="0"/>
                              <w:marBottom w:val="0"/>
                              <w:divBdr>
                                <w:top w:val="none" w:sz="0" w:space="0" w:color="auto"/>
                                <w:left w:val="none" w:sz="0" w:space="0" w:color="auto"/>
                                <w:bottom w:val="none" w:sz="0" w:space="0" w:color="auto"/>
                                <w:right w:val="none" w:sz="0" w:space="0" w:color="auto"/>
                              </w:divBdr>
                              <w:divsChild>
                                <w:div w:id="1920170154">
                                  <w:marLeft w:val="0"/>
                                  <w:marRight w:val="0"/>
                                  <w:marTop w:val="0"/>
                                  <w:marBottom w:val="0"/>
                                  <w:divBdr>
                                    <w:top w:val="none" w:sz="0" w:space="0" w:color="auto"/>
                                    <w:left w:val="none" w:sz="0" w:space="0" w:color="auto"/>
                                    <w:bottom w:val="none" w:sz="0" w:space="0" w:color="auto"/>
                                    <w:right w:val="none" w:sz="0" w:space="0" w:color="auto"/>
                                  </w:divBdr>
                                  <w:divsChild>
                                    <w:div w:id="1771117636">
                                      <w:marLeft w:val="0"/>
                                      <w:marRight w:val="0"/>
                                      <w:marTop w:val="0"/>
                                      <w:marBottom w:val="0"/>
                                      <w:divBdr>
                                        <w:top w:val="none" w:sz="0" w:space="0" w:color="auto"/>
                                        <w:left w:val="none" w:sz="0" w:space="0" w:color="auto"/>
                                        <w:bottom w:val="none" w:sz="0" w:space="0" w:color="auto"/>
                                        <w:right w:val="none" w:sz="0" w:space="0" w:color="auto"/>
                                      </w:divBdr>
                                      <w:divsChild>
                                        <w:div w:id="1236627753">
                                          <w:marLeft w:val="0"/>
                                          <w:marRight w:val="0"/>
                                          <w:marTop w:val="0"/>
                                          <w:marBottom w:val="0"/>
                                          <w:divBdr>
                                            <w:top w:val="none" w:sz="0" w:space="0" w:color="auto"/>
                                            <w:left w:val="none" w:sz="0" w:space="0" w:color="auto"/>
                                            <w:bottom w:val="none" w:sz="0" w:space="0" w:color="auto"/>
                                            <w:right w:val="none" w:sz="0" w:space="0" w:color="auto"/>
                                          </w:divBdr>
                                          <w:divsChild>
                                            <w:div w:id="1522427599">
                                              <w:marLeft w:val="0"/>
                                              <w:marRight w:val="0"/>
                                              <w:marTop w:val="0"/>
                                              <w:marBottom w:val="0"/>
                                              <w:divBdr>
                                                <w:top w:val="none" w:sz="0" w:space="0" w:color="auto"/>
                                                <w:left w:val="none" w:sz="0" w:space="0" w:color="auto"/>
                                                <w:bottom w:val="none" w:sz="0" w:space="0" w:color="auto"/>
                                                <w:right w:val="none" w:sz="0" w:space="0" w:color="auto"/>
                                              </w:divBdr>
                                              <w:divsChild>
                                                <w:div w:id="803430389">
                                                  <w:marLeft w:val="0"/>
                                                  <w:marRight w:val="0"/>
                                                  <w:marTop w:val="0"/>
                                                  <w:marBottom w:val="0"/>
                                                  <w:divBdr>
                                                    <w:top w:val="none" w:sz="0" w:space="0" w:color="auto"/>
                                                    <w:left w:val="none" w:sz="0" w:space="0" w:color="auto"/>
                                                    <w:bottom w:val="none" w:sz="0" w:space="0" w:color="auto"/>
                                                    <w:right w:val="none" w:sz="0" w:space="0" w:color="auto"/>
                                                  </w:divBdr>
                                                  <w:divsChild>
                                                    <w:div w:id="883713583">
                                                      <w:marLeft w:val="0"/>
                                                      <w:marRight w:val="0"/>
                                                      <w:marTop w:val="0"/>
                                                      <w:marBottom w:val="0"/>
                                                      <w:divBdr>
                                                        <w:top w:val="none" w:sz="0" w:space="0" w:color="auto"/>
                                                        <w:left w:val="none" w:sz="0" w:space="0" w:color="auto"/>
                                                        <w:bottom w:val="none" w:sz="0" w:space="0" w:color="auto"/>
                                                        <w:right w:val="none" w:sz="0" w:space="0" w:color="auto"/>
                                                      </w:divBdr>
                                                      <w:divsChild>
                                                        <w:div w:id="37512821">
                                                          <w:marLeft w:val="0"/>
                                                          <w:marRight w:val="0"/>
                                                          <w:marTop w:val="0"/>
                                                          <w:marBottom w:val="0"/>
                                                          <w:divBdr>
                                                            <w:top w:val="none" w:sz="0" w:space="0" w:color="auto"/>
                                                            <w:left w:val="none" w:sz="0" w:space="0" w:color="auto"/>
                                                            <w:bottom w:val="none" w:sz="0" w:space="0" w:color="auto"/>
                                                            <w:right w:val="none" w:sz="0" w:space="0" w:color="auto"/>
                                                          </w:divBdr>
                                                          <w:divsChild>
                                                            <w:div w:id="526330266">
                                                              <w:marLeft w:val="0"/>
                                                              <w:marRight w:val="150"/>
                                                              <w:marTop w:val="0"/>
                                                              <w:marBottom w:val="150"/>
                                                              <w:divBdr>
                                                                <w:top w:val="none" w:sz="0" w:space="0" w:color="auto"/>
                                                                <w:left w:val="none" w:sz="0" w:space="0" w:color="auto"/>
                                                                <w:bottom w:val="none" w:sz="0" w:space="0" w:color="auto"/>
                                                                <w:right w:val="none" w:sz="0" w:space="0" w:color="auto"/>
                                                              </w:divBdr>
                                                              <w:divsChild>
                                                                <w:div w:id="1947926609">
                                                                  <w:marLeft w:val="0"/>
                                                                  <w:marRight w:val="0"/>
                                                                  <w:marTop w:val="0"/>
                                                                  <w:marBottom w:val="0"/>
                                                                  <w:divBdr>
                                                                    <w:top w:val="none" w:sz="0" w:space="0" w:color="auto"/>
                                                                    <w:left w:val="none" w:sz="0" w:space="0" w:color="auto"/>
                                                                    <w:bottom w:val="none" w:sz="0" w:space="0" w:color="auto"/>
                                                                    <w:right w:val="none" w:sz="0" w:space="0" w:color="auto"/>
                                                                  </w:divBdr>
                                                                  <w:divsChild>
                                                                    <w:div w:id="2017146880">
                                                                      <w:marLeft w:val="0"/>
                                                                      <w:marRight w:val="0"/>
                                                                      <w:marTop w:val="0"/>
                                                                      <w:marBottom w:val="0"/>
                                                                      <w:divBdr>
                                                                        <w:top w:val="none" w:sz="0" w:space="0" w:color="auto"/>
                                                                        <w:left w:val="none" w:sz="0" w:space="0" w:color="auto"/>
                                                                        <w:bottom w:val="none" w:sz="0" w:space="0" w:color="auto"/>
                                                                        <w:right w:val="none" w:sz="0" w:space="0" w:color="auto"/>
                                                                      </w:divBdr>
                                                                      <w:divsChild>
                                                                        <w:div w:id="704915225">
                                                                          <w:marLeft w:val="0"/>
                                                                          <w:marRight w:val="0"/>
                                                                          <w:marTop w:val="0"/>
                                                                          <w:marBottom w:val="0"/>
                                                                          <w:divBdr>
                                                                            <w:top w:val="none" w:sz="0" w:space="0" w:color="auto"/>
                                                                            <w:left w:val="none" w:sz="0" w:space="0" w:color="auto"/>
                                                                            <w:bottom w:val="none" w:sz="0" w:space="0" w:color="auto"/>
                                                                            <w:right w:val="none" w:sz="0" w:space="0" w:color="auto"/>
                                                                          </w:divBdr>
                                                                          <w:divsChild>
                                                                            <w:div w:id="563370809">
                                                                              <w:marLeft w:val="0"/>
                                                                              <w:marRight w:val="0"/>
                                                                              <w:marTop w:val="0"/>
                                                                              <w:marBottom w:val="0"/>
                                                                              <w:divBdr>
                                                                                <w:top w:val="none" w:sz="0" w:space="0" w:color="auto"/>
                                                                                <w:left w:val="none" w:sz="0" w:space="0" w:color="auto"/>
                                                                                <w:bottom w:val="none" w:sz="0" w:space="0" w:color="auto"/>
                                                                                <w:right w:val="none" w:sz="0" w:space="0" w:color="auto"/>
                                                                              </w:divBdr>
                                                                              <w:divsChild>
                                                                                <w:div w:id="2043283934">
                                                                                  <w:marLeft w:val="0"/>
                                                                                  <w:marRight w:val="0"/>
                                                                                  <w:marTop w:val="0"/>
                                                                                  <w:marBottom w:val="0"/>
                                                                                  <w:divBdr>
                                                                                    <w:top w:val="none" w:sz="0" w:space="0" w:color="auto"/>
                                                                                    <w:left w:val="none" w:sz="0" w:space="0" w:color="auto"/>
                                                                                    <w:bottom w:val="none" w:sz="0" w:space="0" w:color="auto"/>
                                                                                    <w:right w:val="none" w:sz="0" w:space="0" w:color="auto"/>
                                                                                  </w:divBdr>
                                                                                  <w:divsChild>
                                                                                    <w:div w:id="282079243">
                                                                                      <w:marLeft w:val="0"/>
                                                                                      <w:marRight w:val="0"/>
                                                                                      <w:marTop w:val="0"/>
                                                                                      <w:marBottom w:val="0"/>
                                                                                      <w:divBdr>
                                                                                        <w:top w:val="none" w:sz="0" w:space="0" w:color="auto"/>
                                                                                        <w:left w:val="none" w:sz="0" w:space="0" w:color="auto"/>
                                                                                        <w:bottom w:val="none" w:sz="0" w:space="0" w:color="auto"/>
                                                                                        <w:right w:val="none" w:sz="0" w:space="0" w:color="auto"/>
                                                                                      </w:divBdr>
                                                                                    </w:div>
                                                                                    <w:div w:id="7422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90339">
      <w:bodyDiv w:val="1"/>
      <w:marLeft w:val="0"/>
      <w:marRight w:val="0"/>
      <w:marTop w:val="0"/>
      <w:marBottom w:val="0"/>
      <w:divBdr>
        <w:top w:val="none" w:sz="0" w:space="0" w:color="auto"/>
        <w:left w:val="none" w:sz="0" w:space="0" w:color="auto"/>
        <w:bottom w:val="none" w:sz="0" w:space="0" w:color="auto"/>
        <w:right w:val="none" w:sz="0" w:space="0" w:color="auto"/>
      </w:divBdr>
    </w:div>
    <w:div w:id="16901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lv/documents/petijumi/PET_TM_KADZGR_2007_1-00.doc"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lv/mk/tap/?pid=402184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DCBCD-C2F9-4CBA-A960-47EDC18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14445</Words>
  <Characters>8234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Grozījumi likumā Par nekustamā īpašuma  ierakstīšanu zemesgrāmatā</vt:lpstr>
    </vt:vector>
  </TitlesOfParts>
  <Company>Tieslietu Ministrija</Company>
  <LinksUpToDate>false</LinksUpToDate>
  <CharactersWithSpaces>22634</CharactersWithSpaces>
  <SharedDoc>false</SharedDoc>
  <HLinks>
    <vt:vector size="12" baseType="variant">
      <vt:variant>
        <vt:i4>1310730</vt:i4>
      </vt:variant>
      <vt:variant>
        <vt:i4>3</vt:i4>
      </vt:variant>
      <vt:variant>
        <vt:i4>0</vt:i4>
      </vt:variant>
      <vt:variant>
        <vt:i4>5</vt:i4>
      </vt:variant>
      <vt:variant>
        <vt:lpwstr>http://www.mk.gov.lv/lv/mk/tap/?pid=40218439</vt:lpwstr>
      </vt:variant>
      <vt:variant>
        <vt:lpwstr/>
      </vt:variant>
      <vt:variant>
        <vt:i4>3145829</vt:i4>
      </vt:variant>
      <vt:variant>
        <vt:i4>0</vt:i4>
      </vt:variant>
      <vt:variant>
        <vt:i4>0</vt:i4>
      </vt:variant>
      <vt:variant>
        <vt:i4>5</vt:i4>
      </vt:variant>
      <vt:variant>
        <vt:lpwstr>http://www.tm.gov.lv/lv/documents/petijumi/PET_TM_KADZGR_2007_1-00.doc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ierakstīšanu zemesgrāmatā</dc:title>
  <dc:subject>Likumprojekta sākotnējās ietekmes novērtējuma ziņojums (anotācija)</dc:subject>
  <dc:creator>Tieslietu ministrija</dc:creator>
  <dc:description>Ingrida.Reizina@tm.gov.lv, 67046137</dc:description>
  <cp:lastModifiedBy>ir1601</cp:lastModifiedBy>
  <cp:revision>2</cp:revision>
  <dcterms:created xsi:type="dcterms:W3CDTF">2012-10-03T11:51:00Z</dcterms:created>
  <dcterms:modified xsi:type="dcterms:W3CDTF">2012-10-03T11:51:00Z</dcterms:modified>
</cp:coreProperties>
</file>