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A" w:rsidRDefault="00EF05BA" w:rsidP="00526AE4">
      <w:pPr>
        <w:pStyle w:val="Kjene"/>
        <w:ind w:left="439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1.pielikums</w:t>
      </w:r>
    </w:p>
    <w:p w:rsidR="00526AE4" w:rsidRPr="00E42E1B" w:rsidRDefault="005D65E2" w:rsidP="00EF05BA">
      <w:pPr>
        <w:pStyle w:val="Kjene"/>
        <w:ind w:left="4820"/>
        <w:jc w:val="right"/>
        <w:rPr>
          <w:sz w:val="20"/>
          <w:szCs w:val="20"/>
        </w:rPr>
      </w:pPr>
      <w:r w:rsidRPr="00E42E1B">
        <w:rPr>
          <w:sz w:val="20"/>
          <w:szCs w:val="20"/>
        </w:rPr>
        <w:t>Ministru kabineta rīkojuma projekta „Grozījumi Ministru kabineta 2013.gada 16.jūlija rīkojumā Nr.329 „Par finanšu līdzekļu piešķiršanu no valsts budžeta programmas „Līdzekļi neparedzētiem gadījumiem””</w:t>
      </w:r>
      <w:r w:rsidR="00526AE4" w:rsidRPr="00E42E1B">
        <w:rPr>
          <w:sz w:val="20"/>
          <w:szCs w:val="20"/>
        </w:rPr>
        <w:t xml:space="preserve"> sākotnējās ietekmes novērtējuma ziņojumam (anotācijai)</w:t>
      </w:r>
    </w:p>
    <w:p w:rsidR="00526AE4" w:rsidRDefault="00526AE4" w:rsidP="00526AE4"/>
    <w:p w:rsidR="000E3B73" w:rsidRDefault="006A31E2" w:rsidP="006A31E2">
      <w:pPr>
        <w:jc w:val="center"/>
        <w:rPr>
          <w:b/>
        </w:rPr>
      </w:pPr>
      <w:r w:rsidRPr="006A31E2">
        <w:rPr>
          <w:b/>
        </w:rPr>
        <w:t xml:space="preserve">JUMTU REMONTDARBU </w:t>
      </w:r>
      <w:r w:rsidR="00E42E1B">
        <w:rPr>
          <w:b/>
        </w:rPr>
        <w:t>IZMAKSAS</w:t>
      </w:r>
    </w:p>
    <w:p w:rsidR="006A31E2" w:rsidRDefault="006A31E2" w:rsidP="006A31E2">
      <w:pPr>
        <w:jc w:val="both"/>
        <w:rPr>
          <w:b/>
        </w:rPr>
      </w:pPr>
    </w:p>
    <w:p w:rsidR="006A31E2" w:rsidRDefault="006A31E2" w:rsidP="00284A0D">
      <w:pPr>
        <w:pStyle w:val="Sarakstarindkop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VALMIERAS RAJONA PROKURATŪRAS ĒKA</w:t>
      </w:r>
    </w:p>
    <w:p w:rsidR="00284A0D" w:rsidRDefault="00C5009C" w:rsidP="00284A0D">
      <w:pPr>
        <w:ind w:left="284"/>
        <w:jc w:val="both"/>
      </w:pPr>
      <w:r w:rsidRPr="00967D31">
        <w:rPr>
          <w:i/>
        </w:rPr>
        <w:t>Situācijas apraksts:</w:t>
      </w:r>
    </w:p>
    <w:p w:rsidR="0000595F" w:rsidRPr="000E14C2" w:rsidRDefault="00D43BE0" w:rsidP="00284A0D">
      <w:pPr>
        <w:ind w:left="284"/>
        <w:jc w:val="both"/>
      </w:pPr>
      <w:r>
        <w:t xml:space="preserve">Ēkai </w:t>
      </w:r>
      <w:r w:rsidR="00313B9F">
        <w:t xml:space="preserve">(būves kadastra apzīmējums 9601 001 2530 001) </w:t>
      </w:r>
      <w:r w:rsidRPr="00D43BE0">
        <w:t>Leona Paegles ielā 11, Valmierā</w:t>
      </w:r>
      <w:r>
        <w:t>, j</w:t>
      </w:r>
      <w:r w:rsidR="0000595F">
        <w:t>umta seguma konstrukcijas tehniskais stāvoklis ir neapmierinošs, tā nolietojums ir 70%, nekvalitatīvas jumta seguma lokšņu iebūves rezultātā jumta segumā izveidojušās spraugas, pa kurām bēniņu telpā iekļūst nokrišņu mitrums, nepieciešams veikt jumta remontdarbus.</w:t>
      </w:r>
    </w:p>
    <w:p w:rsidR="00284A0D" w:rsidRDefault="006A31E2" w:rsidP="00284A0D">
      <w:pPr>
        <w:ind w:left="284"/>
        <w:jc w:val="both"/>
        <w:rPr>
          <w:i/>
        </w:rPr>
      </w:pPr>
      <w:r w:rsidRPr="00967D31">
        <w:rPr>
          <w:i/>
        </w:rPr>
        <w:t>Veicamie darbi:</w:t>
      </w:r>
    </w:p>
    <w:p w:rsidR="006A31E2" w:rsidRDefault="006A31E2" w:rsidP="00284A0D">
      <w:pPr>
        <w:ind w:left="284"/>
        <w:jc w:val="both"/>
      </w:pPr>
      <w:r>
        <w:t xml:space="preserve">Valmieras rajona prokuratūras jumta remonts un </w:t>
      </w:r>
      <w:r w:rsidR="00313B9F">
        <w:t xml:space="preserve">bēniņu pārseguma </w:t>
      </w:r>
      <w:r>
        <w:t>siltināšana.</w:t>
      </w:r>
    </w:p>
    <w:p w:rsidR="00144DC5" w:rsidRDefault="00144DC5" w:rsidP="006A31E2">
      <w:pPr>
        <w:rPr>
          <w:b/>
        </w:rPr>
      </w:pPr>
    </w:p>
    <w:p w:rsidR="006A31E2" w:rsidRDefault="006A31E2" w:rsidP="00284A0D">
      <w:pPr>
        <w:pStyle w:val="Sarakstarindkop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OGRES RAJONA PROKURATŪRAS ĒKA</w:t>
      </w:r>
    </w:p>
    <w:p w:rsidR="00284A0D" w:rsidRDefault="000E14C2" w:rsidP="00284A0D">
      <w:pPr>
        <w:ind w:left="284"/>
        <w:jc w:val="both"/>
      </w:pPr>
      <w:r w:rsidRPr="00967D31">
        <w:rPr>
          <w:i/>
        </w:rPr>
        <w:t>Situācijas apraksts:</w:t>
      </w:r>
    </w:p>
    <w:p w:rsidR="000402AD" w:rsidRPr="000E14C2" w:rsidRDefault="00D43BE0" w:rsidP="00284A0D">
      <w:pPr>
        <w:ind w:left="284"/>
        <w:jc w:val="both"/>
      </w:pPr>
      <w:r>
        <w:t>Ēkai</w:t>
      </w:r>
      <w:r w:rsidR="00313B9F">
        <w:t xml:space="preserve"> (būves kadastra apzīmējums 7401 003 0129 001)</w:t>
      </w:r>
      <w:r>
        <w:t xml:space="preserve"> Krasta ielā 11, Ogrē, Ogres novadā, j</w:t>
      </w:r>
      <w:r w:rsidR="000402AD">
        <w:t xml:space="preserve">umta seguma, </w:t>
      </w:r>
      <w:proofErr w:type="spellStart"/>
      <w:r w:rsidR="000402AD">
        <w:t>notekreņu</w:t>
      </w:r>
      <w:proofErr w:type="spellEnd"/>
      <w:r w:rsidR="000402AD">
        <w:t xml:space="preserve"> un notekcauruļu tehniskais stāvoklis ir neapmierinošs, to nolietojums ir 60%, </w:t>
      </w:r>
      <w:r w:rsidR="00144DC5">
        <w:t xml:space="preserve">cinkota skārda loksnes ievērojami rūsējušas, bēniņu telpā iekļūst nokrišņu mitrums, </w:t>
      </w:r>
      <w:r w:rsidR="000402AD">
        <w:t>nepieciešams veikt jumta remontdarbus.</w:t>
      </w:r>
    </w:p>
    <w:p w:rsidR="000402AD" w:rsidRDefault="000402AD" w:rsidP="008E6290">
      <w:pPr>
        <w:jc w:val="both"/>
        <w:rPr>
          <w:i/>
        </w:rPr>
      </w:pPr>
    </w:p>
    <w:p w:rsidR="00284A0D" w:rsidRDefault="007B7763" w:rsidP="00284A0D">
      <w:pPr>
        <w:ind w:left="284"/>
        <w:jc w:val="both"/>
        <w:rPr>
          <w:i/>
        </w:rPr>
      </w:pPr>
      <w:r w:rsidRPr="00967D31">
        <w:rPr>
          <w:i/>
        </w:rPr>
        <w:t>Veicamie darbi:</w:t>
      </w:r>
    </w:p>
    <w:p w:rsidR="006A31E2" w:rsidRDefault="007B7763" w:rsidP="00284A0D">
      <w:pPr>
        <w:ind w:left="284"/>
        <w:jc w:val="both"/>
      </w:pPr>
      <w:r>
        <w:t xml:space="preserve">Ogres rajona prokuratūras </w:t>
      </w:r>
      <w:r w:rsidR="00D43BE0" w:rsidRPr="00D43BE0">
        <w:t>jumta remonts un bēniņu pārseguma siltināšana</w:t>
      </w:r>
      <w:r w:rsidR="000402AD">
        <w:t>.</w:t>
      </w:r>
    </w:p>
    <w:p w:rsidR="008D2F36" w:rsidRPr="00EE5589" w:rsidRDefault="008D2F36" w:rsidP="007B7763">
      <w:pPr>
        <w:ind w:left="720"/>
        <w:rPr>
          <w:b/>
        </w:rPr>
      </w:pPr>
    </w:p>
    <w:p w:rsidR="006A31E2" w:rsidRDefault="006A31E2" w:rsidP="00284A0D">
      <w:pPr>
        <w:pStyle w:val="Sarakstarindkop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ALŪKSNES RAJONA PROKURATŪRAS ĒKA</w:t>
      </w:r>
    </w:p>
    <w:p w:rsidR="00284A0D" w:rsidRDefault="000E14C2" w:rsidP="00284A0D">
      <w:pPr>
        <w:ind w:left="284"/>
        <w:jc w:val="both"/>
        <w:rPr>
          <w:i/>
        </w:rPr>
      </w:pPr>
      <w:r w:rsidRPr="00967D31">
        <w:rPr>
          <w:i/>
        </w:rPr>
        <w:t>Situācijas apraksts:</w:t>
      </w:r>
    </w:p>
    <w:p w:rsidR="000E14C2" w:rsidRPr="000E14C2" w:rsidRDefault="00D43BE0" w:rsidP="00284A0D">
      <w:pPr>
        <w:ind w:left="284"/>
        <w:jc w:val="both"/>
      </w:pPr>
      <w:r>
        <w:t xml:space="preserve">Ēkai </w:t>
      </w:r>
      <w:r w:rsidR="00313B9F">
        <w:t xml:space="preserve">(būves kadastra apzīmējums 3601 026 4123 001) </w:t>
      </w:r>
      <w:r>
        <w:t>Dārza ielā 13, Alūksnē</w:t>
      </w:r>
      <w:r w:rsidR="005D65E2">
        <w:t>, Alūksnes novadā</w:t>
      </w:r>
      <w:r>
        <w:t>, j</w:t>
      </w:r>
      <w:r w:rsidR="00967D31">
        <w:t>umta seguma konstrukcijas tehniskais stāvoklis ir neapmierinošs, tā nolietojums ir</w:t>
      </w:r>
      <w:r w:rsidR="00733211">
        <w:t xml:space="preserve"> 50-60%,</w:t>
      </w:r>
      <w:r w:rsidR="00826BBE">
        <w:t xml:space="preserve"> viļņotā</w:t>
      </w:r>
      <w:r w:rsidR="008336B5">
        <w:t xml:space="preserve"> azbestcementa</w:t>
      </w:r>
      <w:r w:rsidR="00826BBE">
        <w:t xml:space="preserve"> lokšņu jumta segums nolietojies, daudzviet mehāniski bojāts, ieplīsis; </w:t>
      </w:r>
      <w:r w:rsidR="00967D31">
        <w:t>nepieciešams veikt jumta remontdarbus.</w:t>
      </w:r>
    </w:p>
    <w:p w:rsidR="000402AD" w:rsidRDefault="000402AD" w:rsidP="008E6290">
      <w:pPr>
        <w:jc w:val="both"/>
        <w:rPr>
          <w:i/>
        </w:rPr>
      </w:pPr>
    </w:p>
    <w:p w:rsidR="00284A0D" w:rsidRPr="00284A0D" w:rsidRDefault="00C5009C" w:rsidP="00284A0D">
      <w:pPr>
        <w:ind w:left="284"/>
        <w:jc w:val="both"/>
        <w:rPr>
          <w:i/>
        </w:rPr>
      </w:pPr>
      <w:r w:rsidRPr="000402AD">
        <w:rPr>
          <w:i/>
        </w:rPr>
        <w:t>Veicamie darbi:</w:t>
      </w:r>
      <w:r w:rsidR="00EB3E6B" w:rsidRPr="00284A0D">
        <w:rPr>
          <w:i/>
        </w:rPr>
        <w:t xml:space="preserve"> </w:t>
      </w:r>
    </w:p>
    <w:p w:rsidR="006A31E2" w:rsidRPr="00C5009C" w:rsidRDefault="00EB3E6B" w:rsidP="00284A0D">
      <w:pPr>
        <w:ind w:left="284"/>
      </w:pPr>
      <w:r>
        <w:t xml:space="preserve">Alūksnes rajona prokuratūras jumta </w:t>
      </w:r>
      <w:r w:rsidR="00D43BE0" w:rsidRPr="00D43BE0">
        <w:t>remonts un bēniņu pārseguma siltināšana</w:t>
      </w:r>
    </w:p>
    <w:p w:rsidR="006A31E2" w:rsidRDefault="006A31E2" w:rsidP="006A31E2">
      <w:pPr>
        <w:rPr>
          <w:b/>
        </w:rPr>
      </w:pPr>
    </w:p>
    <w:p w:rsidR="006A31E2" w:rsidRPr="006A31E2" w:rsidRDefault="006A31E2" w:rsidP="00284A0D">
      <w:pPr>
        <w:pStyle w:val="Sarakstarindkop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DOBELES RAJONA PROKURATŪRAS ĒKA</w:t>
      </w:r>
    </w:p>
    <w:p w:rsidR="00284A0D" w:rsidRPr="00284A0D" w:rsidRDefault="007259CB" w:rsidP="00284A0D">
      <w:pPr>
        <w:ind w:left="284"/>
        <w:jc w:val="both"/>
        <w:rPr>
          <w:i/>
        </w:rPr>
      </w:pPr>
      <w:r w:rsidRPr="000402AD">
        <w:rPr>
          <w:i/>
        </w:rPr>
        <w:t>Situācijas apraksts:</w:t>
      </w:r>
      <w:r w:rsidR="0088393D" w:rsidRPr="00284A0D">
        <w:rPr>
          <w:i/>
        </w:rPr>
        <w:t xml:space="preserve"> </w:t>
      </w:r>
    </w:p>
    <w:p w:rsidR="0088393D" w:rsidRPr="000E14C2" w:rsidRDefault="00D43BE0" w:rsidP="00284A0D">
      <w:pPr>
        <w:ind w:left="284"/>
        <w:jc w:val="both"/>
      </w:pPr>
      <w:r>
        <w:t xml:space="preserve">Ēkai </w:t>
      </w:r>
      <w:r w:rsidR="00313B9F">
        <w:t xml:space="preserve">(būves kadastra apzīmējums 4601 007 2907 002) </w:t>
      </w:r>
      <w:r>
        <w:t>Viestura ielā 10, Dobelē, Dobeles novadā, j</w:t>
      </w:r>
      <w:r w:rsidR="0088393D">
        <w:t xml:space="preserve">umta seguma konstrukcijas tehniskais stāvoklis ir neapmierinošs, tā nolietojums ir 85%, māla dakstiņi ir nolietojušies visā jumta platībā, sabrukuši, daļa māla dakstiņu nav jumta segumā, kas var izsaukt jumta nesošo koka konstrukciju bojāšanos ar tālāko nestspējas zaudēšanu; </w:t>
      </w:r>
      <w:r w:rsidR="000A0855">
        <w:t xml:space="preserve">jumta ārējās ūdens novadīšanas sistēmas tehniskais nolietojums ir 80%, tas nenodrošina ūdens novadīšanu, kā rezultātā tiek slapinātas ārējās sienas un var izsaukt to sabrukšanu; </w:t>
      </w:r>
      <w:r w:rsidR="0088393D">
        <w:t>ir nepieciešams veikt jumta remontdarbus.</w:t>
      </w:r>
    </w:p>
    <w:p w:rsidR="0088393D" w:rsidRDefault="0088393D" w:rsidP="0088393D">
      <w:pPr>
        <w:jc w:val="both"/>
        <w:rPr>
          <w:i/>
        </w:rPr>
      </w:pPr>
    </w:p>
    <w:p w:rsidR="00284A0D" w:rsidRDefault="007259CB" w:rsidP="00284A0D">
      <w:pPr>
        <w:ind w:left="284"/>
        <w:jc w:val="both"/>
        <w:rPr>
          <w:i/>
        </w:rPr>
      </w:pPr>
      <w:r w:rsidRPr="000402AD">
        <w:rPr>
          <w:i/>
        </w:rPr>
        <w:t>Veicamie darbi:</w:t>
      </w:r>
    </w:p>
    <w:p w:rsidR="00C97221" w:rsidRDefault="00C97221" w:rsidP="00284A0D">
      <w:pPr>
        <w:ind w:left="284"/>
        <w:jc w:val="both"/>
      </w:pPr>
      <w:r>
        <w:t>Dobeles</w:t>
      </w:r>
      <w:r w:rsidR="007259CB">
        <w:t xml:space="preserve"> rajona prokuratūras </w:t>
      </w:r>
      <w:r w:rsidR="00D43BE0" w:rsidRPr="00D43BE0">
        <w:t>jumta remonts un bēniņu pārseguma siltināšana</w:t>
      </w:r>
      <w:r w:rsidR="000402AD">
        <w:t>.</w:t>
      </w:r>
    </w:p>
    <w:p w:rsidR="00284A0D" w:rsidRDefault="00284A0D" w:rsidP="00284A0D">
      <w:pPr>
        <w:ind w:left="284"/>
        <w:jc w:val="both"/>
      </w:pPr>
    </w:p>
    <w:p w:rsidR="000B445D" w:rsidRDefault="000B445D" w:rsidP="00284A0D">
      <w:pPr>
        <w:ind w:left="284"/>
        <w:jc w:val="both"/>
        <w:sectPr w:rsidR="000B445D" w:rsidSect="00EF05BA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1134" w:left="1701" w:header="709" w:footer="709" w:gutter="0"/>
          <w:cols w:space="708"/>
          <w:titlePg/>
          <w:docGrid w:linePitch="360"/>
        </w:sectPr>
      </w:pPr>
    </w:p>
    <w:p w:rsidR="00284A0D" w:rsidRPr="00305BA8" w:rsidRDefault="00284A0D" w:rsidP="00284A0D">
      <w:pPr>
        <w:jc w:val="center"/>
        <w:rPr>
          <w:b/>
          <w:sz w:val="20"/>
          <w:szCs w:val="20"/>
        </w:rPr>
      </w:pPr>
      <w:bookmarkStart w:id="1" w:name="OLE_LINK3"/>
      <w:bookmarkStart w:id="2" w:name="OLE_LINK4"/>
      <w:r w:rsidRPr="00C00ED1">
        <w:rPr>
          <w:b/>
          <w:sz w:val="20"/>
          <w:szCs w:val="20"/>
        </w:rPr>
        <w:lastRenderedPageBreak/>
        <w:t xml:space="preserve">Informācija par </w:t>
      </w:r>
      <w:r>
        <w:rPr>
          <w:b/>
          <w:sz w:val="20"/>
          <w:szCs w:val="20"/>
        </w:rPr>
        <w:t xml:space="preserve">valsts akciju sabiedrības „Valsts nekustamie īpašumi” (turpmāk – VNĪ) </w:t>
      </w:r>
      <w:r w:rsidRPr="00C00ED1">
        <w:rPr>
          <w:b/>
          <w:sz w:val="20"/>
          <w:szCs w:val="20"/>
        </w:rPr>
        <w:t xml:space="preserve">publisko iepirkumu rezultātiem saistībā ar </w:t>
      </w:r>
      <w:r>
        <w:rPr>
          <w:b/>
          <w:sz w:val="20"/>
          <w:szCs w:val="20"/>
        </w:rPr>
        <w:t xml:space="preserve">Latvijas Republikas </w:t>
      </w:r>
      <w:r w:rsidRPr="00C00ED1">
        <w:rPr>
          <w:b/>
          <w:sz w:val="20"/>
          <w:szCs w:val="20"/>
        </w:rPr>
        <w:t xml:space="preserve">Prokuratūras </w:t>
      </w:r>
      <w:r>
        <w:rPr>
          <w:b/>
          <w:sz w:val="20"/>
          <w:szCs w:val="20"/>
        </w:rPr>
        <w:t xml:space="preserve">(turpmāk – Prokuratūra) </w:t>
      </w:r>
      <w:r w:rsidRPr="00C00ED1">
        <w:rPr>
          <w:b/>
          <w:sz w:val="20"/>
          <w:szCs w:val="20"/>
        </w:rPr>
        <w:t xml:space="preserve">iestāžu jumta remontdarbu veikšanu ēkās Leona Paegles ielā 11, Valmierā; Krasta ielā 11, Ogrē, Ogres novadā; Dārza ielā 13, Alūksnē, Alūksnes novadā un Viestura ielā 10, Dobelē, Dobeles novadā, t.sk. par Prokuratūras uz Ministru kabineta </w:t>
      </w:r>
      <w:r>
        <w:rPr>
          <w:b/>
          <w:sz w:val="20"/>
          <w:szCs w:val="20"/>
        </w:rPr>
        <w:t>2013.gada 16.</w:t>
      </w:r>
      <w:r w:rsidR="00EF05BA">
        <w:rPr>
          <w:b/>
          <w:sz w:val="20"/>
          <w:szCs w:val="20"/>
        </w:rPr>
        <w:t>jūlija</w:t>
      </w:r>
      <w:r>
        <w:rPr>
          <w:b/>
          <w:sz w:val="20"/>
          <w:szCs w:val="20"/>
        </w:rPr>
        <w:t xml:space="preserve"> </w:t>
      </w:r>
      <w:r w:rsidRPr="00C00ED1">
        <w:rPr>
          <w:b/>
          <w:sz w:val="20"/>
          <w:szCs w:val="20"/>
        </w:rPr>
        <w:t xml:space="preserve">rīkojuma Nr.329 </w:t>
      </w:r>
      <w:r w:rsidRPr="004F4C3B">
        <w:rPr>
          <w:b/>
          <w:sz w:val="20"/>
          <w:szCs w:val="20"/>
        </w:rPr>
        <w:t xml:space="preserve">„Par finanšu līdzekļu piešķiršanu no valsts budžeta programmas „Līdzekļi neparedzētiem gadījumiem”” </w:t>
      </w:r>
      <w:r w:rsidRPr="00C00ED1">
        <w:rPr>
          <w:b/>
          <w:sz w:val="20"/>
          <w:szCs w:val="20"/>
        </w:rPr>
        <w:t>pamata piešķirtā finansējuma prognozējamo atlikumu</w:t>
      </w:r>
    </w:p>
    <w:bookmarkEnd w:id="1"/>
    <w:bookmarkEnd w:id="2"/>
    <w:p w:rsidR="00284A0D" w:rsidRPr="00980EF5" w:rsidRDefault="00284A0D" w:rsidP="00284A0D">
      <w:pPr>
        <w:spacing w:after="80"/>
        <w:rPr>
          <w:sz w:val="8"/>
          <w:szCs w:val="8"/>
        </w:rPr>
      </w:pPr>
    </w:p>
    <w:p w:rsidR="00284A0D" w:rsidRPr="00305BA8" w:rsidRDefault="00284A0D" w:rsidP="00284A0D">
      <w:pPr>
        <w:pStyle w:val="Sarakstarindkopa"/>
        <w:numPr>
          <w:ilvl w:val="0"/>
          <w:numId w:val="7"/>
        </w:numPr>
        <w:spacing w:after="80"/>
        <w:ind w:left="284" w:hanging="284"/>
        <w:contextualSpacing w:val="0"/>
        <w:jc w:val="both"/>
        <w:rPr>
          <w:sz w:val="20"/>
          <w:szCs w:val="20"/>
        </w:rPr>
      </w:pPr>
      <w:r w:rsidRPr="00305BA8">
        <w:rPr>
          <w:b/>
          <w:bCs/>
          <w:sz w:val="20"/>
          <w:szCs w:val="20"/>
        </w:rPr>
        <w:t>16.0</w:t>
      </w:r>
      <w:r w:rsidR="00EF05BA">
        <w:rPr>
          <w:b/>
          <w:bCs/>
          <w:sz w:val="20"/>
          <w:szCs w:val="20"/>
        </w:rPr>
        <w:t>7</w:t>
      </w:r>
      <w:r w:rsidRPr="00305BA8">
        <w:rPr>
          <w:b/>
          <w:bCs/>
          <w:sz w:val="20"/>
          <w:szCs w:val="20"/>
        </w:rPr>
        <w:t>.2013.</w:t>
      </w:r>
      <w:r w:rsidRPr="00305BA8">
        <w:rPr>
          <w:sz w:val="20"/>
          <w:szCs w:val="20"/>
        </w:rPr>
        <w:t xml:space="preserve"> – pieņemts MK rīkojums Nr.329 „Par finanšu līdzekļu piešķiršanu no valsts budžeta programmas „Līdzekļi neparedzētiem gadījumiem”” </w:t>
      </w:r>
      <w:r>
        <w:rPr>
          <w:sz w:val="20"/>
          <w:szCs w:val="20"/>
        </w:rPr>
        <w:t xml:space="preserve">(turpmāk – MK rīkojums Nr.329), </w:t>
      </w:r>
      <w:r w:rsidRPr="00305BA8">
        <w:rPr>
          <w:sz w:val="20"/>
          <w:szCs w:val="20"/>
        </w:rPr>
        <w:t>ar kuru Prokuratūrai piešķirts finans</w:t>
      </w:r>
      <w:r w:rsidR="00EF05BA">
        <w:rPr>
          <w:sz w:val="20"/>
          <w:szCs w:val="20"/>
        </w:rPr>
        <w:t>ējums četru nekustamo īpašumu</w:t>
      </w:r>
      <w:r w:rsidRPr="00305BA8">
        <w:rPr>
          <w:sz w:val="20"/>
          <w:szCs w:val="20"/>
        </w:rPr>
        <w:t xml:space="preserve"> jumtu remontiem (kopā LVL </w:t>
      </w:r>
      <w:r w:rsidRPr="00305BA8">
        <w:rPr>
          <w:color w:val="000000"/>
          <w:sz w:val="20"/>
          <w:szCs w:val="20"/>
        </w:rPr>
        <w:t>65 953)</w:t>
      </w:r>
      <w:r w:rsidRPr="00305BA8">
        <w:rPr>
          <w:sz w:val="20"/>
          <w:szCs w:val="20"/>
        </w:rPr>
        <w:t>, t.</w:t>
      </w:r>
      <w:r>
        <w:rPr>
          <w:sz w:val="20"/>
          <w:szCs w:val="20"/>
        </w:rPr>
        <w:t>sk</w:t>
      </w:r>
      <w:r w:rsidRPr="00305BA8">
        <w:rPr>
          <w:sz w:val="20"/>
          <w:szCs w:val="20"/>
        </w:rPr>
        <w:t>.:</w:t>
      </w:r>
    </w:p>
    <w:p w:rsidR="00284A0D" w:rsidRPr="00305BA8" w:rsidRDefault="00284A0D" w:rsidP="00284A0D">
      <w:pPr>
        <w:numPr>
          <w:ilvl w:val="1"/>
          <w:numId w:val="8"/>
        </w:numPr>
        <w:spacing w:after="80"/>
        <w:ind w:left="568" w:hanging="284"/>
        <w:contextualSpacing/>
        <w:jc w:val="both"/>
        <w:rPr>
          <w:color w:val="000000"/>
          <w:sz w:val="20"/>
          <w:szCs w:val="20"/>
        </w:rPr>
      </w:pPr>
      <w:r w:rsidRPr="00305BA8">
        <w:rPr>
          <w:color w:val="000000"/>
          <w:sz w:val="20"/>
          <w:szCs w:val="20"/>
        </w:rPr>
        <w:t>LVL 21 021 – Valmieras rajona prokuratūras ēkai Leona Paegles ielā 11, Valmierā</w:t>
      </w:r>
      <w:r>
        <w:rPr>
          <w:color w:val="000000"/>
          <w:sz w:val="20"/>
          <w:szCs w:val="20"/>
        </w:rPr>
        <w:t xml:space="preserve"> (</w:t>
      </w:r>
      <w:r w:rsidRPr="002B103E">
        <w:rPr>
          <w:color w:val="000000"/>
          <w:sz w:val="20"/>
          <w:szCs w:val="20"/>
        </w:rPr>
        <w:t>būves kadastra apzīmējums 9601 001 2530 001)</w:t>
      </w:r>
      <w:r w:rsidRPr="00305BA8">
        <w:rPr>
          <w:color w:val="000000"/>
          <w:sz w:val="20"/>
          <w:szCs w:val="20"/>
        </w:rPr>
        <w:t>;</w:t>
      </w:r>
    </w:p>
    <w:p w:rsidR="00284A0D" w:rsidRPr="00305BA8" w:rsidRDefault="00284A0D" w:rsidP="00284A0D">
      <w:pPr>
        <w:numPr>
          <w:ilvl w:val="1"/>
          <w:numId w:val="8"/>
        </w:numPr>
        <w:spacing w:after="80"/>
        <w:ind w:left="568" w:hanging="284"/>
        <w:contextualSpacing/>
        <w:jc w:val="both"/>
        <w:rPr>
          <w:color w:val="000000"/>
          <w:sz w:val="20"/>
          <w:szCs w:val="20"/>
        </w:rPr>
      </w:pPr>
      <w:r w:rsidRPr="00305BA8">
        <w:rPr>
          <w:color w:val="000000"/>
          <w:sz w:val="20"/>
          <w:szCs w:val="20"/>
        </w:rPr>
        <w:t>LVL 13 357 – Ogres rajona prokuratūras ēkai Krasta ielā 11, Ogrē, Ogres novadā</w:t>
      </w:r>
      <w:r>
        <w:rPr>
          <w:color w:val="000000"/>
          <w:sz w:val="20"/>
          <w:szCs w:val="20"/>
        </w:rPr>
        <w:t xml:space="preserve"> </w:t>
      </w:r>
      <w:r w:rsidRPr="002B103E">
        <w:rPr>
          <w:color w:val="000000"/>
          <w:sz w:val="20"/>
          <w:szCs w:val="20"/>
        </w:rPr>
        <w:t>(būves kadastra apzīmējums 7401 003 0129 001)</w:t>
      </w:r>
      <w:r w:rsidRPr="00305BA8">
        <w:rPr>
          <w:color w:val="000000"/>
          <w:sz w:val="20"/>
          <w:szCs w:val="20"/>
        </w:rPr>
        <w:t>;</w:t>
      </w:r>
    </w:p>
    <w:p w:rsidR="00284A0D" w:rsidRPr="00305BA8" w:rsidRDefault="00284A0D" w:rsidP="00284A0D">
      <w:pPr>
        <w:numPr>
          <w:ilvl w:val="1"/>
          <w:numId w:val="8"/>
        </w:numPr>
        <w:spacing w:after="80"/>
        <w:ind w:left="568" w:hanging="284"/>
        <w:contextualSpacing/>
        <w:jc w:val="both"/>
        <w:rPr>
          <w:color w:val="000000"/>
          <w:sz w:val="20"/>
          <w:szCs w:val="20"/>
        </w:rPr>
      </w:pPr>
      <w:r w:rsidRPr="00305BA8">
        <w:rPr>
          <w:color w:val="000000"/>
          <w:sz w:val="20"/>
          <w:szCs w:val="20"/>
        </w:rPr>
        <w:t>LVL 15 255 – Alūksnes rajona prokuratūras ēkai Dārza ielā 13, Alūksnē, Alūksnes novadā</w:t>
      </w:r>
      <w:r>
        <w:rPr>
          <w:color w:val="000000"/>
          <w:sz w:val="20"/>
          <w:szCs w:val="20"/>
        </w:rPr>
        <w:t xml:space="preserve"> (</w:t>
      </w:r>
      <w:r w:rsidRPr="002B103E">
        <w:rPr>
          <w:color w:val="000000"/>
          <w:sz w:val="20"/>
          <w:szCs w:val="20"/>
        </w:rPr>
        <w:t>būves kadastra apzīmējums 3601 026 4123 001)</w:t>
      </w:r>
      <w:r w:rsidRPr="00305BA8">
        <w:rPr>
          <w:color w:val="000000"/>
          <w:sz w:val="20"/>
          <w:szCs w:val="20"/>
        </w:rPr>
        <w:t>;</w:t>
      </w:r>
    </w:p>
    <w:p w:rsidR="00284A0D" w:rsidRPr="00305BA8" w:rsidRDefault="00284A0D" w:rsidP="00284A0D">
      <w:pPr>
        <w:numPr>
          <w:ilvl w:val="1"/>
          <w:numId w:val="8"/>
        </w:numPr>
        <w:spacing w:after="80"/>
        <w:ind w:left="568" w:hanging="284"/>
        <w:contextualSpacing/>
        <w:jc w:val="both"/>
        <w:rPr>
          <w:color w:val="000000"/>
          <w:sz w:val="20"/>
          <w:szCs w:val="20"/>
        </w:rPr>
      </w:pPr>
      <w:r w:rsidRPr="00305BA8">
        <w:rPr>
          <w:color w:val="000000"/>
          <w:sz w:val="20"/>
          <w:szCs w:val="20"/>
        </w:rPr>
        <w:t xml:space="preserve">LVL 16 320 </w:t>
      </w:r>
      <w:r>
        <w:rPr>
          <w:color w:val="000000"/>
          <w:sz w:val="20"/>
          <w:szCs w:val="20"/>
        </w:rPr>
        <w:t>–</w:t>
      </w:r>
      <w:r w:rsidRPr="00305BA8">
        <w:rPr>
          <w:color w:val="000000"/>
          <w:sz w:val="20"/>
          <w:szCs w:val="20"/>
        </w:rPr>
        <w:t xml:space="preserve"> Dobeles rajona prokuratūras palīgēkai Viestura ielā 10, Dobelē, Dobeles novadā</w:t>
      </w:r>
      <w:r>
        <w:rPr>
          <w:color w:val="000000"/>
          <w:sz w:val="20"/>
          <w:szCs w:val="20"/>
        </w:rPr>
        <w:t xml:space="preserve"> </w:t>
      </w:r>
      <w:r w:rsidRPr="002B103E">
        <w:rPr>
          <w:color w:val="000000"/>
          <w:sz w:val="20"/>
          <w:szCs w:val="20"/>
        </w:rPr>
        <w:t>(būves kadastra apzīmējums 4601 007 2907 002)</w:t>
      </w:r>
      <w:r w:rsidRPr="00305BA8">
        <w:rPr>
          <w:color w:val="000000"/>
          <w:sz w:val="20"/>
          <w:szCs w:val="20"/>
        </w:rPr>
        <w:t>.</w:t>
      </w:r>
    </w:p>
    <w:p w:rsidR="00284A0D" w:rsidRPr="00305BA8" w:rsidRDefault="00284A0D" w:rsidP="00284A0D">
      <w:pPr>
        <w:pStyle w:val="Sarakstarindkopa"/>
        <w:numPr>
          <w:ilvl w:val="0"/>
          <w:numId w:val="7"/>
        </w:numPr>
        <w:spacing w:after="80"/>
        <w:ind w:left="284" w:hanging="284"/>
        <w:contextualSpacing w:val="0"/>
        <w:jc w:val="both"/>
        <w:rPr>
          <w:b/>
          <w:bCs/>
          <w:sz w:val="20"/>
          <w:szCs w:val="20"/>
        </w:rPr>
      </w:pPr>
      <w:r w:rsidRPr="00305BA8">
        <w:rPr>
          <w:b/>
          <w:bCs/>
          <w:sz w:val="20"/>
          <w:szCs w:val="20"/>
        </w:rPr>
        <w:t>26.0</w:t>
      </w:r>
      <w:r w:rsidR="00EF05BA">
        <w:rPr>
          <w:b/>
          <w:bCs/>
          <w:sz w:val="20"/>
          <w:szCs w:val="20"/>
        </w:rPr>
        <w:t>7</w:t>
      </w:r>
      <w:r w:rsidRPr="00305BA8">
        <w:rPr>
          <w:b/>
          <w:bCs/>
          <w:sz w:val="20"/>
          <w:szCs w:val="20"/>
        </w:rPr>
        <w:t>.2013.</w:t>
      </w:r>
      <w:r w:rsidRPr="00305BA8">
        <w:rPr>
          <w:sz w:val="20"/>
          <w:szCs w:val="20"/>
        </w:rPr>
        <w:t xml:space="preserve"> – Finanšu ministrijas rīkojums Nr</w:t>
      </w:r>
      <w:r>
        <w:rPr>
          <w:sz w:val="20"/>
          <w:szCs w:val="20"/>
        </w:rPr>
        <w:t>.311 „Par līdzekļu piešķiršanu”</w:t>
      </w:r>
      <w:r w:rsidRPr="00305BA8">
        <w:rPr>
          <w:sz w:val="20"/>
          <w:szCs w:val="20"/>
        </w:rPr>
        <w:t>.</w:t>
      </w:r>
    </w:p>
    <w:p w:rsidR="00284A0D" w:rsidRPr="00305BA8" w:rsidRDefault="00284A0D" w:rsidP="00284A0D">
      <w:pPr>
        <w:pStyle w:val="Sarakstarindkopa"/>
        <w:numPr>
          <w:ilvl w:val="0"/>
          <w:numId w:val="7"/>
        </w:numPr>
        <w:spacing w:after="80"/>
        <w:ind w:left="284" w:hanging="284"/>
        <w:contextualSpacing w:val="0"/>
        <w:jc w:val="both"/>
        <w:rPr>
          <w:b/>
          <w:bCs/>
          <w:sz w:val="20"/>
          <w:szCs w:val="20"/>
        </w:rPr>
      </w:pPr>
      <w:r w:rsidRPr="00305BA8">
        <w:rPr>
          <w:b/>
          <w:bCs/>
          <w:sz w:val="20"/>
          <w:szCs w:val="20"/>
        </w:rPr>
        <w:t xml:space="preserve">23.08.2013. </w:t>
      </w:r>
      <w:r w:rsidRPr="00305BA8">
        <w:rPr>
          <w:sz w:val="20"/>
          <w:szCs w:val="20"/>
        </w:rPr>
        <w:t>– starp VNĪ un Prokuratūru nos</w:t>
      </w:r>
      <w:r>
        <w:rPr>
          <w:sz w:val="20"/>
          <w:szCs w:val="20"/>
        </w:rPr>
        <w:t>lēgts finansēšanas līgums Nr.</w:t>
      </w:r>
      <w:r w:rsidRPr="00305BA8">
        <w:rPr>
          <w:sz w:val="20"/>
          <w:szCs w:val="20"/>
        </w:rPr>
        <w:t>6-13-14/1459 (P</w:t>
      </w:r>
      <w:r w:rsidR="00EF05BA">
        <w:rPr>
          <w:sz w:val="20"/>
          <w:szCs w:val="20"/>
        </w:rPr>
        <w:t>rokuratūras</w:t>
      </w:r>
      <w:r w:rsidRPr="00305BA8">
        <w:rPr>
          <w:sz w:val="20"/>
          <w:szCs w:val="20"/>
        </w:rPr>
        <w:t xml:space="preserve"> līguma Nr.2013/060)</w:t>
      </w:r>
      <w:r>
        <w:rPr>
          <w:sz w:val="20"/>
          <w:szCs w:val="20"/>
        </w:rPr>
        <w:t>,</w:t>
      </w:r>
      <w:r w:rsidRPr="00305BA8">
        <w:rPr>
          <w:sz w:val="20"/>
          <w:szCs w:val="20"/>
        </w:rPr>
        <w:t xml:space="preserve"> paredzot </w:t>
      </w:r>
      <w:r>
        <w:rPr>
          <w:sz w:val="20"/>
          <w:szCs w:val="20"/>
        </w:rPr>
        <w:t xml:space="preserve">VNĪ </w:t>
      </w:r>
      <w:r w:rsidRPr="00305BA8">
        <w:rPr>
          <w:sz w:val="20"/>
          <w:szCs w:val="20"/>
        </w:rPr>
        <w:t xml:space="preserve">darbu izpildi veikt līdz 20.12.2013. un </w:t>
      </w:r>
      <w:r>
        <w:rPr>
          <w:sz w:val="20"/>
          <w:szCs w:val="20"/>
        </w:rPr>
        <w:t xml:space="preserve">saskaņā ar </w:t>
      </w:r>
      <w:r w:rsidRPr="00305BA8">
        <w:rPr>
          <w:sz w:val="20"/>
          <w:szCs w:val="20"/>
        </w:rPr>
        <w:t>publisko iepirkum</w:t>
      </w:r>
      <w:r>
        <w:rPr>
          <w:sz w:val="20"/>
          <w:szCs w:val="20"/>
        </w:rPr>
        <w:t>u</w:t>
      </w:r>
      <w:r w:rsidRPr="00305BA8">
        <w:rPr>
          <w:sz w:val="20"/>
          <w:szCs w:val="20"/>
        </w:rPr>
        <w:t xml:space="preserve"> rezultātiem slēgt atsevišķas vienošan</w:t>
      </w:r>
      <w:r>
        <w:rPr>
          <w:sz w:val="20"/>
          <w:szCs w:val="20"/>
        </w:rPr>
        <w:t>ās</w:t>
      </w:r>
      <w:r w:rsidRPr="00305BA8">
        <w:rPr>
          <w:sz w:val="20"/>
          <w:szCs w:val="20"/>
        </w:rPr>
        <w:t xml:space="preserve"> par grozījumiem, precizējot darbu izpildes </w:t>
      </w:r>
      <w:r>
        <w:rPr>
          <w:sz w:val="20"/>
          <w:szCs w:val="20"/>
        </w:rPr>
        <w:t>izdevumus</w:t>
      </w:r>
      <w:r w:rsidRPr="00305BA8">
        <w:rPr>
          <w:sz w:val="20"/>
          <w:szCs w:val="20"/>
        </w:rPr>
        <w:t xml:space="preserve"> atbilstoši </w:t>
      </w:r>
      <w:r>
        <w:rPr>
          <w:sz w:val="20"/>
          <w:szCs w:val="20"/>
        </w:rPr>
        <w:t xml:space="preserve">faktiskajām VNĪ </w:t>
      </w:r>
      <w:r w:rsidRPr="00305BA8">
        <w:rPr>
          <w:sz w:val="20"/>
          <w:szCs w:val="20"/>
        </w:rPr>
        <w:t>dar</w:t>
      </w:r>
      <w:r>
        <w:rPr>
          <w:sz w:val="20"/>
          <w:szCs w:val="20"/>
        </w:rPr>
        <w:t>bu izpildes izmaksām</w:t>
      </w:r>
      <w:r w:rsidRPr="00305BA8">
        <w:rPr>
          <w:sz w:val="20"/>
          <w:szCs w:val="20"/>
        </w:rPr>
        <w:t>.</w:t>
      </w:r>
    </w:p>
    <w:p w:rsidR="00284A0D" w:rsidRPr="00305BA8" w:rsidRDefault="00284A0D" w:rsidP="00284A0D">
      <w:pPr>
        <w:pStyle w:val="Sarakstarindkopa"/>
        <w:numPr>
          <w:ilvl w:val="0"/>
          <w:numId w:val="7"/>
        </w:numPr>
        <w:spacing w:after="80"/>
        <w:ind w:left="284" w:hanging="284"/>
        <w:contextualSpacing w:val="0"/>
        <w:jc w:val="both"/>
        <w:rPr>
          <w:b/>
          <w:bCs/>
          <w:sz w:val="20"/>
          <w:szCs w:val="20"/>
        </w:rPr>
      </w:pPr>
      <w:r w:rsidRPr="00305BA8">
        <w:rPr>
          <w:b/>
          <w:bCs/>
          <w:sz w:val="20"/>
          <w:szCs w:val="20"/>
        </w:rPr>
        <w:t>Publisko iepirkuma rezultāti (apkopoti tabulā):</w:t>
      </w:r>
    </w:p>
    <w:p w:rsidR="00284A0D" w:rsidRPr="002B103E" w:rsidRDefault="00284A0D" w:rsidP="00284A0D">
      <w:pPr>
        <w:pStyle w:val="Sarakstarindkopa"/>
        <w:ind w:right="-315"/>
        <w:jc w:val="right"/>
        <w:rPr>
          <w:bCs/>
          <w:sz w:val="16"/>
          <w:szCs w:val="16"/>
        </w:rPr>
      </w:pPr>
      <w:r w:rsidRPr="002B103E">
        <w:rPr>
          <w:bCs/>
          <w:sz w:val="16"/>
          <w:szCs w:val="16"/>
        </w:rPr>
        <w:t>Tabula</w:t>
      </w:r>
    </w:p>
    <w:tbl>
      <w:tblPr>
        <w:tblW w:w="14316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268"/>
        <w:gridCol w:w="877"/>
        <w:gridCol w:w="1037"/>
        <w:gridCol w:w="1101"/>
        <w:gridCol w:w="838"/>
        <w:gridCol w:w="851"/>
        <w:gridCol w:w="850"/>
        <w:gridCol w:w="851"/>
        <w:gridCol w:w="868"/>
        <w:gridCol w:w="874"/>
        <w:gridCol w:w="1014"/>
        <w:gridCol w:w="851"/>
        <w:gridCol w:w="929"/>
        <w:gridCol w:w="824"/>
      </w:tblGrid>
      <w:tr w:rsidR="00284A0D" w:rsidTr="00284A0D">
        <w:trPr>
          <w:trHeight w:val="77"/>
        </w:trPr>
        <w:tc>
          <w:tcPr>
            <w:tcW w:w="283" w:type="dxa"/>
            <w:vMerge w:val="restar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Nr.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p.k.</w:t>
            </w:r>
          </w:p>
        </w:tc>
        <w:tc>
          <w:tcPr>
            <w:tcW w:w="2268" w:type="dxa"/>
            <w:vMerge w:val="restart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Adrese</w:t>
            </w:r>
          </w:p>
        </w:tc>
        <w:tc>
          <w:tcPr>
            <w:tcW w:w="3015" w:type="dxa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23.08.2013. līguma Nr.6-13-14/1459 (ĢP Nr.2013/060) noteiktais finanšu apmērs 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Starpība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(+ / -)</w:t>
            </w:r>
          </w:p>
        </w:tc>
        <w:tc>
          <w:tcPr>
            <w:tcW w:w="4294" w:type="dxa"/>
            <w:gridSpan w:val="5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Faktiskās darbu izpildes izmaksas</w:t>
            </w:r>
          </w:p>
        </w:tc>
        <w:tc>
          <w:tcPr>
            <w:tcW w:w="3618" w:type="dxa"/>
            <w:gridSpan w:val="4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Informācija par darbu veicēju</w:t>
            </w:r>
          </w:p>
        </w:tc>
      </w:tr>
      <w:tr w:rsidR="00284A0D" w:rsidTr="00284A0D">
        <w:trPr>
          <w:trHeight w:val="77"/>
        </w:trPr>
        <w:tc>
          <w:tcPr>
            <w:tcW w:w="283" w:type="dxa"/>
            <w:vMerge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284A0D" w:rsidRDefault="00284A0D" w:rsidP="00284A0D">
            <w:pPr>
              <w:ind w:left="-108" w:right="-10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:rsidR="00284A0D" w:rsidRDefault="00284A0D" w:rsidP="00284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Noslēgts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ĢP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apmaksas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gala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datums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MK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rīkojums</w:t>
            </w:r>
          </w:p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Nr.329</w:t>
            </w:r>
          </w:p>
        </w:tc>
        <w:tc>
          <w:tcPr>
            <w:tcW w:w="838" w:type="dxa"/>
            <w:vMerge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uble" w:sz="4" w:space="0" w:color="auto"/>
            </w:tcBorders>
            <w:vAlign w:val="center"/>
            <w:hideMark/>
          </w:tcPr>
          <w:p w:rsidR="00284A0D" w:rsidRDefault="00284A0D" w:rsidP="00284A0D">
            <w:pPr>
              <w:ind w:left="-105" w:right="-11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Līguma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summa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(bez PVN)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t.sk.: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pasūtītāja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rezerve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10%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VNĪ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admin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izmaksas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(5,43%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bez PVN)</w:t>
            </w:r>
          </w:p>
        </w:tc>
        <w:tc>
          <w:tcPr>
            <w:tcW w:w="87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PVN</w:t>
            </w:r>
          </w:p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Darbu</w:t>
            </w:r>
          </w:p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veicējs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VNĪ</w:t>
            </w:r>
          </w:p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līguma</w:t>
            </w:r>
          </w:p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Nr.</w:t>
            </w:r>
          </w:p>
        </w:tc>
        <w:tc>
          <w:tcPr>
            <w:tcW w:w="9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Noslēgšanas</w:t>
            </w:r>
          </w:p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2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5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Darbu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izpildes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datums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(ieskaitot)</w:t>
            </w:r>
          </w:p>
        </w:tc>
      </w:tr>
      <w:tr w:rsidR="00284A0D" w:rsidTr="00284A0D">
        <w:trPr>
          <w:trHeight w:val="77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59" w:right="-17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Leona Paegles ielā 11, Valmierā;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23.08.2013.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20.12.2013.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21 021,00</w:t>
            </w:r>
          </w:p>
        </w:tc>
        <w:tc>
          <w:tcPr>
            <w:tcW w:w="838" w:type="dxa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305BA8" w:rsidRDefault="00284A0D" w:rsidP="00284A0D">
            <w:pPr>
              <w:ind w:left="-107" w:right="-100"/>
              <w:jc w:val="center"/>
              <w:rPr>
                <w:b/>
                <w:bCs/>
                <w:sz w:val="16"/>
                <w:szCs w:val="16"/>
              </w:rPr>
            </w:pPr>
            <w:r w:rsidRPr="00305BA8">
              <w:rPr>
                <w:b/>
                <w:bCs/>
                <w:sz w:val="16"/>
                <w:szCs w:val="16"/>
              </w:rPr>
              <w:t>2 821,20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23 842,20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18 689,46</w:t>
            </w:r>
          </w:p>
        </w:tc>
        <w:tc>
          <w:tcPr>
            <w:tcW w:w="851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4B5FC3" w:rsidP="00284A0D">
            <w:pPr>
              <w:ind w:left="-107" w:right="-10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F05BA">
              <w:rPr>
                <w:i/>
                <w:iCs/>
                <w:color w:val="000000"/>
                <w:sz w:val="16"/>
                <w:szCs w:val="16"/>
              </w:rPr>
              <w:t>1868,94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 w:rsidRPr="00EF05BA">
              <w:rPr>
                <w:color w:val="000000"/>
                <w:sz w:val="16"/>
                <w:szCs w:val="16"/>
              </w:rPr>
              <w:t>1 014,84</w:t>
            </w:r>
          </w:p>
        </w:tc>
        <w:tc>
          <w:tcPr>
            <w:tcW w:w="87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4 137,90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</w:t>
            </w:r>
          </w:p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„PRO DEV”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9-1-13-8/1881</w:t>
            </w:r>
          </w:p>
        </w:tc>
        <w:tc>
          <w:tcPr>
            <w:tcW w:w="9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30.10.2013.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06.12.2013.</w:t>
            </w:r>
          </w:p>
        </w:tc>
      </w:tr>
      <w:tr w:rsidR="00284A0D" w:rsidTr="00284A0D">
        <w:trPr>
          <w:trHeight w:val="77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59" w:right="-17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Krasta ielā 11, Ogrē, Ogres novadā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23.08.2013.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20.12.2013.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13 357,00</w:t>
            </w:r>
          </w:p>
        </w:tc>
        <w:tc>
          <w:tcPr>
            <w:tcW w:w="838" w:type="dxa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305BA8" w:rsidRDefault="00284A0D" w:rsidP="00284A0D">
            <w:pPr>
              <w:ind w:left="-107" w:right="-100"/>
              <w:jc w:val="center"/>
              <w:rPr>
                <w:b/>
                <w:bCs/>
                <w:sz w:val="16"/>
                <w:szCs w:val="16"/>
              </w:rPr>
            </w:pPr>
            <w:r w:rsidRPr="00305BA8">
              <w:rPr>
                <w:b/>
                <w:bCs/>
                <w:sz w:val="16"/>
                <w:szCs w:val="16"/>
              </w:rPr>
              <w:t>1 277,21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14 634,21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11 471,49</w:t>
            </w:r>
          </w:p>
        </w:tc>
        <w:tc>
          <w:tcPr>
            <w:tcW w:w="851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4B5FC3" w:rsidP="00284A0D">
            <w:pPr>
              <w:ind w:left="-107" w:right="-10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F05BA">
              <w:rPr>
                <w:i/>
                <w:iCs/>
                <w:color w:val="000000"/>
                <w:sz w:val="16"/>
                <w:szCs w:val="16"/>
              </w:rPr>
              <w:t>1147,15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 w:rsidRPr="00EF05BA">
              <w:rPr>
                <w:color w:val="000000"/>
                <w:sz w:val="16"/>
                <w:szCs w:val="16"/>
              </w:rPr>
              <w:t>622,90</w:t>
            </w:r>
          </w:p>
        </w:tc>
        <w:tc>
          <w:tcPr>
            <w:tcW w:w="87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2 539,82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</w:t>
            </w:r>
          </w:p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„PRO DEV”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9-1-13-8/1882</w:t>
            </w:r>
          </w:p>
        </w:tc>
        <w:tc>
          <w:tcPr>
            <w:tcW w:w="9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30.10.2013.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06.12.2013.</w:t>
            </w:r>
          </w:p>
        </w:tc>
      </w:tr>
      <w:tr w:rsidR="00284A0D" w:rsidTr="00284A0D">
        <w:trPr>
          <w:trHeight w:val="77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59" w:right="-17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Dārza ielā 13, Alūksnē, Alūksnes novadā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23.08.2013.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20.12.2013.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15 255,00</w:t>
            </w:r>
          </w:p>
        </w:tc>
        <w:tc>
          <w:tcPr>
            <w:tcW w:w="838" w:type="dxa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305BA8" w:rsidRDefault="00284A0D" w:rsidP="00284A0D">
            <w:pPr>
              <w:ind w:left="-107" w:right="-100"/>
              <w:jc w:val="center"/>
              <w:rPr>
                <w:b/>
                <w:bCs/>
                <w:sz w:val="16"/>
                <w:szCs w:val="16"/>
              </w:rPr>
            </w:pPr>
            <w:r w:rsidRPr="00305BA8">
              <w:rPr>
                <w:b/>
                <w:bCs/>
                <w:sz w:val="16"/>
                <w:szCs w:val="16"/>
              </w:rPr>
              <w:t>-8 909,87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6 345,13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4 973,83</w:t>
            </w:r>
          </w:p>
        </w:tc>
        <w:tc>
          <w:tcPr>
            <w:tcW w:w="851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4B5FC3" w:rsidP="00284A0D">
            <w:pPr>
              <w:ind w:left="-107" w:right="-10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F05BA">
              <w:rPr>
                <w:i/>
                <w:iCs/>
                <w:color w:val="000000"/>
                <w:sz w:val="16"/>
                <w:szCs w:val="16"/>
              </w:rPr>
              <w:t>497,38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 w:rsidRPr="00EF05BA">
              <w:rPr>
                <w:color w:val="000000"/>
                <w:sz w:val="16"/>
                <w:szCs w:val="16"/>
              </w:rPr>
              <w:t>270,08</w:t>
            </w:r>
          </w:p>
        </w:tc>
        <w:tc>
          <w:tcPr>
            <w:tcW w:w="87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1 101,22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</w:t>
            </w:r>
          </w:p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„OZOLMĀJA”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9-1-13-8/1828</w:t>
            </w:r>
          </w:p>
        </w:tc>
        <w:tc>
          <w:tcPr>
            <w:tcW w:w="9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18.10.2013.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06.12.2013.</w:t>
            </w:r>
          </w:p>
        </w:tc>
      </w:tr>
      <w:tr w:rsidR="00284A0D" w:rsidTr="00284A0D">
        <w:trPr>
          <w:trHeight w:val="60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59" w:right="-17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Viestura ielā 10, Dobelē, Dobeles novadā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23.08.2013.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20.12.2013.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16 320,00</w:t>
            </w:r>
          </w:p>
        </w:tc>
        <w:tc>
          <w:tcPr>
            <w:tcW w:w="838" w:type="dxa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305BA8" w:rsidRDefault="00284A0D" w:rsidP="00284A0D">
            <w:pPr>
              <w:ind w:left="-107" w:right="-100"/>
              <w:jc w:val="center"/>
              <w:rPr>
                <w:b/>
                <w:bCs/>
                <w:sz w:val="16"/>
                <w:szCs w:val="16"/>
              </w:rPr>
            </w:pPr>
            <w:r w:rsidRPr="00305BA8">
              <w:rPr>
                <w:b/>
                <w:bCs/>
                <w:sz w:val="16"/>
                <w:szCs w:val="16"/>
              </w:rPr>
              <w:t>-2 416,64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13 903,36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10 898,59</w:t>
            </w:r>
          </w:p>
        </w:tc>
        <w:tc>
          <w:tcPr>
            <w:tcW w:w="851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4B5FC3" w:rsidP="00284A0D">
            <w:pPr>
              <w:ind w:left="-107" w:right="-10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F05BA">
              <w:rPr>
                <w:i/>
                <w:iCs/>
                <w:color w:val="000000"/>
                <w:sz w:val="16"/>
                <w:szCs w:val="16"/>
              </w:rPr>
              <w:t>1089,86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 w:rsidRPr="00EF05BA">
              <w:rPr>
                <w:color w:val="000000"/>
                <w:sz w:val="16"/>
                <w:szCs w:val="16"/>
              </w:rPr>
              <w:t>591,79</w:t>
            </w:r>
          </w:p>
        </w:tc>
        <w:tc>
          <w:tcPr>
            <w:tcW w:w="87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2 412,98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</w:t>
            </w:r>
          </w:p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„PRO DEV”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9-1-13-8/1883</w:t>
            </w:r>
          </w:p>
        </w:tc>
        <w:tc>
          <w:tcPr>
            <w:tcW w:w="9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30.10.2013.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06.12.2013.</w:t>
            </w:r>
          </w:p>
        </w:tc>
      </w:tr>
      <w:tr w:rsidR="00284A0D" w:rsidTr="00284A0D">
        <w:trPr>
          <w:trHeight w:val="30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Pavisam kopā: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65 953,00</w:t>
            </w:r>
          </w:p>
        </w:tc>
        <w:tc>
          <w:tcPr>
            <w:tcW w:w="83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305BA8" w:rsidRDefault="00284A0D" w:rsidP="00284A0D">
            <w:pPr>
              <w:ind w:left="-107" w:right="-100"/>
              <w:jc w:val="center"/>
              <w:rPr>
                <w:b/>
                <w:bCs/>
                <w:sz w:val="16"/>
                <w:szCs w:val="16"/>
              </w:rPr>
            </w:pPr>
            <w:r w:rsidRPr="00305BA8">
              <w:rPr>
                <w:b/>
                <w:bCs/>
                <w:sz w:val="16"/>
                <w:szCs w:val="16"/>
              </w:rPr>
              <w:t>-7 228,10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58 724,90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46 033,37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4B5FC3" w:rsidP="00284A0D">
            <w:pPr>
              <w:ind w:left="-107" w:right="-10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05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4603,33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Pr="00EF05BA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5BA">
              <w:rPr>
                <w:b/>
                <w:bCs/>
                <w:color w:val="000000"/>
                <w:sz w:val="16"/>
                <w:szCs w:val="16"/>
              </w:rPr>
              <w:t>2 499,61</w:t>
            </w:r>
          </w:p>
        </w:tc>
        <w:tc>
          <w:tcPr>
            <w:tcW w:w="874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10 191,92</w:t>
            </w: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0D" w:rsidRDefault="00284A0D" w:rsidP="00284A0D">
            <w:pPr>
              <w:ind w:left="-107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84A0D" w:rsidRPr="002B103E" w:rsidRDefault="00284A0D" w:rsidP="00284A0D">
      <w:pPr>
        <w:pStyle w:val="Sarakstarindkopa"/>
        <w:spacing w:after="80"/>
        <w:ind w:left="284"/>
        <w:rPr>
          <w:b/>
          <w:bCs/>
          <w:sz w:val="8"/>
          <w:szCs w:val="8"/>
        </w:rPr>
      </w:pPr>
    </w:p>
    <w:p w:rsidR="00284A0D" w:rsidRPr="00305BA8" w:rsidRDefault="00284A0D" w:rsidP="00284A0D">
      <w:pPr>
        <w:pStyle w:val="Sarakstarindkopa"/>
        <w:numPr>
          <w:ilvl w:val="0"/>
          <w:numId w:val="7"/>
        </w:numPr>
        <w:spacing w:after="80"/>
        <w:ind w:left="284" w:hanging="284"/>
        <w:contextualSpacing w:val="0"/>
        <w:rPr>
          <w:b/>
          <w:bCs/>
          <w:sz w:val="20"/>
          <w:szCs w:val="20"/>
        </w:rPr>
      </w:pPr>
      <w:r w:rsidRPr="00305BA8">
        <w:rPr>
          <w:b/>
          <w:bCs/>
          <w:sz w:val="20"/>
          <w:szCs w:val="20"/>
        </w:rPr>
        <w:t>Rezultāt</w:t>
      </w:r>
      <w:r>
        <w:rPr>
          <w:b/>
          <w:bCs/>
          <w:sz w:val="20"/>
          <w:szCs w:val="20"/>
        </w:rPr>
        <w:t>s</w:t>
      </w:r>
      <w:r w:rsidRPr="00305BA8">
        <w:rPr>
          <w:b/>
          <w:bCs/>
          <w:sz w:val="20"/>
          <w:szCs w:val="20"/>
        </w:rPr>
        <w:t>:</w:t>
      </w:r>
    </w:p>
    <w:p w:rsidR="00284A0D" w:rsidRPr="00305BA8" w:rsidRDefault="00284A0D" w:rsidP="00284A0D">
      <w:pPr>
        <w:pStyle w:val="Sarakstarindkopa"/>
        <w:numPr>
          <w:ilvl w:val="1"/>
          <w:numId w:val="8"/>
        </w:numPr>
        <w:spacing w:after="80"/>
        <w:ind w:left="567" w:hanging="283"/>
        <w:contextualSpacing w:val="0"/>
        <w:jc w:val="both"/>
        <w:rPr>
          <w:sz w:val="20"/>
          <w:szCs w:val="20"/>
        </w:rPr>
      </w:pPr>
      <w:r w:rsidRPr="00305BA8">
        <w:rPr>
          <w:sz w:val="20"/>
          <w:szCs w:val="20"/>
        </w:rPr>
        <w:t xml:space="preserve">kopējās VNĪ darbu izpildes izmaksas ir par </w:t>
      </w:r>
      <w:r w:rsidRPr="00305BA8">
        <w:rPr>
          <w:b/>
          <w:bCs/>
          <w:sz w:val="20"/>
          <w:szCs w:val="20"/>
        </w:rPr>
        <w:t>LVL 7 228,10</w:t>
      </w:r>
      <w:r w:rsidRPr="00305BA8">
        <w:rPr>
          <w:sz w:val="20"/>
          <w:szCs w:val="20"/>
        </w:rPr>
        <w:t xml:space="preserve"> mazākas nekā </w:t>
      </w:r>
      <w:r>
        <w:rPr>
          <w:sz w:val="20"/>
          <w:szCs w:val="20"/>
        </w:rPr>
        <w:t xml:space="preserve">uz </w:t>
      </w:r>
      <w:r w:rsidRPr="00305BA8">
        <w:rPr>
          <w:sz w:val="20"/>
          <w:szCs w:val="20"/>
        </w:rPr>
        <w:t>MK rīkojum</w:t>
      </w:r>
      <w:r>
        <w:rPr>
          <w:sz w:val="20"/>
          <w:szCs w:val="20"/>
        </w:rPr>
        <w:t>a</w:t>
      </w:r>
      <w:r w:rsidRPr="00305BA8">
        <w:rPr>
          <w:sz w:val="20"/>
          <w:szCs w:val="20"/>
        </w:rPr>
        <w:t xml:space="preserve"> Nr.329 </w:t>
      </w:r>
      <w:r>
        <w:rPr>
          <w:sz w:val="20"/>
          <w:szCs w:val="20"/>
        </w:rPr>
        <w:t>pamata Prokuratūrai piešķirts finansējums jumtu remontdarbu veikšanai</w:t>
      </w:r>
      <w:r w:rsidRPr="00305BA8">
        <w:rPr>
          <w:sz w:val="20"/>
          <w:szCs w:val="20"/>
        </w:rPr>
        <w:t>;</w:t>
      </w:r>
    </w:p>
    <w:p w:rsidR="00284A0D" w:rsidRDefault="00284A0D" w:rsidP="00284A0D">
      <w:pPr>
        <w:pStyle w:val="Sarakstarindkopa"/>
        <w:numPr>
          <w:ilvl w:val="1"/>
          <w:numId w:val="8"/>
        </w:numPr>
        <w:spacing w:after="80"/>
        <w:ind w:left="567" w:hanging="283"/>
        <w:contextualSpacing w:val="0"/>
        <w:jc w:val="both"/>
        <w:rPr>
          <w:sz w:val="20"/>
          <w:szCs w:val="20"/>
        </w:rPr>
      </w:pPr>
      <w:r w:rsidRPr="00305BA8">
        <w:rPr>
          <w:sz w:val="20"/>
          <w:szCs w:val="20"/>
        </w:rPr>
        <w:t xml:space="preserve">ņemot vērā to, ka 1. un 2.punkta objektu </w:t>
      </w:r>
      <w:r>
        <w:rPr>
          <w:sz w:val="20"/>
          <w:szCs w:val="20"/>
        </w:rPr>
        <w:t xml:space="preserve">publisko </w:t>
      </w:r>
      <w:r w:rsidRPr="00305BA8">
        <w:rPr>
          <w:sz w:val="20"/>
          <w:szCs w:val="20"/>
        </w:rPr>
        <w:t>iepirkum</w:t>
      </w:r>
      <w:r>
        <w:rPr>
          <w:sz w:val="20"/>
          <w:szCs w:val="20"/>
        </w:rPr>
        <w:t>u</w:t>
      </w:r>
      <w:r w:rsidRPr="00305BA8">
        <w:rPr>
          <w:sz w:val="20"/>
          <w:szCs w:val="20"/>
        </w:rPr>
        <w:t xml:space="preserve"> rezultāti ir lielāki nekā </w:t>
      </w:r>
      <w:r>
        <w:rPr>
          <w:sz w:val="20"/>
          <w:szCs w:val="20"/>
        </w:rPr>
        <w:t xml:space="preserve">uz </w:t>
      </w:r>
      <w:r w:rsidRPr="00305BA8">
        <w:rPr>
          <w:sz w:val="20"/>
          <w:szCs w:val="20"/>
        </w:rPr>
        <w:t xml:space="preserve">MK rīkojumā Nr.329 </w:t>
      </w:r>
      <w:r>
        <w:rPr>
          <w:sz w:val="20"/>
          <w:szCs w:val="20"/>
        </w:rPr>
        <w:t>pamata Prokuratūrai piešķirts finansējums</w:t>
      </w:r>
      <w:r w:rsidRPr="00305BA8">
        <w:rPr>
          <w:sz w:val="20"/>
          <w:szCs w:val="20"/>
        </w:rPr>
        <w:t xml:space="preserve"> </w:t>
      </w:r>
      <w:r>
        <w:rPr>
          <w:sz w:val="20"/>
          <w:szCs w:val="20"/>
        </w:rPr>
        <w:t>abiem minētajiem objektiem, ir nepieciešams sagatavot attiecīgus grozījumus MK rīkojumā Nr.329 un precizēt 1</w:t>
      </w:r>
      <w:r w:rsidRPr="00C00ED1">
        <w:rPr>
          <w:sz w:val="20"/>
          <w:szCs w:val="20"/>
        </w:rPr>
        <w:t>., 2., 3. un 4.punktā noteiktos finanšu apmērus atbilstoši faktiskajiem VNĪ darbu izpildes finanšu apmēriem</w:t>
      </w:r>
      <w:r>
        <w:rPr>
          <w:sz w:val="20"/>
          <w:szCs w:val="20"/>
        </w:rPr>
        <w:t>.</w:t>
      </w:r>
    </w:p>
    <w:p w:rsidR="007259CB" w:rsidRDefault="007259CB" w:rsidP="00D75E97"/>
    <w:p w:rsidR="00EF05BA" w:rsidRPr="00D06610" w:rsidRDefault="00EF05BA" w:rsidP="00EF05BA">
      <w:pPr>
        <w:rPr>
          <w:sz w:val="16"/>
          <w:szCs w:val="16"/>
        </w:rPr>
      </w:pPr>
      <w:r w:rsidRPr="00D06610">
        <w:rPr>
          <w:sz w:val="16"/>
          <w:szCs w:val="16"/>
        </w:rPr>
        <w:t>09.12.2013. 10:</w:t>
      </w:r>
      <w:r w:rsidR="00C478B8" w:rsidRPr="00D06610">
        <w:rPr>
          <w:sz w:val="16"/>
          <w:szCs w:val="16"/>
        </w:rPr>
        <w:t>3</w:t>
      </w:r>
      <w:r w:rsidRPr="00D06610">
        <w:rPr>
          <w:sz w:val="16"/>
          <w:szCs w:val="16"/>
        </w:rPr>
        <w:t>0</w:t>
      </w:r>
    </w:p>
    <w:p w:rsidR="00EF05BA" w:rsidRPr="00D06610" w:rsidRDefault="00643630" w:rsidP="00EF05BA">
      <w:pPr>
        <w:rPr>
          <w:sz w:val="16"/>
          <w:szCs w:val="16"/>
        </w:rPr>
      </w:pPr>
      <w:r w:rsidRPr="00D06610">
        <w:rPr>
          <w:sz w:val="16"/>
          <w:szCs w:val="16"/>
        </w:rPr>
        <w:t>824</w:t>
      </w:r>
    </w:p>
    <w:p w:rsidR="00EF05BA" w:rsidRPr="00D06610" w:rsidRDefault="00EF05BA" w:rsidP="00EF05BA">
      <w:pPr>
        <w:rPr>
          <w:sz w:val="16"/>
          <w:szCs w:val="16"/>
        </w:rPr>
      </w:pPr>
      <w:proofErr w:type="spellStart"/>
      <w:r w:rsidRPr="00D06610">
        <w:rPr>
          <w:sz w:val="16"/>
          <w:szCs w:val="16"/>
        </w:rPr>
        <w:t>I.Serjogina</w:t>
      </w:r>
      <w:proofErr w:type="spellEnd"/>
    </w:p>
    <w:p w:rsidR="00EF05BA" w:rsidRPr="00D06610" w:rsidRDefault="00EF05BA" w:rsidP="00EF05BA">
      <w:pPr>
        <w:rPr>
          <w:sz w:val="16"/>
          <w:szCs w:val="16"/>
        </w:rPr>
      </w:pPr>
      <w:r w:rsidRPr="00D06610">
        <w:rPr>
          <w:sz w:val="16"/>
          <w:szCs w:val="16"/>
        </w:rPr>
        <w:t xml:space="preserve">67044512, </w:t>
      </w:r>
      <w:hyperlink r:id="rId12" w:history="1">
        <w:proofErr w:type="spellStart"/>
        <w:r w:rsidRPr="00D06610">
          <w:rPr>
            <w:rStyle w:val="Hipersaite"/>
            <w:sz w:val="16"/>
            <w:szCs w:val="16"/>
          </w:rPr>
          <w:t>Ineta.Serjogina</w:t>
        </w:r>
        <w:proofErr w:type="spellEnd"/>
        <w:r w:rsidRPr="00D06610">
          <w:rPr>
            <w:rStyle w:val="Hipersaite"/>
            <w:sz w:val="16"/>
            <w:szCs w:val="16"/>
          </w:rPr>
          <w:t xml:space="preserve"> @</w:t>
        </w:r>
        <w:proofErr w:type="spellStart"/>
        <w:r w:rsidRPr="00D06610">
          <w:rPr>
            <w:rStyle w:val="Hipersaite"/>
            <w:sz w:val="16"/>
            <w:szCs w:val="16"/>
          </w:rPr>
          <w:t>lrp.gov.lv</w:t>
        </w:r>
        <w:proofErr w:type="spellEnd"/>
      </w:hyperlink>
    </w:p>
    <w:sectPr w:rsidR="00EF05BA" w:rsidRPr="00D06610" w:rsidSect="00EF05BA">
      <w:pgSz w:w="16838" w:h="11906" w:orient="landscape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33" w:rsidRDefault="00234D33" w:rsidP="001F2003">
      <w:r>
        <w:separator/>
      </w:r>
    </w:p>
  </w:endnote>
  <w:endnote w:type="continuationSeparator" w:id="0">
    <w:p w:rsidR="00234D33" w:rsidRDefault="00234D33" w:rsidP="001F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0D" w:rsidRPr="0037201C" w:rsidRDefault="00E5532A" w:rsidP="007C7CF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TMAnotp_201113_prokuratura</w:t>
    </w:r>
    <w:r w:rsidR="00284A0D" w:rsidRPr="0037201C">
      <w:rPr>
        <w:sz w:val="20"/>
        <w:szCs w:val="20"/>
      </w:rPr>
      <w:t>; 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0D" w:rsidRPr="00A5285D" w:rsidRDefault="00E5532A" w:rsidP="0037201C">
    <w:pPr>
      <w:pStyle w:val="Kjene"/>
      <w:rPr>
        <w:sz w:val="16"/>
        <w:szCs w:val="16"/>
      </w:rPr>
    </w:pPr>
    <w:r>
      <w:rPr>
        <w:sz w:val="16"/>
        <w:szCs w:val="16"/>
      </w:rPr>
      <w:t>TMAnotp</w:t>
    </w:r>
    <w:r w:rsidR="000A2474">
      <w:rPr>
        <w:sz w:val="16"/>
        <w:szCs w:val="16"/>
      </w:rPr>
      <w:t>1</w:t>
    </w:r>
    <w:r>
      <w:rPr>
        <w:sz w:val="16"/>
        <w:szCs w:val="16"/>
      </w:rPr>
      <w:t>_201113_prokuratura</w:t>
    </w:r>
    <w:r w:rsidR="00284A0D" w:rsidRPr="00A5285D">
      <w:rPr>
        <w:sz w:val="16"/>
        <w:szCs w:val="16"/>
      </w:rPr>
      <w:t>; 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pielikums</w:t>
    </w:r>
    <w:r w:rsidR="00A5285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33" w:rsidRDefault="00234D33" w:rsidP="001F2003">
      <w:r>
        <w:separator/>
      </w:r>
    </w:p>
  </w:footnote>
  <w:footnote w:type="continuationSeparator" w:id="0">
    <w:p w:rsidR="00234D33" w:rsidRDefault="00234D33" w:rsidP="001F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3850"/>
      <w:docPartObj>
        <w:docPartGallery w:val="Page Numbers (Top of Page)"/>
        <w:docPartUnique/>
      </w:docPartObj>
    </w:sdtPr>
    <w:sdtEndPr/>
    <w:sdtContent>
      <w:p w:rsidR="00284A0D" w:rsidRDefault="00DB5C8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89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A5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44E6"/>
    <w:multiLevelType w:val="hybridMultilevel"/>
    <w:tmpl w:val="D2D4C420"/>
    <w:lvl w:ilvl="0" w:tplc="BDB2CBA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4EE7524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3636BB"/>
    <w:multiLevelType w:val="hybridMultilevel"/>
    <w:tmpl w:val="E2FC7652"/>
    <w:lvl w:ilvl="0" w:tplc="C4EE75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C0BAB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B71"/>
    <w:multiLevelType w:val="hybridMultilevel"/>
    <w:tmpl w:val="0F081C5C"/>
    <w:lvl w:ilvl="0" w:tplc="72CA0AC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E5697B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C344C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B0E05"/>
    <w:multiLevelType w:val="hybridMultilevel"/>
    <w:tmpl w:val="01B24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2"/>
    <w:rsid w:val="00001249"/>
    <w:rsid w:val="000023B4"/>
    <w:rsid w:val="0000595F"/>
    <w:rsid w:val="00006957"/>
    <w:rsid w:val="0000740E"/>
    <w:rsid w:val="00012922"/>
    <w:rsid w:val="00025CB9"/>
    <w:rsid w:val="000361B6"/>
    <w:rsid w:val="000402AD"/>
    <w:rsid w:val="0005049F"/>
    <w:rsid w:val="00051BF7"/>
    <w:rsid w:val="00061C31"/>
    <w:rsid w:val="0007086C"/>
    <w:rsid w:val="00077460"/>
    <w:rsid w:val="0008405B"/>
    <w:rsid w:val="00092BBE"/>
    <w:rsid w:val="00095555"/>
    <w:rsid w:val="000A0855"/>
    <w:rsid w:val="000A2474"/>
    <w:rsid w:val="000A5F4B"/>
    <w:rsid w:val="000B178B"/>
    <w:rsid w:val="000B2C40"/>
    <w:rsid w:val="000B445D"/>
    <w:rsid w:val="000E14C2"/>
    <w:rsid w:val="000E3B73"/>
    <w:rsid w:val="000E7BF4"/>
    <w:rsid w:val="001120B7"/>
    <w:rsid w:val="001171CE"/>
    <w:rsid w:val="001313A6"/>
    <w:rsid w:val="00144DC5"/>
    <w:rsid w:val="0014619D"/>
    <w:rsid w:val="0015753E"/>
    <w:rsid w:val="00165FCB"/>
    <w:rsid w:val="00177C60"/>
    <w:rsid w:val="001817FA"/>
    <w:rsid w:val="00181B9A"/>
    <w:rsid w:val="0018321C"/>
    <w:rsid w:val="00194C6F"/>
    <w:rsid w:val="00195883"/>
    <w:rsid w:val="00196638"/>
    <w:rsid w:val="0019714F"/>
    <w:rsid w:val="001C2C6C"/>
    <w:rsid w:val="001C7633"/>
    <w:rsid w:val="001D62C6"/>
    <w:rsid w:val="001E7499"/>
    <w:rsid w:val="001F18C6"/>
    <w:rsid w:val="001F2003"/>
    <w:rsid w:val="001F7FB3"/>
    <w:rsid w:val="00216D4F"/>
    <w:rsid w:val="00221EF8"/>
    <w:rsid w:val="00224BD0"/>
    <w:rsid w:val="00233108"/>
    <w:rsid w:val="00234D33"/>
    <w:rsid w:val="0025011E"/>
    <w:rsid w:val="00252E46"/>
    <w:rsid w:val="002556B1"/>
    <w:rsid w:val="00270EC7"/>
    <w:rsid w:val="00274C93"/>
    <w:rsid w:val="00276C82"/>
    <w:rsid w:val="00284A0D"/>
    <w:rsid w:val="00287772"/>
    <w:rsid w:val="00294D0B"/>
    <w:rsid w:val="002A664A"/>
    <w:rsid w:val="002D1577"/>
    <w:rsid w:val="0030502F"/>
    <w:rsid w:val="003107DA"/>
    <w:rsid w:val="00313B9F"/>
    <w:rsid w:val="00313EEE"/>
    <w:rsid w:val="0032030F"/>
    <w:rsid w:val="00325A5C"/>
    <w:rsid w:val="00344B8B"/>
    <w:rsid w:val="003450ED"/>
    <w:rsid w:val="00360366"/>
    <w:rsid w:val="00363678"/>
    <w:rsid w:val="003677A9"/>
    <w:rsid w:val="00371127"/>
    <w:rsid w:val="0037171B"/>
    <w:rsid w:val="0037201C"/>
    <w:rsid w:val="00376013"/>
    <w:rsid w:val="00384AC6"/>
    <w:rsid w:val="00387960"/>
    <w:rsid w:val="00394A02"/>
    <w:rsid w:val="003A5B27"/>
    <w:rsid w:val="003B4C37"/>
    <w:rsid w:val="003C6361"/>
    <w:rsid w:val="003D6B84"/>
    <w:rsid w:val="003E4EDE"/>
    <w:rsid w:val="003E6ACB"/>
    <w:rsid w:val="003F46DF"/>
    <w:rsid w:val="00425C72"/>
    <w:rsid w:val="00426149"/>
    <w:rsid w:val="00430C82"/>
    <w:rsid w:val="00447DE0"/>
    <w:rsid w:val="0047049C"/>
    <w:rsid w:val="004753D4"/>
    <w:rsid w:val="00482157"/>
    <w:rsid w:val="004938C5"/>
    <w:rsid w:val="00495BFC"/>
    <w:rsid w:val="004A2CE4"/>
    <w:rsid w:val="004A3EED"/>
    <w:rsid w:val="004B1648"/>
    <w:rsid w:val="004B5514"/>
    <w:rsid w:val="004B5FC3"/>
    <w:rsid w:val="004C6064"/>
    <w:rsid w:val="004D0847"/>
    <w:rsid w:val="004E315C"/>
    <w:rsid w:val="004F1055"/>
    <w:rsid w:val="004F63D8"/>
    <w:rsid w:val="005108AF"/>
    <w:rsid w:val="0051097F"/>
    <w:rsid w:val="005129DF"/>
    <w:rsid w:val="00526AE4"/>
    <w:rsid w:val="00530494"/>
    <w:rsid w:val="00532F02"/>
    <w:rsid w:val="00542405"/>
    <w:rsid w:val="00543D5B"/>
    <w:rsid w:val="00550439"/>
    <w:rsid w:val="00556F52"/>
    <w:rsid w:val="005678D6"/>
    <w:rsid w:val="005769DC"/>
    <w:rsid w:val="00582921"/>
    <w:rsid w:val="00594D6A"/>
    <w:rsid w:val="005A2665"/>
    <w:rsid w:val="005A3358"/>
    <w:rsid w:val="005A4750"/>
    <w:rsid w:val="005B2D9E"/>
    <w:rsid w:val="005C263E"/>
    <w:rsid w:val="005D2480"/>
    <w:rsid w:val="005D65E2"/>
    <w:rsid w:val="005D72F1"/>
    <w:rsid w:val="00605054"/>
    <w:rsid w:val="006172BA"/>
    <w:rsid w:val="00624421"/>
    <w:rsid w:val="00627DCE"/>
    <w:rsid w:val="00641509"/>
    <w:rsid w:val="00643630"/>
    <w:rsid w:val="00644E0F"/>
    <w:rsid w:val="0064521F"/>
    <w:rsid w:val="00645241"/>
    <w:rsid w:val="00667FD1"/>
    <w:rsid w:val="00692F92"/>
    <w:rsid w:val="006934A7"/>
    <w:rsid w:val="00695C8F"/>
    <w:rsid w:val="006A31E2"/>
    <w:rsid w:val="006A7EDB"/>
    <w:rsid w:val="006C4986"/>
    <w:rsid w:val="006F2555"/>
    <w:rsid w:val="00703EC3"/>
    <w:rsid w:val="00707D5B"/>
    <w:rsid w:val="0071069C"/>
    <w:rsid w:val="00713741"/>
    <w:rsid w:val="007165D2"/>
    <w:rsid w:val="00720227"/>
    <w:rsid w:val="0072100E"/>
    <w:rsid w:val="007220FC"/>
    <w:rsid w:val="007259CB"/>
    <w:rsid w:val="00733211"/>
    <w:rsid w:val="007479A6"/>
    <w:rsid w:val="0075467E"/>
    <w:rsid w:val="0076314E"/>
    <w:rsid w:val="00772364"/>
    <w:rsid w:val="00776B96"/>
    <w:rsid w:val="007877E1"/>
    <w:rsid w:val="007903F4"/>
    <w:rsid w:val="00795238"/>
    <w:rsid w:val="007A67A0"/>
    <w:rsid w:val="007B11CA"/>
    <w:rsid w:val="007B417E"/>
    <w:rsid w:val="007B764F"/>
    <w:rsid w:val="007B7763"/>
    <w:rsid w:val="007C7CFE"/>
    <w:rsid w:val="007C7E87"/>
    <w:rsid w:val="007D55ED"/>
    <w:rsid w:val="007F52D1"/>
    <w:rsid w:val="0082144C"/>
    <w:rsid w:val="00826BBE"/>
    <w:rsid w:val="0083085D"/>
    <w:rsid w:val="008336B5"/>
    <w:rsid w:val="00833B2D"/>
    <w:rsid w:val="0084747F"/>
    <w:rsid w:val="0087049C"/>
    <w:rsid w:val="0088393D"/>
    <w:rsid w:val="0089143B"/>
    <w:rsid w:val="00891B75"/>
    <w:rsid w:val="00891C3A"/>
    <w:rsid w:val="008A0074"/>
    <w:rsid w:val="008A7AA0"/>
    <w:rsid w:val="008B733D"/>
    <w:rsid w:val="008C195C"/>
    <w:rsid w:val="008C3E63"/>
    <w:rsid w:val="008D2F36"/>
    <w:rsid w:val="008D37AB"/>
    <w:rsid w:val="008D6C50"/>
    <w:rsid w:val="008E6290"/>
    <w:rsid w:val="008F69FE"/>
    <w:rsid w:val="008F75CC"/>
    <w:rsid w:val="00906B1F"/>
    <w:rsid w:val="009201A2"/>
    <w:rsid w:val="00925F35"/>
    <w:rsid w:val="009314E6"/>
    <w:rsid w:val="00935223"/>
    <w:rsid w:val="009358E1"/>
    <w:rsid w:val="00936A4E"/>
    <w:rsid w:val="00940D50"/>
    <w:rsid w:val="00943EDA"/>
    <w:rsid w:val="009519B8"/>
    <w:rsid w:val="009650E0"/>
    <w:rsid w:val="00967D31"/>
    <w:rsid w:val="00972D8A"/>
    <w:rsid w:val="009A10A9"/>
    <w:rsid w:val="009A1C8C"/>
    <w:rsid w:val="009B1AA7"/>
    <w:rsid w:val="009B51DC"/>
    <w:rsid w:val="009B5860"/>
    <w:rsid w:val="009B64DF"/>
    <w:rsid w:val="009C20DF"/>
    <w:rsid w:val="009C2D91"/>
    <w:rsid w:val="009C4E76"/>
    <w:rsid w:val="009D098D"/>
    <w:rsid w:val="009F1F1B"/>
    <w:rsid w:val="00A26AC9"/>
    <w:rsid w:val="00A30363"/>
    <w:rsid w:val="00A5285D"/>
    <w:rsid w:val="00A54573"/>
    <w:rsid w:val="00A54644"/>
    <w:rsid w:val="00A61E17"/>
    <w:rsid w:val="00A65005"/>
    <w:rsid w:val="00A6779E"/>
    <w:rsid w:val="00A72034"/>
    <w:rsid w:val="00A73B10"/>
    <w:rsid w:val="00A74FDD"/>
    <w:rsid w:val="00A761FC"/>
    <w:rsid w:val="00A76CD6"/>
    <w:rsid w:val="00A773FC"/>
    <w:rsid w:val="00AA12B2"/>
    <w:rsid w:val="00AA6D76"/>
    <w:rsid w:val="00AD35A4"/>
    <w:rsid w:val="00AE01C8"/>
    <w:rsid w:val="00AF3658"/>
    <w:rsid w:val="00B05E78"/>
    <w:rsid w:val="00B315BC"/>
    <w:rsid w:val="00B330D9"/>
    <w:rsid w:val="00B365A2"/>
    <w:rsid w:val="00B52840"/>
    <w:rsid w:val="00B61E38"/>
    <w:rsid w:val="00B6256B"/>
    <w:rsid w:val="00B73442"/>
    <w:rsid w:val="00BC001B"/>
    <w:rsid w:val="00BC1FB0"/>
    <w:rsid w:val="00BE5B17"/>
    <w:rsid w:val="00BF03D8"/>
    <w:rsid w:val="00BF5D05"/>
    <w:rsid w:val="00C06CD6"/>
    <w:rsid w:val="00C169E2"/>
    <w:rsid w:val="00C2317B"/>
    <w:rsid w:val="00C27FCD"/>
    <w:rsid w:val="00C30D3A"/>
    <w:rsid w:val="00C30F7D"/>
    <w:rsid w:val="00C34626"/>
    <w:rsid w:val="00C434C6"/>
    <w:rsid w:val="00C478B8"/>
    <w:rsid w:val="00C5009C"/>
    <w:rsid w:val="00C53045"/>
    <w:rsid w:val="00C53749"/>
    <w:rsid w:val="00C564BB"/>
    <w:rsid w:val="00C63C0B"/>
    <w:rsid w:val="00C83941"/>
    <w:rsid w:val="00C854EE"/>
    <w:rsid w:val="00C85C18"/>
    <w:rsid w:val="00C97221"/>
    <w:rsid w:val="00CA195D"/>
    <w:rsid w:val="00CA218F"/>
    <w:rsid w:val="00CD5B3B"/>
    <w:rsid w:val="00CE15A1"/>
    <w:rsid w:val="00CE4886"/>
    <w:rsid w:val="00CE53FA"/>
    <w:rsid w:val="00D013BE"/>
    <w:rsid w:val="00D06610"/>
    <w:rsid w:val="00D17C8F"/>
    <w:rsid w:val="00D31249"/>
    <w:rsid w:val="00D367AC"/>
    <w:rsid w:val="00D43BE0"/>
    <w:rsid w:val="00D4728F"/>
    <w:rsid w:val="00D548E7"/>
    <w:rsid w:val="00D619D0"/>
    <w:rsid w:val="00D73BC0"/>
    <w:rsid w:val="00D74D77"/>
    <w:rsid w:val="00D75E97"/>
    <w:rsid w:val="00D8634B"/>
    <w:rsid w:val="00DA0DE8"/>
    <w:rsid w:val="00DA2ED2"/>
    <w:rsid w:val="00DB562E"/>
    <w:rsid w:val="00DB5C88"/>
    <w:rsid w:val="00DC1E17"/>
    <w:rsid w:val="00DD7783"/>
    <w:rsid w:val="00DF74E4"/>
    <w:rsid w:val="00E14A1F"/>
    <w:rsid w:val="00E262E1"/>
    <w:rsid w:val="00E366C8"/>
    <w:rsid w:val="00E42E1B"/>
    <w:rsid w:val="00E5532A"/>
    <w:rsid w:val="00E57E7F"/>
    <w:rsid w:val="00E80535"/>
    <w:rsid w:val="00E8440E"/>
    <w:rsid w:val="00E91DCA"/>
    <w:rsid w:val="00EA6DD2"/>
    <w:rsid w:val="00EB3E6B"/>
    <w:rsid w:val="00ED3209"/>
    <w:rsid w:val="00EE3C4F"/>
    <w:rsid w:val="00EE5589"/>
    <w:rsid w:val="00EF05BA"/>
    <w:rsid w:val="00EF1755"/>
    <w:rsid w:val="00F0320B"/>
    <w:rsid w:val="00F045FB"/>
    <w:rsid w:val="00F06B02"/>
    <w:rsid w:val="00F1250A"/>
    <w:rsid w:val="00F144F7"/>
    <w:rsid w:val="00F22899"/>
    <w:rsid w:val="00F2335F"/>
    <w:rsid w:val="00F3234F"/>
    <w:rsid w:val="00F32A1E"/>
    <w:rsid w:val="00F37A55"/>
    <w:rsid w:val="00F452FA"/>
    <w:rsid w:val="00F57D4C"/>
    <w:rsid w:val="00F612F4"/>
    <w:rsid w:val="00F70C04"/>
    <w:rsid w:val="00F80227"/>
    <w:rsid w:val="00F860E5"/>
    <w:rsid w:val="00F93683"/>
    <w:rsid w:val="00F94B3F"/>
    <w:rsid w:val="00FA73ED"/>
    <w:rsid w:val="00FB181B"/>
    <w:rsid w:val="00FB2D15"/>
    <w:rsid w:val="00FD62D1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26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31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20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2003"/>
  </w:style>
  <w:style w:type="paragraph" w:styleId="Kjene">
    <w:name w:val="footer"/>
    <w:basedOn w:val="Parasts"/>
    <w:link w:val="KjeneRakstz"/>
    <w:unhideWhenUsed/>
    <w:rsid w:val="001F20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F2003"/>
  </w:style>
  <w:style w:type="paragraph" w:styleId="Balonteksts">
    <w:name w:val="Balloon Text"/>
    <w:basedOn w:val="Parasts"/>
    <w:link w:val="BalontekstsRakstz"/>
    <w:uiPriority w:val="99"/>
    <w:semiHidden/>
    <w:unhideWhenUsed/>
    <w:rsid w:val="001F2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200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2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rsid w:val="00526AE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F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F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FC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F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F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26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31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20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2003"/>
  </w:style>
  <w:style w:type="paragraph" w:styleId="Kjene">
    <w:name w:val="footer"/>
    <w:basedOn w:val="Parasts"/>
    <w:link w:val="KjeneRakstz"/>
    <w:unhideWhenUsed/>
    <w:rsid w:val="001F20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F2003"/>
  </w:style>
  <w:style w:type="paragraph" w:styleId="Balonteksts">
    <w:name w:val="Balloon Text"/>
    <w:basedOn w:val="Parasts"/>
    <w:link w:val="BalontekstsRakstz"/>
    <w:uiPriority w:val="99"/>
    <w:semiHidden/>
    <w:unhideWhenUsed/>
    <w:rsid w:val="001F2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200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2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rsid w:val="00526AE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F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F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FC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F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igurds.Pastars@lrp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EFFD-4FD6-4391-8BC1-C7163F59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3983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</vt:lpstr>
      <vt:lpstr>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</vt:lpstr>
    </vt:vector>
  </TitlesOfParts>
  <Company>Tieslietu Sektors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pielikums</dc:title>
  <dc:subject>Ministru kabineta rīkojuma projekta "Par finanšu līdzekļu piešķiršanu no valsts budžeta programmas "Līdzekļi neparedzētiem gadījumiem"" sākotnējās ietekmes novērtējuma ziņojuma (anotācijas) pielikums</dc:subject>
  <dc:creator>Agris.Ikaunieks@vni.lv</dc:creator>
  <cp:lastModifiedBy>am1801</cp:lastModifiedBy>
  <cp:revision>7</cp:revision>
  <cp:lastPrinted>2013-11-20T13:51:00Z</cp:lastPrinted>
  <dcterms:created xsi:type="dcterms:W3CDTF">2013-12-09T08:23:00Z</dcterms:created>
  <dcterms:modified xsi:type="dcterms:W3CDTF">2013-12-12T13:33:00Z</dcterms:modified>
</cp:coreProperties>
</file>